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278029">
      <w:pPr>
        <w:pStyle w:val="5"/>
        <w:keepNext w:val="0"/>
        <w:keepLines w:val="0"/>
        <w:pageBreakBefore w:val="0"/>
        <w:wordWrap w:val="0"/>
        <w:overflowPunct/>
        <w:topLinePunct w:val="0"/>
        <w:bidi w:val="0"/>
        <w:spacing w:line="241" w:lineRule="auto"/>
        <w:rPr>
          <w:rFonts w:hint="eastAsia" w:ascii="宋体" w:hAnsi="宋体" w:eastAsia="宋体" w:cs="宋体"/>
          <w:color w:val="000000" w:themeColor="text1"/>
          <w:spacing w:val="0"/>
          <w:highlight w:val="none"/>
          <w14:textFill>
            <w14:solidFill>
              <w14:schemeClr w14:val="tx1"/>
            </w14:solidFill>
          </w14:textFill>
        </w:rPr>
      </w:pPr>
    </w:p>
    <w:p w14:paraId="065BF53E">
      <w:pPr>
        <w:keepNext w:val="0"/>
        <w:keepLines w:val="0"/>
        <w:pageBreakBefore w:val="0"/>
        <w:widowControl/>
        <w:kinsoku w:val="0"/>
        <w:wordWrap w:val="0"/>
        <w:overflowPunct/>
        <w:topLinePunct w:val="0"/>
        <w:autoSpaceDE w:val="0"/>
        <w:autoSpaceDN w:val="0"/>
        <w:bidi w:val="0"/>
        <w:adjustRightInd w:val="0"/>
        <w:snapToGrid w:val="0"/>
        <w:spacing w:before="231" w:line="312" w:lineRule="auto"/>
        <w:jc w:val="center"/>
        <w:textAlignment w:val="baseline"/>
        <w:outlineLvl w:val="9"/>
        <w:rPr>
          <w:rFonts w:hint="eastAsia" w:ascii="宋体" w:hAnsi="宋体" w:eastAsia="宋体" w:cs="宋体"/>
          <w:b/>
          <w:bCs/>
          <w:color w:val="000000" w:themeColor="text1"/>
          <w:spacing w:val="0"/>
          <w:sz w:val="48"/>
          <w:szCs w:val="48"/>
          <w:highlight w:val="none"/>
          <w:lang w:val="en-US" w:eastAsia="zh-CN"/>
          <w14:textFill>
            <w14:solidFill>
              <w14:schemeClr w14:val="tx1"/>
            </w14:solidFill>
          </w14:textFill>
        </w:rPr>
      </w:pPr>
      <w:r>
        <w:rPr>
          <w:rFonts w:hint="eastAsia" w:ascii="宋体" w:hAnsi="宋体" w:eastAsia="宋体" w:cs="宋体"/>
          <w:b/>
          <w:bCs/>
          <w:color w:val="000000" w:themeColor="text1"/>
          <w:spacing w:val="0"/>
          <w:sz w:val="52"/>
          <w:szCs w:val="52"/>
          <w:highlight w:val="none"/>
          <w:lang w:val="en-US" w:eastAsia="zh-CN"/>
          <w14:textFill>
            <w14:solidFill>
              <w14:schemeClr w14:val="tx1"/>
            </w14:solidFill>
          </w14:textFill>
        </w:rPr>
        <w:t>广东省韶关市新丰县现代物流园及配套设施建设项目——新丰县回龙镇古井正道路沿线路域环境提升项目施工招标</w:t>
      </w:r>
    </w:p>
    <w:p w14:paraId="0ACA8D3E">
      <w:pPr>
        <w:pStyle w:val="5"/>
        <w:keepNext w:val="0"/>
        <w:keepLines w:val="0"/>
        <w:pageBreakBefore w:val="0"/>
        <w:wordWrap w:val="0"/>
        <w:overflowPunct/>
        <w:topLinePunct w:val="0"/>
        <w:bidi w:val="0"/>
        <w:spacing w:line="355" w:lineRule="auto"/>
        <w:rPr>
          <w:rFonts w:hint="eastAsia" w:ascii="宋体" w:hAnsi="宋体" w:eastAsia="宋体" w:cs="宋体"/>
          <w:color w:val="000000" w:themeColor="text1"/>
          <w:spacing w:val="0"/>
          <w:highlight w:val="none"/>
          <w14:textFill>
            <w14:solidFill>
              <w14:schemeClr w14:val="tx1"/>
            </w14:solidFill>
          </w14:textFill>
        </w:rPr>
      </w:pPr>
    </w:p>
    <w:p w14:paraId="52B3F812">
      <w:pPr>
        <w:pStyle w:val="5"/>
        <w:keepNext w:val="0"/>
        <w:keepLines w:val="0"/>
        <w:pageBreakBefore w:val="0"/>
        <w:wordWrap w:val="0"/>
        <w:overflowPunct/>
        <w:topLinePunct w:val="0"/>
        <w:bidi w:val="0"/>
        <w:spacing w:line="355" w:lineRule="auto"/>
        <w:rPr>
          <w:rFonts w:hint="eastAsia" w:ascii="宋体" w:hAnsi="宋体" w:eastAsia="宋体" w:cs="宋体"/>
          <w:color w:val="000000" w:themeColor="text1"/>
          <w:spacing w:val="0"/>
          <w:highlight w:val="none"/>
          <w14:textFill>
            <w14:solidFill>
              <w14:schemeClr w14:val="tx1"/>
            </w14:solidFill>
          </w14:textFill>
        </w:rPr>
      </w:pPr>
    </w:p>
    <w:p w14:paraId="53F283AE">
      <w:pPr>
        <w:pStyle w:val="5"/>
        <w:keepNext w:val="0"/>
        <w:keepLines w:val="0"/>
        <w:pageBreakBefore w:val="0"/>
        <w:wordWrap w:val="0"/>
        <w:overflowPunct/>
        <w:topLinePunct w:val="0"/>
        <w:bidi w:val="0"/>
        <w:spacing w:line="355" w:lineRule="auto"/>
        <w:rPr>
          <w:rFonts w:hint="eastAsia" w:ascii="宋体" w:hAnsi="宋体" w:eastAsia="宋体" w:cs="宋体"/>
          <w:color w:val="000000" w:themeColor="text1"/>
          <w:spacing w:val="0"/>
          <w:highlight w:val="none"/>
          <w14:textFill>
            <w14:solidFill>
              <w14:schemeClr w14:val="tx1"/>
            </w14:solidFill>
          </w14:textFill>
        </w:rPr>
      </w:pPr>
    </w:p>
    <w:p w14:paraId="296BC558">
      <w:pPr>
        <w:pStyle w:val="5"/>
        <w:keepNext w:val="0"/>
        <w:keepLines w:val="0"/>
        <w:pageBreakBefore w:val="0"/>
        <w:wordWrap w:val="0"/>
        <w:overflowPunct/>
        <w:topLinePunct w:val="0"/>
        <w:bidi w:val="0"/>
        <w:spacing w:line="355" w:lineRule="auto"/>
        <w:rPr>
          <w:rFonts w:hint="eastAsia" w:ascii="宋体" w:hAnsi="宋体" w:eastAsia="宋体" w:cs="宋体"/>
          <w:color w:val="000000" w:themeColor="text1"/>
          <w:spacing w:val="0"/>
          <w:highlight w:val="none"/>
          <w14:textFill>
            <w14:solidFill>
              <w14:schemeClr w14:val="tx1"/>
            </w14:solidFill>
          </w14:textFill>
        </w:rPr>
      </w:pPr>
    </w:p>
    <w:p w14:paraId="32ED6F11">
      <w:pPr>
        <w:keepNext w:val="0"/>
        <w:keepLines w:val="0"/>
        <w:pageBreakBefore w:val="0"/>
        <w:wordWrap w:val="0"/>
        <w:overflowPunct/>
        <w:topLinePunct w:val="0"/>
        <w:bidi w:val="0"/>
        <w:spacing w:before="231" w:line="223" w:lineRule="auto"/>
        <w:jc w:val="center"/>
        <w:outlineLvl w:val="9"/>
        <w:rPr>
          <w:rFonts w:hint="eastAsia" w:ascii="宋体" w:hAnsi="宋体" w:eastAsia="宋体" w:cs="宋体"/>
          <w:color w:val="000000" w:themeColor="text1"/>
          <w:spacing w:val="0"/>
          <w:sz w:val="71"/>
          <w:szCs w:val="71"/>
          <w:highlight w:val="none"/>
          <w14:textFill>
            <w14:solidFill>
              <w14:schemeClr w14:val="tx1"/>
            </w14:solidFill>
          </w14:textFill>
        </w:rPr>
      </w:pPr>
      <w:bookmarkStart w:id="0" w:name="_Toc15274"/>
      <w:bookmarkStart w:id="1" w:name="_Toc7958"/>
      <w:bookmarkStart w:id="2" w:name="_Toc1688"/>
      <w:bookmarkStart w:id="3" w:name="_Toc15837"/>
      <w:r>
        <w:rPr>
          <w:rFonts w:hint="eastAsia" w:ascii="宋体" w:hAnsi="宋体" w:eastAsia="宋体" w:cs="宋体"/>
          <w:b/>
          <w:bCs/>
          <w:color w:val="000000" w:themeColor="text1"/>
          <w:spacing w:val="0"/>
          <w:sz w:val="71"/>
          <w:szCs w:val="71"/>
          <w:highlight w:val="none"/>
          <w14:textFill>
            <w14:solidFill>
              <w14:schemeClr w14:val="tx1"/>
            </w14:solidFill>
          </w14:textFill>
        </w:rPr>
        <w:t>招标文件</w:t>
      </w:r>
      <w:bookmarkEnd w:id="0"/>
      <w:bookmarkEnd w:id="1"/>
      <w:bookmarkEnd w:id="2"/>
      <w:bookmarkEnd w:id="3"/>
    </w:p>
    <w:p w14:paraId="4EFF9E9E">
      <w:pPr>
        <w:pStyle w:val="5"/>
        <w:keepNext w:val="0"/>
        <w:keepLines w:val="0"/>
        <w:pageBreakBefore w:val="0"/>
        <w:wordWrap w:val="0"/>
        <w:overflowPunct/>
        <w:topLinePunct w:val="0"/>
        <w:bidi w:val="0"/>
        <w:spacing w:line="270" w:lineRule="auto"/>
        <w:rPr>
          <w:rFonts w:hint="eastAsia" w:ascii="宋体" w:hAnsi="宋体" w:eastAsia="宋体" w:cs="宋体"/>
          <w:color w:val="000000" w:themeColor="text1"/>
          <w:spacing w:val="0"/>
          <w:highlight w:val="none"/>
          <w14:textFill>
            <w14:solidFill>
              <w14:schemeClr w14:val="tx1"/>
            </w14:solidFill>
          </w14:textFill>
        </w:rPr>
      </w:pPr>
    </w:p>
    <w:p w14:paraId="2B5B3882">
      <w:pPr>
        <w:pStyle w:val="5"/>
        <w:keepNext w:val="0"/>
        <w:keepLines w:val="0"/>
        <w:pageBreakBefore w:val="0"/>
        <w:wordWrap w:val="0"/>
        <w:overflowPunct/>
        <w:topLinePunct w:val="0"/>
        <w:bidi w:val="0"/>
        <w:spacing w:line="271" w:lineRule="auto"/>
        <w:rPr>
          <w:rFonts w:hint="eastAsia" w:ascii="宋体" w:hAnsi="宋体" w:eastAsia="宋体" w:cs="宋体"/>
          <w:color w:val="000000" w:themeColor="text1"/>
          <w:spacing w:val="0"/>
          <w:highlight w:val="none"/>
          <w14:textFill>
            <w14:solidFill>
              <w14:schemeClr w14:val="tx1"/>
            </w14:solidFill>
          </w14:textFill>
        </w:rPr>
      </w:pPr>
    </w:p>
    <w:p w14:paraId="4C622A16">
      <w:pPr>
        <w:pStyle w:val="5"/>
        <w:keepNext w:val="0"/>
        <w:keepLines w:val="0"/>
        <w:pageBreakBefore w:val="0"/>
        <w:wordWrap w:val="0"/>
        <w:overflowPunct/>
        <w:topLinePunct w:val="0"/>
        <w:bidi w:val="0"/>
        <w:spacing w:line="271" w:lineRule="auto"/>
        <w:rPr>
          <w:rFonts w:hint="eastAsia" w:ascii="宋体" w:hAnsi="宋体" w:eastAsia="宋体" w:cs="宋体"/>
          <w:color w:val="000000" w:themeColor="text1"/>
          <w:spacing w:val="0"/>
          <w:highlight w:val="none"/>
          <w14:textFill>
            <w14:solidFill>
              <w14:schemeClr w14:val="tx1"/>
            </w14:solidFill>
          </w14:textFill>
        </w:rPr>
      </w:pPr>
    </w:p>
    <w:p w14:paraId="124711D2">
      <w:pPr>
        <w:pStyle w:val="5"/>
        <w:keepNext w:val="0"/>
        <w:keepLines w:val="0"/>
        <w:pageBreakBefore w:val="0"/>
        <w:wordWrap w:val="0"/>
        <w:overflowPunct/>
        <w:topLinePunct w:val="0"/>
        <w:bidi w:val="0"/>
        <w:spacing w:line="271" w:lineRule="auto"/>
        <w:rPr>
          <w:rFonts w:hint="eastAsia" w:ascii="宋体" w:hAnsi="宋体" w:eastAsia="宋体" w:cs="宋体"/>
          <w:color w:val="000000" w:themeColor="text1"/>
          <w:spacing w:val="0"/>
          <w:highlight w:val="none"/>
          <w14:textFill>
            <w14:solidFill>
              <w14:schemeClr w14:val="tx1"/>
            </w14:solidFill>
          </w14:textFill>
        </w:rPr>
      </w:pPr>
    </w:p>
    <w:p w14:paraId="5A7070C0">
      <w:pPr>
        <w:pStyle w:val="5"/>
        <w:keepNext w:val="0"/>
        <w:keepLines w:val="0"/>
        <w:pageBreakBefore w:val="0"/>
        <w:wordWrap w:val="0"/>
        <w:overflowPunct/>
        <w:topLinePunct w:val="0"/>
        <w:bidi w:val="0"/>
        <w:spacing w:line="271" w:lineRule="auto"/>
        <w:rPr>
          <w:rFonts w:hint="eastAsia" w:ascii="宋体" w:hAnsi="宋体" w:eastAsia="宋体" w:cs="宋体"/>
          <w:color w:val="000000" w:themeColor="text1"/>
          <w:spacing w:val="0"/>
          <w:highlight w:val="none"/>
          <w14:textFill>
            <w14:solidFill>
              <w14:schemeClr w14:val="tx1"/>
            </w14:solidFill>
          </w14:textFill>
        </w:rPr>
      </w:pPr>
    </w:p>
    <w:p w14:paraId="466BB1AF">
      <w:pPr>
        <w:pStyle w:val="5"/>
        <w:keepNext w:val="0"/>
        <w:keepLines w:val="0"/>
        <w:pageBreakBefore w:val="0"/>
        <w:wordWrap w:val="0"/>
        <w:overflowPunct/>
        <w:topLinePunct w:val="0"/>
        <w:bidi w:val="0"/>
        <w:spacing w:line="271" w:lineRule="auto"/>
        <w:rPr>
          <w:rFonts w:hint="eastAsia" w:ascii="宋体" w:hAnsi="宋体" w:eastAsia="宋体" w:cs="宋体"/>
          <w:color w:val="000000" w:themeColor="text1"/>
          <w:spacing w:val="0"/>
          <w:highlight w:val="none"/>
          <w14:textFill>
            <w14:solidFill>
              <w14:schemeClr w14:val="tx1"/>
            </w14:solidFill>
          </w14:textFill>
        </w:rPr>
      </w:pPr>
    </w:p>
    <w:tbl>
      <w:tblPr>
        <w:tblStyle w:val="14"/>
        <w:tblW w:w="9714" w:type="dxa"/>
        <w:jc w:val="center"/>
        <w:tblLayout w:type="fixed"/>
        <w:tblCellMar>
          <w:top w:w="0" w:type="dxa"/>
          <w:left w:w="0" w:type="dxa"/>
          <w:bottom w:w="0" w:type="dxa"/>
          <w:right w:w="0" w:type="dxa"/>
        </w:tblCellMar>
      </w:tblPr>
      <w:tblGrid>
        <w:gridCol w:w="5013"/>
        <w:gridCol w:w="4701"/>
      </w:tblGrid>
      <w:tr w14:paraId="0FBD89A1">
        <w:tblPrEx>
          <w:tblCellMar>
            <w:top w:w="0" w:type="dxa"/>
            <w:left w:w="0" w:type="dxa"/>
            <w:bottom w:w="0" w:type="dxa"/>
            <w:right w:w="0" w:type="dxa"/>
          </w:tblCellMar>
        </w:tblPrEx>
        <w:trPr>
          <w:trHeight w:val="1030" w:hRule="atLeast"/>
          <w:jc w:val="center"/>
        </w:trPr>
        <w:tc>
          <w:tcPr>
            <w:tcW w:w="5013" w:type="dxa"/>
            <w:vAlign w:val="center"/>
          </w:tcPr>
          <w:p w14:paraId="75FF4CB7">
            <w:pPr>
              <w:pStyle w:val="25"/>
              <w:keepNext w:val="0"/>
              <w:keepLines w:val="0"/>
              <w:pageBreakBefore w:val="0"/>
              <w:wordWrap w:val="0"/>
              <w:overflowPunct/>
              <w:topLinePunct w:val="0"/>
              <w:bidi w:val="0"/>
              <w:snapToGrid w:val="0"/>
              <w:spacing w:line="240" w:lineRule="auto"/>
              <w:jc w:val="distribute"/>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pPr>
            <w:r>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t xml:space="preserve"> 招  标  人（盖单位章）：</w:t>
            </w:r>
          </w:p>
        </w:tc>
        <w:tc>
          <w:tcPr>
            <w:tcW w:w="4701" w:type="dxa"/>
            <w:vAlign w:val="center"/>
          </w:tcPr>
          <w:p w14:paraId="542235EB">
            <w:pPr>
              <w:pStyle w:val="25"/>
              <w:keepNext w:val="0"/>
              <w:keepLines w:val="0"/>
              <w:pageBreakBefore w:val="0"/>
              <w:wordWrap w:val="0"/>
              <w:overflowPunct/>
              <w:topLinePunct w:val="0"/>
              <w:bidi w:val="0"/>
              <w:snapToGrid w:val="0"/>
              <w:spacing w:line="240" w:lineRule="auto"/>
              <w:rPr>
                <w:rStyle w:val="26"/>
                <w:rFonts w:hint="eastAsia" w:ascii="宋体" w:hAnsi="宋体" w:eastAsia="宋体" w:cs="宋体"/>
                <w:color w:val="000000" w:themeColor="text1"/>
                <w:spacing w:val="0"/>
                <w:kern w:val="0"/>
                <w:sz w:val="28"/>
                <w:szCs w:val="28"/>
                <w:highlight w:val="none"/>
                <w:lang w:eastAsia="zh-CN"/>
                <w14:textFill>
                  <w14:solidFill>
                    <w14:schemeClr w14:val="tx1"/>
                  </w14:solidFill>
                </w14:textFill>
              </w:rPr>
            </w:pPr>
            <w:r>
              <w:rPr>
                <w:rStyle w:val="26"/>
                <w:rFonts w:hint="eastAsia" w:hAnsi="宋体" w:cs="宋体"/>
                <w:color w:val="000000" w:themeColor="text1"/>
                <w:spacing w:val="0"/>
                <w:kern w:val="0"/>
                <w:sz w:val="28"/>
                <w:szCs w:val="28"/>
                <w:highlight w:val="none"/>
                <w:lang w:eastAsia="zh-CN"/>
                <w14:textFill>
                  <w14:solidFill>
                    <w14:schemeClr w14:val="tx1"/>
                  </w14:solidFill>
                </w14:textFill>
              </w:rPr>
              <w:t>新丰县回龙镇人民政府</w:t>
            </w:r>
          </w:p>
        </w:tc>
      </w:tr>
      <w:tr w14:paraId="0ED64425">
        <w:tblPrEx>
          <w:tblCellMar>
            <w:top w:w="0" w:type="dxa"/>
            <w:left w:w="0" w:type="dxa"/>
            <w:bottom w:w="0" w:type="dxa"/>
            <w:right w:w="0" w:type="dxa"/>
          </w:tblCellMar>
        </w:tblPrEx>
        <w:trPr>
          <w:trHeight w:val="844" w:hRule="atLeast"/>
          <w:jc w:val="center"/>
        </w:trPr>
        <w:tc>
          <w:tcPr>
            <w:tcW w:w="5013" w:type="dxa"/>
            <w:vAlign w:val="center"/>
          </w:tcPr>
          <w:p w14:paraId="32C2F3CA">
            <w:pPr>
              <w:pStyle w:val="25"/>
              <w:keepNext w:val="0"/>
              <w:keepLines w:val="0"/>
              <w:pageBreakBefore w:val="0"/>
              <w:wordWrap w:val="0"/>
              <w:overflowPunct/>
              <w:topLinePunct w:val="0"/>
              <w:bidi w:val="0"/>
              <w:snapToGrid w:val="0"/>
              <w:spacing w:line="240" w:lineRule="auto"/>
              <w:jc w:val="distribute"/>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pPr>
            <w:r>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t xml:space="preserve"> 招标人工作领导小组负责人（签字）：</w:t>
            </w:r>
          </w:p>
        </w:tc>
        <w:tc>
          <w:tcPr>
            <w:tcW w:w="4701" w:type="dxa"/>
            <w:vAlign w:val="center"/>
          </w:tcPr>
          <w:p w14:paraId="6DAD42AE">
            <w:pPr>
              <w:pStyle w:val="25"/>
              <w:keepNext w:val="0"/>
              <w:keepLines w:val="0"/>
              <w:pageBreakBefore w:val="0"/>
              <w:wordWrap w:val="0"/>
              <w:overflowPunct/>
              <w:topLinePunct w:val="0"/>
              <w:bidi w:val="0"/>
              <w:snapToGrid w:val="0"/>
              <w:spacing w:line="240" w:lineRule="auto"/>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pPr>
          </w:p>
        </w:tc>
      </w:tr>
      <w:tr w14:paraId="4098A439">
        <w:tblPrEx>
          <w:tblCellMar>
            <w:top w:w="0" w:type="dxa"/>
            <w:left w:w="0" w:type="dxa"/>
            <w:bottom w:w="0" w:type="dxa"/>
            <w:right w:w="0" w:type="dxa"/>
          </w:tblCellMar>
        </w:tblPrEx>
        <w:trPr>
          <w:trHeight w:val="840" w:hRule="atLeast"/>
          <w:jc w:val="center"/>
        </w:trPr>
        <w:tc>
          <w:tcPr>
            <w:tcW w:w="5013" w:type="dxa"/>
            <w:vAlign w:val="center"/>
          </w:tcPr>
          <w:p w14:paraId="15C4759D">
            <w:pPr>
              <w:pStyle w:val="25"/>
              <w:keepNext w:val="0"/>
              <w:keepLines w:val="0"/>
              <w:pageBreakBefore w:val="0"/>
              <w:wordWrap w:val="0"/>
              <w:overflowPunct/>
              <w:topLinePunct w:val="0"/>
              <w:bidi w:val="0"/>
              <w:snapToGrid w:val="0"/>
              <w:spacing w:line="240" w:lineRule="auto"/>
              <w:jc w:val="distribute"/>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pPr>
            <w:r>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t xml:space="preserve"> 招 标 代 理 机 构 （盖单位章）：</w:t>
            </w:r>
          </w:p>
        </w:tc>
        <w:tc>
          <w:tcPr>
            <w:tcW w:w="4701" w:type="dxa"/>
            <w:vAlign w:val="center"/>
          </w:tcPr>
          <w:p w14:paraId="25C2E748">
            <w:pPr>
              <w:pStyle w:val="25"/>
              <w:keepNext w:val="0"/>
              <w:keepLines w:val="0"/>
              <w:pageBreakBefore w:val="0"/>
              <w:wordWrap w:val="0"/>
              <w:overflowPunct/>
              <w:topLinePunct w:val="0"/>
              <w:bidi w:val="0"/>
              <w:snapToGrid w:val="0"/>
              <w:spacing w:line="240" w:lineRule="auto"/>
              <w:rPr>
                <w:rStyle w:val="26"/>
                <w:rFonts w:hint="eastAsia" w:ascii="宋体" w:hAnsi="宋体" w:eastAsia="宋体" w:cs="宋体"/>
                <w:color w:val="000000" w:themeColor="text1"/>
                <w:spacing w:val="0"/>
                <w:kern w:val="0"/>
                <w:sz w:val="28"/>
                <w:szCs w:val="28"/>
                <w:highlight w:val="none"/>
                <w:lang w:eastAsia="zh-CN"/>
                <w14:textFill>
                  <w14:solidFill>
                    <w14:schemeClr w14:val="tx1"/>
                  </w14:solidFill>
                </w14:textFill>
              </w:rPr>
            </w:pPr>
            <w:r>
              <w:rPr>
                <w:rStyle w:val="26"/>
                <w:rFonts w:hint="eastAsia" w:hAnsi="宋体" w:cs="宋体"/>
                <w:color w:val="000000" w:themeColor="text1"/>
                <w:spacing w:val="0"/>
                <w:kern w:val="0"/>
                <w:sz w:val="28"/>
                <w:szCs w:val="28"/>
                <w:highlight w:val="none"/>
                <w:lang w:eastAsia="zh-CN"/>
                <w14:textFill>
                  <w14:solidFill>
                    <w14:schemeClr w14:val="tx1"/>
                  </w14:solidFill>
                </w14:textFill>
              </w:rPr>
              <w:t>成致项目管理有限公司</w:t>
            </w:r>
          </w:p>
        </w:tc>
      </w:tr>
      <w:tr w14:paraId="46AA99F4">
        <w:tblPrEx>
          <w:tblCellMar>
            <w:top w:w="0" w:type="dxa"/>
            <w:left w:w="0" w:type="dxa"/>
            <w:bottom w:w="0" w:type="dxa"/>
            <w:right w:w="0" w:type="dxa"/>
          </w:tblCellMar>
        </w:tblPrEx>
        <w:trPr>
          <w:trHeight w:val="968" w:hRule="atLeast"/>
          <w:jc w:val="center"/>
        </w:trPr>
        <w:tc>
          <w:tcPr>
            <w:tcW w:w="5013" w:type="dxa"/>
            <w:vAlign w:val="center"/>
          </w:tcPr>
          <w:p w14:paraId="7D7498C5">
            <w:pPr>
              <w:pStyle w:val="25"/>
              <w:keepNext w:val="0"/>
              <w:keepLines w:val="0"/>
              <w:pageBreakBefore w:val="0"/>
              <w:wordWrap w:val="0"/>
              <w:overflowPunct/>
              <w:topLinePunct w:val="0"/>
              <w:bidi w:val="0"/>
              <w:snapToGrid w:val="0"/>
              <w:spacing w:line="240" w:lineRule="auto"/>
              <w:jc w:val="distribute"/>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pPr>
            <w:r>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t xml:space="preserve"> 招标文件编制人（签字）：</w:t>
            </w:r>
          </w:p>
        </w:tc>
        <w:tc>
          <w:tcPr>
            <w:tcW w:w="4701" w:type="dxa"/>
            <w:vAlign w:val="center"/>
          </w:tcPr>
          <w:p w14:paraId="6F37BCCD">
            <w:pPr>
              <w:pStyle w:val="25"/>
              <w:keepNext w:val="0"/>
              <w:keepLines w:val="0"/>
              <w:pageBreakBefore w:val="0"/>
              <w:wordWrap w:val="0"/>
              <w:overflowPunct/>
              <w:topLinePunct w:val="0"/>
              <w:bidi w:val="0"/>
              <w:snapToGrid w:val="0"/>
              <w:spacing w:line="240" w:lineRule="auto"/>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pPr>
            <w:r>
              <w:rPr>
                <w:rStyle w:val="26"/>
                <w:rFonts w:hint="eastAsia" w:ascii="宋体" w:hAnsi="宋体" w:eastAsia="宋体" w:cs="宋体"/>
                <w:color w:val="000000" w:themeColor="text1"/>
                <w:spacing w:val="0"/>
                <w:kern w:val="0"/>
                <w:sz w:val="28"/>
                <w:szCs w:val="28"/>
                <w:highlight w:val="none"/>
                <w:lang w:eastAsia="zh-CN"/>
                <w14:textFill>
                  <w14:solidFill>
                    <w14:schemeClr w14:val="tx1"/>
                  </w14:solidFill>
                </w14:textFill>
              </w:rPr>
              <w:drawing>
                <wp:inline distT="0" distB="0" distL="114300" distR="114300">
                  <wp:extent cx="1174750" cy="608330"/>
                  <wp:effectExtent l="0" t="0" r="6350" b="1270"/>
                  <wp:docPr id="10" name="图片 13" descr="梁景业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3" descr="梁景业签名"/>
                          <pic:cNvPicPr>
                            <a:picLocks noChangeAspect="1"/>
                          </pic:cNvPicPr>
                        </pic:nvPicPr>
                        <pic:blipFill>
                          <a:blip r:embed="rId28"/>
                          <a:stretch>
                            <a:fillRect/>
                          </a:stretch>
                        </pic:blipFill>
                        <pic:spPr>
                          <a:xfrm>
                            <a:off x="0" y="0"/>
                            <a:ext cx="1174750" cy="608330"/>
                          </a:xfrm>
                          <a:prstGeom prst="rect">
                            <a:avLst/>
                          </a:prstGeom>
                          <a:noFill/>
                          <a:ln>
                            <a:noFill/>
                          </a:ln>
                        </pic:spPr>
                      </pic:pic>
                    </a:graphicData>
                  </a:graphic>
                </wp:inline>
              </w:drawing>
            </w:r>
          </w:p>
        </w:tc>
      </w:tr>
      <w:tr w14:paraId="224F3282">
        <w:tblPrEx>
          <w:tblCellMar>
            <w:top w:w="0" w:type="dxa"/>
            <w:left w:w="0" w:type="dxa"/>
            <w:bottom w:w="0" w:type="dxa"/>
            <w:right w:w="0" w:type="dxa"/>
          </w:tblCellMar>
        </w:tblPrEx>
        <w:trPr>
          <w:trHeight w:val="937" w:hRule="atLeast"/>
          <w:jc w:val="center"/>
        </w:trPr>
        <w:tc>
          <w:tcPr>
            <w:tcW w:w="5013" w:type="dxa"/>
            <w:vAlign w:val="center"/>
          </w:tcPr>
          <w:p w14:paraId="457738D3">
            <w:pPr>
              <w:pStyle w:val="25"/>
              <w:keepNext w:val="0"/>
              <w:keepLines w:val="0"/>
              <w:pageBreakBefore w:val="0"/>
              <w:wordWrap w:val="0"/>
              <w:overflowPunct/>
              <w:topLinePunct w:val="0"/>
              <w:bidi w:val="0"/>
              <w:snapToGrid w:val="0"/>
              <w:spacing w:line="240" w:lineRule="auto"/>
              <w:jc w:val="distribute"/>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pPr>
            <w:r>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t xml:space="preserve"> 招标代理机构项目负责人（签字）：</w:t>
            </w:r>
          </w:p>
        </w:tc>
        <w:tc>
          <w:tcPr>
            <w:tcW w:w="4701" w:type="dxa"/>
            <w:vAlign w:val="center"/>
          </w:tcPr>
          <w:p w14:paraId="02AD201A">
            <w:pPr>
              <w:pStyle w:val="25"/>
              <w:keepNext w:val="0"/>
              <w:keepLines w:val="0"/>
              <w:pageBreakBefore w:val="0"/>
              <w:wordWrap w:val="0"/>
              <w:overflowPunct/>
              <w:topLinePunct w:val="0"/>
              <w:bidi w:val="0"/>
              <w:snapToGrid w:val="0"/>
              <w:spacing w:line="240" w:lineRule="auto"/>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pPr>
            <w:r>
              <w:rPr>
                <w:rStyle w:val="26"/>
                <w:rFonts w:hint="eastAsia" w:ascii="宋体" w:hAnsi="宋体" w:eastAsia="宋体" w:cs="宋体"/>
                <w:color w:val="000000" w:themeColor="text1"/>
                <w:spacing w:val="0"/>
                <w:kern w:val="0"/>
                <w:sz w:val="28"/>
                <w:szCs w:val="28"/>
                <w:highlight w:val="none"/>
                <w:lang w:eastAsia="zh-CN"/>
                <w14:textFill>
                  <w14:solidFill>
                    <w14:schemeClr w14:val="tx1"/>
                  </w14:solidFill>
                </w14:textFill>
              </w:rPr>
              <w:drawing>
                <wp:inline distT="0" distB="0" distL="114300" distR="114300">
                  <wp:extent cx="822960" cy="429895"/>
                  <wp:effectExtent l="0" t="0" r="15240" b="8255"/>
                  <wp:docPr id="23" name="图片 14" descr="钟梓铭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4" descr="钟梓铭签名"/>
                          <pic:cNvPicPr>
                            <a:picLocks noChangeAspect="1"/>
                          </pic:cNvPicPr>
                        </pic:nvPicPr>
                        <pic:blipFill>
                          <a:blip r:embed="rId29"/>
                          <a:stretch>
                            <a:fillRect/>
                          </a:stretch>
                        </pic:blipFill>
                        <pic:spPr>
                          <a:xfrm>
                            <a:off x="0" y="0"/>
                            <a:ext cx="822960" cy="429895"/>
                          </a:xfrm>
                          <a:prstGeom prst="rect">
                            <a:avLst/>
                          </a:prstGeom>
                          <a:noFill/>
                          <a:ln>
                            <a:noFill/>
                          </a:ln>
                        </pic:spPr>
                      </pic:pic>
                    </a:graphicData>
                  </a:graphic>
                </wp:inline>
              </w:drawing>
            </w:r>
          </w:p>
        </w:tc>
      </w:tr>
      <w:tr w14:paraId="77ED4758">
        <w:tblPrEx>
          <w:tblCellMar>
            <w:top w:w="0" w:type="dxa"/>
            <w:left w:w="0" w:type="dxa"/>
            <w:bottom w:w="0" w:type="dxa"/>
            <w:right w:w="0" w:type="dxa"/>
          </w:tblCellMar>
        </w:tblPrEx>
        <w:trPr>
          <w:trHeight w:val="832" w:hRule="atLeast"/>
          <w:jc w:val="center"/>
        </w:trPr>
        <w:tc>
          <w:tcPr>
            <w:tcW w:w="5013" w:type="dxa"/>
            <w:vAlign w:val="center"/>
          </w:tcPr>
          <w:p w14:paraId="11F645AA">
            <w:pPr>
              <w:pStyle w:val="25"/>
              <w:keepNext w:val="0"/>
              <w:keepLines w:val="0"/>
              <w:pageBreakBefore w:val="0"/>
              <w:wordWrap w:val="0"/>
              <w:overflowPunct/>
              <w:topLinePunct w:val="0"/>
              <w:bidi w:val="0"/>
              <w:snapToGrid w:val="0"/>
              <w:spacing w:line="240" w:lineRule="auto"/>
              <w:jc w:val="distribute"/>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pPr>
            <w:r>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t xml:space="preserve"> 招标文件编制日期：</w:t>
            </w:r>
          </w:p>
        </w:tc>
        <w:tc>
          <w:tcPr>
            <w:tcW w:w="4701" w:type="dxa"/>
            <w:vAlign w:val="center"/>
          </w:tcPr>
          <w:p w14:paraId="4CC93183">
            <w:pPr>
              <w:pStyle w:val="25"/>
              <w:keepNext w:val="0"/>
              <w:keepLines w:val="0"/>
              <w:pageBreakBefore w:val="0"/>
              <w:wordWrap w:val="0"/>
              <w:overflowPunct/>
              <w:topLinePunct w:val="0"/>
              <w:bidi w:val="0"/>
              <w:snapToGrid w:val="0"/>
              <w:spacing w:line="240" w:lineRule="auto"/>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pPr>
            <w:r>
              <w:rPr>
                <w:rStyle w:val="26"/>
                <w:rFonts w:hint="eastAsia" w:ascii="宋体" w:hAnsi="宋体" w:eastAsia="宋体" w:cs="宋体"/>
                <w:color w:val="000000" w:themeColor="text1"/>
                <w:spacing w:val="0"/>
                <w:kern w:val="0"/>
                <w:sz w:val="28"/>
                <w:szCs w:val="28"/>
                <w:highlight w:val="none"/>
                <w:lang w:val="en-US" w:eastAsia="zh-CN"/>
                <w14:textFill>
                  <w14:solidFill>
                    <w14:schemeClr w14:val="tx1"/>
                  </w14:solidFill>
                </w14:textFill>
              </w:rPr>
              <w:t>202</w:t>
            </w:r>
            <w:r>
              <w:rPr>
                <w:rStyle w:val="26"/>
                <w:rFonts w:hint="eastAsia" w:hAnsi="宋体" w:cs="宋体"/>
                <w:color w:val="000000" w:themeColor="text1"/>
                <w:spacing w:val="0"/>
                <w:kern w:val="0"/>
                <w:sz w:val="28"/>
                <w:szCs w:val="28"/>
                <w:highlight w:val="none"/>
                <w:lang w:val="en-US" w:eastAsia="zh-CN"/>
                <w14:textFill>
                  <w14:solidFill>
                    <w14:schemeClr w14:val="tx1"/>
                  </w14:solidFill>
                </w14:textFill>
              </w:rPr>
              <w:t>6</w:t>
            </w:r>
            <w:r>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t>年</w:t>
            </w:r>
            <w:r>
              <w:rPr>
                <w:rStyle w:val="26"/>
                <w:rFonts w:hint="eastAsia" w:hAnsi="宋体" w:cs="宋体"/>
                <w:color w:val="000000" w:themeColor="text1"/>
                <w:spacing w:val="0"/>
                <w:kern w:val="0"/>
                <w:sz w:val="28"/>
                <w:szCs w:val="28"/>
                <w:highlight w:val="none"/>
                <w:lang w:val="en-US" w:eastAsia="zh-CN"/>
                <w14:textFill>
                  <w14:solidFill>
                    <w14:schemeClr w14:val="tx1"/>
                  </w14:solidFill>
                </w14:textFill>
              </w:rPr>
              <w:t>10</w:t>
            </w:r>
            <w:r>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t>月</w:t>
            </w:r>
          </w:p>
        </w:tc>
      </w:tr>
    </w:tbl>
    <w:p w14:paraId="7B96492F">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sectPr>
          <w:headerReference r:id="rId3" w:type="default"/>
          <w:pgSz w:w="11906" w:h="16839"/>
          <w:pgMar w:top="1440" w:right="1080" w:bottom="1440" w:left="1080" w:header="1200" w:footer="0" w:gutter="0"/>
          <w:pgBorders>
            <w:top w:val="none" w:sz="0" w:space="0"/>
            <w:left w:val="none" w:sz="0" w:space="0"/>
            <w:bottom w:val="none" w:sz="0" w:space="0"/>
            <w:right w:val="none" w:sz="0" w:space="0"/>
          </w:pgBorders>
          <w:pgNumType w:start="1"/>
          <w:cols w:space="720" w:num="1"/>
        </w:sectPr>
      </w:pPr>
    </w:p>
    <w:p w14:paraId="306B3DC9">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0A6D314A">
      <w:pPr>
        <w:keepNext w:val="0"/>
        <w:keepLines w:val="0"/>
        <w:pageBreakBefore w:val="0"/>
        <w:wordWrap w:val="0"/>
        <w:overflowPunct/>
        <w:topLinePunct w:val="0"/>
        <w:bidi w:val="0"/>
        <w:jc w:val="center"/>
        <w:rPr>
          <w:rFonts w:hint="eastAsia" w:ascii="宋体" w:hAnsi="宋体" w:eastAsia="宋体" w:cs="宋体"/>
          <w:b/>
          <w:bCs/>
          <w:color w:val="000000" w:themeColor="text1"/>
          <w:spacing w:val="0"/>
          <w:sz w:val="28"/>
          <w:szCs w:val="28"/>
          <w:highlight w:val="none"/>
          <w14:textFill>
            <w14:solidFill>
              <w14:schemeClr w14:val="tx1"/>
            </w14:solidFill>
          </w14:textFill>
        </w:rPr>
        <w:sectPr>
          <w:headerReference r:id="rId4" w:type="default"/>
          <w:footerReference r:id="rId5" w:type="default"/>
          <w:pgSz w:w="11906" w:h="16839"/>
          <w:pgMar w:top="1440" w:right="1080" w:bottom="1440" w:left="1080" w:header="1200" w:footer="0" w:gutter="0"/>
          <w:pgBorders>
            <w:top w:val="none" w:sz="0" w:space="0"/>
            <w:left w:val="none" w:sz="0" w:space="0"/>
            <w:bottom w:val="none" w:sz="0" w:space="0"/>
            <w:right w:val="none" w:sz="0" w:space="0"/>
          </w:pgBorders>
          <w:pgNumType w:start="1"/>
          <w:cols w:space="720" w:num="1"/>
        </w:sectPr>
      </w:pPr>
    </w:p>
    <w:p w14:paraId="088BE4E2">
      <w:pPr>
        <w:keepNext w:val="0"/>
        <w:keepLines w:val="0"/>
        <w:pageBreakBefore w:val="0"/>
        <w:wordWrap w:val="0"/>
        <w:overflowPunct/>
        <w:topLinePunct w:val="0"/>
        <w:bidi w:val="0"/>
        <w:jc w:val="center"/>
        <w:rPr>
          <w:rFonts w:hint="eastAsia" w:ascii="宋体" w:hAnsi="宋体" w:eastAsia="宋体" w:cs="宋体"/>
          <w:b/>
          <w:bCs/>
          <w:color w:val="000000" w:themeColor="text1"/>
          <w:spacing w:val="0"/>
          <w:sz w:val="28"/>
          <w:szCs w:val="28"/>
          <w:highlight w:val="none"/>
          <w14:textFill>
            <w14:solidFill>
              <w14:schemeClr w14:val="tx1"/>
            </w14:solidFill>
          </w14:textFill>
        </w:rPr>
      </w:pPr>
      <w:r>
        <w:rPr>
          <w:rFonts w:hint="eastAsia" w:ascii="宋体" w:hAnsi="宋体" w:eastAsia="宋体" w:cs="宋体"/>
          <w:b/>
          <w:bCs/>
          <w:color w:val="000000" w:themeColor="text1"/>
          <w:spacing w:val="0"/>
          <w:sz w:val="28"/>
          <w:szCs w:val="28"/>
          <w:highlight w:val="none"/>
          <w14:textFill>
            <w14:solidFill>
              <w14:schemeClr w14:val="tx1"/>
            </w14:solidFill>
          </w14:textFill>
        </w:rPr>
        <w:t>目录</w:t>
      </w:r>
    </w:p>
    <w:p w14:paraId="776EE4A1">
      <w:pPr>
        <w:pStyle w:val="9"/>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fldChar w:fldCharType="begin"/>
      </w:r>
      <w:r>
        <w:rPr>
          <w:rFonts w:hint="eastAsia" w:ascii="宋体" w:hAnsi="宋体" w:eastAsia="宋体" w:cs="宋体"/>
          <w:color w:val="000000" w:themeColor="text1"/>
          <w:spacing w:val="0"/>
          <w:sz w:val="24"/>
          <w:szCs w:val="24"/>
          <w:highlight w:val="none"/>
          <w14:textFill>
            <w14:solidFill>
              <w14:schemeClr w14:val="tx1"/>
            </w14:solidFill>
          </w14:textFill>
        </w:rPr>
        <w:instrText xml:space="preserve">TOC \o "1-3" \h \u </w:instrText>
      </w:r>
      <w:r>
        <w:rPr>
          <w:rFonts w:hint="eastAsia" w:ascii="宋体" w:hAnsi="宋体" w:eastAsia="宋体" w:cs="宋体"/>
          <w:color w:val="000000" w:themeColor="text1"/>
          <w:spacing w:val="0"/>
          <w:sz w:val="24"/>
          <w:szCs w:val="24"/>
          <w:highlight w:val="none"/>
          <w14:textFill>
            <w14:solidFill>
              <w14:schemeClr w14:val="tx1"/>
            </w14:solidFill>
          </w14:textFill>
        </w:rPr>
        <w:fldChar w:fldCharType="separate"/>
      </w: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_Toc19525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第一章</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投标人须知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_Toc19525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18E5B79">
      <w:pPr>
        <w:pStyle w:val="10"/>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_Toc13643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第一节</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投标人须知前附表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_Toc13643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54E94876">
      <w:pPr>
        <w:pStyle w:val="10"/>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_Toc24326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第二节 重要事项时间地点一览表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_Toc24326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10</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572BBEB9">
      <w:pPr>
        <w:pStyle w:val="10"/>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_Toc9437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第三节</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投标人须知正文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_Toc9437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11</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DEE9F96">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_Toc30196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1 ．项目概况、招标范围和标段划分、投标费用等</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_Toc30196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11</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35E888EC">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_Toc6096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2．</w:t>
      </w:r>
      <w:r>
        <w:rPr>
          <w:rFonts w:hint="eastAsia" w:ascii="宋体" w:hAnsi="宋体" w:eastAsia="宋体" w:cs="宋体"/>
          <w:bCs w:val="0"/>
          <w:color w:val="000000" w:themeColor="text1"/>
          <w:spacing w:val="0"/>
          <w:szCs w:val="24"/>
          <w:highlight w:val="none"/>
          <w:lang w:eastAsia="zh-CN"/>
          <w14:textFill>
            <w14:solidFill>
              <w14:schemeClr w14:val="tx1"/>
            </w14:solidFill>
          </w14:textFill>
        </w:rPr>
        <w:t>投标人</w:t>
      </w:r>
      <w:r>
        <w:rPr>
          <w:rFonts w:hint="eastAsia" w:ascii="宋体" w:hAnsi="宋体" w:eastAsia="宋体" w:cs="宋体"/>
          <w:bCs w:val="0"/>
          <w:color w:val="000000" w:themeColor="text1"/>
          <w:spacing w:val="0"/>
          <w:szCs w:val="24"/>
          <w:highlight w:val="none"/>
          <w14:textFill>
            <w14:solidFill>
              <w14:schemeClr w14:val="tx1"/>
            </w14:solidFill>
          </w14:textFill>
        </w:rPr>
        <w:t>资质要求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_Toc6096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12</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7D7D49D">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_Toc15370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3．招标文件的获取</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_Toc15370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14</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F6A6AAA">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_Toc5728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4</w:t>
      </w:r>
      <w:r>
        <w:rPr>
          <w:rFonts w:hint="eastAsia" w:ascii="宋体" w:hAnsi="宋体" w:eastAsia="宋体" w:cs="宋体"/>
          <w:bCs/>
          <w:color w:val="000000" w:themeColor="text1"/>
          <w:spacing w:val="0"/>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．工期要求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_Toc5728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75F1BCE">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_Toc17663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5</w:t>
      </w:r>
      <w:r>
        <w:rPr>
          <w:rFonts w:hint="eastAsia" w:ascii="宋体" w:hAnsi="宋体" w:eastAsia="宋体" w:cs="宋体"/>
          <w:bCs/>
          <w:color w:val="000000" w:themeColor="text1"/>
          <w:spacing w:val="0"/>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．质量标准和材料、机械要求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_Toc17663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7782651">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_Toc2095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6 ．施工条件及现场踏勘</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_Toc2095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96B2E17">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_Toc31147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7 ．招标文件的提问和答疑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_Toc31147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7579D12">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_Toc15237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8 ．</w:t>
      </w:r>
      <w:r>
        <w:rPr>
          <w:rFonts w:hint="eastAsia" w:ascii="宋体" w:hAnsi="宋体" w:eastAsia="宋体" w:cs="宋体"/>
          <w:bCs/>
          <w:color w:val="000000" w:themeColor="text1"/>
          <w:spacing w:val="0"/>
          <w:szCs w:val="24"/>
          <w:highlight w:val="none"/>
          <w:lang w:val="en-US" w:eastAsia="zh-CN"/>
          <w14:textFill>
            <w14:solidFill>
              <w14:schemeClr w14:val="tx1"/>
            </w14:solidFill>
          </w14:textFill>
        </w:rPr>
        <w:t>最高投标限价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_Toc15237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925F4C5">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_Toc7353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9 ．投标报价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_Toc7353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A08356C">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_Toc1984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10 ．投标文件的编制要求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60E6DB43">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_Toc20976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 xml:space="preserve">11. </w:t>
      </w:r>
      <w:r>
        <w:rPr>
          <w:rFonts w:hint="eastAsia" w:ascii="宋体" w:hAnsi="宋体" w:eastAsia="宋体" w:cs="宋体"/>
          <w:color w:val="000000" w:themeColor="text1"/>
          <w:spacing w:val="0"/>
          <w:szCs w:val="24"/>
          <w:highlight w:val="none"/>
          <w14:textFill>
            <w14:solidFill>
              <w14:schemeClr w14:val="tx1"/>
            </w14:solidFill>
          </w14:textFill>
        </w:rPr>
        <w:t>电子投标：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_Toc20976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5AEDB2B">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_Toc27655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lang w:val="en-US" w:eastAsia="zh-CN"/>
          <w14:textFill>
            <w14:solidFill>
              <w14:schemeClr w14:val="tx1"/>
            </w14:solidFill>
          </w14:textFill>
        </w:rPr>
        <w:t>12.</w:t>
      </w:r>
      <w:r>
        <w:rPr>
          <w:rFonts w:hint="eastAsia" w:ascii="宋体" w:hAnsi="宋体" w:eastAsia="宋体" w:cs="宋体"/>
          <w:bCs/>
          <w:color w:val="000000" w:themeColor="text1"/>
          <w:spacing w:val="0"/>
          <w:w w:val="101"/>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电子投标及投标解密失败及突发情况的补救方案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_Toc27655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06876D5">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_Toc9348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13 ．投标文件的提交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_Toc9348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62C5D1F8">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_Toc21683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14 ．开标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_Toc21683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58AC7486">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_Toc11616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15 ．评标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_Toc11616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0FB8EA4">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_Toc17694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zCs w:val="24"/>
          <w:highlight w:val="none"/>
          <w:lang w:eastAsia="zh-CN"/>
          <w14:textFill>
            <w14:solidFill>
              <w14:schemeClr w14:val="tx1"/>
            </w14:solidFill>
          </w14:textFill>
        </w:rPr>
        <w:t>16 ．评标结果公示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_Toc17694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292A2322">
      <w:pPr>
        <w:pStyle w:val="10"/>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_Toc16450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第四节</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否决投标条件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_Toc16450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899DC30">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_Toc20652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1 ．资格评审环节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_Toc20652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57FA5B2D">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_Toc32536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2 ．形式评审环节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_Toc32536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40</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1C4BE59">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_Toc25928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3 ．响应性评审环节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_Toc25928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40</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46C00A9">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_Toc27917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4 ．其他</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_Toc27917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2456CF0C">
      <w:pPr>
        <w:pStyle w:val="10"/>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_Toc15025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snapToGrid/>
          <w:color w:val="000000" w:themeColor="text1"/>
          <w:kern w:val="2"/>
          <w:szCs w:val="24"/>
          <w:highlight w:val="none"/>
          <w:lang w:eastAsia="zh-CN"/>
          <w14:textFill>
            <w14:solidFill>
              <w14:schemeClr w14:val="tx1"/>
            </w14:solidFill>
          </w14:textFill>
        </w:rPr>
        <w:t>第五节 定标规定及细则（本项目采用票决数量法定标）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_Toc15025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42</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FCC621A">
      <w:pPr>
        <w:pStyle w:val="10"/>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_Toc10012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snapToGrid/>
          <w:color w:val="000000" w:themeColor="text1"/>
          <w:kern w:val="2"/>
          <w:szCs w:val="24"/>
          <w:highlight w:val="none"/>
          <w:lang w:eastAsia="zh-CN"/>
          <w14:textFill>
            <w14:solidFill>
              <w14:schemeClr w14:val="tx1"/>
            </w14:solidFill>
          </w14:textFill>
        </w:rPr>
        <w:t>第六节 中标确认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_Toc10012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44</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AEDF65C">
      <w:pPr>
        <w:pStyle w:val="9"/>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_Toc5449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第二章</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中标人须知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_Toc5449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47</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90DA214">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_Toc22056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1 ．中标通知书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_Toc22056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47</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504E7B5">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_Toc16454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2 ．中标结果公示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_Toc16454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47</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E9D3332">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_Toc20203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3 ．履约保证</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_Toc20203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47</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651C321F">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_Toc624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4 ．合同订立</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_Toc624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47</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3D96C374">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_Toc13877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5 ．放弃中标的处理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_Toc13877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49</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2A475046">
      <w:pPr>
        <w:pStyle w:val="9"/>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_Toc10710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第三章</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拟签订合同的主要条款</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_Toc10710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50</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5D8A36EE">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_Toc29782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1 ．工程承包方式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_Toc29782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50</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2ABA4682">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_Toc28189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2 ．工程结算原则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_Toc28189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50</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6A3A8F1">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_Toc22696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3. 工程付款办法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_Toc22696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2514FB59">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_Toc9813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4 ．其他专用合同条款</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_Toc9813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57</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3FAA59B7">
      <w:pPr>
        <w:pStyle w:val="9"/>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_Toc30336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第四章</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技术要求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_Toc30336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65</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F7A1B43">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_Toc20347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1 ．房屋建筑工程建设项目</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_Toc20347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65</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22DD7D00">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_Toc31268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2 ．市政基础设施工程建设项目</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_Toc31268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65</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4AA8B9B">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_Toc14731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3 ．备查要求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_Toc14731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40058F1">
      <w:pPr>
        <w:pStyle w:val="9"/>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_Toc23715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第五章</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图纸和招标工程量清单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_Toc23715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67</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1E0AF09">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_Toc12580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1 ．图纸</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_Toc12580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67</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8D9E8C3">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_Toc5429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2 ．招标工程量清单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_Toc5429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67</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673A5F66">
      <w:pPr>
        <w:pStyle w:val="9"/>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_Toc13179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第六章</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投标文件格式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_Toc13179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68</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B69BF57">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_Toc27563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格式一</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封面</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_Toc27563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68</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675DBD4B">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_Toc29380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格式二 投标函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_Toc29380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69</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22034438">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_Toc21615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格式三 各项承诺一览表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_Toc21615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70</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36947871">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_Toc30907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格式四 授权委托书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_Toc30907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72</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9E9FF91">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_Toc25947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格式五 法定代表人身份证明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_Toc25947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73</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8E1B1CA">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_Toc12961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格式六 联合体协议书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_Toc12961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74</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27FA891">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_Toc29268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格式七 投标人基本情况表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_Toc29268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75</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6522368">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_Toc23002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格式八 项目经理简历表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_Toc23002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77</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6FC65E2C">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_Toc6105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格式九 项目经理任职声明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_Toc6105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78</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3493BBB9">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_Toc1750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格式十 项目技术负责人简历表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_Toc1750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79</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F505E1C">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_Toc27361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格式十一 项目管理机构组成表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_Toc27361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80</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24503F78">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_Toc26605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格式十二 建造师查询页（有效期+建造师签字）</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_Toc26605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81</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F704B84">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_Toc181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格式十三</w:t>
      </w:r>
      <w:r>
        <w:rPr>
          <w:rFonts w:hint="eastAsia" w:ascii="宋体" w:hAnsi="宋体" w:eastAsia="宋体" w:cs="宋体"/>
          <w:bCs/>
          <w:color w:val="000000" w:themeColor="text1"/>
          <w:spacing w:val="0"/>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pacing w:val="0"/>
          <w:szCs w:val="22"/>
          <w:highlight w:val="none"/>
          <w14:textFill>
            <w14:solidFill>
              <w14:schemeClr w14:val="tx1"/>
            </w14:solidFill>
          </w14:textFill>
        </w:rPr>
        <w:t>危险性较大的分部分项工程清单及超过一定规模的危险性较大的分部分项工程清单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83</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5EA4994D">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_Toc9289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格式十四</w:t>
      </w:r>
      <w:r>
        <w:rPr>
          <w:rFonts w:hint="eastAsia" w:ascii="宋体" w:hAnsi="宋体" w:eastAsia="宋体" w:cs="宋体"/>
          <w:bCs/>
          <w:color w:val="000000" w:themeColor="text1"/>
          <w:spacing w:val="0"/>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pacing w:val="0"/>
          <w:position w:val="3"/>
          <w:szCs w:val="21"/>
          <w:highlight w:val="none"/>
          <w14:textFill>
            <w14:solidFill>
              <w14:schemeClr w14:val="tx1"/>
            </w14:solidFill>
          </w14:textFill>
        </w:rPr>
        <w:t>投标保证金信用承诺函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_Toc9289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88</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C0122E0">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_Toc22197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格式十</w:t>
      </w:r>
      <w:r>
        <w:rPr>
          <w:rFonts w:hint="eastAsia" w:ascii="宋体" w:hAnsi="宋体" w:eastAsia="宋体" w:cs="宋体"/>
          <w:bCs/>
          <w:color w:val="000000" w:themeColor="text1"/>
          <w:spacing w:val="0"/>
          <w:szCs w:val="24"/>
          <w:highlight w:val="none"/>
          <w:lang w:eastAsia="zh-CN"/>
          <w14:textFill>
            <w14:solidFill>
              <w14:schemeClr w14:val="tx1"/>
            </w14:solidFill>
          </w14:textFill>
        </w:rPr>
        <w:t>五</w:t>
      </w:r>
      <w:r>
        <w:rPr>
          <w:rFonts w:hint="eastAsia" w:ascii="宋体" w:hAnsi="宋体" w:eastAsia="宋体" w:cs="宋体"/>
          <w:bCs/>
          <w:color w:val="000000" w:themeColor="text1"/>
          <w:spacing w:val="0"/>
          <w:szCs w:val="24"/>
          <w:highlight w:val="none"/>
          <w14:textFill>
            <w14:solidFill>
              <w14:schemeClr w14:val="tx1"/>
            </w14:solidFill>
          </w14:textFill>
        </w:rPr>
        <w:t xml:space="preserve">  原件一览表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_Toc22197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89</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6A03ABA">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_Toc29477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Times New Roman" w:hAnsi="宋体" w:eastAsia="Arial" w:cs="Arial"/>
          <w:bCs/>
          <w:snapToGrid w:val="0"/>
          <w:color w:val="000000" w:themeColor="text1"/>
          <w:kern w:val="2"/>
          <w:szCs w:val="21"/>
          <w:highlight w:val="none"/>
          <w:lang w:eastAsia="en-US"/>
          <w14:textFill>
            <w14:solidFill>
              <w14:schemeClr w14:val="tx1"/>
            </w14:solidFill>
          </w14:textFill>
        </w:rPr>
        <w:t>格式十六 定标因素评审资料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_Toc29477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90</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6CE082EC">
      <w:pPr>
        <w:pStyle w:val="10"/>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_Toc8487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第七章</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建设工程施工合同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_Toc8487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91</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CE8F2FC">
      <w:pPr>
        <w:keepNext w:val="0"/>
        <w:keepLines w:val="0"/>
        <w:pageBreakBefore w:val="0"/>
        <w:wordWrap w:val="0"/>
        <w:overflowPunct/>
        <w:topLinePunct w:val="0"/>
        <w:bidi w:val="0"/>
        <w:spacing w:line="220" w:lineRule="auto"/>
        <w:jc w:val="center"/>
        <w:rPr>
          <w:rFonts w:hint="eastAsia" w:ascii="宋体" w:hAnsi="宋体" w:eastAsia="宋体" w:cs="宋体"/>
          <w:color w:val="000000" w:themeColor="text1"/>
          <w:spacing w:val="0"/>
          <w:sz w:val="24"/>
          <w:szCs w:val="24"/>
          <w:highlight w:val="none"/>
          <w14:textFill>
            <w14:solidFill>
              <w14:schemeClr w14:val="tx1"/>
            </w14:solidFill>
          </w14:textFill>
        </w:rPr>
        <w:sectPr>
          <w:footerReference r:id="rId6" w:type="default"/>
          <w:pgSz w:w="11906" w:h="16839"/>
          <w:pgMar w:top="1440" w:right="1080" w:bottom="1440" w:left="1080" w:header="1200" w:footer="1134" w:gutter="0"/>
          <w:pgBorders>
            <w:top w:val="none" w:sz="0" w:space="0"/>
            <w:left w:val="none" w:sz="0" w:space="0"/>
            <w:bottom w:val="none" w:sz="0" w:space="0"/>
            <w:right w:val="none" w:sz="0" w:space="0"/>
          </w:pgBorders>
          <w:pgNumType w:fmt="decimal" w:start="1"/>
          <w:cols w:space="720" w:num="1"/>
        </w:sectPr>
      </w:pP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3063668">
      <w:pPr>
        <w:pStyle w:val="5"/>
        <w:keepNext w:val="0"/>
        <w:keepLines w:val="0"/>
        <w:pageBreakBefore w:val="0"/>
        <w:wordWrap w:val="0"/>
        <w:overflowPunct/>
        <w:topLinePunct w:val="0"/>
        <w:bidi w:val="0"/>
        <w:spacing w:line="272" w:lineRule="auto"/>
        <w:rPr>
          <w:rFonts w:hint="eastAsia" w:ascii="宋体" w:hAnsi="宋体" w:eastAsia="宋体" w:cs="宋体"/>
          <w:color w:val="000000" w:themeColor="text1"/>
          <w:spacing w:val="0"/>
          <w:highlight w:val="none"/>
          <w14:textFill>
            <w14:solidFill>
              <w14:schemeClr w14:val="tx1"/>
            </w14:solidFill>
          </w14:textFill>
        </w:rPr>
      </w:pPr>
    </w:p>
    <w:p w14:paraId="49639CDB">
      <w:pPr>
        <w:keepNext w:val="0"/>
        <w:keepLines w:val="0"/>
        <w:pageBreakBefore w:val="0"/>
        <w:wordWrap w:val="0"/>
        <w:overflowPunct/>
        <w:topLinePunct w:val="0"/>
        <w:bidi w:val="0"/>
        <w:spacing w:before="78" w:line="219" w:lineRule="auto"/>
        <w:ind w:left="3416"/>
        <w:outlineLvl w:val="0"/>
        <w:rPr>
          <w:rFonts w:hint="eastAsia" w:ascii="宋体" w:hAnsi="宋体" w:eastAsia="宋体" w:cs="宋体"/>
          <w:color w:val="000000" w:themeColor="text1"/>
          <w:spacing w:val="0"/>
          <w:sz w:val="24"/>
          <w:szCs w:val="24"/>
          <w:highlight w:val="none"/>
          <w14:textFill>
            <w14:solidFill>
              <w14:schemeClr w14:val="tx1"/>
            </w14:solidFill>
          </w14:textFill>
        </w:rPr>
      </w:pPr>
      <w:bookmarkStart w:id="4" w:name="bookmark1"/>
      <w:bookmarkEnd w:id="4"/>
      <w:bookmarkStart w:id="5" w:name="_Toc19525"/>
      <w:r>
        <w:rPr>
          <w:rFonts w:hint="eastAsia" w:ascii="宋体" w:hAnsi="宋体" w:eastAsia="宋体" w:cs="宋体"/>
          <w:b/>
          <w:bCs/>
          <w:color w:val="000000" w:themeColor="text1"/>
          <w:spacing w:val="0"/>
          <w:sz w:val="24"/>
          <w:szCs w:val="24"/>
          <w:highlight w:val="none"/>
          <w14:textFill>
            <w14:solidFill>
              <w14:schemeClr w14:val="tx1"/>
            </w14:solidFill>
          </w14:textFill>
        </w:rPr>
        <w:t>第一章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投标人须知</w:t>
      </w:r>
      <w:bookmarkEnd w:id="5"/>
    </w:p>
    <w:p w14:paraId="0C219C57">
      <w:pPr>
        <w:keepNext w:val="0"/>
        <w:keepLines w:val="0"/>
        <w:pageBreakBefore w:val="0"/>
        <w:wordWrap w:val="0"/>
        <w:overflowPunct/>
        <w:topLinePunct w:val="0"/>
        <w:bidi w:val="0"/>
        <w:spacing w:before="156" w:line="219" w:lineRule="auto"/>
        <w:ind w:left="17"/>
        <w:outlineLvl w:val="1"/>
        <w:rPr>
          <w:rFonts w:hint="eastAsia" w:ascii="宋体" w:hAnsi="宋体" w:eastAsia="宋体" w:cs="宋体"/>
          <w:color w:val="000000" w:themeColor="text1"/>
          <w:spacing w:val="0"/>
          <w:sz w:val="24"/>
          <w:szCs w:val="24"/>
          <w:highlight w:val="none"/>
          <w14:textFill>
            <w14:solidFill>
              <w14:schemeClr w14:val="tx1"/>
            </w14:solidFill>
          </w14:textFill>
        </w:rPr>
      </w:pPr>
      <w:bookmarkStart w:id="6" w:name="bookmark3"/>
      <w:bookmarkEnd w:id="6"/>
      <w:bookmarkStart w:id="7" w:name="_Toc13643"/>
      <w:r>
        <w:rPr>
          <w:rFonts w:hint="eastAsia" w:ascii="宋体" w:hAnsi="宋体" w:eastAsia="宋体" w:cs="宋体"/>
          <w:b/>
          <w:bCs/>
          <w:color w:val="000000" w:themeColor="text1"/>
          <w:spacing w:val="0"/>
          <w:sz w:val="24"/>
          <w:szCs w:val="24"/>
          <w:highlight w:val="none"/>
          <w14:textFill>
            <w14:solidFill>
              <w14:schemeClr w14:val="tx1"/>
            </w14:solidFill>
          </w14:textFill>
        </w:rPr>
        <w:t>第一节</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投标人须知前附表</w:t>
      </w:r>
      <w:bookmarkEnd w:id="7"/>
    </w:p>
    <w:p w14:paraId="451443B4">
      <w:pPr>
        <w:keepNext w:val="0"/>
        <w:keepLines w:val="0"/>
        <w:pageBreakBefore w:val="0"/>
        <w:wordWrap w:val="0"/>
        <w:overflowPunct/>
        <w:topLinePunct w:val="0"/>
        <w:bidi w:val="0"/>
        <w:spacing w:before="25"/>
        <w:rPr>
          <w:rFonts w:hint="eastAsia" w:ascii="宋体" w:hAnsi="宋体" w:eastAsia="宋体" w:cs="宋体"/>
          <w:color w:val="000000" w:themeColor="text1"/>
          <w:spacing w:val="0"/>
          <w:highlight w:val="none"/>
          <w14:textFill>
            <w14:solidFill>
              <w14:schemeClr w14:val="tx1"/>
            </w14:solidFill>
          </w14:textFill>
        </w:rPr>
      </w:pPr>
    </w:p>
    <w:tbl>
      <w:tblPr>
        <w:tblStyle w:val="14"/>
        <w:tblW w:w="1009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2"/>
        <w:gridCol w:w="1860"/>
        <w:gridCol w:w="7656"/>
      </w:tblGrid>
      <w:tr w14:paraId="7ACC6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8" w:hRule="atLeast"/>
        </w:trPr>
        <w:tc>
          <w:tcPr>
            <w:tcW w:w="582" w:type="dxa"/>
            <w:vAlign w:val="center"/>
          </w:tcPr>
          <w:p w14:paraId="4758577E">
            <w:pPr>
              <w:keepNext w:val="0"/>
              <w:keepLines w:val="0"/>
              <w:pageBreakBefore w:val="0"/>
              <w:wordWrap w:val="0"/>
              <w:overflowPunct/>
              <w:topLinePunct w:val="0"/>
              <w:bidi w:val="0"/>
              <w:spacing w:before="203" w:line="209" w:lineRule="auto"/>
              <w:ind w:left="0" w:leftChars="0" w:firstLine="0" w:firstLineChars="0"/>
              <w:jc w:val="center"/>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t>序号</w:t>
            </w:r>
          </w:p>
        </w:tc>
        <w:tc>
          <w:tcPr>
            <w:tcW w:w="1860" w:type="dxa"/>
            <w:vAlign w:val="center"/>
          </w:tcPr>
          <w:p w14:paraId="7B8ED52C">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内容</w:t>
            </w:r>
          </w:p>
        </w:tc>
        <w:tc>
          <w:tcPr>
            <w:tcW w:w="7656" w:type="dxa"/>
            <w:vAlign w:val="center"/>
          </w:tcPr>
          <w:p w14:paraId="0575BAF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说明与要求</w:t>
            </w:r>
          </w:p>
        </w:tc>
      </w:tr>
      <w:tr w14:paraId="53CA5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4" w:hRule="atLeast"/>
        </w:trPr>
        <w:tc>
          <w:tcPr>
            <w:tcW w:w="582" w:type="dxa"/>
            <w:vAlign w:val="center"/>
          </w:tcPr>
          <w:p w14:paraId="34D199C6">
            <w:pPr>
              <w:keepNext w:val="0"/>
              <w:keepLines w:val="0"/>
              <w:pageBreakBefore w:val="0"/>
              <w:wordWrap w:val="0"/>
              <w:overflowPunct/>
              <w:topLinePunct w:val="0"/>
              <w:bidi w:val="0"/>
              <w:spacing w:before="223"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bookmarkStart w:id="8" w:name="OLE_LINK2" w:colFirst="2" w:colLast="2"/>
            <w:r>
              <w:rPr>
                <w:rFonts w:hint="eastAsia" w:ascii="宋体" w:hAnsi="宋体" w:eastAsia="宋体" w:cs="宋体"/>
                <w:color w:val="000000" w:themeColor="text1"/>
                <w:spacing w:val="0"/>
                <w:sz w:val="21"/>
                <w:szCs w:val="21"/>
                <w:highlight w:val="none"/>
                <w14:textFill>
                  <w14:solidFill>
                    <w14:schemeClr w14:val="tx1"/>
                  </w14:solidFill>
                </w14:textFill>
              </w:rPr>
              <w:t>1</w:t>
            </w:r>
          </w:p>
        </w:tc>
        <w:tc>
          <w:tcPr>
            <w:tcW w:w="1860" w:type="dxa"/>
            <w:vAlign w:val="center"/>
          </w:tcPr>
          <w:p w14:paraId="6E81DB5F">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项目名称</w:t>
            </w:r>
          </w:p>
        </w:tc>
        <w:tc>
          <w:tcPr>
            <w:tcW w:w="7656" w:type="dxa"/>
            <w:vAlign w:val="center"/>
          </w:tcPr>
          <w:p w14:paraId="62C2E40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广东省韶关市新丰县现代物流园及配套设施建设项目——新丰县回龙镇古井正道路沿线路域环境提升项目</w:t>
            </w:r>
          </w:p>
        </w:tc>
      </w:tr>
      <w:tr w14:paraId="1C49A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trPr>
        <w:tc>
          <w:tcPr>
            <w:tcW w:w="582" w:type="dxa"/>
            <w:vAlign w:val="center"/>
          </w:tcPr>
          <w:p w14:paraId="5546609D">
            <w:pPr>
              <w:keepNext w:val="0"/>
              <w:keepLines w:val="0"/>
              <w:pageBreakBefore w:val="0"/>
              <w:wordWrap w:val="0"/>
              <w:overflowPunct/>
              <w:topLinePunct w:val="0"/>
              <w:bidi w:val="0"/>
              <w:spacing w:before="222"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w:t>
            </w:r>
          </w:p>
        </w:tc>
        <w:tc>
          <w:tcPr>
            <w:tcW w:w="1860" w:type="dxa"/>
            <w:vAlign w:val="center"/>
          </w:tcPr>
          <w:p w14:paraId="28FBECFC">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项目业主</w:t>
            </w:r>
          </w:p>
        </w:tc>
        <w:tc>
          <w:tcPr>
            <w:tcW w:w="7656" w:type="dxa"/>
            <w:vAlign w:val="center"/>
          </w:tcPr>
          <w:p w14:paraId="6B4C0B9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新丰县回龙镇人民政府</w:t>
            </w:r>
          </w:p>
        </w:tc>
      </w:tr>
      <w:tr w14:paraId="42F26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9" w:hRule="atLeast"/>
        </w:trPr>
        <w:tc>
          <w:tcPr>
            <w:tcW w:w="582" w:type="dxa"/>
            <w:vAlign w:val="center"/>
          </w:tcPr>
          <w:p w14:paraId="2FE483DA">
            <w:pPr>
              <w:keepNext w:val="0"/>
              <w:keepLines w:val="0"/>
              <w:pageBreakBefore w:val="0"/>
              <w:wordWrap w:val="0"/>
              <w:overflowPunct/>
              <w:topLinePunct w:val="0"/>
              <w:bidi w:val="0"/>
              <w:spacing w:before="58"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3</w:t>
            </w:r>
          </w:p>
        </w:tc>
        <w:tc>
          <w:tcPr>
            <w:tcW w:w="1860" w:type="dxa"/>
            <w:vAlign w:val="center"/>
          </w:tcPr>
          <w:p w14:paraId="31041B20">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项目批准部门及项目批准文号</w:t>
            </w:r>
          </w:p>
        </w:tc>
        <w:tc>
          <w:tcPr>
            <w:tcW w:w="7656" w:type="dxa"/>
            <w:vAlign w:val="center"/>
          </w:tcPr>
          <w:p w14:paraId="53C9404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新丰县发展和改革局</w:t>
            </w:r>
          </w:p>
          <w:p w14:paraId="141A5A4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新丰发改投审〔2026〕58号</w:t>
            </w:r>
          </w:p>
        </w:tc>
      </w:tr>
      <w:tr w14:paraId="58FC4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1" w:hRule="atLeast"/>
        </w:trPr>
        <w:tc>
          <w:tcPr>
            <w:tcW w:w="582" w:type="dxa"/>
            <w:vAlign w:val="center"/>
          </w:tcPr>
          <w:p w14:paraId="6065D891">
            <w:pPr>
              <w:keepNext w:val="0"/>
              <w:keepLines w:val="0"/>
              <w:pageBreakBefore w:val="0"/>
              <w:wordWrap w:val="0"/>
              <w:overflowPunct/>
              <w:topLinePunct w:val="0"/>
              <w:bidi w:val="0"/>
              <w:spacing w:before="225"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4</w:t>
            </w:r>
          </w:p>
        </w:tc>
        <w:tc>
          <w:tcPr>
            <w:tcW w:w="1860" w:type="dxa"/>
            <w:vAlign w:val="center"/>
          </w:tcPr>
          <w:p w14:paraId="2161DF48">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建设地点</w:t>
            </w:r>
          </w:p>
        </w:tc>
        <w:tc>
          <w:tcPr>
            <w:tcW w:w="7656" w:type="dxa"/>
            <w:tcMar>
              <w:top w:w="0" w:type="dxa"/>
              <w:left w:w="0" w:type="dxa"/>
              <w:bottom w:w="0" w:type="dxa"/>
              <w:right w:w="0" w:type="dxa"/>
            </w:tcMar>
            <w:vAlign w:val="center"/>
          </w:tcPr>
          <w:p w14:paraId="17B62E4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韶关市新丰县回龙镇古塘村、井塘村、正子村。</w:t>
            </w:r>
          </w:p>
        </w:tc>
      </w:tr>
      <w:tr w14:paraId="767A9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trPr>
        <w:tc>
          <w:tcPr>
            <w:tcW w:w="582" w:type="dxa"/>
            <w:vAlign w:val="center"/>
          </w:tcPr>
          <w:p w14:paraId="62C389A3">
            <w:pPr>
              <w:keepNext w:val="0"/>
              <w:keepLines w:val="0"/>
              <w:pageBreakBefore w:val="0"/>
              <w:wordWrap w:val="0"/>
              <w:overflowPunct/>
              <w:topLinePunct w:val="0"/>
              <w:bidi w:val="0"/>
              <w:spacing w:before="226" w:line="192"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5</w:t>
            </w:r>
          </w:p>
        </w:tc>
        <w:tc>
          <w:tcPr>
            <w:tcW w:w="1860" w:type="dxa"/>
            <w:vAlign w:val="center"/>
          </w:tcPr>
          <w:p w14:paraId="4E0519E0">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项目代码</w:t>
            </w:r>
          </w:p>
        </w:tc>
        <w:tc>
          <w:tcPr>
            <w:tcW w:w="7656" w:type="dxa"/>
            <w:vAlign w:val="center"/>
          </w:tcPr>
          <w:p w14:paraId="168A8C9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2506-440233-04-01-367403</w:t>
            </w:r>
          </w:p>
        </w:tc>
      </w:tr>
      <w:tr w14:paraId="4134F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trPr>
        <w:tc>
          <w:tcPr>
            <w:tcW w:w="582" w:type="dxa"/>
            <w:vAlign w:val="center"/>
          </w:tcPr>
          <w:p w14:paraId="27F55D58">
            <w:pPr>
              <w:keepNext w:val="0"/>
              <w:keepLines w:val="0"/>
              <w:pageBreakBefore w:val="0"/>
              <w:wordWrap w:val="0"/>
              <w:overflowPunct/>
              <w:topLinePunct w:val="0"/>
              <w:bidi w:val="0"/>
              <w:spacing w:before="58"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6</w:t>
            </w:r>
          </w:p>
        </w:tc>
        <w:tc>
          <w:tcPr>
            <w:tcW w:w="1860" w:type="dxa"/>
            <w:vAlign w:val="center"/>
          </w:tcPr>
          <w:p w14:paraId="54684E3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资金来源及落实情况</w:t>
            </w:r>
          </w:p>
        </w:tc>
        <w:tc>
          <w:tcPr>
            <w:tcW w:w="7656" w:type="dxa"/>
            <w:vAlign w:val="center"/>
          </w:tcPr>
          <w:p w14:paraId="0168322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上级资金和县财政统筹安排解决，100%</w:t>
            </w:r>
          </w:p>
        </w:tc>
      </w:tr>
      <w:tr w14:paraId="55E09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 w:hRule="atLeast"/>
        </w:trPr>
        <w:tc>
          <w:tcPr>
            <w:tcW w:w="582" w:type="dxa"/>
            <w:vAlign w:val="center"/>
          </w:tcPr>
          <w:p w14:paraId="13A867CC">
            <w:pPr>
              <w:keepNext w:val="0"/>
              <w:keepLines w:val="0"/>
              <w:pageBreakBefore w:val="0"/>
              <w:wordWrap w:val="0"/>
              <w:overflowPunct/>
              <w:topLinePunct w:val="0"/>
              <w:bidi w:val="0"/>
              <w:spacing w:before="228" w:line="192"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7</w:t>
            </w:r>
          </w:p>
        </w:tc>
        <w:tc>
          <w:tcPr>
            <w:tcW w:w="1860" w:type="dxa"/>
            <w:vAlign w:val="center"/>
          </w:tcPr>
          <w:p w14:paraId="1395956E">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招标人</w:t>
            </w:r>
          </w:p>
        </w:tc>
        <w:tc>
          <w:tcPr>
            <w:tcW w:w="7656" w:type="dxa"/>
            <w:vAlign w:val="center"/>
          </w:tcPr>
          <w:p w14:paraId="2D9D595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新丰县回龙镇人民政府</w:t>
            </w:r>
          </w:p>
        </w:tc>
      </w:tr>
      <w:tr w14:paraId="38A7C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1" w:hRule="atLeast"/>
        </w:trPr>
        <w:tc>
          <w:tcPr>
            <w:tcW w:w="582" w:type="dxa"/>
            <w:vAlign w:val="center"/>
          </w:tcPr>
          <w:p w14:paraId="6A89B71E">
            <w:pPr>
              <w:keepNext w:val="0"/>
              <w:keepLines w:val="0"/>
              <w:pageBreakBefore w:val="0"/>
              <w:wordWrap w:val="0"/>
              <w:overflowPunct/>
              <w:topLinePunct w:val="0"/>
              <w:bidi w:val="0"/>
              <w:spacing w:before="224"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8</w:t>
            </w:r>
          </w:p>
        </w:tc>
        <w:tc>
          <w:tcPr>
            <w:tcW w:w="1860" w:type="dxa"/>
            <w:vAlign w:val="center"/>
          </w:tcPr>
          <w:p w14:paraId="35B8FC20">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招标代理机构</w:t>
            </w:r>
          </w:p>
        </w:tc>
        <w:tc>
          <w:tcPr>
            <w:tcW w:w="7656" w:type="dxa"/>
            <w:vAlign w:val="center"/>
          </w:tcPr>
          <w:p w14:paraId="7B44CAF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成致项目管理有限公司</w:t>
            </w:r>
          </w:p>
        </w:tc>
      </w:tr>
      <w:tr w14:paraId="45E31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6EE48A18">
            <w:pPr>
              <w:keepNext w:val="0"/>
              <w:keepLines w:val="0"/>
              <w:pageBreakBefore w:val="0"/>
              <w:wordWrap w:val="0"/>
              <w:overflowPunct/>
              <w:topLinePunct w:val="0"/>
              <w:bidi w:val="0"/>
              <w:spacing w:before="225"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9</w:t>
            </w:r>
          </w:p>
        </w:tc>
        <w:tc>
          <w:tcPr>
            <w:tcW w:w="1860" w:type="dxa"/>
            <w:vAlign w:val="center"/>
          </w:tcPr>
          <w:p w14:paraId="2173F83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设计单位</w:t>
            </w:r>
          </w:p>
        </w:tc>
        <w:tc>
          <w:tcPr>
            <w:tcW w:w="7656" w:type="dxa"/>
            <w:vAlign w:val="center"/>
          </w:tcPr>
          <w:p w14:paraId="363B6AC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中建联设计院（广州）股份有限公司</w:t>
            </w:r>
          </w:p>
        </w:tc>
      </w:tr>
      <w:bookmarkEnd w:id="8"/>
      <w:tr w14:paraId="3BFAF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trPr>
        <w:tc>
          <w:tcPr>
            <w:tcW w:w="582" w:type="dxa"/>
            <w:vAlign w:val="center"/>
          </w:tcPr>
          <w:p w14:paraId="1635C0FD">
            <w:pPr>
              <w:keepNext w:val="0"/>
              <w:keepLines w:val="0"/>
              <w:pageBreakBefore w:val="0"/>
              <w:wordWrap w:val="0"/>
              <w:overflowPunct/>
              <w:topLinePunct w:val="0"/>
              <w:bidi w:val="0"/>
              <w:spacing w:before="245"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10</w:t>
            </w:r>
          </w:p>
        </w:tc>
        <w:tc>
          <w:tcPr>
            <w:tcW w:w="1860" w:type="dxa"/>
            <w:vAlign w:val="center"/>
          </w:tcPr>
          <w:p w14:paraId="2495ED48">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造价咨询单位</w:t>
            </w:r>
          </w:p>
        </w:tc>
        <w:tc>
          <w:tcPr>
            <w:tcW w:w="7656" w:type="dxa"/>
            <w:vAlign w:val="center"/>
          </w:tcPr>
          <w:p w14:paraId="6BD3EE2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☑非全过程造价咨询</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□全过程造价咨询</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  </w:t>
            </w:r>
          </w:p>
        </w:tc>
      </w:tr>
      <w:tr w14:paraId="36921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09F5224E">
            <w:pPr>
              <w:keepNext w:val="0"/>
              <w:keepLines w:val="0"/>
              <w:pageBreakBefore w:val="0"/>
              <w:wordWrap w:val="0"/>
              <w:overflowPunct/>
              <w:topLinePunct w:val="0"/>
              <w:bidi w:val="0"/>
              <w:spacing w:before="242"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11</w:t>
            </w:r>
          </w:p>
        </w:tc>
        <w:tc>
          <w:tcPr>
            <w:tcW w:w="1860" w:type="dxa"/>
            <w:vAlign w:val="center"/>
          </w:tcPr>
          <w:p w14:paraId="10845560">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监理单位</w:t>
            </w:r>
          </w:p>
        </w:tc>
        <w:tc>
          <w:tcPr>
            <w:tcW w:w="7656" w:type="dxa"/>
            <w:vAlign w:val="center"/>
          </w:tcPr>
          <w:p w14:paraId="0067EC3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☑已确定监理单位</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□未确定监理单位</w:t>
            </w:r>
          </w:p>
        </w:tc>
      </w:tr>
      <w:tr w14:paraId="2E540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62" w:hRule="atLeast"/>
        </w:trPr>
        <w:tc>
          <w:tcPr>
            <w:tcW w:w="582" w:type="dxa"/>
            <w:vAlign w:val="center"/>
          </w:tcPr>
          <w:p w14:paraId="2D733243">
            <w:pPr>
              <w:keepNext w:val="0"/>
              <w:keepLines w:val="0"/>
              <w:pageBreakBefore w:val="0"/>
              <w:wordWrap w:val="0"/>
              <w:overflowPunct/>
              <w:topLinePunct w:val="0"/>
              <w:bidi w:val="0"/>
              <w:spacing w:before="58"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lang w:eastAsia="zh-CN"/>
                <w14:textFill>
                  <w14:solidFill>
                    <w14:schemeClr w14:val="tx1"/>
                  </w14:solidFill>
                </w14:textFill>
              </w:rPr>
              <w:t>1</w:t>
            </w:r>
            <w:r>
              <w:rPr>
                <w:rFonts w:hint="eastAsia" w:ascii="宋体" w:hAnsi="宋体" w:eastAsia="宋体" w:cs="宋体"/>
                <w:color w:val="000000" w:themeColor="text1"/>
                <w:spacing w:val="0"/>
                <w:sz w:val="21"/>
                <w:szCs w:val="21"/>
                <w:highlight w:val="none"/>
                <w14:textFill>
                  <w14:solidFill>
                    <w14:schemeClr w14:val="tx1"/>
                  </w14:solidFill>
                </w14:textFill>
              </w:rPr>
              <w:t>2</w:t>
            </w:r>
          </w:p>
        </w:tc>
        <w:tc>
          <w:tcPr>
            <w:tcW w:w="1860" w:type="dxa"/>
            <w:vAlign w:val="center"/>
          </w:tcPr>
          <w:p w14:paraId="526340D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建设内容和规模</w:t>
            </w:r>
          </w:p>
        </w:tc>
        <w:tc>
          <w:tcPr>
            <w:tcW w:w="7656" w:type="dxa"/>
            <w:vAlign w:val="center"/>
          </w:tcPr>
          <w:p w14:paraId="1157B76D">
            <w:pPr>
              <w:keepNext w:val="0"/>
              <w:keepLines w:val="0"/>
              <w:pageBreakBefore w:val="0"/>
              <w:widowControl w:val="0"/>
              <w:numPr>
                <w:ilvl w:val="0"/>
                <w:numId w:val="0"/>
              </w:numPr>
              <w:kinsoku/>
              <w:wordWrap w:val="0"/>
              <w:overflowPunct/>
              <w:topLinePunct w:val="0"/>
              <w:autoSpaceDE/>
              <w:autoSpaceDN/>
              <w:bidi w:val="0"/>
              <w:adjustRightInd w:val="0"/>
              <w:snapToGrid w:val="0"/>
              <w:spacing w:line="400" w:lineRule="exact"/>
              <w:ind w:leftChars="91"/>
              <w:jc w:val="both"/>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 xml:space="preserve">本项目主要建设入镇三角路口提升、基础环境整治提升、排水工程等，分别为： </w:t>
            </w:r>
          </w:p>
          <w:p w14:paraId="54A1D1D9">
            <w:pPr>
              <w:keepNext w:val="0"/>
              <w:keepLines w:val="0"/>
              <w:pageBreakBefore w:val="0"/>
              <w:widowControl w:val="0"/>
              <w:numPr>
                <w:ilvl w:val="0"/>
                <w:numId w:val="0"/>
              </w:numPr>
              <w:kinsoku/>
              <w:wordWrap w:val="0"/>
              <w:overflowPunct/>
              <w:topLinePunct w:val="0"/>
              <w:autoSpaceDE/>
              <w:autoSpaceDN/>
              <w:bidi w:val="0"/>
              <w:adjustRightInd w:val="0"/>
              <w:snapToGrid w:val="0"/>
              <w:spacing w:line="400" w:lineRule="exact"/>
              <w:ind w:leftChars="91"/>
              <w:jc w:val="both"/>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 xml:space="preserve">  1、入镇三角路口提升内容：土坡回填约100立方米；清杂800平方米等； </w:t>
            </w:r>
          </w:p>
          <w:p w14:paraId="248A3EC8">
            <w:pPr>
              <w:keepNext w:val="0"/>
              <w:keepLines w:val="0"/>
              <w:pageBreakBefore w:val="0"/>
              <w:widowControl w:val="0"/>
              <w:numPr>
                <w:ilvl w:val="0"/>
                <w:numId w:val="0"/>
              </w:numPr>
              <w:kinsoku/>
              <w:wordWrap w:val="0"/>
              <w:overflowPunct/>
              <w:topLinePunct w:val="0"/>
              <w:autoSpaceDE/>
              <w:autoSpaceDN/>
              <w:bidi w:val="0"/>
              <w:adjustRightInd w:val="0"/>
              <w:snapToGrid w:val="0"/>
              <w:spacing w:line="400" w:lineRule="exact"/>
              <w:ind w:leftChars="91"/>
              <w:jc w:val="both"/>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 xml:space="preserve">  2、基础环境整治提升内容：围墙整治约3500米；新建人行道约3450平方米；水渠加盖板建设人行道约200平方米；地面地坪漆划线400平方米；木栈道约1320平方米；木栈道安全护栏580米；新建垃圾分类点11个等； </w:t>
            </w:r>
          </w:p>
          <w:p w14:paraId="3D56F4A9">
            <w:pPr>
              <w:keepNext w:val="0"/>
              <w:keepLines w:val="0"/>
              <w:pageBreakBefore w:val="0"/>
              <w:widowControl w:val="0"/>
              <w:numPr>
                <w:ilvl w:val="0"/>
                <w:numId w:val="0"/>
              </w:numPr>
              <w:kinsoku/>
              <w:wordWrap w:val="0"/>
              <w:overflowPunct/>
              <w:topLinePunct w:val="0"/>
              <w:autoSpaceDE/>
              <w:autoSpaceDN/>
              <w:bidi w:val="0"/>
              <w:adjustRightInd w:val="0"/>
              <w:snapToGrid w:val="0"/>
              <w:spacing w:line="400" w:lineRule="exact"/>
              <w:ind w:leftChars="91"/>
              <w:jc w:val="both"/>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 xml:space="preserve">  3、绿化提升：种植乔木约1500棵，灌木约2800平方米；地被1000平方米；攀爬植物180平方米；竹子60平方米；种植土回填约550立方米等； </w:t>
            </w:r>
          </w:p>
          <w:p w14:paraId="132A76E0">
            <w:pPr>
              <w:keepNext w:val="0"/>
              <w:keepLines w:val="0"/>
              <w:pageBreakBefore w:val="0"/>
              <w:widowControl w:val="0"/>
              <w:numPr>
                <w:ilvl w:val="0"/>
                <w:numId w:val="0"/>
              </w:numPr>
              <w:kinsoku/>
              <w:wordWrap w:val="0"/>
              <w:overflowPunct/>
              <w:topLinePunct w:val="0"/>
              <w:autoSpaceDE/>
              <w:autoSpaceDN/>
              <w:bidi w:val="0"/>
              <w:adjustRightInd w:val="0"/>
              <w:snapToGrid w:val="0"/>
              <w:spacing w:line="400" w:lineRule="exact"/>
              <w:ind w:leftChars="91"/>
              <w:jc w:val="both"/>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 xml:space="preserve">  4、新建水渠约300米；水渠修缮600米；水渠清淤约1200平方米； </w:t>
            </w:r>
          </w:p>
          <w:p w14:paraId="7E68E26D">
            <w:pPr>
              <w:keepNext w:val="0"/>
              <w:keepLines w:val="0"/>
              <w:pageBreakBefore w:val="0"/>
              <w:widowControl w:val="0"/>
              <w:numPr>
                <w:ilvl w:val="0"/>
                <w:numId w:val="0"/>
              </w:numPr>
              <w:kinsoku/>
              <w:wordWrap w:val="0"/>
              <w:overflowPunct/>
              <w:topLinePunct w:val="0"/>
              <w:autoSpaceDE/>
              <w:autoSpaceDN/>
              <w:bidi w:val="0"/>
              <w:adjustRightInd w:val="0"/>
              <w:snapToGrid w:val="0"/>
              <w:spacing w:line="400" w:lineRule="exact"/>
              <w:ind w:left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 xml:space="preserve">  5、其他工程内容：路灯灯柱移位136个；泥砖房拆除150平方米；破旧垃圾房拆除9座；路域周边清杂10500平方米等。</w:t>
            </w:r>
          </w:p>
        </w:tc>
      </w:tr>
      <w:tr w14:paraId="64500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4519A5EB">
            <w:pPr>
              <w:keepNext w:val="0"/>
              <w:keepLines w:val="0"/>
              <w:pageBreakBefore w:val="0"/>
              <w:wordWrap w:val="0"/>
              <w:overflowPunct/>
              <w:topLinePunct w:val="0"/>
              <w:bidi w:val="0"/>
              <w:spacing w:before="57"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13</w:t>
            </w:r>
          </w:p>
        </w:tc>
        <w:tc>
          <w:tcPr>
            <w:tcW w:w="1860" w:type="dxa"/>
            <w:vAlign w:val="center"/>
          </w:tcPr>
          <w:p w14:paraId="15BC8529">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项目总投资</w:t>
            </w:r>
          </w:p>
        </w:tc>
        <w:tc>
          <w:tcPr>
            <w:tcW w:w="7656" w:type="dxa"/>
            <w:vAlign w:val="center"/>
          </w:tcPr>
          <w:p w14:paraId="051183D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项目估算总投资989.64万元，其中：建安工程费872.14万元、工程建设其他费用73.89万元、预备费43.61万元。</w:t>
            </w:r>
          </w:p>
        </w:tc>
      </w:tr>
      <w:tr w14:paraId="09BBB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trPr>
        <w:tc>
          <w:tcPr>
            <w:tcW w:w="582" w:type="dxa"/>
            <w:vAlign w:val="center"/>
          </w:tcPr>
          <w:p w14:paraId="2280C6D3">
            <w:pPr>
              <w:keepNext w:val="0"/>
              <w:keepLines w:val="0"/>
              <w:pageBreakBefore w:val="0"/>
              <w:wordWrap w:val="0"/>
              <w:overflowPunct/>
              <w:topLinePunct w:val="0"/>
              <w:bidi w:val="0"/>
              <w:spacing w:before="58"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14</w:t>
            </w:r>
          </w:p>
        </w:tc>
        <w:tc>
          <w:tcPr>
            <w:tcW w:w="1860" w:type="dxa"/>
            <w:vAlign w:val="center"/>
          </w:tcPr>
          <w:p w14:paraId="58FC513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招标范围</w:t>
            </w:r>
          </w:p>
        </w:tc>
        <w:tc>
          <w:tcPr>
            <w:tcW w:w="7656" w:type="dxa"/>
            <w:vAlign w:val="center"/>
          </w:tcPr>
          <w:p w14:paraId="2CC19A71">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按审查合格的施工图纸及工程量清单内容施工</w:t>
            </w:r>
          </w:p>
        </w:tc>
      </w:tr>
      <w:tr w14:paraId="32903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582" w:type="dxa"/>
            <w:vAlign w:val="center"/>
          </w:tcPr>
          <w:p w14:paraId="334CDB2D">
            <w:pPr>
              <w:keepNext w:val="0"/>
              <w:keepLines w:val="0"/>
              <w:pageBreakBefore w:val="0"/>
              <w:wordWrap w:val="0"/>
              <w:overflowPunct/>
              <w:topLinePunct w:val="0"/>
              <w:bidi w:val="0"/>
              <w:spacing w:before="58"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15</w:t>
            </w:r>
          </w:p>
        </w:tc>
        <w:tc>
          <w:tcPr>
            <w:tcW w:w="1860" w:type="dxa"/>
            <w:vAlign w:val="center"/>
          </w:tcPr>
          <w:p w14:paraId="56FA5F4C">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标段划分</w:t>
            </w:r>
          </w:p>
        </w:tc>
        <w:tc>
          <w:tcPr>
            <w:tcW w:w="7656" w:type="dxa"/>
            <w:vAlign w:val="center"/>
          </w:tcPr>
          <w:p w14:paraId="5B21ACD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 xml:space="preserve">本招标项目不划分标段。 </w:t>
            </w:r>
          </w:p>
        </w:tc>
      </w:tr>
      <w:tr w14:paraId="5A1CD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582" w:type="dxa"/>
            <w:vAlign w:val="center"/>
          </w:tcPr>
          <w:p w14:paraId="01C9B2F3">
            <w:pPr>
              <w:keepNext w:val="0"/>
              <w:keepLines w:val="0"/>
              <w:pageBreakBefore w:val="0"/>
              <w:wordWrap w:val="0"/>
              <w:overflowPunct/>
              <w:topLinePunct w:val="0"/>
              <w:bidi w:val="0"/>
              <w:spacing w:before="57" w:line="195" w:lineRule="auto"/>
              <w:jc w:val="center"/>
              <w:rPr>
                <w:rFonts w:hint="eastAsia" w:ascii="宋体" w:hAnsi="宋体" w:eastAsia="宋体" w:cs="宋体"/>
                <w:color w:val="000000" w:themeColor="text1"/>
                <w:spacing w:val="0"/>
                <w:sz w:val="21"/>
                <w:szCs w:val="21"/>
                <w:highlight w:val="none"/>
                <w:lang w:eastAsia="zh-CN"/>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16</w:t>
            </w:r>
          </w:p>
        </w:tc>
        <w:tc>
          <w:tcPr>
            <w:tcW w:w="1860" w:type="dxa"/>
            <w:vAlign w:val="center"/>
          </w:tcPr>
          <w:p w14:paraId="20F526C7">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工期</w:t>
            </w:r>
          </w:p>
        </w:tc>
        <w:tc>
          <w:tcPr>
            <w:tcW w:w="7656" w:type="dxa"/>
            <w:vAlign w:val="top"/>
          </w:tcPr>
          <w:p w14:paraId="2ACB4A1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本招标项目招标工期为</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180个日历天</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。具体如下：</w:t>
            </w:r>
          </w:p>
          <w:p w14:paraId="320C3CB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☑总工期：</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 w:val="21"/>
                <w:szCs w:val="21"/>
                <w:highlight w:val="none"/>
                <w:u w:val="single"/>
                <w:lang w:val="en-US" w:eastAsia="zh-CN"/>
                <w14:textFill>
                  <w14:solidFill>
                    <w14:schemeClr w14:val="tx1"/>
                  </w14:solidFill>
                </w14:textFill>
              </w:rPr>
              <w:t>180</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天 （日历天）。</w:t>
            </w:r>
          </w:p>
          <w:p w14:paraId="4BF2E44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□计划开工日期：</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年</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月</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日（具体开工日期以合同为准）</w:t>
            </w:r>
          </w:p>
          <w:p w14:paraId="35D8577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□计划竣工日期：</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年</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月</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日</w:t>
            </w:r>
          </w:p>
          <w:p w14:paraId="3D4184C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□除上述总工期外，发包人还要求以下阶段工期：</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 xml:space="preserve">        </w:t>
            </w:r>
          </w:p>
        </w:tc>
      </w:tr>
      <w:tr w14:paraId="59EFE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 w:hRule="atLeast"/>
        </w:trPr>
        <w:tc>
          <w:tcPr>
            <w:tcW w:w="582" w:type="dxa"/>
            <w:vAlign w:val="center"/>
          </w:tcPr>
          <w:p w14:paraId="416E216C">
            <w:pPr>
              <w:keepNext w:val="0"/>
              <w:keepLines w:val="0"/>
              <w:pageBreakBefore w:val="0"/>
              <w:wordWrap w:val="0"/>
              <w:overflowPunct/>
              <w:topLinePunct w:val="0"/>
              <w:bidi w:val="0"/>
              <w:spacing w:before="57"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17</w:t>
            </w:r>
          </w:p>
        </w:tc>
        <w:tc>
          <w:tcPr>
            <w:tcW w:w="1860" w:type="dxa"/>
            <w:vAlign w:val="center"/>
          </w:tcPr>
          <w:p w14:paraId="529D0EDA">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质量标准</w:t>
            </w:r>
          </w:p>
        </w:tc>
        <w:tc>
          <w:tcPr>
            <w:tcW w:w="7656" w:type="dxa"/>
            <w:vAlign w:val="top"/>
          </w:tcPr>
          <w:p w14:paraId="7B9EFA3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符合现行国家有关工程施工质量验收规范和标准的要求，达到验收合格标准。</w:t>
            </w:r>
          </w:p>
        </w:tc>
      </w:tr>
      <w:tr w14:paraId="07BAB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63" w:hRule="atLeast"/>
        </w:trPr>
        <w:tc>
          <w:tcPr>
            <w:tcW w:w="582" w:type="dxa"/>
            <w:vMerge w:val="restart"/>
            <w:vAlign w:val="center"/>
          </w:tcPr>
          <w:p w14:paraId="2FAF8482">
            <w:pPr>
              <w:keepNext w:val="0"/>
              <w:keepLines w:val="0"/>
              <w:pageBreakBefore w:val="0"/>
              <w:wordWrap w:val="0"/>
              <w:overflowPunct/>
              <w:topLinePunct w:val="0"/>
              <w:bidi w:val="0"/>
              <w:spacing w:before="57"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18</w:t>
            </w:r>
          </w:p>
        </w:tc>
        <w:tc>
          <w:tcPr>
            <w:tcW w:w="1860" w:type="dxa"/>
            <w:vMerge w:val="restart"/>
            <w:vAlign w:val="center"/>
          </w:tcPr>
          <w:p w14:paraId="684E171F">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合同类型</w:t>
            </w:r>
          </w:p>
        </w:tc>
        <w:tc>
          <w:tcPr>
            <w:tcW w:w="7656" w:type="dxa"/>
            <w:vAlign w:val="top"/>
          </w:tcPr>
          <w:p w14:paraId="5B0CC98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☑单价合同：发承包双方约定以工程量清单及其综合单价进行合同价款计算、调整和确认的建设工程施工合同。</w:t>
            </w:r>
          </w:p>
          <w:p w14:paraId="37B161E1">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注：实行工程量清单计价的工程，应采用单价合同方式，即合同中的工程量清单项目综合单价在合同约定的条件内固定不变（不正常报价除外，这部分按招标文件、合同约定的原则调整综合单价），超过合同约定条件时，依据合同约定进行调整；工程量清单项目及工程量依据承包人实际完成且应予计量的工程量确定。</w:t>
            </w:r>
          </w:p>
        </w:tc>
      </w:tr>
      <w:tr w14:paraId="6B7E7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8" w:hRule="atLeast"/>
        </w:trPr>
        <w:tc>
          <w:tcPr>
            <w:tcW w:w="582" w:type="dxa"/>
            <w:vMerge w:val="continue"/>
            <w:vAlign w:val="center"/>
          </w:tcPr>
          <w:p w14:paraId="001972E5">
            <w:pPr>
              <w:keepNext w:val="0"/>
              <w:keepLines w:val="0"/>
              <w:pageBreakBefore w:val="0"/>
              <w:wordWrap w:val="0"/>
              <w:overflowPunct/>
              <w:topLinePunct w:val="0"/>
              <w:bidi w:val="0"/>
              <w:spacing w:before="57"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p>
        </w:tc>
        <w:tc>
          <w:tcPr>
            <w:tcW w:w="1860" w:type="dxa"/>
            <w:vMerge w:val="continue"/>
            <w:vAlign w:val="center"/>
          </w:tcPr>
          <w:p w14:paraId="114EAAC5">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p>
        </w:tc>
        <w:tc>
          <w:tcPr>
            <w:tcW w:w="7656" w:type="dxa"/>
            <w:vAlign w:val="top"/>
          </w:tcPr>
          <w:p w14:paraId="208620C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□总价合同：发承包双方约定以施工图及其预算和有关条件进行合同价款计算、调整和确认的建设工程施工合同。 </w:t>
            </w:r>
          </w:p>
          <w:p w14:paraId="0E5FC1B3">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注：总价合同是以施工图纸、规范为基础，在工程任务内容明确、发包人的要求条件清楚、计价标准和要求确定的条件下，发承包双方依据承包人编制的施工图预算商谈确定合同价款。当合同约定工程施工内容和有关条件不发生变化时，发包人付给承包人的工程价款总额保持不变。当工程施工内容和有关条件发生变化时，发承包双方根据变化情况和合同约定仅调整发生变化部分的工程价款，且对工程量变化引起的合同价款调整应遵循现行建设工程工程量清单计价标准原则。</w:t>
            </w:r>
          </w:p>
        </w:tc>
      </w:tr>
      <w:tr w14:paraId="548B7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2" w:hRule="atLeast"/>
        </w:trPr>
        <w:tc>
          <w:tcPr>
            <w:tcW w:w="582" w:type="dxa"/>
            <w:vAlign w:val="center"/>
          </w:tcPr>
          <w:p w14:paraId="4F5536D8">
            <w:pPr>
              <w:keepNext w:val="0"/>
              <w:keepLines w:val="0"/>
              <w:pageBreakBefore w:val="0"/>
              <w:wordWrap w:val="0"/>
              <w:overflowPunct/>
              <w:topLinePunct w:val="0"/>
              <w:bidi w:val="0"/>
              <w:spacing w:before="19"/>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19</w:t>
            </w:r>
          </w:p>
        </w:tc>
        <w:tc>
          <w:tcPr>
            <w:tcW w:w="1860" w:type="dxa"/>
            <w:vAlign w:val="center"/>
          </w:tcPr>
          <w:p w14:paraId="0F7CD5C0">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房屋建筑工程绿色建筑标准</w:t>
            </w:r>
          </w:p>
        </w:tc>
        <w:tc>
          <w:tcPr>
            <w:tcW w:w="7656" w:type="dxa"/>
            <w:vAlign w:val="center"/>
          </w:tcPr>
          <w:p w14:paraId="523371B7">
            <w:pPr>
              <w:keepNext w:val="0"/>
              <w:keepLines w:val="0"/>
              <w:pageBreakBefore w:val="0"/>
              <w:widowControl w:val="0"/>
              <w:kinsoku/>
              <w:wordWrap w:val="0"/>
              <w:overflowPunct/>
              <w:topLinePunct w:val="0"/>
              <w:autoSpaceDE/>
              <w:autoSpaceDN/>
              <w:bidi w:val="0"/>
              <w:adjustRightInd w:val="0"/>
              <w:snapToGrid w:val="0"/>
              <w:spacing w:line="400" w:lineRule="exact"/>
              <w:ind w:firstLine="210" w:firstLineChars="100"/>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本招标项目</w:t>
            </w:r>
            <w:r>
              <w:rPr>
                <w:rFonts w:hint="eastAsia" w:ascii="宋体" w:hAnsi="宋体" w:eastAsia="宋体" w:cs="宋体"/>
                <w:snapToGrid w:val="0"/>
                <w:color w:val="000000" w:themeColor="text1"/>
                <w:spacing w:val="0"/>
                <w:kern w:val="0"/>
                <w:sz w:val="21"/>
                <w:szCs w:val="21"/>
                <w:highlight w:val="none"/>
                <w:u w:val="single"/>
                <w:lang w:val="en-US" w:eastAsia="zh-CN"/>
                <w14:textFill>
                  <w14:solidFill>
                    <w14:schemeClr w14:val="tx1"/>
                  </w14:solidFill>
                </w14:textFill>
              </w:rPr>
              <w:t>不</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纳入绿色建设实施范围。</w:t>
            </w:r>
          </w:p>
        </w:tc>
      </w:tr>
      <w:tr w14:paraId="44A58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1CD2CF21">
            <w:pPr>
              <w:keepNext w:val="0"/>
              <w:keepLines w:val="0"/>
              <w:pageBreakBefore w:val="0"/>
              <w:wordWrap w:val="0"/>
              <w:overflowPunct/>
              <w:topLinePunct w:val="0"/>
              <w:bidi w:val="0"/>
              <w:spacing w:before="58"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19. 1</w:t>
            </w:r>
          </w:p>
        </w:tc>
        <w:tc>
          <w:tcPr>
            <w:tcW w:w="1860" w:type="dxa"/>
            <w:vAlign w:val="center"/>
          </w:tcPr>
          <w:p w14:paraId="4D336BF8">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装配式建筑标准</w:t>
            </w:r>
          </w:p>
        </w:tc>
        <w:tc>
          <w:tcPr>
            <w:tcW w:w="7656" w:type="dxa"/>
            <w:vAlign w:val="center"/>
          </w:tcPr>
          <w:p w14:paraId="7FEA000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本招标项目</w:t>
            </w:r>
            <w:r>
              <w:rPr>
                <w:rFonts w:hint="eastAsia" w:ascii="宋体" w:hAnsi="宋体" w:eastAsia="宋体" w:cs="宋体"/>
                <w:snapToGrid w:val="0"/>
                <w:color w:val="000000" w:themeColor="text1"/>
                <w:spacing w:val="0"/>
                <w:kern w:val="0"/>
                <w:sz w:val="21"/>
                <w:szCs w:val="21"/>
                <w:highlight w:val="none"/>
                <w:u w:val="single"/>
                <w:lang w:val="en-US" w:eastAsia="zh-CN"/>
                <w14:textFill>
                  <w14:solidFill>
                    <w14:schemeClr w14:val="tx1"/>
                  </w14:solidFill>
                </w14:textFill>
              </w:rPr>
              <w:t>不</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纳入装配式建造建设实施范围。</w:t>
            </w:r>
          </w:p>
        </w:tc>
      </w:tr>
      <w:tr w14:paraId="2E1CB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64746E48">
            <w:pPr>
              <w:keepNext w:val="0"/>
              <w:keepLines w:val="0"/>
              <w:pageBreakBefore w:val="0"/>
              <w:wordWrap w:val="0"/>
              <w:overflowPunct/>
              <w:topLinePunct w:val="0"/>
              <w:bidi w:val="0"/>
              <w:spacing w:before="69" w:line="188"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20</w:t>
            </w:r>
          </w:p>
        </w:tc>
        <w:tc>
          <w:tcPr>
            <w:tcW w:w="1860" w:type="dxa"/>
            <w:vAlign w:val="center"/>
          </w:tcPr>
          <w:p w14:paraId="649F4D0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发包人提供材料和工程设备</w:t>
            </w:r>
          </w:p>
        </w:tc>
        <w:tc>
          <w:tcPr>
            <w:tcW w:w="7656" w:type="dxa"/>
            <w:vAlign w:val="center"/>
          </w:tcPr>
          <w:p w14:paraId="77FB08D3">
            <w:pPr>
              <w:keepNext w:val="0"/>
              <w:keepLines w:val="0"/>
              <w:pageBreakBefore w:val="0"/>
              <w:widowControl w:val="0"/>
              <w:kinsoku/>
              <w:wordWrap w:val="0"/>
              <w:overflowPunct/>
              <w:topLinePunct w:val="0"/>
              <w:autoSpaceDE/>
              <w:autoSpaceDN/>
              <w:bidi w:val="0"/>
              <w:adjustRightInd w:val="0"/>
              <w:snapToGrid w:val="0"/>
              <w:spacing w:line="400" w:lineRule="exact"/>
              <w:ind w:firstLine="210" w:firstLineChars="100"/>
              <w:jc w:val="both"/>
              <w:textAlignment w:val="auto"/>
              <w:rPr>
                <w:rFonts w:hint="eastAsia" w:ascii="宋体" w:hAnsi="宋体" w:eastAsia="宋体" w:cs="宋体"/>
                <w:snapToGrid w:val="0"/>
                <w:color w:val="000000" w:themeColor="text1"/>
                <w:spacing w:val="0"/>
                <w:kern w:val="0"/>
                <w:sz w:val="21"/>
                <w:szCs w:val="21"/>
                <w:highlight w:val="none"/>
                <w:u w:val="singl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发包人提供材料和工程设备： ☑无     □有：</w:t>
            </w:r>
            <w:r>
              <w:rPr>
                <w:rFonts w:hint="eastAsia" w:ascii="宋体" w:hAnsi="宋体" w:eastAsia="宋体" w:cs="宋体"/>
                <w:snapToGrid w:val="0"/>
                <w:color w:val="000000" w:themeColor="text1"/>
                <w:spacing w:val="0"/>
                <w:kern w:val="0"/>
                <w:sz w:val="21"/>
                <w:szCs w:val="21"/>
                <w:highlight w:val="none"/>
                <w:u w:val="single"/>
                <w:lang w:val="en-US" w:eastAsia="zh-CN"/>
                <w14:textFill>
                  <w14:solidFill>
                    <w14:schemeClr w14:val="tx1"/>
                  </w14:solidFill>
                </w14:textFill>
              </w:rPr>
              <w:t xml:space="preserve">     </w:t>
            </w:r>
          </w:p>
        </w:tc>
      </w:tr>
      <w:tr w14:paraId="119B3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2622591F">
            <w:pPr>
              <w:keepNext w:val="0"/>
              <w:keepLines w:val="0"/>
              <w:pageBreakBefore w:val="0"/>
              <w:wordWrap w:val="0"/>
              <w:overflowPunct/>
              <w:topLinePunct w:val="0"/>
              <w:bidi w:val="0"/>
              <w:spacing w:before="69" w:line="188"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21</w:t>
            </w:r>
          </w:p>
        </w:tc>
        <w:tc>
          <w:tcPr>
            <w:tcW w:w="1860" w:type="dxa"/>
            <w:vAlign w:val="center"/>
          </w:tcPr>
          <w:p w14:paraId="6A6F9E67">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承包人提供材料和工程设备</w:t>
            </w:r>
          </w:p>
        </w:tc>
        <w:tc>
          <w:tcPr>
            <w:tcW w:w="7656" w:type="dxa"/>
            <w:vAlign w:val="top"/>
          </w:tcPr>
          <w:p w14:paraId="7329718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除招标文件约定的发包人提供的甲供材料外，合同工程所需的材料和工程设备应由承包人负责采购、运输和保管，并对其采购的材料和工程设备提供质量证明文件，满足合同约定的质量标准。若承包人提供的材料和工程设备没有合格证明材料或经检测不符合合同约定的质量标准，应立即更换，由此增加的费用和（或）工期延误由承包人承担。对发包人要求检测承包人己具有合格证明的材料、工程设备，但经检测证明该项材料、工程设备符合合同约定的质量标准的，发包人应承担由此增加的费用和（或）工期延误，并向承包人支付合理利润。</w:t>
            </w:r>
          </w:p>
          <w:p w14:paraId="716D254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□其它说明：鼓励承包人积极采购环保产品进行施工。</w:t>
            </w:r>
          </w:p>
        </w:tc>
      </w:tr>
      <w:tr w14:paraId="3B0B3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582" w:type="dxa"/>
            <w:vAlign w:val="center"/>
          </w:tcPr>
          <w:p w14:paraId="23CFF5B2">
            <w:pPr>
              <w:keepNext w:val="0"/>
              <w:keepLines w:val="0"/>
              <w:pageBreakBefore w:val="0"/>
              <w:wordWrap w:val="0"/>
              <w:overflowPunct/>
              <w:topLinePunct w:val="0"/>
              <w:bidi w:val="0"/>
              <w:spacing w:before="69" w:line="188"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22</w:t>
            </w:r>
          </w:p>
        </w:tc>
        <w:tc>
          <w:tcPr>
            <w:tcW w:w="1860" w:type="dxa"/>
            <w:vAlign w:val="center"/>
          </w:tcPr>
          <w:p w14:paraId="08D2DACC">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最高投标限价</w:t>
            </w:r>
          </w:p>
        </w:tc>
        <w:tc>
          <w:tcPr>
            <w:tcW w:w="7656" w:type="dxa"/>
            <w:vAlign w:val="center"/>
          </w:tcPr>
          <w:p w14:paraId="73FF3F41">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本招标项目最高投标限价为人民币（大写）：</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捌佰陆拾叁万叁仟壹佰肆拾玖元伍角贰分（¥</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8633149.52</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元）</w:t>
            </w:r>
            <w:r>
              <w:rPr>
                <w:rFonts w:hint="eastAsia" w:ascii="宋体" w:hAnsi="宋体" w:eastAsia="宋体" w:cs="宋体"/>
                <w:color w:val="000000" w:themeColor="text1"/>
                <w:sz w:val="21"/>
                <w:szCs w:val="21"/>
                <w:highlight w:val="none"/>
                <w:lang w:eastAsia="zh-CN"/>
                <w14:textFill>
                  <w14:solidFill>
                    <w14:schemeClr w14:val="tx1"/>
                  </w14:solidFill>
                </w14:textFill>
              </w:rPr>
              <w:t>，其中安全生产措施费为：¥</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180822.22</w:t>
            </w:r>
            <w:r>
              <w:rPr>
                <w:rFonts w:hint="eastAsia" w:ascii="宋体" w:hAnsi="宋体" w:eastAsia="宋体" w:cs="宋体"/>
                <w:color w:val="000000" w:themeColor="text1"/>
                <w:sz w:val="21"/>
                <w:szCs w:val="21"/>
                <w:highlight w:val="none"/>
                <w:lang w:eastAsia="zh-CN"/>
                <w14:textFill>
                  <w14:solidFill>
                    <w14:schemeClr w14:val="tx1"/>
                  </w14:solidFill>
                </w14:textFill>
              </w:rPr>
              <w:t>元，暂列金额为：¥</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343070.75</w:t>
            </w:r>
            <w:r>
              <w:rPr>
                <w:rFonts w:hint="eastAsia" w:ascii="宋体" w:hAnsi="宋体" w:eastAsia="宋体" w:cs="宋体"/>
                <w:color w:val="000000" w:themeColor="text1"/>
                <w:sz w:val="21"/>
                <w:szCs w:val="21"/>
                <w:highlight w:val="none"/>
                <w:lang w:eastAsia="zh-CN"/>
                <w14:textFill>
                  <w14:solidFill>
                    <w14:schemeClr w14:val="tx1"/>
                  </w14:solidFill>
                </w14:textFill>
              </w:rPr>
              <w:t>元，专业工程暂估价为：¥</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253851.84</w:t>
            </w:r>
            <w:r>
              <w:rPr>
                <w:rFonts w:hint="eastAsia" w:ascii="宋体" w:hAnsi="宋体" w:eastAsia="宋体" w:cs="宋体"/>
                <w:color w:val="000000" w:themeColor="text1"/>
                <w:sz w:val="21"/>
                <w:szCs w:val="21"/>
                <w:highlight w:val="none"/>
                <w:lang w:eastAsia="zh-CN"/>
                <w14:textFill>
                  <w14:solidFill>
                    <w14:schemeClr w14:val="tx1"/>
                  </w14:solidFill>
                </w14:textFill>
              </w:rPr>
              <w:t>元。</w:t>
            </w:r>
          </w:p>
        </w:tc>
      </w:tr>
      <w:tr w14:paraId="07069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50" w:hRule="atLeast"/>
        </w:trPr>
        <w:tc>
          <w:tcPr>
            <w:tcW w:w="582" w:type="dxa"/>
            <w:vAlign w:val="center"/>
          </w:tcPr>
          <w:p w14:paraId="14D57F0A">
            <w:pPr>
              <w:keepNext w:val="0"/>
              <w:keepLines w:val="0"/>
              <w:pageBreakBefore w:val="0"/>
              <w:wordWrap w:val="0"/>
              <w:overflowPunct/>
              <w:topLinePunct w:val="0"/>
              <w:bidi w:val="0"/>
              <w:spacing w:before="69" w:line="188"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23</w:t>
            </w:r>
          </w:p>
        </w:tc>
        <w:tc>
          <w:tcPr>
            <w:tcW w:w="1860" w:type="dxa"/>
            <w:vAlign w:val="center"/>
          </w:tcPr>
          <w:p w14:paraId="4EDFFAA8">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投标人的投标报价</w:t>
            </w:r>
          </w:p>
        </w:tc>
        <w:tc>
          <w:tcPr>
            <w:tcW w:w="7656" w:type="dxa"/>
            <w:vAlign w:val="center"/>
          </w:tcPr>
          <w:p w14:paraId="449D521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人投标时响应招标文件要求所报出的对已标价工程量清单汇总后标明的总价。投标人在投标报价填写的工程量清单的项目编码、项目名称、项目特征、计量单位、工程数量必须与招标人招标文件中提供的一致，投标价不能低于工程成本、高于最高投标限价。</w:t>
            </w:r>
          </w:p>
          <w:p w14:paraId="270EDCA4">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投标报价方式： ☑工程量清单报</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  □其他：</w:t>
            </w:r>
          </w:p>
          <w:p w14:paraId="134467AE">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投标报价时，应按《广东省建设工程计价依据（2018）》规定的费率报价，若招标工程量清单明确说明不计算预算包干费或另外确定预算包干费费率的，则按招标工程量清单报价。</w:t>
            </w:r>
          </w:p>
        </w:tc>
      </w:tr>
      <w:tr w14:paraId="3A262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582" w:type="dxa"/>
            <w:vAlign w:val="center"/>
          </w:tcPr>
          <w:p w14:paraId="78D804F4">
            <w:pPr>
              <w:keepNext w:val="0"/>
              <w:keepLines w:val="0"/>
              <w:pageBreakBefore w:val="0"/>
              <w:wordWrap w:val="0"/>
              <w:overflowPunct/>
              <w:topLinePunct w:val="0"/>
              <w:bidi w:val="0"/>
              <w:spacing w:before="69" w:line="188"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24</w:t>
            </w:r>
          </w:p>
        </w:tc>
        <w:tc>
          <w:tcPr>
            <w:tcW w:w="1860" w:type="dxa"/>
            <w:vAlign w:val="center"/>
          </w:tcPr>
          <w:p w14:paraId="75D56106">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投标报价风险</w:t>
            </w:r>
          </w:p>
        </w:tc>
        <w:tc>
          <w:tcPr>
            <w:tcW w:w="7656" w:type="dxa"/>
            <w:vAlign w:val="center"/>
          </w:tcPr>
          <w:p w14:paraId="09F1294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☑投标人依据招标文件约定自行考虑风险因素，一旦中标，投标报价（合同价）除合同另有约定外将不因市场变化而调整。</w:t>
            </w:r>
          </w:p>
          <w:p w14:paraId="4AE8FF5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☑投标报价中应包括工程量清单项目所发生的人工费、材料费、机具费、管理费、利润、措施项目费、其它项目费、税金、暂列金额、暂估价以及所有风险、责任等各项费用。</w:t>
            </w:r>
          </w:p>
          <w:p w14:paraId="0FDFC6A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☑人工费、材料费、机具费、管理费、利润、措施项目费（不含安全生产措施费）投标人漏报或不报，招标人视为有关费用已包括在工程量清单项目的其它单价及合价中不予另外增加。</w:t>
            </w:r>
          </w:p>
          <w:p w14:paraId="1D4B24BC">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☑措施项目中的安全生产措施费，必须按国家、省级、市级（即工程所在地）行业建设主管部门的规定计算，不得作为竞争性费用。</w:t>
            </w:r>
          </w:p>
          <w:p w14:paraId="2BDA8BB1">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☑投标人应按照招标文件提供的工程量清单逐项填写单价和合价，投标人未填写的项目，招标人将视为此项费用已包括在工程量清单项目的其它单价及合价中不予另外增加。</w:t>
            </w:r>
          </w:p>
          <w:p w14:paraId="0598AA64">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人应按《广东省建设工程计价依据（2018）》规定的费率对预算包干费进行报价，若招标工程量清单明确说明不计算预算包干费或另外确定预算包干费费率的，则按招标工程量清单报价，若投标人不按规定报价的，则中标后无条件接受招标人对投标报价的调整。</w:t>
            </w:r>
          </w:p>
          <w:p w14:paraId="042F334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☑招标人向投标人提供的有关施工现场资料及数据，是招标人现有的能使投标人利用的资料，招标人对投标人据此作出的推论及理解概不负责。</w:t>
            </w:r>
          </w:p>
          <w:p w14:paraId="12C0474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人应依据招标人提供的所有资料和自己对现场查勘来编制投标文件，并对招标人提供的所有资料的理解、推断和应用负责。在投标人提交其投标文件之前，视为已经考虑了现场及其周围环境的影响，中标后，不得以不完全了解现场情况为理由提出追加款项或者延长工期等索赔的要求。</w:t>
            </w:r>
          </w:p>
          <w:p w14:paraId="7883DF1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☑错漏项的认定。中标人已标价工程量清单中，任一清单项目未填报价格或价格为零的，招标人将视为此项费用已包括在工程量清单项目的其它单价及合价中不予另外增加。</w:t>
            </w:r>
          </w:p>
        </w:tc>
      </w:tr>
      <w:tr w14:paraId="4F809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7" w:hRule="atLeast"/>
        </w:trPr>
        <w:tc>
          <w:tcPr>
            <w:tcW w:w="582" w:type="dxa"/>
            <w:vAlign w:val="center"/>
          </w:tcPr>
          <w:p w14:paraId="2A703940">
            <w:pPr>
              <w:keepNext w:val="0"/>
              <w:keepLines w:val="0"/>
              <w:pageBreakBefore w:val="0"/>
              <w:wordWrap w:val="0"/>
              <w:overflowPunct/>
              <w:topLinePunct w:val="0"/>
              <w:bidi w:val="0"/>
              <w:spacing w:before="284" w:line="188"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25</w:t>
            </w:r>
          </w:p>
        </w:tc>
        <w:tc>
          <w:tcPr>
            <w:tcW w:w="1860" w:type="dxa"/>
            <w:vAlign w:val="center"/>
          </w:tcPr>
          <w:p w14:paraId="169F8CD2">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投标费用</w:t>
            </w:r>
          </w:p>
        </w:tc>
        <w:tc>
          <w:tcPr>
            <w:tcW w:w="7656" w:type="dxa"/>
            <w:vAlign w:val="center"/>
          </w:tcPr>
          <w:p w14:paraId="6A66A491">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投标人自行承担编制与递交投标文件的一切费用。</w:t>
            </w:r>
          </w:p>
        </w:tc>
      </w:tr>
      <w:tr w14:paraId="59584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vAlign w:val="center"/>
          </w:tcPr>
          <w:p w14:paraId="39B3D201">
            <w:pPr>
              <w:keepNext w:val="0"/>
              <w:keepLines w:val="0"/>
              <w:pageBreakBefore w:val="0"/>
              <w:wordWrap w:val="0"/>
              <w:overflowPunct/>
              <w:topLinePunct w:val="0"/>
              <w:bidi w:val="0"/>
              <w:spacing w:before="69" w:line="188"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26</w:t>
            </w:r>
          </w:p>
        </w:tc>
        <w:tc>
          <w:tcPr>
            <w:tcW w:w="1860" w:type="dxa"/>
            <w:vAlign w:val="center"/>
          </w:tcPr>
          <w:p w14:paraId="728110B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投标人资格要求</w:t>
            </w:r>
          </w:p>
        </w:tc>
        <w:tc>
          <w:tcPr>
            <w:tcW w:w="7656" w:type="dxa"/>
            <w:vAlign w:val="center"/>
          </w:tcPr>
          <w:p w14:paraId="330937F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1.本次招标</w:t>
            </w:r>
            <w:r>
              <w:rPr>
                <w:rFonts w:hint="eastAsia" w:ascii="宋体" w:hAnsi="宋体" w:eastAsia="宋体" w:cs="宋体"/>
                <w:b/>
                <w:bCs/>
                <w:snapToGrid w:val="0"/>
                <w:color w:val="000000" w:themeColor="text1"/>
                <w:spacing w:val="0"/>
                <w:kern w:val="0"/>
                <w:sz w:val="21"/>
                <w:szCs w:val="21"/>
                <w:highlight w:val="none"/>
                <w:lang w:eastAsia="zh-CN"/>
                <w14:textFill>
                  <w14:solidFill>
                    <w14:schemeClr w14:val="tx1"/>
                  </w14:solidFill>
                </w14:textFill>
              </w:rPr>
              <w:t>接受</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联合体投标，联合体以一个投标人的身份共同投标。</w:t>
            </w:r>
          </w:p>
          <w:p w14:paraId="7E40731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1.1 联合体成员数量不超过2个。</w:t>
            </w:r>
          </w:p>
          <w:p w14:paraId="204D798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1.2 联合体各方应按招标文件提供的格式签订联合体协议书，明确联合体牵头人和各方权利义务，并承诺就中标项目向招标人承担连带责任。《联合体协议书》作为投标文件的组成部分向招标人提交。</w:t>
            </w:r>
          </w:p>
          <w:p w14:paraId="6497A54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1.3 联合体成员单位均应具备拟承担的工作内容（以《联合体协议书》的约定为准）所规定的资格条件。若同一工作内容由两个或两个以上单位共同承担，该项工作内容按照资质等级较低的单位确定联合体资质等级。</w:t>
            </w:r>
          </w:p>
          <w:p w14:paraId="1B0027D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1.4 联合体各方不得再以自己名义单独或参加其他联合体在本招标项目中投标，否则各相关投标均无效。</w:t>
            </w:r>
          </w:p>
          <w:p w14:paraId="11991F2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2.资质要求</w:t>
            </w:r>
          </w:p>
          <w:p w14:paraId="48C60A84">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2.1 投标人须具备独立法人资格，按国家法律经营。</w:t>
            </w:r>
          </w:p>
          <w:p w14:paraId="4048220C">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2.2 投标人（组成联合体时指联合体</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双</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方）须持有建设行政主管部门颁发的企业资质证书及安全生产许可证。</w:t>
            </w:r>
          </w:p>
          <w:p w14:paraId="4FBEBC6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2.3 投标人须具备以下资质：</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参加投标的投标人可以是单一独立法人或由不超过两家独立法人组成的联合体，联合体双方不得再以自己的名义单独申请，也不得同时参加两个或两个以上的联合体进行本项目的投标。投标人（组成联合体投标的，指联合体双方）须具备建设行政主管部门颁发的市政公用工程施工总承包</w:t>
            </w:r>
            <w:r>
              <w:rPr>
                <w:rFonts w:hint="eastAsia" w:ascii="宋体" w:hAnsi="宋体" w:eastAsia="宋体" w:cs="宋体"/>
                <w:snapToGrid w:val="0"/>
                <w:color w:val="000000" w:themeColor="text1"/>
                <w:spacing w:val="0"/>
                <w:kern w:val="0"/>
                <w:sz w:val="21"/>
                <w:szCs w:val="21"/>
                <w:highlight w:val="none"/>
                <w:u w:val="single"/>
                <w:lang w:val="en-US" w:eastAsia="zh-CN"/>
                <w14:textFill>
                  <w14:solidFill>
                    <w14:schemeClr w14:val="tx1"/>
                  </w14:solidFill>
                </w14:textFill>
              </w:rPr>
              <w:t>三</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级以上（含</w:t>
            </w:r>
            <w:r>
              <w:rPr>
                <w:rFonts w:hint="eastAsia" w:ascii="宋体" w:hAnsi="宋体" w:eastAsia="宋体" w:cs="宋体"/>
                <w:snapToGrid w:val="0"/>
                <w:color w:val="000000" w:themeColor="text1"/>
                <w:spacing w:val="0"/>
                <w:kern w:val="0"/>
                <w:sz w:val="21"/>
                <w:szCs w:val="21"/>
                <w:highlight w:val="none"/>
                <w:u w:val="single"/>
                <w:lang w:val="en-US" w:eastAsia="zh-CN"/>
                <w14:textFill>
                  <w14:solidFill>
                    <w14:schemeClr w14:val="tx1"/>
                  </w14:solidFill>
                </w14:textFill>
              </w:rPr>
              <w:t>三</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级）资质。</w:t>
            </w:r>
          </w:p>
          <w:p w14:paraId="1E67CBD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2.4 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6E1B7DB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3.相关人员要求</w:t>
            </w:r>
          </w:p>
          <w:p w14:paraId="34B51453">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3.1  拟派项目经理为</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市政公用工程</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专业一级或二级注册建造师，应持有住建部门印发的在使用有效期内的有效电子注册证书（根据广东省住房和城乡建设厅（粤建市函〔2023〕469号）文件精神，二级注册建造师可随注册企业在全国范围内执业）。同时均须具备有效安全生产考核合格证明（B证），且未担任其他在施（包括已中标未开工、已开工未竣工）建设工程项目的项目经理。</w:t>
            </w:r>
          </w:p>
          <w:p w14:paraId="526D959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3.2 拟派项目技术负责人须具备</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市政工程</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相关专业</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中</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级以上（含</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中</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级）技术职称。</w:t>
            </w:r>
          </w:p>
          <w:p w14:paraId="7E279E0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3.3 投标人拟派专职安全生产管理人员须具备有效安全生产考核合格证明（C证，安全生产考核合格证书或“广东省建筑施工企业管理人员安全生产考核系统”考核合格信息打印页），且不少于</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 xml:space="preserve"> 1 </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人。</w:t>
            </w:r>
          </w:p>
          <w:p w14:paraId="4F35C3C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3.4 投标人（包括组成联合体的所有成员单位）与其拟派往本项目管理机构的所有人员之间必须具备合法、唯一的劳动聘用关系。拟派人员中具备注册执业资格的，其注册单位须与投标人保持一致。</w:t>
            </w:r>
          </w:p>
          <w:p w14:paraId="68CF7C1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4.禁止投标条款：</w:t>
            </w:r>
          </w:p>
          <w:p w14:paraId="756E14C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4.1  投标人不得存在下列情形之一：</w:t>
            </w:r>
          </w:p>
          <w:p w14:paraId="68C2B4A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（1）为招标人不具有独立法人资格的附属机构（单位）；</w:t>
            </w:r>
          </w:p>
          <w:p w14:paraId="44593C8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（2）为本招标项目前期准备提供设计或咨询服务的；</w:t>
            </w:r>
          </w:p>
          <w:p w14:paraId="59CFF19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（3）与本招标项目的其他投标人为同一个单位负责人；</w:t>
            </w:r>
          </w:p>
          <w:p w14:paraId="2AE6D683">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（4）与本招标项目的其他投标人存在控股、管理关系；</w:t>
            </w:r>
          </w:p>
          <w:p w14:paraId="38CFB62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（5）为本招标项目的监理人；</w:t>
            </w:r>
          </w:p>
          <w:p w14:paraId="1419324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（6）为本招标项目的代建人；</w:t>
            </w:r>
          </w:p>
          <w:p w14:paraId="170099A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（7）为本招标项目的招标代理机构；</w:t>
            </w:r>
          </w:p>
          <w:p w14:paraId="062B5CB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（8）与本招标项目的监理人或代建人或招标代理机构同为一个 法定代表人；</w:t>
            </w:r>
          </w:p>
          <w:p w14:paraId="76338A8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（9）与本招标项目的监理人或代建人或招标代理机构存在控股或参股关系；</w:t>
            </w:r>
          </w:p>
          <w:p w14:paraId="2A915A3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（10）与本招标项目的监理人或代建人或招标代理机构存在相互任职或工作关系；</w:t>
            </w:r>
          </w:p>
          <w:p w14:paraId="2D49455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（11）被依法暂停或者取消投标资格；</w:t>
            </w:r>
          </w:p>
          <w:p w14:paraId="335907D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（12）被责令停产停业、暂扣或者吊销许可证、暂扣或者吊销执照；</w:t>
            </w:r>
          </w:p>
          <w:p w14:paraId="146AB41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（13）进入清算程序，或被宣告破产，或其他丧失履约能力的情形；</w:t>
            </w:r>
          </w:p>
          <w:p w14:paraId="730679DE">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（14）在最近三年内发生重大工程质量或安全问题（以相关行业主管部门的行政处罚决定或司法机关出具的有关法律文书为准）；</w:t>
            </w:r>
          </w:p>
          <w:p w14:paraId="4202D8C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（15）被“信用中国 ”网站（https://www.creditchina.gov.cn）发布的《法人和非法人组织公共信用信息报告》列为严重失信主体名单的。</w:t>
            </w:r>
          </w:p>
          <w:p w14:paraId="587EA45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4.2  招标人拒绝以下名单中的单位参加本次投标：</w:t>
            </w:r>
          </w:p>
          <w:tbl>
            <w:tblPr>
              <w:tblStyle w:val="14"/>
              <w:tblW w:w="7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3510"/>
              <w:gridCol w:w="3371"/>
            </w:tblGrid>
            <w:tr w14:paraId="526D2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677" w:type="dxa"/>
                  <w:vAlign w:val="center"/>
                </w:tcPr>
                <w:p w14:paraId="60DBAAFB">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序号</w:t>
                  </w:r>
                </w:p>
              </w:tc>
              <w:tc>
                <w:tcPr>
                  <w:tcW w:w="3510" w:type="dxa"/>
                  <w:vAlign w:val="center"/>
                </w:tcPr>
                <w:p w14:paraId="7B05472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单位名称</w:t>
                  </w:r>
                </w:p>
              </w:tc>
              <w:tc>
                <w:tcPr>
                  <w:tcW w:w="3371" w:type="dxa"/>
                  <w:vAlign w:val="center"/>
                </w:tcPr>
                <w:p w14:paraId="4FE91A1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拒绝原因</w:t>
                  </w:r>
                </w:p>
              </w:tc>
            </w:tr>
            <w:tr w14:paraId="1DBB6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677" w:type="dxa"/>
                  <w:vAlign w:val="center"/>
                </w:tcPr>
                <w:p w14:paraId="5735F3E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1</w:t>
                  </w:r>
                </w:p>
              </w:tc>
              <w:tc>
                <w:tcPr>
                  <w:tcW w:w="3510" w:type="dxa"/>
                  <w:vAlign w:val="center"/>
                </w:tcPr>
                <w:p w14:paraId="25D93D70">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新丰县回龙镇人民政府</w:t>
                  </w:r>
                </w:p>
              </w:tc>
              <w:tc>
                <w:tcPr>
                  <w:tcW w:w="3371" w:type="dxa"/>
                  <w:vAlign w:val="center"/>
                </w:tcPr>
                <w:p w14:paraId="42F41EC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为本招标项目的招标人</w:t>
                  </w:r>
                </w:p>
              </w:tc>
            </w:tr>
            <w:tr w14:paraId="625F7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677" w:type="dxa"/>
                  <w:vAlign w:val="center"/>
                </w:tcPr>
                <w:p w14:paraId="27F653D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2</w:t>
                  </w:r>
                </w:p>
              </w:tc>
              <w:tc>
                <w:tcPr>
                  <w:tcW w:w="3510" w:type="dxa"/>
                  <w:vAlign w:val="center"/>
                </w:tcPr>
                <w:p w14:paraId="74BC464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成致项目管理有限公司</w:t>
                  </w:r>
                </w:p>
              </w:tc>
              <w:tc>
                <w:tcPr>
                  <w:tcW w:w="3371" w:type="dxa"/>
                  <w:vAlign w:val="center"/>
                </w:tcPr>
                <w:p w14:paraId="15ADD93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为本招标项目的招标代理机构</w:t>
                  </w:r>
                </w:p>
              </w:tc>
            </w:tr>
            <w:tr w14:paraId="0D97B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77" w:type="dxa"/>
                  <w:vAlign w:val="center"/>
                </w:tcPr>
                <w:p w14:paraId="681D054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3</w:t>
                  </w:r>
                </w:p>
              </w:tc>
              <w:tc>
                <w:tcPr>
                  <w:tcW w:w="3510" w:type="dxa"/>
                  <w:vAlign w:val="center"/>
                </w:tcPr>
                <w:p w14:paraId="53846CB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成致项目管理有限公司</w:t>
                  </w:r>
                </w:p>
              </w:tc>
              <w:tc>
                <w:tcPr>
                  <w:tcW w:w="3371" w:type="dxa"/>
                  <w:vAlign w:val="center"/>
                </w:tcPr>
                <w:p w14:paraId="0BBAABD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default"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为本招标项目的监理单位</w:t>
                  </w:r>
                </w:p>
              </w:tc>
            </w:tr>
            <w:tr w14:paraId="2DAD5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677" w:type="dxa"/>
                  <w:vAlign w:val="center"/>
                </w:tcPr>
                <w:p w14:paraId="58ABAC6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4</w:t>
                  </w:r>
                </w:p>
              </w:tc>
              <w:tc>
                <w:tcPr>
                  <w:tcW w:w="3510" w:type="dxa"/>
                  <w:vAlign w:val="center"/>
                </w:tcPr>
                <w:p w14:paraId="5559883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泰宇建筑工程技术咨询有限公司</w:t>
                  </w:r>
                </w:p>
              </w:tc>
              <w:tc>
                <w:tcPr>
                  <w:tcW w:w="3371" w:type="dxa"/>
                  <w:vAlign w:val="center"/>
                </w:tcPr>
                <w:p w14:paraId="58EF012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default"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为本招标项目的工程造价咨询单位</w:t>
                  </w:r>
                </w:p>
              </w:tc>
            </w:tr>
            <w:tr w14:paraId="40E4A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677" w:type="dxa"/>
                  <w:vAlign w:val="center"/>
                </w:tcPr>
                <w:p w14:paraId="49FFB44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5</w:t>
                  </w:r>
                </w:p>
              </w:tc>
              <w:tc>
                <w:tcPr>
                  <w:tcW w:w="3510" w:type="dxa"/>
                  <w:vAlign w:val="center"/>
                </w:tcPr>
                <w:p w14:paraId="550C122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新丰县丰江测绘工程技术有限责任公司</w:t>
                  </w:r>
                </w:p>
              </w:tc>
              <w:tc>
                <w:tcPr>
                  <w:tcW w:w="3371" w:type="dxa"/>
                  <w:vAlign w:val="center"/>
                </w:tcPr>
                <w:p w14:paraId="103548B0">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为本招标项目的测绘服务单位</w:t>
                  </w:r>
                </w:p>
              </w:tc>
            </w:tr>
            <w:tr w14:paraId="2E63A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77" w:type="dxa"/>
                  <w:vAlign w:val="center"/>
                </w:tcPr>
                <w:p w14:paraId="5DDBE29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6</w:t>
                  </w:r>
                </w:p>
              </w:tc>
              <w:tc>
                <w:tcPr>
                  <w:tcW w:w="3510" w:type="dxa"/>
                  <w:vAlign w:val="center"/>
                </w:tcPr>
                <w:p w14:paraId="69460C90">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中建联设计院（广州）股份有限公司</w:t>
                  </w:r>
                </w:p>
              </w:tc>
              <w:tc>
                <w:tcPr>
                  <w:tcW w:w="3371" w:type="dxa"/>
                  <w:vAlign w:val="center"/>
                </w:tcPr>
                <w:p w14:paraId="6BF7F2D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为本招标项目的施工图设计单位</w:t>
                  </w:r>
                </w:p>
              </w:tc>
            </w:tr>
          </w:tbl>
          <w:p w14:paraId="7E7C597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5.其他要求</w:t>
            </w:r>
          </w:p>
          <w:p w14:paraId="15FDD12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省外企业及其拟派往本项目管理机构的所有人员均须按照《广东省住房和城乡建设厅关于取消省外建筑企业和人员进粤信息备案有关工作的通知》（粤建市﹝2015﹞52 号）规定在“进粤企业和人员诚信信息登记平台 ”录入相关信息并通过数据规范检查。</w:t>
            </w:r>
          </w:p>
        </w:tc>
      </w:tr>
      <w:tr w14:paraId="67DD4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1" w:hRule="atLeast"/>
        </w:trPr>
        <w:tc>
          <w:tcPr>
            <w:tcW w:w="582" w:type="dxa"/>
            <w:vAlign w:val="center"/>
          </w:tcPr>
          <w:p w14:paraId="703F9879">
            <w:pPr>
              <w:keepNext w:val="0"/>
              <w:keepLines w:val="0"/>
              <w:pageBreakBefore w:val="0"/>
              <w:wordWrap w:val="0"/>
              <w:overflowPunct/>
              <w:topLinePunct w:val="0"/>
              <w:bidi w:val="0"/>
              <w:spacing w:before="19"/>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27</w:t>
            </w:r>
          </w:p>
        </w:tc>
        <w:tc>
          <w:tcPr>
            <w:tcW w:w="1860" w:type="dxa"/>
            <w:vAlign w:val="center"/>
          </w:tcPr>
          <w:p w14:paraId="4CB5E433">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投标有效期</w:t>
            </w:r>
          </w:p>
        </w:tc>
        <w:tc>
          <w:tcPr>
            <w:tcW w:w="7656" w:type="dxa"/>
            <w:vAlign w:val="center"/>
          </w:tcPr>
          <w:p w14:paraId="3D83EF0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本次招标的投标有效期为</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90</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 xml:space="preserve"> 个日历天。</w:t>
            </w:r>
          </w:p>
        </w:tc>
      </w:tr>
      <w:tr w14:paraId="61507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0" w:hRule="atLeast"/>
        </w:trPr>
        <w:tc>
          <w:tcPr>
            <w:tcW w:w="582" w:type="dxa"/>
            <w:vAlign w:val="center"/>
          </w:tcPr>
          <w:p w14:paraId="75B295D4">
            <w:pPr>
              <w:keepNext w:val="0"/>
              <w:keepLines w:val="0"/>
              <w:pageBreakBefore w:val="0"/>
              <w:wordWrap w:val="0"/>
              <w:overflowPunct/>
              <w:topLinePunct w:val="0"/>
              <w:bidi w:val="0"/>
              <w:spacing w:before="69" w:line="188" w:lineRule="auto"/>
              <w:ind w:left="205"/>
              <w:jc w:val="both"/>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28</w:t>
            </w:r>
          </w:p>
        </w:tc>
        <w:tc>
          <w:tcPr>
            <w:tcW w:w="1860" w:type="dxa"/>
            <w:vAlign w:val="center"/>
          </w:tcPr>
          <w:p w14:paraId="4BFBD8CB">
            <w:pPr>
              <w:widowControl w:val="0"/>
              <w:kinsoku/>
              <w:wordWrap w:val="0"/>
              <w:autoSpaceDE/>
              <w:autoSpaceDN/>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投标文件组成</w:t>
            </w:r>
          </w:p>
        </w:tc>
        <w:tc>
          <w:tcPr>
            <w:tcW w:w="7656" w:type="dxa"/>
            <w:vAlign w:val="center"/>
          </w:tcPr>
          <w:p w14:paraId="142ADE0B">
            <w:pPr>
              <w:widowControl w:val="0"/>
              <w:kinsoku/>
              <w:wordWrap w:val="0"/>
              <w:autoSpaceDE/>
              <w:autoSpaceDN/>
              <w:spacing w:line="400" w:lineRule="exact"/>
              <w:ind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投标文件包括商务标书、经济标书、施工组织设计、定标文件四个分册。</w:t>
            </w:r>
          </w:p>
        </w:tc>
      </w:tr>
      <w:tr w14:paraId="5A824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0" w:hRule="atLeast"/>
        </w:trPr>
        <w:tc>
          <w:tcPr>
            <w:tcW w:w="582" w:type="dxa"/>
            <w:vAlign w:val="center"/>
          </w:tcPr>
          <w:p w14:paraId="30846F92">
            <w:pPr>
              <w:keepNext w:val="0"/>
              <w:keepLines w:val="0"/>
              <w:pageBreakBefore w:val="0"/>
              <w:wordWrap w:val="0"/>
              <w:overflowPunct/>
              <w:topLinePunct w:val="0"/>
              <w:bidi w:val="0"/>
              <w:spacing w:before="69" w:line="188" w:lineRule="auto"/>
              <w:ind w:left="205"/>
              <w:jc w:val="both"/>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29</w:t>
            </w:r>
          </w:p>
        </w:tc>
        <w:tc>
          <w:tcPr>
            <w:tcW w:w="1860" w:type="dxa"/>
            <w:vAlign w:val="center"/>
          </w:tcPr>
          <w:p w14:paraId="0FC3CC3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施工组织设计评审方式</w:t>
            </w:r>
          </w:p>
        </w:tc>
        <w:tc>
          <w:tcPr>
            <w:tcW w:w="7656" w:type="dxa"/>
            <w:vAlign w:val="center"/>
          </w:tcPr>
          <w:p w14:paraId="4C6491C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本次招标施工组织设计</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 xml:space="preserve"> 不采用 </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“暗标”方式进行评审。</w:t>
            </w:r>
          </w:p>
        </w:tc>
      </w:tr>
      <w:tr w14:paraId="253BE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3" w:hRule="atLeast"/>
        </w:trPr>
        <w:tc>
          <w:tcPr>
            <w:tcW w:w="582" w:type="dxa"/>
            <w:vAlign w:val="center"/>
          </w:tcPr>
          <w:p w14:paraId="78D49806">
            <w:pPr>
              <w:keepNext w:val="0"/>
              <w:keepLines w:val="0"/>
              <w:pageBreakBefore w:val="0"/>
              <w:wordWrap w:val="0"/>
              <w:overflowPunct/>
              <w:topLinePunct w:val="0"/>
              <w:bidi w:val="0"/>
              <w:spacing w:before="69" w:line="188" w:lineRule="auto"/>
              <w:ind w:left="209"/>
              <w:jc w:val="both"/>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30</w:t>
            </w:r>
          </w:p>
        </w:tc>
        <w:tc>
          <w:tcPr>
            <w:tcW w:w="1860" w:type="dxa"/>
            <w:vAlign w:val="center"/>
          </w:tcPr>
          <w:p w14:paraId="65ACF683">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评标委员会</w:t>
            </w:r>
          </w:p>
        </w:tc>
        <w:tc>
          <w:tcPr>
            <w:tcW w:w="7656" w:type="dxa"/>
            <w:vAlign w:val="top"/>
          </w:tcPr>
          <w:p w14:paraId="61B142C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 xml:space="preserve">评标委员会由 5 人组成，其中招标人代表 </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1</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 xml:space="preserve"> 人，专家 </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4</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 xml:space="preserve"> 人。专家从广东省综合评标评审专家库</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（韶关</w:t>
            </w:r>
            <w:r>
              <w:rPr>
                <w:rFonts w:hint="eastAsia" w:ascii="宋体" w:hAnsi="宋体" w:eastAsia="宋体" w:cs="宋体"/>
                <w:snapToGrid w:val="0"/>
                <w:color w:val="000000" w:themeColor="text1"/>
                <w:spacing w:val="0"/>
                <w:kern w:val="0"/>
                <w:sz w:val="21"/>
                <w:szCs w:val="21"/>
                <w:highlight w:val="none"/>
                <w:u w:val="single"/>
                <w:lang w:val="en-US" w:eastAsia="zh-CN"/>
                <w14:textFill>
                  <w14:solidFill>
                    <w14:schemeClr w14:val="tx1"/>
                  </w14:solidFill>
                </w14:textFill>
              </w:rPr>
              <w:t>市</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区域）、（</w:t>
            </w:r>
            <w:r>
              <w:rPr>
                <w:rFonts w:hint="eastAsia" w:ascii="宋体" w:hAnsi="宋体" w:eastAsia="宋体" w:cs="宋体"/>
                <w:snapToGrid w:val="0"/>
                <w:color w:val="000000" w:themeColor="text1"/>
                <w:spacing w:val="0"/>
                <w:kern w:val="0"/>
                <w:sz w:val="21"/>
                <w:szCs w:val="21"/>
                <w:highlight w:val="none"/>
                <w:u w:val="single"/>
                <w:lang w:val="en-US" w:eastAsia="zh-CN"/>
                <w14:textFill>
                  <w14:solidFill>
                    <w14:schemeClr w14:val="tx1"/>
                  </w14:solidFill>
                </w14:textFill>
              </w:rPr>
              <w:t>广东省内异地评标区域</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 xml:space="preserve">中随机抽取，其中技术类专家 </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2</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 xml:space="preserve"> 人，经济类专家 2 人。</w:t>
            </w:r>
          </w:p>
          <w:p w14:paraId="2CD3C03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根据《广东省远程异地评标招标项目范围规定(试行)》(粤发改规(2026)8号)</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文件要求</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，本项目采用远程异地评标方式进行评标，评标委员会员分别在主场和副场通过电子交易系统远程参加评标活动。</w:t>
            </w:r>
          </w:p>
        </w:tc>
      </w:tr>
      <w:tr w14:paraId="4DBB4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trPr>
        <w:tc>
          <w:tcPr>
            <w:tcW w:w="582" w:type="dxa"/>
            <w:vAlign w:val="center"/>
          </w:tcPr>
          <w:p w14:paraId="52927E18">
            <w:pPr>
              <w:keepNext w:val="0"/>
              <w:keepLines w:val="0"/>
              <w:pageBreakBefore w:val="0"/>
              <w:wordWrap w:val="0"/>
              <w:overflowPunct/>
              <w:topLinePunct w:val="0"/>
              <w:bidi w:val="0"/>
              <w:spacing w:before="258" w:line="188" w:lineRule="auto"/>
              <w:ind w:left="209"/>
              <w:jc w:val="both"/>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31</w:t>
            </w:r>
          </w:p>
        </w:tc>
        <w:tc>
          <w:tcPr>
            <w:tcW w:w="1860" w:type="dxa"/>
            <w:vAlign w:val="center"/>
          </w:tcPr>
          <w:p w14:paraId="3720AA4B">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评标方法</w:t>
            </w:r>
          </w:p>
        </w:tc>
        <w:tc>
          <w:tcPr>
            <w:tcW w:w="7656" w:type="dxa"/>
            <w:vAlign w:val="center"/>
          </w:tcPr>
          <w:p w14:paraId="3B1753D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 A＋B 值评标法  □经评审的最低投标价法   ☑综合评估法</w:t>
            </w:r>
          </w:p>
        </w:tc>
      </w:tr>
      <w:tr w14:paraId="06F94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trPr>
        <w:tc>
          <w:tcPr>
            <w:tcW w:w="582" w:type="dxa"/>
            <w:vAlign w:val="center"/>
          </w:tcPr>
          <w:p w14:paraId="34AFF4A1">
            <w:pPr>
              <w:wordWrap w:val="0"/>
              <w:spacing w:before="69" w:line="188" w:lineRule="auto"/>
              <w:ind w:left="209" w:leftChars="0"/>
              <w:jc w:val="both"/>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32</w:t>
            </w:r>
          </w:p>
        </w:tc>
        <w:tc>
          <w:tcPr>
            <w:tcW w:w="1860" w:type="dxa"/>
            <w:vAlign w:val="center"/>
          </w:tcPr>
          <w:p w14:paraId="54159718">
            <w:pPr>
              <w:widowControl w:val="0"/>
              <w:kinsoku/>
              <w:wordWrap w:val="0"/>
              <w:autoSpaceDE/>
              <w:autoSpaceDN/>
              <w:adjustRightInd/>
              <w:snapToGrid/>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定</w:t>
            </w:r>
            <w:r>
              <w:rPr>
                <w:rFonts w:hint="eastAsia" w:ascii="宋体" w:hAnsi="宋体" w:eastAsia="宋体" w:cs="宋体"/>
                <w:color w:val="000000" w:themeColor="text1"/>
                <w:highlight w:val="none"/>
                <w14:textFill>
                  <w14:solidFill>
                    <w14:schemeClr w14:val="tx1"/>
                  </w14:solidFill>
                </w14:textFill>
              </w:rPr>
              <w:t>标委员会</w:t>
            </w:r>
          </w:p>
        </w:tc>
        <w:tc>
          <w:tcPr>
            <w:tcW w:w="7656" w:type="dxa"/>
            <w:vAlign w:val="center"/>
          </w:tcPr>
          <w:p w14:paraId="1AB55988">
            <w:pPr>
              <w:widowControl w:val="0"/>
              <w:kinsoku/>
              <w:autoSpaceDE/>
              <w:autoSpaceDN/>
              <w:adjustRightInd/>
              <w:snapToGrid/>
              <w:spacing w:line="400" w:lineRule="exact"/>
              <w:ind w:left="105" w:leftChars="50" w:right="105" w:rightChars="50"/>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本项目定标委员会组成人员为</w:t>
            </w:r>
            <w:r>
              <w:rPr>
                <w:rFonts w:hint="eastAsia" w:ascii="宋体" w:hAnsi="宋体" w:eastAsia="宋体" w:cs="宋体"/>
                <w:color w:val="000000" w:themeColor="text1"/>
                <w:highlight w:val="none"/>
                <w:u w:val="single"/>
                <w:lang w:eastAsia="zh-CN"/>
                <w14:textFill>
                  <w14:solidFill>
                    <w14:schemeClr w14:val="tx1"/>
                  </w14:solidFill>
                </w14:textFill>
              </w:rPr>
              <w:t xml:space="preserve"> 7 </w:t>
            </w:r>
            <w:r>
              <w:rPr>
                <w:rFonts w:hint="eastAsia" w:ascii="宋体" w:hAnsi="宋体" w:eastAsia="宋体" w:cs="宋体"/>
                <w:color w:val="000000" w:themeColor="text1"/>
                <w:highlight w:val="none"/>
                <w:lang w:eastAsia="zh-CN"/>
                <w14:textFill>
                  <w14:solidFill>
                    <w14:schemeClr w14:val="tx1"/>
                  </w14:solidFill>
                </w14:textFill>
              </w:rPr>
              <w:t>人。</w:t>
            </w:r>
          </w:p>
        </w:tc>
      </w:tr>
      <w:tr w14:paraId="574D4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trPr>
        <w:tc>
          <w:tcPr>
            <w:tcW w:w="582" w:type="dxa"/>
            <w:vAlign w:val="center"/>
          </w:tcPr>
          <w:p w14:paraId="0D91F791">
            <w:pPr>
              <w:widowControl w:val="0"/>
              <w:kinsoku/>
              <w:wordWrap w:val="0"/>
              <w:autoSpaceDE/>
              <w:autoSpaceDN/>
              <w:adjustRightInd/>
              <w:snapToGrid/>
              <w:spacing w:line="400" w:lineRule="exact"/>
              <w:jc w:val="center"/>
              <w:textAlignment w:val="auto"/>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33</w:t>
            </w:r>
          </w:p>
        </w:tc>
        <w:tc>
          <w:tcPr>
            <w:tcW w:w="1860" w:type="dxa"/>
            <w:vAlign w:val="center"/>
          </w:tcPr>
          <w:p w14:paraId="79AAF6E1">
            <w:pPr>
              <w:widowControl w:val="0"/>
              <w:kinsoku/>
              <w:wordWrap w:val="0"/>
              <w:autoSpaceDE/>
              <w:autoSpaceDN/>
              <w:adjustRightInd/>
              <w:snapToGrid/>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定标办法</w:t>
            </w:r>
          </w:p>
        </w:tc>
        <w:tc>
          <w:tcPr>
            <w:tcW w:w="7656" w:type="dxa"/>
            <w:vAlign w:val="center"/>
          </w:tcPr>
          <w:p w14:paraId="1209EC1A">
            <w:pPr>
              <w:widowControl w:val="0"/>
              <w:kinsoku/>
              <w:autoSpaceDE/>
              <w:autoSpaceDN/>
              <w:adjustRightInd/>
              <w:snapToGrid/>
              <w:spacing w:line="400" w:lineRule="exact"/>
              <w:ind w:left="105" w:leftChars="50" w:right="105" w:rightChars="50"/>
              <w:textAlignment w:val="auto"/>
              <w:rPr>
                <w:rFonts w:hint="eastAsia" w:ascii="宋体" w:hAnsi="宋体" w:eastAsia="宋体" w:cs="宋体"/>
                <w:bCs/>
                <w:color w:val="000000" w:themeColor="text1"/>
                <w:highlight w:val="none"/>
                <w:lang w:eastAsia="zh-CN"/>
                <w14:textFill>
                  <w14:solidFill>
                    <w14:schemeClr w14:val="tx1"/>
                  </w14:solidFill>
                </w14:textFill>
              </w:rPr>
            </w:pPr>
            <w:r>
              <w:rPr>
                <w:rFonts w:hint="eastAsia" w:ascii="宋体" w:hAnsi="宋体" w:eastAsia="宋体" w:cs="宋体"/>
                <w:bCs/>
                <w:color w:val="000000" w:themeColor="text1"/>
                <w:highlight w:val="none"/>
                <w:lang w:eastAsia="zh-CN"/>
                <w14:textFill>
                  <w14:solidFill>
                    <w14:schemeClr w14:val="tx1"/>
                  </w14:solidFill>
                </w14:textFill>
              </w:rPr>
              <w:t>本项目采用</w:t>
            </w:r>
            <w:r>
              <w:rPr>
                <w:rFonts w:hint="eastAsia" w:ascii="宋体" w:hAnsi="宋体" w:eastAsia="宋体" w:cs="宋体"/>
                <w:b/>
                <w:color w:val="000000" w:themeColor="text1"/>
                <w:highlight w:val="none"/>
                <w:lang w:eastAsia="zh-CN"/>
                <w14:textFill>
                  <w14:solidFill>
                    <w14:schemeClr w14:val="tx1"/>
                  </w14:solidFill>
                </w14:textFill>
              </w:rPr>
              <w:t>评定分离</w:t>
            </w:r>
            <w:r>
              <w:rPr>
                <w:rFonts w:hint="eastAsia" w:ascii="宋体" w:hAnsi="宋体" w:eastAsia="宋体" w:cs="宋体"/>
                <w:bCs/>
                <w:color w:val="000000" w:themeColor="text1"/>
                <w:highlight w:val="none"/>
                <w:lang w:eastAsia="zh-CN"/>
                <w14:textFill>
                  <w14:solidFill>
                    <w14:schemeClr w14:val="tx1"/>
                  </w14:solidFill>
                </w14:textFill>
              </w:rPr>
              <w:t>，应选定下列定标办法：</w:t>
            </w:r>
          </w:p>
          <w:p w14:paraId="5BD1FC33">
            <w:pPr>
              <w:widowControl w:val="0"/>
              <w:kinsoku/>
              <w:autoSpaceDE/>
              <w:autoSpaceDN/>
              <w:adjustRightInd/>
              <w:snapToGrid/>
              <w:spacing w:line="400" w:lineRule="exact"/>
              <w:ind w:left="105" w:leftChars="50" w:right="105" w:rightChars="50"/>
              <w:textAlignment w:val="auto"/>
              <w:rPr>
                <w:rFonts w:hint="eastAsia" w:ascii="宋体" w:hAnsi="宋体" w:eastAsia="宋体" w:cs="宋体"/>
                <w:bCs/>
                <w:color w:val="000000" w:themeColor="text1"/>
                <w:highlight w:val="none"/>
                <w:lang w:eastAsia="zh-CN"/>
                <w14:textFill>
                  <w14:solidFill>
                    <w14:schemeClr w14:val="tx1"/>
                  </w14:solidFill>
                </w14:textFill>
              </w:rPr>
            </w:pPr>
            <w:r>
              <w:rPr>
                <w:rFonts w:hint="eastAsia" w:ascii="宋体" w:hAnsi="宋体" w:eastAsia="宋体" w:cs="宋体"/>
                <w:bCs/>
                <w:color w:val="000000" w:themeColor="text1"/>
                <w:highlight w:val="none"/>
                <w:lang w:eastAsia="zh-CN"/>
                <w14:textFill>
                  <w14:solidFill>
                    <w14:schemeClr w14:val="tx1"/>
                  </w14:solidFill>
                </w14:textFill>
              </w:rPr>
              <w:t>☑票决数量法</w:t>
            </w:r>
          </w:p>
          <w:p w14:paraId="20E3BCC8">
            <w:pPr>
              <w:widowControl w:val="0"/>
              <w:kinsoku/>
              <w:autoSpaceDE/>
              <w:autoSpaceDN/>
              <w:adjustRightInd/>
              <w:snapToGrid/>
              <w:spacing w:line="400" w:lineRule="exact"/>
              <w:ind w:left="105" w:leftChars="50" w:right="105" w:rightChars="50"/>
              <w:textAlignment w:val="auto"/>
              <w:rPr>
                <w:rFonts w:hint="eastAsia" w:ascii="宋体" w:hAnsi="宋体" w:eastAsia="宋体" w:cs="宋体"/>
                <w:bCs/>
                <w:color w:val="000000" w:themeColor="text1"/>
                <w:highlight w:val="none"/>
                <w:lang w:eastAsia="zh-CN"/>
                <w14:textFill>
                  <w14:solidFill>
                    <w14:schemeClr w14:val="tx1"/>
                  </w14:solidFill>
                </w14:textFill>
              </w:rPr>
            </w:pPr>
            <w:r>
              <w:rPr>
                <w:rFonts w:hint="eastAsia" w:ascii="宋体" w:hAnsi="宋体" w:eastAsia="宋体" w:cs="宋体"/>
                <w:bCs/>
                <w:color w:val="000000" w:themeColor="text1"/>
                <w:highlight w:val="none"/>
                <w:lang w:eastAsia="zh-CN"/>
                <w14:textFill>
                  <w14:solidFill>
                    <w14:schemeClr w14:val="tx1"/>
                  </w14:solidFill>
                </w14:textFill>
              </w:rPr>
              <w:t>□票决计分法</w:t>
            </w:r>
          </w:p>
          <w:p w14:paraId="2AE3A62C">
            <w:pPr>
              <w:widowControl w:val="0"/>
              <w:kinsoku/>
              <w:autoSpaceDE/>
              <w:autoSpaceDN/>
              <w:adjustRightInd/>
              <w:snapToGrid/>
              <w:spacing w:line="400" w:lineRule="exact"/>
              <w:ind w:left="105" w:leftChars="50" w:right="105" w:rightChars="50"/>
              <w:textAlignment w:val="auto"/>
              <w:rPr>
                <w:rFonts w:hint="eastAsia" w:ascii="宋体" w:hAnsi="宋体" w:eastAsia="宋体" w:cs="宋体"/>
                <w:bCs/>
                <w:color w:val="000000" w:themeColor="text1"/>
                <w:highlight w:val="none"/>
                <w:lang w:eastAsia="zh-CN"/>
                <w14:textFill>
                  <w14:solidFill>
                    <w14:schemeClr w14:val="tx1"/>
                  </w14:solidFill>
                </w14:textFill>
              </w:rPr>
            </w:pPr>
            <w:r>
              <w:rPr>
                <w:rFonts w:hint="eastAsia" w:ascii="宋体" w:hAnsi="宋体" w:eastAsia="宋体" w:cs="宋体"/>
                <w:bCs/>
                <w:color w:val="000000" w:themeColor="text1"/>
                <w:highlight w:val="none"/>
                <w:lang w:eastAsia="zh-CN"/>
                <w14:textFill>
                  <w14:solidFill>
                    <w14:schemeClr w14:val="tx1"/>
                  </w14:solidFill>
                </w14:textFill>
              </w:rPr>
              <w:t>□集体议事法</w:t>
            </w:r>
          </w:p>
          <w:p w14:paraId="247111D6">
            <w:pPr>
              <w:widowControl w:val="0"/>
              <w:kinsoku/>
              <w:autoSpaceDE/>
              <w:autoSpaceDN/>
              <w:adjustRightInd/>
              <w:snapToGrid/>
              <w:spacing w:line="400" w:lineRule="exact"/>
              <w:ind w:left="105" w:leftChars="50" w:right="105" w:rightChars="50"/>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bCs/>
                <w:color w:val="000000" w:themeColor="text1"/>
                <w:highlight w:val="none"/>
                <w:lang w:eastAsia="zh-CN"/>
                <w14:textFill>
                  <w14:solidFill>
                    <w14:schemeClr w14:val="tx1"/>
                  </w14:solidFill>
                </w14:textFill>
              </w:rPr>
              <w:t>□其他方法：</w:t>
            </w:r>
          </w:p>
        </w:tc>
      </w:tr>
      <w:tr w14:paraId="34640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trPr>
        <w:tc>
          <w:tcPr>
            <w:tcW w:w="582" w:type="dxa"/>
            <w:vAlign w:val="center"/>
          </w:tcPr>
          <w:p w14:paraId="53B59C7D">
            <w:pPr>
              <w:widowControl w:val="0"/>
              <w:kinsoku/>
              <w:wordWrap w:val="0"/>
              <w:autoSpaceDE/>
              <w:autoSpaceDN/>
              <w:adjustRightInd/>
              <w:snapToGrid/>
              <w:spacing w:line="400" w:lineRule="exact"/>
              <w:jc w:val="center"/>
              <w:textAlignment w:val="auto"/>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w:t>
            </w:r>
            <w:r>
              <w:rPr>
                <w:rFonts w:hint="eastAsia" w:ascii="宋体" w:hAnsi="宋体" w:eastAsia="宋体" w:cs="宋体"/>
                <w:color w:val="000000" w:themeColor="text1"/>
                <w:highlight w:val="none"/>
                <w:lang w:eastAsia="zh-CN"/>
                <w14:textFill>
                  <w14:solidFill>
                    <w14:schemeClr w14:val="tx1"/>
                  </w14:solidFill>
                </w14:textFill>
              </w:rPr>
              <w:t>4</w:t>
            </w:r>
          </w:p>
        </w:tc>
        <w:tc>
          <w:tcPr>
            <w:tcW w:w="1860" w:type="dxa"/>
            <w:vAlign w:val="center"/>
          </w:tcPr>
          <w:p w14:paraId="7F0B1E34">
            <w:pPr>
              <w:widowControl w:val="0"/>
              <w:kinsoku/>
              <w:wordWrap w:val="0"/>
              <w:autoSpaceDE/>
              <w:autoSpaceDN/>
              <w:adjustRightInd/>
              <w:snapToGrid/>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投标文件编制及份数要求</w:t>
            </w:r>
          </w:p>
        </w:tc>
        <w:tc>
          <w:tcPr>
            <w:tcW w:w="7656" w:type="dxa"/>
            <w:vAlign w:val="center"/>
          </w:tcPr>
          <w:p w14:paraId="2375DD06">
            <w:pPr>
              <w:widowControl w:val="0"/>
              <w:kinsoku/>
              <w:wordWrap w:val="0"/>
              <w:autoSpaceDE/>
              <w:autoSpaceDN/>
              <w:spacing w:line="400" w:lineRule="exact"/>
              <w:ind w:firstLine="191" w:firstLineChars="91"/>
              <w:jc w:val="both"/>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投标人须上传（递交）投标文件：</w:t>
            </w:r>
          </w:p>
          <w:p w14:paraId="1FF287EC">
            <w:pPr>
              <w:widowControl w:val="0"/>
              <w:kinsoku/>
              <w:wordWrap w:val="0"/>
              <w:autoSpaceDE/>
              <w:autoSpaceDN/>
              <w:spacing w:line="400" w:lineRule="exact"/>
              <w:ind w:firstLine="191" w:firstLineChars="91"/>
              <w:jc w:val="both"/>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1、电子投标文件一套：</w:t>
            </w:r>
          </w:p>
          <w:p w14:paraId="4CAA3894">
            <w:pPr>
              <w:widowControl w:val="0"/>
              <w:kinsoku/>
              <w:wordWrap w:val="0"/>
              <w:autoSpaceDE/>
              <w:autoSpaceDN/>
              <w:spacing w:line="400" w:lineRule="exact"/>
              <w:ind w:firstLine="191" w:firstLineChars="91"/>
              <w:jc w:val="both"/>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（1）商务标书1份；</w:t>
            </w:r>
          </w:p>
          <w:p w14:paraId="5BCEFDEC">
            <w:pPr>
              <w:widowControl w:val="0"/>
              <w:kinsoku/>
              <w:wordWrap w:val="0"/>
              <w:autoSpaceDE/>
              <w:autoSpaceDN/>
              <w:spacing w:line="400" w:lineRule="exact"/>
              <w:ind w:firstLine="191" w:firstLineChars="91"/>
              <w:jc w:val="both"/>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（2）经济标书1份；</w:t>
            </w:r>
          </w:p>
          <w:p w14:paraId="431B3130">
            <w:pPr>
              <w:widowControl w:val="0"/>
              <w:kinsoku/>
              <w:wordWrap w:val="0"/>
              <w:autoSpaceDE/>
              <w:autoSpaceDN/>
              <w:spacing w:line="400" w:lineRule="exact"/>
              <w:ind w:firstLine="191" w:firstLineChars="91"/>
              <w:jc w:val="both"/>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 xml:space="preserve">（3）施工组织设计1份； </w:t>
            </w:r>
          </w:p>
          <w:p w14:paraId="22E63715">
            <w:pPr>
              <w:widowControl w:val="0"/>
              <w:kinsoku/>
              <w:wordWrap w:val="0"/>
              <w:autoSpaceDE/>
              <w:autoSpaceDN/>
              <w:spacing w:line="400" w:lineRule="exact"/>
              <w:ind w:firstLine="191" w:firstLineChars="91"/>
              <w:jc w:val="both"/>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（4）定标文件1份；</w:t>
            </w:r>
          </w:p>
          <w:p w14:paraId="0B6AF076">
            <w:pPr>
              <w:widowControl w:val="0"/>
              <w:kinsoku/>
              <w:wordWrap w:val="0"/>
              <w:autoSpaceDE/>
              <w:autoSpaceDN/>
              <w:spacing w:line="400" w:lineRule="exact"/>
              <w:ind w:firstLine="191" w:firstLineChars="91"/>
              <w:jc w:val="both"/>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2、对应评审要求的分项响应文件（如有）。</w:t>
            </w:r>
          </w:p>
          <w:p w14:paraId="603DA691">
            <w:pPr>
              <w:widowControl w:val="0"/>
              <w:kinsoku/>
              <w:wordWrap w:val="0"/>
              <w:autoSpaceDE/>
              <w:autoSpaceDN/>
              <w:spacing w:line="400" w:lineRule="exact"/>
              <w:ind w:firstLine="191" w:firstLineChars="91"/>
              <w:jc w:val="both"/>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广东省·韶关市）（https://ygp.gdzwfw.gov.cn/ggzy-portal/#/440200/index）交易指引。</w:t>
            </w:r>
          </w:p>
          <w:p w14:paraId="1C1A8E4A">
            <w:pPr>
              <w:widowControl w:val="0"/>
              <w:kinsoku/>
              <w:wordWrap w:val="0"/>
              <w:autoSpaceDE/>
              <w:autoSpaceDN/>
              <w:spacing w:line="400" w:lineRule="exact"/>
              <w:ind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注：投标人被确定为中标人后，应从交易系统打印两套纸质投标文件（含签名盖章页），内容同电子投标文件，在签订本招标项目承包合同前提交给招标人。（除招标文件约定外，纸质标书须与电子标书一致，不一致的以电子标书为准）。</w:t>
            </w:r>
          </w:p>
        </w:tc>
      </w:tr>
      <w:tr w14:paraId="4E707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35" w:hRule="atLeast"/>
        </w:trPr>
        <w:tc>
          <w:tcPr>
            <w:tcW w:w="582" w:type="dxa"/>
            <w:vAlign w:val="center"/>
          </w:tcPr>
          <w:p w14:paraId="56B959FD">
            <w:pPr>
              <w:keepNext w:val="0"/>
              <w:keepLines w:val="0"/>
              <w:pageBreakBefore w:val="0"/>
              <w:wordWrap w:val="0"/>
              <w:overflowPunct/>
              <w:topLinePunct w:val="0"/>
              <w:bidi w:val="0"/>
              <w:spacing w:before="57" w:line="195" w:lineRule="auto"/>
              <w:jc w:val="center"/>
              <w:rPr>
                <w:rFonts w:hint="eastAsia" w:ascii="宋体" w:hAnsi="宋体" w:eastAsia="宋体" w:cs="宋体"/>
                <w:color w:val="000000" w:themeColor="text1"/>
                <w:spacing w:val="0"/>
                <w:sz w:val="21"/>
                <w:szCs w:val="21"/>
                <w:highlight w:val="none"/>
                <w:lang w:eastAsia="zh-CN"/>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3</w:t>
            </w:r>
            <w:r>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t>5</w:t>
            </w:r>
          </w:p>
        </w:tc>
        <w:tc>
          <w:tcPr>
            <w:tcW w:w="1860" w:type="dxa"/>
            <w:vAlign w:val="center"/>
          </w:tcPr>
          <w:p w14:paraId="5FAEFFC6">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招标文件要求提交的用于评审的证书、证件、证明原件</w:t>
            </w:r>
          </w:p>
        </w:tc>
        <w:tc>
          <w:tcPr>
            <w:tcW w:w="7656" w:type="dxa"/>
            <w:vAlign w:val="top"/>
          </w:tcPr>
          <w:p w14:paraId="71660FC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投标人在提交用于评审的证书、证件、证明原件的，投标人应自行将所需原件密封于文件袋（箱）中，并自行准备两张“原件一览表 ” (详见格式十五，投标人须自行填写，表格可扩展)，一张贴于文件袋（箱），一份在递交文件袋（箱）时由招标代理机构、投标人签字后交招标代理机构。招标代理机构仅代签收，不对文件袋（箱）中资料的数量、内容及真实性负责。评标结束后，招标代理机构将退回投标人的原件。若投标人未按要求提交相应证明材料原件或投标文件中证明材料的复印件与原件不一致，评审时相应证明材料不予认可。</w:t>
            </w:r>
          </w:p>
        </w:tc>
      </w:tr>
      <w:tr w14:paraId="2D98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trPr>
        <w:tc>
          <w:tcPr>
            <w:tcW w:w="582" w:type="dxa"/>
            <w:vAlign w:val="center"/>
          </w:tcPr>
          <w:p w14:paraId="0C69718A">
            <w:pPr>
              <w:keepNext w:val="0"/>
              <w:keepLines w:val="0"/>
              <w:pageBreakBefore w:val="0"/>
              <w:wordWrap w:val="0"/>
              <w:overflowPunct/>
              <w:topLinePunct w:val="0"/>
              <w:bidi w:val="0"/>
              <w:spacing w:before="69" w:line="188" w:lineRule="auto"/>
              <w:ind w:left="209"/>
              <w:rPr>
                <w:rFonts w:hint="eastAsia" w:ascii="宋体" w:hAnsi="宋体" w:eastAsia="宋体" w:cs="宋体"/>
                <w:color w:val="000000" w:themeColor="text1"/>
                <w:spacing w:val="0"/>
                <w:sz w:val="21"/>
                <w:szCs w:val="21"/>
                <w:highlight w:val="none"/>
                <w:lang w:eastAsia="zh-CN"/>
                <w14:textFill>
                  <w14:solidFill>
                    <w14:schemeClr w14:val="tx1"/>
                  </w14:solidFill>
                </w14:textFill>
              </w:rPr>
            </w:pPr>
            <w:r>
              <w:rPr>
                <w:rFonts w:hint="eastAsia" w:ascii="宋体" w:hAnsi="宋体" w:eastAsia="宋体" w:cs="宋体"/>
                <w:color w:val="000000" w:themeColor="text1"/>
                <w:spacing w:val="0"/>
                <w:sz w:val="21"/>
                <w:szCs w:val="21"/>
                <w:highlight w:val="none"/>
                <w:lang w:eastAsia="zh-CN"/>
                <w14:textFill>
                  <w14:solidFill>
                    <w14:schemeClr w14:val="tx1"/>
                  </w14:solidFill>
                </w14:textFill>
              </w:rPr>
              <w:t>3</w:t>
            </w:r>
            <w:r>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t>6</w:t>
            </w:r>
          </w:p>
        </w:tc>
        <w:tc>
          <w:tcPr>
            <w:tcW w:w="1860" w:type="dxa"/>
            <w:vAlign w:val="center"/>
          </w:tcPr>
          <w:p w14:paraId="20A44A5F">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招标代理费</w:t>
            </w:r>
          </w:p>
        </w:tc>
        <w:tc>
          <w:tcPr>
            <w:tcW w:w="7656" w:type="dxa"/>
            <w:vAlign w:val="center"/>
          </w:tcPr>
          <w:p w14:paraId="0F863CAE">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暂不估算，按照预算财审价下浮20%计算，招标代理服务费由中标人支付。</w:t>
            </w:r>
          </w:p>
        </w:tc>
      </w:tr>
      <w:tr w14:paraId="7AAB0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39" w:hRule="atLeast"/>
        </w:trPr>
        <w:tc>
          <w:tcPr>
            <w:tcW w:w="582" w:type="dxa"/>
            <w:vAlign w:val="center"/>
          </w:tcPr>
          <w:p w14:paraId="75B13CC6">
            <w:pPr>
              <w:keepNext w:val="0"/>
              <w:keepLines w:val="0"/>
              <w:pageBreakBefore w:val="0"/>
              <w:wordWrap w:val="0"/>
              <w:overflowPunct/>
              <w:topLinePunct w:val="0"/>
              <w:bidi w:val="0"/>
              <w:spacing w:before="69" w:line="188" w:lineRule="auto"/>
              <w:jc w:val="center"/>
              <w:rPr>
                <w:rFonts w:hint="eastAsia" w:ascii="宋体" w:hAnsi="宋体" w:eastAsia="宋体" w:cs="宋体"/>
                <w:color w:val="000000" w:themeColor="text1"/>
                <w:spacing w:val="0"/>
                <w:sz w:val="21"/>
                <w:szCs w:val="21"/>
                <w:highlight w:val="none"/>
                <w:lang w:eastAsia="zh-CN"/>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3</w:t>
            </w:r>
            <w:r>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t>7</w:t>
            </w:r>
          </w:p>
        </w:tc>
        <w:tc>
          <w:tcPr>
            <w:tcW w:w="1860" w:type="dxa"/>
            <w:vAlign w:val="center"/>
          </w:tcPr>
          <w:p w14:paraId="198B1BD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招标人</w:t>
            </w:r>
          </w:p>
          <w:p w14:paraId="2C622AED">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联系方式</w:t>
            </w:r>
          </w:p>
        </w:tc>
        <w:tc>
          <w:tcPr>
            <w:tcW w:w="7656" w:type="dxa"/>
            <w:vAlign w:val="center"/>
          </w:tcPr>
          <w:p w14:paraId="6356A8B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highlight w:val="none"/>
                <w14:textFill>
                  <w14:solidFill>
                    <w14:schemeClr w14:val="tx1"/>
                  </w14:solidFill>
                </w14:textFill>
              </w:rPr>
              <w:t>单位名称：</w:t>
            </w:r>
            <w:r>
              <w:rPr>
                <w:rFonts w:hint="eastAsia" w:ascii="宋体" w:hAnsi="宋体" w:eastAsia="宋体" w:cs="宋体"/>
                <w:snapToGrid w:val="0"/>
                <w:color w:val="000000" w:themeColor="text1"/>
                <w:spacing w:val="0"/>
                <w:kern w:val="0"/>
                <w:sz w:val="21"/>
                <w:highlight w:val="none"/>
                <w:lang w:eastAsia="zh-CN"/>
                <w14:textFill>
                  <w14:solidFill>
                    <w14:schemeClr w14:val="tx1"/>
                  </w14:solidFill>
                </w14:textFill>
              </w:rPr>
              <w:t>新丰县回龙镇人民政府</w:t>
            </w:r>
          </w:p>
          <w:p w14:paraId="3707E73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highlight w:val="none"/>
                <w14:textFill>
                  <w14:solidFill>
                    <w14:schemeClr w14:val="tx1"/>
                  </w14:solidFill>
                </w14:textFill>
              </w:rPr>
            </w:pPr>
            <w:r>
              <w:rPr>
                <w:rFonts w:hint="eastAsia" w:ascii="宋体" w:hAnsi="宋体" w:eastAsia="宋体" w:cs="宋体"/>
                <w:snapToGrid w:val="0"/>
                <w:color w:val="000000" w:themeColor="text1"/>
                <w:spacing w:val="0"/>
                <w:kern w:val="0"/>
                <w:sz w:val="21"/>
                <w:highlight w:val="none"/>
                <w14:textFill>
                  <w14:solidFill>
                    <w14:schemeClr w14:val="tx1"/>
                  </w14:solidFill>
                </w14:textFill>
              </w:rPr>
              <w:t>办公地址：广东省韶关市新丰县回龙镇镇前路1号</w:t>
            </w:r>
          </w:p>
          <w:p w14:paraId="638E6D2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宋体" w:hAnsi="宋体" w:eastAsia="宋体" w:cs="宋体"/>
                <w:snapToGrid w:val="0"/>
                <w:color w:val="000000" w:themeColor="text1"/>
                <w:spacing w:val="0"/>
                <w:kern w:val="0"/>
                <w:sz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highlight w:val="none"/>
                <w14:textFill>
                  <w14:solidFill>
                    <w14:schemeClr w14:val="tx1"/>
                  </w14:solidFill>
                </w14:textFill>
              </w:rPr>
              <w:t>联系人（部门）：</w:t>
            </w:r>
            <w:r>
              <w:rPr>
                <w:rFonts w:hint="eastAsia" w:ascii="宋体" w:hAnsi="宋体" w:eastAsia="宋体" w:cs="宋体"/>
                <w:snapToGrid w:val="0"/>
                <w:color w:val="000000" w:themeColor="text1"/>
                <w:spacing w:val="0"/>
                <w:kern w:val="0"/>
                <w:sz w:val="21"/>
                <w:highlight w:val="none"/>
                <w:lang w:val="en-US" w:eastAsia="zh-CN"/>
                <w14:textFill>
                  <w14:solidFill>
                    <w14:schemeClr w14:val="tx1"/>
                  </w14:solidFill>
                </w14:textFill>
              </w:rPr>
              <w:t>陈先生</w:t>
            </w:r>
          </w:p>
          <w:p w14:paraId="7AE74A5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highlight w:val="none"/>
                <w14:textFill>
                  <w14:solidFill>
                    <w14:schemeClr w14:val="tx1"/>
                  </w14:solidFill>
                </w14:textFill>
              </w:rPr>
              <w:t>联系电话：0751-8800668</w:t>
            </w:r>
          </w:p>
        </w:tc>
      </w:tr>
      <w:tr w14:paraId="13356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trPr>
        <w:tc>
          <w:tcPr>
            <w:tcW w:w="582" w:type="dxa"/>
            <w:vAlign w:val="center"/>
          </w:tcPr>
          <w:p w14:paraId="1022974A">
            <w:pPr>
              <w:keepNext w:val="0"/>
              <w:keepLines w:val="0"/>
              <w:pageBreakBefore w:val="0"/>
              <w:wordWrap w:val="0"/>
              <w:overflowPunct/>
              <w:topLinePunct w:val="0"/>
              <w:bidi w:val="0"/>
              <w:spacing w:before="69" w:line="188" w:lineRule="auto"/>
              <w:jc w:val="center"/>
              <w:rPr>
                <w:rFonts w:hint="default" w:ascii="宋体" w:hAnsi="宋体" w:eastAsia="宋体" w:cs="宋体"/>
                <w:color w:val="000000" w:themeColor="text1"/>
                <w:spacing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t>38</w:t>
            </w:r>
          </w:p>
        </w:tc>
        <w:tc>
          <w:tcPr>
            <w:tcW w:w="1860" w:type="dxa"/>
            <w:vAlign w:val="center"/>
          </w:tcPr>
          <w:p w14:paraId="7F3AD70B">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招标代理机构</w:t>
            </w:r>
          </w:p>
          <w:p w14:paraId="0B65885F">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联系方式</w:t>
            </w:r>
          </w:p>
        </w:tc>
        <w:tc>
          <w:tcPr>
            <w:tcW w:w="7656" w:type="dxa"/>
            <w:vAlign w:val="center"/>
          </w:tcPr>
          <w:p w14:paraId="764E211D">
            <w:pPr>
              <w:keepNext w:val="0"/>
              <w:keepLines w:val="0"/>
              <w:pageBreakBefore w:val="0"/>
              <w:widowControl w:val="0"/>
              <w:kinsoku/>
              <w:wordWrap w:val="0"/>
              <w:overflowPunct/>
              <w:topLinePunct w:val="0"/>
              <w:autoSpaceDE/>
              <w:autoSpaceDN/>
              <w:bidi w:val="0"/>
              <w:adjustRightInd w:val="0"/>
              <w:snapToGrid w:val="0"/>
              <w:spacing w:line="400" w:lineRule="exact"/>
              <w:ind w:firstLine="210" w:firstLineChars="100"/>
              <w:jc w:val="left"/>
              <w:textAlignment w:val="auto"/>
              <w:rPr>
                <w:rFonts w:hint="eastAsia" w:ascii="宋体" w:hAnsi="宋体" w:eastAsia="宋体" w:cs="宋体"/>
                <w:b w:val="0"/>
                <w:bCs w:val="0"/>
                <w:color w:val="000000" w:themeColor="text1"/>
                <w:spacing w:val="0"/>
                <w:sz w:val="21"/>
                <w:szCs w:val="21"/>
                <w:highlight w:val="none"/>
                <w:u w:val="none"/>
                <w:lang w:val="en-US" w:eastAsia="zh-CN"/>
                <w14:textFill>
                  <w14:solidFill>
                    <w14:schemeClr w14:val="tx1"/>
                  </w14:solidFill>
                </w14:textFill>
              </w:rPr>
            </w:pPr>
            <w:r>
              <w:rPr>
                <w:rFonts w:hint="eastAsia" w:ascii="宋体" w:hAnsi="宋体" w:eastAsia="宋体" w:cs="宋体"/>
                <w:b w:val="0"/>
                <w:bCs w:val="0"/>
                <w:color w:val="000000" w:themeColor="text1"/>
                <w:spacing w:val="0"/>
                <w:sz w:val="21"/>
                <w:szCs w:val="21"/>
                <w:highlight w:val="none"/>
                <w:u w:val="none"/>
                <w:lang w:val="en-US" w:eastAsia="zh-CN"/>
                <w14:textFill>
                  <w14:solidFill>
                    <w14:schemeClr w14:val="tx1"/>
                  </w14:solidFill>
                </w14:textFill>
              </w:rPr>
              <w:t>单位名称：成致项目管理有限公司</w:t>
            </w:r>
          </w:p>
          <w:p w14:paraId="6CB5BA50">
            <w:pPr>
              <w:keepNext w:val="0"/>
              <w:keepLines w:val="0"/>
              <w:pageBreakBefore w:val="0"/>
              <w:widowControl w:val="0"/>
              <w:kinsoku/>
              <w:wordWrap w:val="0"/>
              <w:overflowPunct/>
              <w:topLinePunct w:val="0"/>
              <w:autoSpaceDE/>
              <w:autoSpaceDN/>
              <w:bidi w:val="0"/>
              <w:adjustRightInd w:val="0"/>
              <w:snapToGrid w:val="0"/>
              <w:spacing w:line="400" w:lineRule="exact"/>
              <w:ind w:firstLine="210" w:firstLineChars="100"/>
              <w:jc w:val="left"/>
              <w:textAlignment w:val="auto"/>
              <w:rPr>
                <w:rFonts w:hint="eastAsia" w:ascii="宋体" w:hAnsi="宋体" w:eastAsia="宋体" w:cs="宋体"/>
                <w:b w:val="0"/>
                <w:bCs w:val="0"/>
                <w:color w:val="000000" w:themeColor="text1"/>
                <w:spacing w:val="0"/>
                <w:sz w:val="21"/>
                <w:szCs w:val="21"/>
                <w:highlight w:val="none"/>
                <w:u w:val="none"/>
                <w:lang w:val="en-US" w:eastAsia="zh-CN"/>
                <w14:textFill>
                  <w14:solidFill>
                    <w14:schemeClr w14:val="tx1"/>
                  </w14:solidFill>
                </w14:textFill>
              </w:rPr>
            </w:pPr>
            <w:r>
              <w:rPr>
                <w:rFonts w:hint="eastAsia" w:ascii="宋体" w:hAnsi="宋体" w:eastAsia="宋体" w:cs="宋体"/>
                <w:b w:val="0"/>
                <w:bCs w:val="0"/>
                <w:color w:val="000000" w:themeColor="text1"/>
                <w:spacing w:val="0"/>
                <w:sz w:val="21"/>
                <w:szCs w:val="21"/>
                <w:highlight w:val="none"/>
                <w:u w:val="none"/>
                <w:lang w:val="en-US" w:eastAsia="zh-CN"/>
                <w14:textFill>
                  <w14:solidFill>
                    <w14:schemeClr w14:val="tx1"/>
                  </w14:solidFill>
                </w14:textFill>
              </w:rPr>
              <w:t>办公地址：韶关市浈江区五里亭良村商贸城E栋6楼602</w:t>
            </w:r>
          </w:p>
          <w:p w14:paraId="405C4AC2">
            <w:pPr>
              <w:keepNext w:val="0"/>
              <w:keepLines w:val="0"/>
              <w:pageBreakBefore w:val="0"/>
              <w:widowControl w:val="0"/>
              <w:kinsoku/>
              <w:wordWrap w:val="0"/>
              <w:overflowPunct/>
              <w:topLinePunct w:val="0"/>
              <w:autoSpaceDE/>
              <w:autoSpaceDN/>
              <w:bidi w:val="0"/>
              <w:adjustRightInd w:val="0"/>
              <w:snapToGrid w:val="0"/>
              <w:spacing w:line="400" w:lineRule="exact"/>
              <w:ind w:firstLine="210" w:firstLineChars="100"/>
              <w:jc w:val="left"/>
              <w:textAlignment w:val="auto"/>
              <w:rPr>
                <w:rFonts w:hint="eastAsia" w:ascii="宋体" w:hAnsi="宋体" w:eastAsia="宋体" w:cs="宋体"/>
                <w:b w:val="0"/>
                <w:bCs w:val="0"/>
                <w:color w:val="000000" w:themeColor="text1"/>
                <w:spacing w:val="0"/>
                <w:sz w:val="21"/>
                <w:szCs w:val="21"/>
                <w:highlight w:val="none"/>
                <w:u w:val="none"/>
                <w:lang w:val="en-US" w:eastAsia="zh-CN"/>
                <w14:textFill>
                  <w14:solidFill>
                    <w14:schemeClr w14:val="tx1"/>
                  </w14:solidFill>
                </w14:textFill>
              </w:rPr>
            </w:pPr>
            <w:r>
              <w:rPr>
                <w:rFonts w:hint="eastAsia" w:ascii="宋体" w:hAnsi="宋体" w:eastAsia="宋体" w:cs="宋体"/>
                <w:b w:val="0"/>
                <w:bCs w:val="0"/>
                <w:color w:val="000000" w:themeColor="text1"/>
                <w:spacing w:val="0"/>
                <w:sz w:val="21"/>
                <w:szCs w:val="21"/>
                <w:highlight w:val="none"/>
                <w:u w:val="none"/>
                <w:lang w:val="en-US" w:eastAsia="zh-CN"/>
                <w14:textFill>
                  <w14:solidFill>
                    <w14:schemeClr w14:val="tx1"/>
                  </w14:solidFill>
                </w14:textFill>
              </w:rPr>
              <w:t>项目负责人：钟梓铭</w:t>
            </w:r>
          </w:p>
          <w:p w14:paraId="7800A8BE">
            <w:pPr>
              <w:keepNext w:val="0"/>
              <w:keepLines w:val="0"/>
              <w:pageBreakBefore w:val="0"/>
              <w:widowControl w:val="0"/>
              <w:kinsoku/>
              <w:wordWrap w:val="0"/>
              <w:overflowPunct/>
              <w:topLinePunct w:val="0"/>
              <w:autoSpaceDE/>
              <w:autoSpaceDN/>
              <w:bidi w:val="0"/>
              <w:adjustRightInd w:val="0"/>
              <w:snapToGrid w:val="0"/>
              <w:spacing w:line="400" w:lineRule="exact"/>
              <w:ind w:firstLine="210" w:firstLineChars="100"/>
              <w:jc w:val="left"/>
              <w:textAlignment w:val="auto"/>
              <w:rPr>
                <w:rFonts w:hint="eastAsia" w:ascii="宋体" w:hAnsi="宋体" w:eastAsia="宋体" w:cs="宋体"/>
                <w:b w:val="0"/>
                <w:bCs w:val="0"/>
                <w:color w:val="000000" w:themeColor="text1"/>
                <w:spacing w:val="0"/>
                <w:sz w:val="21"/>
                <w:szCs w:val="21"/>
                <w:highlight w:val="none"/>
                <w:u w:val="none"/>
                <w:lang w:val="en-US" w:eastAsia="zh-CN"/>
                <w14:textFill>
                  <w14:solidFill>
                    <w14:schemeClr w14:val="tx1"/>
                  </w14:solidFill>
                </w14:textFill>
              </w:rPr>
            </w:pPr>
            <w:r>
              <w:rPr>
                <w:rFonts w:hint="eastAsia" w:ascii="宋体" w:hAnsi="宋体" w:eastAsia="宋体" w:cs="宋体"/>
                <w:b w:val="0"/>
                <w:bCs w:val="0"/>
                <w:color w:val="000000" w:themeColor="text1"/>
                <w:spacing w:val="0"/>
                <w:sz w:val="21"/>
                <w:szCs w:val="21"/>
                <w:highlight w:val="none"/>
                <w:u w:val="none"/>
                <w:lang w:val="en-US" w:eastAsia="zh-CN"/>
                <w14:textFill>
                  <w14:solidFill>
                    <w14:schemeClr w14:val="tx1"/>
                  </w14:solidFill>
                </w14:textFill>
              </w:rPr>
              <w:t>项目经办人：梁景业</w:t>
            </w:r>
          </w:p>
          <w:p w14:paraId="2F85772A">
            <w:pPr>
              <w:keepNext w:val="0"/>
              <w:keepLines w:val="0"/>
              <w:pageBreakBefore w:val="0"/>
              <w:widowControl w:val="0"/>
              <w:kinsoku/>
              <w:wordWrap w:val="0"/>
              <w:overflowPunct/>
              <w:topLinePunct w:val="0"/>
              <w:autoSpaceDE/>
              <w:autoSpaceDN/>
              <w:bidi w:val="0"/>
              <w:adjustRightInd w:val="0"/>
              <w:snapToGrid w:val="0"/>
              <w:spacing w:line="400" w:lineRule="exact"/>
              <w:ind w:firstLine="210" w:firstLineChars="100"/>
              <w:jc w:val="left"/>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pacing w:val="0"/>
                <w:sz w:val="21"/>
                <w:szCs w:val="21"/>
                <w:highlight w:val="none"/>
                <w:u w:val="none"/>
                <w:lang w:val="en-US" w:eastAsia="zh-CN"/>
                <w14:textFill>
                  <w14:solidFill>
                    <w14:schemeClr w14:val="tx1"/>
                  </w14:solidFill>
                </w14:textFill>
              </w:rPr>
              <w:t>电    话：0751-8830298</w:t>
            </w:r>
          </w:p>
        </w:tc>
      </w:tr>
      <w:tr w14:paraId="4E2F1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44" w:hRule="atLeast"/>
        </w:trPr>
        <w:tc>
          <w:tcPr>
            <w:tcW w:w="582" w:type="dxa"/>
            <w:vAlign w:val="center"/>
          </w:tcPr>
          <w:p w14:paraId="7AEA0C33">
            <w:pPr>
              <w:keepNext w:val="0"/>
              <w:keepLines w:val="0"/>
              <w:pageBreakBefore w:val="0"/>
              <w:wordWrap w:val="0"/>
              <w:overflowPunct/>
              <w:topLinePunct w:val="0"/>
              <w:bidi w:val="0"/>
              <w:spacing w:before="69" w:line="188" w:lineRule="auto"/>
              <w:jc w:val="center"/>
              <w:rPr>
                <w:rFonts w:hint="eastAsia" w:ascii="宋体" w:hAnsi="宋体" w:eastAsia="宋体" w:cs="宋体"/>
                <w:color w:val="000000" w:themeColor="text1"/>
                <w:spacing w:val="0"/>
                <w:sz w:val="21"/>
                <w:szCs w:val="21"/>
                <w:highlight w:val="none"/>
                <w:lang w:eastAsia="zh-CN"/>
                <w14:textFill>
                  <w14:solidFill>
                    <w14:schemeClr w14:val="tx1"/>
                  </w14:solidFill>
                </w14:textFill>
              </w:rPr>
            </w:pPr>
            <w:r>
              <w:rPr>
                <w:rFonts w:hint="eastAsia" w:ascii="宋体" w:hAnsi="宋体" w:eastAsia="宋体" w:cs="宋体"/>
                <w:color w:val="000000" w:themeColor="text1"/>
                <w:spacing w:val="0"/>
                <w:sz w:val="21"/>
                <w:szCs w:val="21"/>
                <w:highlight w:val="none"/>
                <w:lang w:eastAsia="zh-CN"/>
                <w14:textFill>
                  <w14:solidFill>
                    <w14:schemeClr w14:val="tx1"/>
                  </w14:solidFill>
                </w14:textFill>
              </w:rPr>
              <w:t>3</w:t>
            </w:r>
            <w:r>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t>9</w:t>
            </w:r>
          </w:p>
        </w:tc>
        <w:tc>
          <w:tcPr>
            <w:tcW w:w="1860" w:type="dxa"/>
            <w:vAlign w:val="center"/>
          </w:tcPr>
          <w:p w14:paraId="7DFD4527">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交易场所联系方式</w:t>
            </w:r>
          </w:p>
        </w:tc>
        <w:tc>
          <w:tcPr>
            <w:tcW w:w="7656" w:type="dxa"/>
            <w:vAlign w:val="center"/>
          </w:tcPr>
          <w:p w14:paraId="26085BDE">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单位名称：韶关市公共资源交易中心新丰分中心</w:t>
            </w:r>
          </w:p>
          <w:p w14:paraId="7EAED40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办公地址：新丰县丰城街道金园路53号行政服务中心5楼（韶关市公共资源交易中心新丰分中心）</w:t>
            </w:r>
          </w:p>
          <w:p w14:paraId="63EC010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联系人（部门）：工程交易部</w:t>
            </w:r>
          </w:p>
          <w:p w14:paraId="66948D8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联系电话：0751-2198025</w:t>
            </w:r>
          </w:p>
        </w:tc>
      </w:tr>
      <w:tr w14:paraId="04B8C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4" w:hRule="atLeast"/>
        </w:trPr>
        <w:tc>
          <w:tcPr>
            <w:tcW w:w="582" w:type="dxa"/>
            <w:vAlign w:val="center"/>
          </w:tcPr>
          <w:p w14:paraId="3E200AD1">
            <w:pPr>
              <w:keepNext w:val="0"/>
              <w:keepLines w:val="0"/>
              <w:pageBreakBefore w:val="0"/>
              <w:wordWrap w:val="0"/>
              <w:overflowPunct/>
              <w:topLinePunct w:val="0"/>
              <w:bidi w:val="0"/>
              <w:spacing w:before="69" w:line="188" w:lineRule="auto"/>
              <w:jc w:val="center"/>
              <w:rPr>
                <w:rFonts w:hint="default" w:ascii="宋体" w:hAnsi="宋体" w:eastAsia="宋体" w:cs="宋体"/>
                <w:color w:val="000000" w:themeColor="text1"/>
                <w:spacing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t>40</w:t>
            </w:r>
          </w:p>
        </w:tc>
        <w:tc>
          <w:tcPr>
            <w:tcW w:w="1860" w:type="dxa"/>
            <w:vAlign w:val="center"/>
          </w:tcPr>
          <w:p w14:paraId="49D0B385">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行政监督部</w:t>
            </w:r>
          </w:p>
          <w:p w14:paraId="5F176A1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门联系方式</w:t>
            </w:r>
          </w:p>
        </w:tc>
        <w:tc>
          <w:tcPr>
            <w:tcW w:w="7656" w:type="dxa"/>
            <w:vAlign w:val="center"/>
          </w:tcPr>
          <w:p w14:paraId="3926D754">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highlight w:val="none"/>
                <w:lang w:val="en-US" w:eastAsia="zh-CN"/>
                <w14:textFill>
                  <w14:solidFill>
                    <w14:schemeClr w14:val="tx1"/>
                  </w14:solidFill>
                </w14:textFill>
              </w:rPr>
              <w:t>单位名称：新丰县住房和城乡建设管理局</w:t>
            </w:r>
          </w:p>
          <w:p w14:paraId="5582D6D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highlight w:val="none"/>
                <w:lang w:val="en-US" w:eastAsia="zh-CN"/>
                <w14:textFill>
                  <w14:solidFill>
                    <w14:schemeClr w14:val="tx1"/>
                  </w14:solidFill>
                </w14:textFill>
              </w:rPr>
              <w:t>办公地址：新丰县丰城街道金园路53号行政服务中心6楼</w:t>
            </w:r>
          </w:p>
          <w:p w14:paraId="3BC916A4">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highlight w:val="none"/>
                <w:lang w:val="en-US" w:eastAsia="zh-CN"/>
                <w14:textFill>
                  <w14:solidFill>
                    <w14:schemeClr w14:val="tx1"/>
                  </w14:solidFill>
                </w14:textFill>
              </w:rPr>
              <w:t>联系人（部门）：建管股</w:t>
            </w:r>
          </w:p>
          <w:p w14:paraId="5BF301B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highlight w:val="none"/>
                <w:lang w:val="en-US" w:eastAsia="zh-CN"/>
                <w14:textFill>
                  <w14:solidFill>
                    <w14:schemeClr w14:val="tx1"/>
                  </w14:solidFill>
                </w14:textFill>
              </w:rPr>
              <w:t>联系电话：0751-6921025</w:t>
            </w:r>
          </w:p>
        </w:tc>
      </w:tr>
    </w:tbl>
    <w:p w14:paraId="7235C323">
      <w:pPr>
        <w:keepNext w:val="0"/>
        <w:keepLines w:val="0"/>
        <w:pageBreakBefore w:val="0"/>
        <w:wordWrap w:val="0"/>
        <w:overflowPunct/>
        <w:topLinePunct w:val="0"/>
        <w:bidi w:val="0"/>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9" w:name="bookmark115"/>
      <w:bookmarkEnd w:id="9"/>
      <w:r>
        <w:rPr>
          <w:rFonts w:hint="eastAsia" w:ascii="宋体" w:hAnsi="宋体" w:eastAsia="宋体" w:cs="宋体"/>
          <w:b/>
          <w:bCs/>
          <w:color w:val="000000" w:themeColor="text1"/>
          <w:spacing w:val="0"/>
          <w:sz w:val="24"/>
          <w:szCs w:val="24"/>
          <w:highlight w:val="none"/>
          <w14:textFill>
            <w14:solidFill>
              <w14:schemeClr w14:val="tx1"/>
            </w14:solidFill>
          </w14:textFill>
        </w:rPr>
        <w:br w:type="page"/>
      </w:r>
    </w:p>
    <w:p w14:paraId="1789A482">
      <w:pPr>
        <w:keepNext w:val="0"/>
        <w:keepLines w:val="0"/>
        <w:pageBreakBefore w:val="0"/>
        <w:wordWrap w:val="0"/>
        <w:overflowPunct/>
        <w:topLinePunct w:val="0"/>
        <w:bidi w:val="0"/>
        <w:spacing w:before="156" w:line="219" w:lineRule="auto"/>
        <w:ind w:left="17"/>
        <w:jc w:val="left"/>
        <w:outlineLvl w:val="1"/>
        <w:rPr>
          <w:rFonts w:hint="eastAsia" w:ascii="宋体" w:hAnsi="宋体" w:eastAsia="宋体" w:cs="宋体"/>
          <w:color w:val="000000" w:themeColor="text1"/>
          <w:spacing w:val="0"/>
          <w:highlight w:val="none"/>
          <w14:textFill>
            <w14:solidFill>
              <w14:schemeClr w14:val="tx1"/>
            </w14:solidFill>
          </w14:textFill>
        </w:rPr>
      </w:pPr>
      <w:bookmarkStart w:id="10" w:name="_Toc24326"/>
      <w:r>
        <w:rPr>
          <w:rFonts w:hint="eastAsia" w:ascii="宋体" w:hAnsi="宋体" w:eastAsia="宋体" w:cs="宋体"/>
          <w:b/>
          <w:bCs/>
          <w:color w:val="000000" w:themeColor="text1"/>
          <w:spacing w:val="0"/>
          <w:sz w:val="24"/>
          <w:szCs w:val="24"/>
          <w:highlight w:val="none"/>
          <w14:textFill>
            <w14:solidFill>
              <w14:schemeClr w14:val="tx1"/>
            </w14:solidFill>
          </w14:textFill>
        </w:rPr>
        <w:t>第二节 重要事项时间地点一览表</w:t>
      </w:r>
      <w:bookmarkEnd w:id="10"/>
    </w:p>
    <w:p w14:paraId="44D452CF">
      <w:pPr>
        <w:pStyle w:val="5"/>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bl>
      <w:tblPr>
        <w:tblStyle w:val="14"/>
        <w:tblW w:w="9059" w:type="dxa"/>
        <w:tblInd w:w="-6"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421"/>
        <w:gridCol w:w="1300"/>
        <w:gridCol w:w="7338"/>
      </w:tblGrid>
      <w:tr w14:paraId="0517B11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56"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34246031">
            <w:pPr>
              <w:pStyle w:val="28"/>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0"/>
                <w:szCs w:val="22"/>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14:textFill>
                  <w14:solidFill>
                    <w14:schemeClr w14:val="tx1"/>
                  </w14:solidFill>
                </w14:textFill>
              </w:rPr>
              <w:t>1</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5CBBA90E">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000000" w:themeColor="text1"/>
                <w:spacing w:val="0"/>
                <w:kern w:val="0"/>
                <w:sz w:val="22"/>
                <w:szCs w:val="22"/>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2"/>
                <w:szCs w:val="22"/>
                <w:highlight w:val="none"/>
                <w:lang w:val="en-US" w:eastAsia="zh-CN" w:bidi="ar-SA"/>
                <w14:textFill>
                  <w14:solidFill>
                    <w14:schemeClr w14:val="tx1"/>
                  </w14:solidFill>
                </w14:textFill>
              </w:rPr>
              <w:t>招标公告</w:t>
            </w:r>
          </w:p>
          <w:p w14:paraId="666692D7">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2"/>
                <w:szCs w:val="18"/>
                <w:highlight w:val="none"/>
                <w14:textFill>
                  <w14:solidFill>
                    <w14:schemeClr w14:val="tx1"/>
                  </w14:solidFill>
                </w14:textFill>
              </w:rPr>
            </w:pPr>
            <w:r>
              <w:rPr>
                <w:rFonts w:hint="eastAsia" w:ascii="宋体" w:hAnsi="宋体" w:eastAsia="宋体" w:cs="宋体"/>
                <w:snapToGrid w:val="0"/>
                <w:color w:val="000000" w:themeColor="text1"/>
                <w:spacing w:val="0"/>
                <w:kern w:val="0"/>
                <w:sz w:val="22"/>
                <w:szCs w:val="22"/>
                <w:highlight w:val="none"/>
                <w:lang w:val="en-US" w:eastAsia="zh-CN" w:bidi="ar-SA"/>
                <w14:textFill>
                  <w14:solidFill>
                    <w14:schemeClr w14:val="tx1"/>
                  </w14:solidFill>
                </w14:textFill>
              </w:rPr>
              <w:t xml:space="preserve">发布时间 </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0C104DB8">
            <w:pPr>
              <w:keepNext w:val="0"/>
              <w:keepLines w:val="0"/>
              <w:pageBreakBefore w:val="0"/>
              <w:widowControl/>
              <w:suppressLineNumbers w:val="0"/>
              <w:wordWrap w:val="0"/>
              <w:overflowPunct/>
              <w:topLinePunct w:val="0"/>
              <w:bidi w:val="0"/>
              <w:snapToGrid w:val="0"/>
              <w:spacing w:before="0" w:beforeAutospacing="0" w:after="0" w:afterAutospacing="0"/>
              <w:ind w:left="0" w:right="0"/>
              <w:jc w:val="left"/>
              <w:rPr>
                <w:rFonts w:hint="eastAsia" w:ascii="宋体" w:hAnsi="宋体" w:eastAsia="宋体" w:cs="宋体"/>
                <w:color w:val="000000" w:themeColor="text1"/>
                <w:spacing w:val="0"/>
                <w:sz w:val="22"/>
                <w:szCs w:val="18"/>
                <w:highlight w:val="none"/>
                <w14:textFill>
                  <w14:solidFill>
                    <w14:schemeClr w14:val="tx1"/>
                  </w14:solidFill>
                </w14:textFill>
              </w:rPr>
            </w:pPr>
            <w:r>
              <w:rPr>
                <w:rFonts w:hint="eastAsia" w:ascii="宋体" w:hAnsi="宋体" w:eastAsia="宋体" w:cs="宋体"/>
                <w:color w:val="000000" w:themeColor="text1"/>
                <w:spacing w:val="0"/>
                <w:kern w:val="0"/>
                <w:sz w:val="21"/>
                <w:szCs w:val="21"/>
                <w:highlight w:val="none"/>
                <w:u w:val="single"/>
                <w:lang w:val="en-US" w:eastAsia="zh-CN" w:bidi="ar-SA"/>
                <w14:textFill>
                  <w14:solidFill>
                    <w14:schemeClr w14:val="tx1"/>
                  </w14:solidFill>
                </w14:textFill>
              </w:rPr>
              <w:t xml:space="preserve"> 2026 </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年</w:t>
            </w:r>
            <w:r>
              <w:rPr>
                <w:rFonts w:hint="eastAsia" w:ascii="宋体" w:hAnsi="宋体" w:eastAsia="宋体" w:cs="宋体"/>
                <w:color w:val="000000" w:themeColor="text1"/>
                <w:spacing w:val="0"/>
                <w:kern w:val="0"/>
                <w:sz w:val="21"/>
                <w:szCs w:val="21"/>
                <w:highlight w:val="none"/>
                <w:u w:val="single"/>
                <w:lang w:val="en-US" w:eastAsia="zh-CN" w:bidi="ar-SA"/>
                <w14:textFill>
                  <w14:solidFill>
                    <w14:schemeClr w14:val="tx1"/>
                  </w14:solidFill>
                </w14:textFill>
              </w:rPr>
              <w:t>10</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月</w:t>
            </w:r>
            <w:r>
              <w:rPr>
                <w:rFonts w:hint="eastAsia" w:ascii="宋体" w:hAnsi="宋体" w:eastAsia="宋体" w:cs="宋体"/>
                <w:color w:val="000000" w:themeColor="text1"/>
                <w:spacing w:val="0"/>
                <w:kern w:val="0"/>
                <w:sz w:val="21"/>
                <w:szCs w:val="21"/>
                <w:highlight w:val="none"/>
                <w:u w:val="single"/>
                <w:lang w:val="en-US" w:eastAsia="zh-CN" w:bidi="ar-SA"/>
                <w14:textFill>
                  <w14:solidFill>
                    <w14:schemeClr w14:val="tx1"/>
                  </w14:solidFill>
                </w14:textFill>
              </w:rPr>
              <w:t>23</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日</w:t>
            </w:r>
            <w:r>
              <w:rPr>
                <w:rFonts w:hint="eastAsia" w:ascii="宋体" w:hAnsi="宋体" w:eastAsia="宋体" w:cs="宋体"/>
                <w:color w:val="000000" w:themeColor="text1"/>
                <w:spacing w:val="0"/>
                <w:kern w:val="0"/>
                <w:sz w:val="21"/>
                <w:szCs w:val="21"/>
                <w:highlight w:val="none"/>
                <w:u w:val="single"/>
                <w:lang w:val="en-US" w:eastAsia="zh-CN" w:bidi="ar-SA"/>
                <w14:textFill>
                  <w14:solidFill>
                    <w14:schemeClr w14:val="tx1"/>
                  </w14:solidFill>
                </w14:textFill>
              </w:rPr>
              <w:t>18</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时</w:t>
            </w:r>
            <w:r>
              <w:rPr>
                <w:rFonts w:hint="eastAsia" w:ascii="宋体" w:hAnsi="宋体" w:eastAsia="宋体" w:cs="宋体"/>
                <w:color w:val="000000" w:themeColor="text1"/>
                <w:spacing w:val="0"/>
                <w:kern w:val="0"/>
                <w:sz w:val="21"/>
                <w:szCs w:val="21"/>
                <w:highlight w:val="none"/>
                <w:u w:val="single"/>
                <w:lang w:val="en-US" w:eastAsia="zh-CN" w:bidi="ar-SA"/>
                <w14:textFill>
                  <w14:solidFill>
                    <w14:schemeClr w14:val="tx1"/>
                  </w14:solidFill>
                </w14:textFill>
              </w:rPr>
              <w:t>00</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分</w:t>
            </w:r>
          </w:p>
        </w:tc>
      </w:tr>
      <w:tr w14:paraId="7067E4E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70"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1FE8C188">
            <w:pPr>
              <w:pStyle w:val="28"/>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0"/>
                <w:szCs w:val="22"/>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14:textFill>
                  <w14:solidFill>
                    <w14:schemeClr w14:val="tx1"/>
                  </w14:solidFill>
                </w14:textFill>
              </w:rPr>
              <w:t>2</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1755E246">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2"/>
                <w:szCs w:val="18"/>
                <w:highlight w:val="none"/>
                <w14:textFill>
                  <w14:solidFill>
                    <w14:schemeClr w14:val="tx1"/>
                  </w14:solidFill>
                </w14:textFill>
              </w:rPr>
            </w:pPr>
            <w:r>
              <w:rPr>
                <w:rFonts w:hint="eastAsia" w:ascii="宋体" w:hAnsi="宋体" w:eastAsia="宋体" w:cs="宋体"/>
                <w:snapToGrid w:val="0"/>
                <w:color w:val="000000" w:themeColor="text1"/>
                <w:spacing w:val="0"/>
                <w:kern w:val="0"/>
                <w:sz w:val="22"/>
                <w:szCs w:val="22"/>
                <w:highlight w:val="none"/>
                <w:lang w:val="en-US" w:eastAsia="zh-CN" w:bidi="ar-SA"/>
                <w14:textFill>
                  <w14:solidFill>
                    <w14:schemeClr w14:val="tx1"/>
                  </w14:solidFill>
                </w14:textFill>
              </w:rPr>
              <w:t xml:space="preserve">获取招标文件截止时间 </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7400C243">
            <w:pPr>
              <w:keepNext w:val="0"/>
              <w:keepLines w:val="0"/>
              <w:pageBreakBefore w:val="0"/>
              <w:widowControl/>
              <w:suppressLineNumbers w:val="0"/>
              <w:wordWrap w:val="0"/>
              <w:overflowPunct/>
              <w:topLinePunct w:val="0"/>
              <w:bidi w:val="0"/>
              <w:snapToGrid w:val="0"/>
              <w:spacing w:before="0" w:beforeAutospacing="0" w:after="0" w:afterAutospacing="0"/>
              <w:ind w:left="0" w:right="0"/>
              <w:jc w:val="left"/>
              <w:rPr>
                <w:rFonts w:hint="eastAsia" w:ascii="宋体" w:hAnsi="宋体" w:eastAsia="宋体" w:cs="宋体"/>
                <w:color w:val="000000" w:themeColor="text1"/>
                <w:spacing w:val="0"/>
                <w:sz w:val="22"/>
                <w:szCs w:val="18"/>
                <w:highlight w:val="none"/>
                <w14:textFill>
                  <w14:solidFill>
                    <w14:schemeClr w14:val="tx1"/>
                  </w14:solidFill>
                </w14:textFill>
              </w:rPr>
            </w:pPr>
            <w:r>
              <w:rPr>
                <w:rFonts w:hint="eastAsia" w:ascii="宋体" w:hAnsi="宋体" w:eastAsia="宋体" w:cs="宋体"/>
                <w:color w:val="000000" w:themeColor="text1"/>
                <w:spacing w:val="0"/>
                <w:kern w:val="0"/>
                <w:sz w:val="21"/>
                <w:szCs w:val="21"/>
                <w:highlight w:val="none"/>
                <w:u w:val="single"/>
                <w:lang w:val="en-US" w:eastAsia="zh-CN" w:bidi="ar-SA"/>
                <w14:textFill>
                  <w14:solidFill>
                    <w14:schemeClr w14:val="tx1"/>
                  </w14:solidFill>
                </w14:textFill>
              </w:rPr>
              <w:t xml:space="preserve"> 2026</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年</w:t>
            </w:r>
            <w:r>
              <w:rPr>
                <w:rFonts w:hint="eastAsia" w:ascii="宋体" w:hAnsi="宋体" w:eastAsia="宋体" w:cs="宋体"/>
                <w:snapToGrid w:val="0"/>
                <w:color w:val="000000" w:themeColor="text1"/>
                <w:spacing w:val="0"/>
                <w:kern w:val="0"/>
                <w:sz w:val="21"/>
                <w:szCs w:val="21"/>
                <w:highlight w:val="none"/>
                <w:u w:val="single"/>
                <w:lang w:val="en-US" w:eastAsia="zh-CN" w:bidi="ar-SA"/>
                <w14:textFill>
                  <w14:solidFill>
                    <w14:schemeClr w14:val="tx1"/>
                  </w14:solidFill>
                </w14:textFill>
              </w:rPr>
              <w:t>11</w:t>
            </w: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月</w:t>
            </w:r>
            <w:r>
              <w:rPr>
                <w:rFonts w:hint="eastAsia" w:ascii="宋体" w:hAnsi="宋体" w:eastAsia="宋体" w:cs="宋体"/>
                <w:snapToGrid w:val="0"/>
                <w:color w:val="000000" w:themeColor="text1"/>
                <w:spacing w:val="0"/>
                <w:kern w:val="0"/>
                <w:sz w:val="21"/>
                <w:szCs w:val="21"/>
                <w:highlight w:val="none"/>
                <w:u w:val="single"/>
                <w:lang w:val="en-US" w:eastAsia="zh-CN" w:bidi="ar-SA"/>
                <w14:textFill>
                  <w14:solidFill>
                    <w14:schemeClr w14:val="tx1"/>
                  </w14:solidFill>
                </w14:textFill>
              </w:rPr>
              <w:t>13</w:t>
            </w: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日</w:t>
            </w:r>
            <w:r>
              <w:rPr>
                <w:rFonts w:hint="eastAsia" w:ascii="宋体" w:hAnsi="宋体" w:eastAsia="宋体" w:cs="宋体"/>
                <w:snapToGrid w:val="0"/>
                <w:color w:val="000000" w:themeColor="text1"/>
                <w:spacing w:val="0"/>
                <w:kern w:val="0"/>
                <w:sz w:val="21"/>
                <w:szCs w:val="21"/>
                <w:highlight w:val="none"/>
                <w:u w:val="single"/>
                <w:lang w:val="en-US" w:eastAsia="zh-CN" w:bidi="ar-SA"/>
                <w14:textFill>
                  <w14:solidFill>
                    <w14:schemeClr w14:val="tx1"/>
                  </w14:solidFill>
                </w14:textFill>
              </w:rPr>
              <w:t>10</w:t>
            </w: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时</w:t>
            </w:r>
            <w:r>
              <w:rPr>
                <w:rFonts w:hint="eastAsia" w:ascii="宋体" w:hAnsi="宋体" w:eastAsia="宋体" w:cs="宋体"/>
                <w:snapToGrid w:val="0"/>
                <w:color w:val="000000" w:themeColor="text1"/>
                <w:spacing w:val="0"/>
                <w:kern w:val="0"/>
                <w:sz w:val="21"/>
                <w:szCs w:val="21"/>
                <w:highlight w:val="none"/>
                <w:u w:val="single"/>
                <w:lang w:val="en-US" w:eastAsia="zh-CN" w:bidi="ar-SA"/>
                <w14:textFill>
                  <w14:solidFill>
                    <w14:schemeClr w14:val="tx1"/>
                  </w14:solidFill>
                </w14:textFill>
              </w:rPr>
              <w:t>30</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分</w:t>
            </w:r>
          </w:p>
        </w:tc>
      </w:tr>
      <w:tr w14:paraId="7836544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07"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15ADE1F4">
            <w:pPr>
              <w:pStyle w:val="28"/>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0"/>
                <w:szCs w:val="22"/>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14:textFill>
                  <w14:solidFill>
                    <w14:schemeClr w14:val="tx1"/>
                  </w14:solidFill>
                </w14:textFill>
              </w:rPr>
              <w:t>3</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62198D29">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000000" w:themeColor="text1"/>
                <w:spacing w:val="0"/>
                <w:kern w:val="0"/>
                <w:sz w:val="22"/>
                <w:szCs w:val="22"/>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2"/>
                <w:szCs w:val="22"/>
                <w:highlight w:val="none"/>
                <w:lang w:val="en-US" w:eastAsia="zh-CN" w:bidi="ar-SA"/>
                <w14:textFill>
                  <w14:solidFill>
                    <w14:schemeClr w14:val="tx1"/>
                  </w14:solidFill>
                </w14:textFill>
              </w:rPr>
              <w:t>网上提问</w:t>
            </w:r>
          </w:p>
          <w:p w14:paraId="455D8911">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2"/>
                <w:szCs w:val="18"/>
                <w:highlight w:val="none"/>
                <w14:textFill>
                  <w14:solidFill>
                    <w14:schemeClr w14:val="tx1"/>
                  </w14:solidFill>
                </w14:textFill>
              </w:rPr>
            </w:pPr>
            <w:r>
              <w:rPr>
                <w:rFonts w:hint="eastAsia" w:ascii="宋体" w:hAnsi="宋体" w:eastAsia="宋体" w:cs="宋体"/>
                <w:snapToGrid w:val="0"/>
                <w:color w:val="000000" w:themeColor="text1"/>
                <w:spacing w:val="0"/>
                <w:kern w:val="0"/>
                <w:sz w:val="22"/>
                <w:szCs w:val="22"/>
                <w:highlight w:val="none"/>
                <w:lang w:val="en-US" w:eastAsia="zh-CN" w:bidi="ar-SA"/>
                <w14:textFill>
                  <w14:solidFill>
                    <w14:schemeClr w14:val="tx1"/>
                  </w14:solidFill>
                </w14:textFill>
              </w:rPr>
              <w:t xml:space="preserve">截止时间 </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26BC3BAB">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400" w:lineRule="exact"/>
              <w:ind w:left="0" w:right="0"/>
              <w:jc w:val="left"/>
              <w:rPr>
                <w:rFonts w:hint="eastAsia" w:ascii="宋体" w:hAnsi="宋体" w:eastAsia="宋体" w:cs="宋体"/>
                <w:color w:val="000000" w:themeColor="text1"/>
                <w:spacing w:val="0"/>
                <w:sz w:val="22"/>
                <w:szCs w:val="18"/>
                <w:highlight w:val="none"/>
                <w14:textFill>
                  <w14:solidFill>
                    <w14:schemeClr w14:val="tx1"/>
                  </w14:solidFill>
                </w14:textFill>
              </w:rPr>
            </w:pPr>
            <w:r>
              <w:rPr>
                <w:rFonts w:hint="eastAsia" w:ascii="宋体" w:hAnsi="宋体" w:eastAsia="宋体" w:cs="宋体"/>
                <w:color w:val="000000" w:themeColor="text1"/>
                <w:spacing w:val="0"/>
                <w:kern w:val="0"/>
                <w:sz w:val="21"/>
                <w:szCs w:val="21"/>
                <w:highlight w:val="none"/>
                <w:u w:val="single"/>
                <w:lang w:val="en-US" w:eastAsia="zh-CN" w:bidi="ar-SA"/>
                <w14:textFill>
                  <w14:solidFill>
                    <w14:schemeClr w14:val="tx1"/>
                  </w14:solidFill>
                </w14:textFill>
              </w:rPr>
              <w:t xml:space="preserve"> 2026</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年</w:t>
            </w:r>
            <w:r>
              <w:rPr>
                <w:rFonts w:hint="eastAsia" w:ascii="宋体" w:hAnsi="宋体" w:eastAsia="宋体" w:cs="宋体"/>
                <w:color w:val="000000" w:themeColor="text1"/>
                <w:spacing w:val="0"/>
                <w:kern w:val="0"/>
                <w:sz w:val="21"/>
                <w:szCs w:val="21"/>
                <w:highlight w:val="none"/>
                <w:u w:val="single"/>
                <w:lang w:val="en-US" w:eastAsia="zh-CN" w:bidi="ar-SA"/>
                <w14:textFill>
                  <w14:solidFill>
                    <w14:schemeClr w14:val="tx1"/>
                  </w14:solidFill>
                </w14:textFill>
              </w:rPr>
              <w:t>11</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月</w:t>
            </w:r>
            <w:r>
              <w:rPr>
                <w:rFonts w:hint="eastAsia" w:ascii="宋体" w:hAnsi="宋体" w:eastAsia="宋体" w:cs="宋体"/>
                <w:color w:val="000000" w:themeColor="text1"/>
                <w:spacing w:val="0"/>
                <w:kern w:val="0"/>
                <w:sz w:val="21"/>
                <w:szCs w:val="21"/>
                <w:highlight w:val="none"/>
                <w:u w:val="single"/>
                <w:lang w:val="en-US" w:eastAsia="zh-CN" w:bidi="ar-SA"/>
                <w14:textFill>
                  <w14:solidFill>
                    <w14:schemeClr w14:val="tx1"/>
                  </w14:solidFill>
                </w14:textFill>
              </w:rPr>
              <w:t>3</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日</w:t>
            </w:r>
            <w:r>
              <w:rPr>
                <w:rFonts w:hint="eastAsia" w:ascii="宋体" w:hAnsi="宋体" w:eastAsia="宋体" w:cs="宋体"/>
                <w:color w:val="000000" w:themeColor="text1"/>
                <w:spacing w:val="0"/>
                <w:kern w:val="0"/>
                <w:sz w:val="21"/>
                <w:szCs w:val="21"/>
                <w:highlight w:val="none"/>
                <w:u w:val="single"/>
                <w:lang w:val="en-US" w:eastAsia="zh-CN" w:bidi="ar-SA"/>
                <w14:textFill>
                  <w14:solidFill>
                    <w14:schemeClr w14:val="tx1"/>
                  </w14:solidFill>
                </w14:textFill>
              </w:rPr>
              <w:t>16</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时</w:t>
            </w:r>
            <w:r>
              <w:rPr>
                <w:rFonts w:hint="eastAsia" w:ascii="宋体" w:hAnsi="宋体" w:eastAsia="宋体" w:cs="宋体"/>
                <w:color w:val="000000" w:themeColor="text1"/>
                <w:spacing w:val="0"/>
                <w:kern w:val="0"/>
                <w:sz w:val="21"/>
                <w:szCs w:val="21"/>
                <w:highlight w:val="none"/>
                <w:u w:val="single"/>
                <w:lang w:val="en-US" w:eastAsia="zh-CN" w:bidi="ar-SA"/>
                <w14:textFill>
                  <w14:solidFill>
                    <w14:schemeClr w14:val="tx1"/>
                  </w14:solidFill>
                </w14:textFill>
              </w:rPr>
              <w:t>00</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分</w:t>
            </w:r>
          </w:p>
        </w:tc>
      </w:tr>
      <w:tr w14:paraId="4564051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73"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3B82443D">
            <w:pPr>
              <w:pStyle w:val="28"/>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0"/>
                <w:szCs w:val="22"/>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14:textFill>
                  <w14:solidFill>
                    <w14:schemeClr w14:val="tx1"/>
                  </w14:solidFill>
                </w14:textFill>
              </w:rPr>
              <w:t>4</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2CE1AA03">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000000" w:themeColor="text1"/>
                <w:spacing w:val="0"/>
                <w:kern w:val="0"/>
                <w:sz w:val="22"/>
                <w:szCs w:val="22"/>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2"/>
                <w:szCs w:val="22"/>
                <w:highlight w:val="none"/>
                <w:lang w:val="en-US" w:eastAsia="zh-CN" w:bidi="ar-SA"/>
                <w14:textFill>
                  <w14:solidFill>
                    <w14:schemeClr w14:val="tx1"/>
                  </w14:solidFill>
                </w14:textFill>
              </w:rPr>
              <w:t>网上答疑</w:t>
            </w:r>
          </w:p>
          <w:p w14:paraId="0F5F46E0">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2"/>
                <w:szCs w:val="18"/>
                <w:highlight w:val="none"/>
                <w14:textFill>
                  <w14:solidFill>
                    <w14:schemeClr w14:val="tx1"/>
                  </w14:solidFill>
                </w14:textFill>
              </w:rPr>
            </w:pPr>
            <w:r>
              <w:rPr>
                <w:rFonts w:hint="eastAsia" w:ascii="宋体" w:hAnsi="宋体" w:eastAsia="宋体" w:cs="宋体"/>
                <w:snapToGrid w:val="0"/>
                <w:color w:val="000000" w:themeColor="text1"/>
                <w:spacing w:val="0"/>
                <w:kern w:val="0"/>
                <w:sz w:val="22"/>
                <w:szCs w:val="22"/>
                <w:highlight w:val="none"/>
                <w:lang w:val="en-US" w:eastAsia="zh-CN" w:bidi="ar-SA"/>
                <w14:textFill>
                  <w14:solidFill>
                    <w14:schemeClr w14:val="tx1"/>
                  </w14:solidFill>
                </w14:textFill>
              </w:rPr>
              <w:t>时间</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7B5EFA2E">
            <w:pPr>
              <w:keepNext w:val="0"/>
              <w:keepLines w:val="0"/>
              <w:pageBreakBefore w:val="0"/>
              <w:widowControl/>
              <w:suppressLineNumbers w:val="0"/>
              <w:wordWrap w:val="0"/>
              <w:overflowPunct/>
              <w:topLinePunct w:val="0"/>
              <w:bidi w:val="0"/>
              <w:snapToGrid w:val="0"/>
              <w:spacing w:before="0" w:beforeAutospacing="0" w:after="0" w:afterAutospacing="0"/>
              <w:ind w:left="0" w:right="0"/>
              <w:jc w:val="left"/>
              <w:rPr>
                <w:rFonts w:hint="eastAsia" w:ascii="宋体" w:hAnsi="宋体" w:eastAsia="宋体" w:cs="宋体"/>
                <w:color w:val="000000" w:themeColor="text1"/>
                <w:spacing w:val="0"/>
                <w:sz w:val="22"/>
                <w:szCs w:val="18"/>
                <w:highlight w:val="none"/>
                <w14:textFill>
                  <w14:solidFill>
                    <w14:schemeClr w14:val="tx1"/>
                  </w14:solidFill>
                </w14:textFill>
              </w:rPr>
            </w:pPr>
            <w:r>
              <w:rPr>
                <w:rFonts w:hint="eastAsia" w:ascii="宋体" w:hAnsi="宋体" w:eastAsia="宋体" w:cs="宋体"/>
                <w:color w:val="000000" w:themeColor="text1"/>
                <w:spacing w:val="0"/>
                <w:kern w:val="0"/>
                <w:sz w:val="21"/>
                <w:szCs w:val="21"/>
                <w:highlight w:val="none"/>
                <w:u w:val="single"/>
                <w:lang w:val="en-US" w:eastAsia="zh-CN" w:bidi="ar-SA"/>
                <w14:textFill>
                  <w14:solidFill>
                    <w14:schemeClr w14:val="tx1"/>
                  </w14:solidFill>
                </w14:textFill>
              </w:rPr>
              <w:t xml:space="preserve"> 2026</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年</w:t>
            </w:r>
            <w:r>
              <w:rPr>
                <w:rFonts w:hint="eastAsia" w:ascii="宋体" w:hAnsi="宋体" w:eastAsia="宋体" w:cs="宋体"/>
                <w:color w:val="000000" w:themeColor="text1"/>
                <w:spacing w:val="0"/>
                <w:kern w:val="0"/>
                <w:sz w:val="21"/>
                <w:szCs w:val="21"/>
                <w:highlight w:val="none"/>
                <w:u w:val="single"/>
                <w:lang w:val="en-US" w:eastAsia="zh-CN" w:bidi="ar-SA"/>
                <w14:textFill>
                  <w14:solidFill>
                    <w14:schemeClr w14:val="tx1"/>
                  </w14:solidFill>
                </w14:textFill>
              </w:rPr>
              <w:t>11</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月</w:t>
            </w:r>
            <w:r>
              <w:rPr>
                <w:rFonts w:hint="eastAsia" w:ascii="宋体" w:hAnsi="宋体" w:eastAsia="宋体" w:cs="宋体"/>
                <w:color w:val="000000" w:themeColor="text1"/>
                <w:spacing w:val="0"/>
                <w:kern w:val="0"/>
                <w:sz w:val="21"/>
                <w:szCs w:val="21"/>
                <w:highlight w:val="none"/>
                <w:u w:val="single"/>
                <w:lang w:val="en-US" w:eastAsia="zh-CN" w:bidi="ar-SA"/>
                <w14:textFill>
                  <w14:solidFill>
                    <w14:schemeClr w14:val="tx1"/>
                  </w14:solidFill>
                </w14:textFill>
              </w:rPr>
              <w:t>3</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日</w:t>
            </w:r>
            <w:r>
              <w:rPr>
                <w:rFonts w:hint="eastAsia" w:ascii="宋体" w:hAnsi="宋体" w:eastAsia="宋体" w:cs="宋体"/>
                <w:color w:val="000000" w:themeColor="text1"/>
                <w:spacing w:val="0"/>
                <w:kern w:val="0"/>
                <w:sz w:val="21"/>
                <w:szCs w:val="21"/>
                <w:highlight w:val="none"/>
                <w:u w:val="single"/>
                <w:lang w:val="en-US" w:eastAsia="zh-CN" w:bidi="ar-SA"/>
                <w14:textFill>
                  <w14:solidFill>
                    <w14:schemeClr w14:val="tx1"/>
                  </w14:solidFill>
                </w14:textFill>
              </w:rPr>
              <w:t>16</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时</w:t>
            </w:r>
            <w:r>
              <w:rPr>
                <w:rFonts w:hint="eastAsia" w:ascii="宋体" w:hAnsi="宋体" w:eastAsia="宋体" w:cs="宋体"/>
                <w:color w:val="000000" w:themeColor="text1"/>
                <w:spacing w:val="0"/>
                <w:kern w:val="0"/>
                <w:sz w:val="21"/>
                <w:szCs w:val="21"/>
                <w:highlight w:val="none"/>
                <w:u w:val="single"/>
                <w:lang w:val="en-US" w:eastAsia="zh-CN" w:bidi="ar-SA"/>
                <w14:textFill>
                  <w14:solidFill>
                    <w14:schemeClr w14:val="tx1"/>
                  </w14:solidFill>
                </w14:textFill>
              </w:rPr>
              <w:t>30</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分至</w:t>
            </w:r>
            <w:r>
              <w:rPr>
                <w:rFonts w:hint="eastAsia" w:ascii="宋体" w:hAnsi="宋体" w:eastAsia="宋体" w:cs="宋体"/>
                <w:color w:val="000000" w:themeColor="text1"/>
                <w:spacing w:val="0"/>
                <w:kern w:val="0"/>
                <w:sz w:val="21"/>
                <w:szCs w:val="21"/>
                <w:highlight w:val="none"/>
                <w:u w:val="single"/>
                <w:lang w:val="en-US" w:eastAsia="zh-CN" w:bidi="ar-SA"/>
                <w14:textFill>
                  <w14:solidFill>
                    <w14:schemeClr w14:val="tx1"/>
                  </w14:solidFill>
                </w14:textFill>
              </w:rPr>
              <w:t>2026</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年</w:t>
            </w:r>
            <w:r>
              <w:rPr>
                <w:rFonts w:hint="eastAsia" w:ascii="宋体" w:hAnsi="宋体" w:eastAsia="宋体" w:cs="宋体"/>
                <w:color w:val="000000" w:themeColor="text1"/>
                <w:spacing w:val="0"/>
                <w:kern w:val="0"/>
                <w:sz w:val="21"/>
                <w:szCs w:val="21"/>
                <w:highlight w:val="none"/>
                <w:u w:val="single"/>
                <w:lang w:val="en-US" w:eastAsia="zh-CN" w:bidi="ar-SA"/>
                <w14:textFill>
                  <w14:solidFill>
                    <w14:schemeClr w14:val="tx1"/>
                  </w14:solidFill>
                </w14:textFill>
              </w:rPr>
              <w:t>11</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月</w:t>
            </w:r>
            <w:r>
              <w:rPr>
                <w:rFonts w:hint="eastAsia" w:ascii="宋体" w:hAnsi="宋体" w:eastAsia="宋体" w:cs="宋体"/>
                <w:color w:val="000000" w:themeColor="text1"/>
                <w:spacing w:val="0"/>
                <w:kern w:val="0"/>
                <w:sz w:val="21"/>
                <w:szCs w:val="21"/>
                <w:highlight w:val="none"/>
                <w:u w:val="single"/>
                <w:lang w:val="en-US" w:eastAsia="zh-CN" w:bidi="ar-SA"/>
                <w14:textFill>
                  <w14:solidFill>
                    <w14:schemeClr w14:val="tx1"/>
                  </w14:solidFill>
                </w14:textFill>
              </w:rPr>
              <w:t>6</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日</w:t>
            </w:r>
            <w:r>
              <w:rPr>
                <w:rFonts w:hint="eastAsia" w:ascii="宋体" w:hAnsi="宋体" w:eastAsia="宋体" w:cs="宋体"/>
                <w:color w:val="000000" w:themeColor="text1"/>
                <w:spacing w:val="0"/>
                <w:kern w:val="0"/>
                <w:sz w:val="21"/>
                <w:szCs w:val="21"/>
                <w:highlight w:val="none"/>
                <w:u w:val="single"/>
                <w:lang w:val="en-US" w:eastAsia="zh-CN" w:bidi="ar-SA"/>
                <w14:textFill>
                  <w14:solidFill>
                    <w14:schemeClr w14:val="tx1"/>
                  </w14:solidFill>
                </w14:textFill>
              </w:rPr>
              <w:t>16</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时</w:t>
            </w:r>
            <w:r>
              <w:rPr>
                <w:rFonts w:hint="eastAsia" w:ascii="宋体" w:hAnsi="宋体" w:eastAsia="宋体" w:cs="宋体"/>
                <w:color w:val="000000" w:themeColor="text1"/>
                <w:spacing w:val="0"/>
                <w:kern w:val="0"/>
                <w:sz w:val="21"/>
                <w:szCs w:val="21"/>
                <w:highlight w:val="none"/>
                <w:u w:val="single"/>
                <w:lang w:val="en-US" w:eastAsia="zh-CN" w:bidi="ar-SA"/>
                <w14:textFill>
                  <w14:solidFill>
                    <w14:schemeClr w14:val="tx1"/>
                  </w14:solidFill>
                </w14:textFill>
              </w:rPr>
              <w:t>00</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分</w:t>
            </w:r>
          </w:p>
        </w:tc>
      </w:tr>
      <w:tr w14:paraId="26346D1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64"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0B93C9CE">
            <w:pPr>
              <w:pStyle w:val="28"/>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0"/>
                <w:szCs w:val="22"/>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14:textFill>
                  <w14:solidFill>
                    <w14:schemeClr w14:val="tx1"/>
                  </w14:solidFill>
                </w14:textFill>
              </w:rPr>
              <w:t>5</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082D687A">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000000" w:themeColor="text1"/>
                <w:spacing w:val="0"/>
                <w:kern w:val="0"/>
                <w:sz w:val="22"/>
                <w:szCs w:val="22"/>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2"/>
                <w:szCs w:val="22"/>
                <w:highlight w:val="none"/>
                <w:lang w:val="en-US" w:eastAsia="zh-CN" w:bidi="ar-SA"/>
                <w14:textFill>
                  <w14:solidFill>
                    <w14:schemeClr w14:val="tx1"/>
                  </w14:solidFill>
                </w14:textFill>
              </w:rPr>
              <w:t>投标保证缴</w:t>
            </w:r>
          </w:p>
          <w:p w14:paraId="2D149AA8">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2"/>
                <w:szCs w:val="18"/>
                <w:highlight w:val="none"/>
                <w14:textFill>
                  <w14:solidFill>
                    <w14:schemeClr w14:val="tx1"/>
                  </w14:solidFill>
                </w14:textFill>
              </w:rPr>
            </w:pPr>
            <w:r>
              <w:rPr>
                <w:rFonts w:hint="eastAsia" w:ascii="宋体" w:hAnsi="宋体" w:eastAsia="宋体" w:cs="宋体"/>
                <w:snapToGrid w:val="0"/>
                <w:color w:val="000000" w:themeColor="text1"/>
                <w:spacing w:val="0"/>
                <w:kern w:val="0"/>
                <w:sz w:val="22"/>
                <w:szCs w:val="22"/>
                <w:highlight w:val="none"/>
                <w:lang w:val="en-US" w:eastAsia="zh-CN" w:bidi="ar-SA"/>
                <w14:textFill>
                  <w14:solidFill>
                    <w14:schemeClr w14:val="tx1"/>
                  </w14:solidFill>
                </w14:textFill>
              </w:rPr>
              <w:t>纳截止时间</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62232350">
            <w:pPr>
              <w:keepNext w:val="0"/>
              <w:keepLines w:val="0"/>
              <w:pageBreakBefore w:val="0"/>
              <w:widowControl/>
              <w:suppressLineNumbers w:val="0"/>
              <w:wordWrap w:val="0"/>
              <w:overflowPunct/>
              <w:topLinePunct w:val="0"/>
              <w:bidi w:val="0"/>
              <w:snapToGrid w:val="0"/>
              <w:spacing w:before="0" w:beforeAutospacing="0" w:after="0" w:afterAutospacing="0" w:line="360" w:lineRule="auto"/>
              <w:ind w:left="0" w:right="0"/>
              <w:jc w:val="left"/>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投标保证金到账截止时间：</w:t>
            </w:r>
            <w:r>
              <w:rPr>
                <w:rFonts w:hint="eastAsia" w:ascii="宋体" w:hAnsi="宋体" w:eastAsia="宋体" w:cs="宋体"/>
                <w:color w:val="000000" w:themeColor="text1"/>
                <w:spacing w:val="0"/>
                <w:kern w:val="0"/>
                <w:sz w:val="21"/>
                <w:szCs w:val="21"/>
                <w:highlight w:val="none"/>
                <w:u w:val="single"/>
                <w:lang w:val="en-US" w:eastAsia="zh-CN" w:bidi="ar-SA"/>
                <w14:textFill>
                  <w14:solidFill>
                    <w14:schemeClr w14:val="tx1"/>
                  </w14:solidFill>
                </w14:textFill>
              </w:rPr>
              <w:t>2026</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年</w:t>
            </w:r>
            <w:r>
              <w:rPr>
                <w:rFonts w:hint="eastAsia" w:ascii="宋体" w:hAnsi="宋体" w:eastAsia="宋体" w:cs="宋体"/>
                <w:snapToGrid w:val="0"/>
                <w:color w:val="000000" w:themeColor="text1"/>
                <w:spacing w:val="0"/>
                <w:kern w:val="0"/>
                <w:sz w:val="21"/>
                <w:szCs w:val="21"/>
                <w:highlight w:val="none"/>
                <w:u w:val="single"/>
                <w:lang w:val="en-US" w:eastAsia="zh-CN" w:bidi="ar-SA"/>
                <w14:textFill>
                  <w14:solidFill>
                    <w14:schemeClr w14:val="tx1"/>
                  </w14:solidFill>
                </w14:textFill>
              </w:rPr>
              <w:t>11</w:t>
            </w: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月</w:t>
            </w:r>
            <w:r>
              <w:rPr>
                <w:rFonts w:hint="eastAsia" w:ascii="宋体" w:hAnsi="宋体" w:eastAsia="宋体" w:cs="宋体"/>
                <w:snapToGrid w:val="0"/>
                <w:color w:val="000000" w:themeColor="text1"/>
                <w:spacing w:val="0"/>
                <w:kern w:val="0"/>
                <w:sz w:val="21"/>
                <w:szCs w:val="21"/>
                <w:highlight w:val="none"/>
                <w:u w:val="single"/>
                <w:lang w:val="en-US" w:eastAsia="zh-CN" w:bidi="ar-SA"/>
                <w14:textFill>
                  <w14:solidFill>
                    <w14:schemeClr w14:val="tx1"/>
                  </w14:solidFill>
                </w14:textFill>
              </w:rPr>
              <w:t>12</w:t>
            </w: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日</w:t>
            </w:r>
            <w:r>
              <w:rPr>
                <w:rFonts w:hint="eastAsia" w:ascii="宋体" w:hAnsi="宋体" w:eastAsia="宋体" w:cs="宋体"/>
                <w:snapToGrid w:val="0"/>
                <w:color w:val="000000" w:themeColor="text1"/>
                <w:spacing w:val="0"/>
                <w:kern w:val="0"/>
                <w:sz w:val="21"/>
                <w:szCs w:val="21"/>
                <w:highlight w:val="none"/>
                <w:u w:val="single"/>
                <w:lang w:val="en-US" w:eastAsia="zh-CN" w:bidi="ar-SA"/>
                <w14:textFill>
                  <w14:solidFill>
                    <w14:schemeClr w14:val="tx1"/>
                  </w14:solidFill>
                </w14:textFill>
              </w:rPr>
              <w:t>10</w:t>
            </w: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时</w:t>
            </w:r>
            <w:r>
              <w:rPr>
                <w:rFonts w:hint="eastAsia" w:ascii="宋体" w:hAnsi="宋体" w:eastAsia="宋体" w:cs="宋体"/>
                <w:snapToGrid w:val="0"/>
                <w:color w:val="000000" w:themeColor="text1"/>
                <w:spacing w:val="0"/>
                <w:kern w:val="0"/>
                <w:sz w:val="21"/>
                <w:szCs w:val="21"/>
                <w:highlight w:val="none"/>
                <w:u w:val="single"/>
                <w:lang w:val="en-US" w:eastAsia="zh-CN" w:bidi="ar-SA"/>
                <w14:textFill>
                  <w14:solidFill>
                    <w14:schemeClr w14:val="tx1"/>
                  </w14:solidFill>
                </w14:textFill>
              </w:rPr>
              <w:t>30</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分；</w:t>
            </w:r>
          </w:p>
          <w:p w14:paraId="48469684">
            <w:pPr>
              <w:keepNext w:val="0"/>
              <w:keepLines w:val="0"/>
              <w:pageBreakBefore w:val="0"/>
              <w:widowControl/>
              <w:suppressLineNumbers w:val="0"/>
              <w:wordWrap w:val="0"/>
              <w:overflowPunct/>
              <w:topLinePunct w:val="0"/>
              <w:bidi w:val="0"/>
              <w:snapToGrid w:val="0"/>
              <w:spacing w:before="0" w:beforeAutospacing="0" w:after="0" w:afterAutospacing="0" w:line="360" w:lineRule="auto"/>
              <w:ind w:left="0" w:right="0"/>
              <w:jc w:val="left"/>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投标保证担保上传截止时间：</w:t>
            </w:r>
            <w:r>
              <w:rPr>
                <w:rFonts w:hint="eastAsia" w:ascii="宋体" w:hAnsi="宋体" w:eastAsia="宋体" w:cs="宋体"/>
                <w:color w:val="000000" w:themeColor="text1"/>
                <w:spacing w:val="0"/>
                <w:kern w:val="0"/>
                <w:sz w:val="21"/>
                <w:szCs w:val="21"/>
                <w:highlight w:val="none"/>
                <w:u w:val="single"/>
                <w:lang w:val="en-US" w:eastAsia="zh-CN" w:bidi="ar-SA"/>
                <w14:textFill>
                  <w14:solidFill>
                    <w14:schemeClr w14:val="tx1"/>
                  </w14:solidFill>
                </w14:textFill>
              </w:rPr>
              <w:t>2026</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年</w:t>
            </w:r>
            <w:r>
              <w:rPr>
                <w:rFonts w:hint="eastAsia" w:ascii="宋体" w:hAnsi="宋体" w:eastAsia="宋体" w:cs="宋体"/>
                <w:snapToGrid w:val="0"/>
                <w:color w:val="000000" w:themeColor="text1"/>
                <w:spacing w:val="0"/>
                <w:kern w:val="0"/>
                <w:sz w:val="21"/>
                <w:szCs w:val="21"/>
                <w:highlight w:val="none"/>
                <w:u w:val="single"/>
                <w:lang w:val="en-US" w:eastAsia="zh-CN" w:bidi="ar-SA"/>
                <w14:textFill>
                  <w14:solidFill>
                    <w14:schemeClr w14:val="tx1"/>
                  </w14:solidFill>
                </w14:textFill>
              </w:rPr>
              <w:t>11</w:t>
            </w: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月</w:t>
            </w:r>
            <w:r>
              <w:rPr>
                <w:rFonts w:hint="eastAsia" w:ascii="宋体" w:hAnsi="宋体" w:eastAsia="宋体" w:cs="宋体"/>
                <w:snapToGrid w:val="0"/>
                <w:color w:val="000000" w:themeColor="text1"/>
                <w:spacing w:val="0"/>
                <w:kern w:val="0"/>
                <w:sz w:val="21"/>
                <w:szCs w:val="21"/>
                <w:highlight w:val="none"/>
                <w:u w:val="single"/>
                <w:lang w:val="en-US" w:eastAsia="zh-CN" w:bidi="ar-SA"/>
                <w14:textFill>
                  <w14:solidFill>
                    <w14:schemeClr w14:val="tx1"/>
                  </w14:solidFill>
                </w14:textFill>
              </w:rPr>
              <w:t>12</w:t>
            </w: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日</w:t>
            </w:r>
            <w:r>
              <w:rPr>
                <w:rFonts w:hint="eastAsia" w:ascii="宋体" w:hAnsi="宋体" w:eastAsia="宋体" w:cs="宋体"/>
                <w:snapToGrid w:val="0"/>
                <w:color w:val="000000" w:themeColor="text1"/>
                <w:spacing w:val="0"/>
                <w:kern w:val="0"/>
                <w:sz w:val="21"/>
                <w:szCs w:val="21"/>
                <w:highlight w:val="none"/>
                <w:u w:val="single"/>
                <w:lang w:val="en-US" w:eastAsia="zh-CN" w:bidi="ar-SA"/>
                <w14:textFill>
                  <w14:solidFill>
                    <w14:schemeClr w14:val="tx1"/>
                  </w14:solidFill>
                </w14:textFill>
              </w:rPr>
              <w:t>10</w:t>
            </w: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时</w:t>
            </w:r>
            <w:r>
              <w:rPr>
                <w:rFonts w:hint="eastAsia" w:ascii="宋体" w:hAnsi="宋体" w:eastAsia="宋体" w:cs="宋体"/>
                <w:snapToGrid w:val="0"/>
                <w:color w:val="000000" w:themeColor="text1"/>
                <w:spacing w:val="0"/>
                <w:kern w:val="0"/>
                <w:sz w:val="21"/>
                <w:szCs w:val="21"/>
                <w:highlight w:val="none"/>
                <w:u w:val="single"/>
                <w:lang w:val="en-US" w:eastAsia="zh-CN" w:bidi="ar-SA"/>
                <w14:textFill>
                  <w14:solidFill>
                    <w14:schemeClr w14:val="tx1"/>
                  </w14:solidFill>
                </w14:textFill>
              </w:rPr>
              <w:t>30</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分；</w:t>
            </w:r>
          </w:p>
          <w:p w14:paraId="4B354B21">
            <w:pPr>
              <w:keepNext w:val="0"/>
              <w:keepLines w:val="0"/>
              <w:pageBreakBefore w:val="0"/>
              <w:widowControl/>
              <w:suppressLineNumbers w:val="0"/>
              <w:wordWrap w:val="0"/>
              <w:overflowPunct/>
              <w:topLinePunct w:val="0"/>
              <w:bidi w:val="0"/>
              <w:snapToGrid w:val="0"/>
              <w:spacing w:before="0" w:beforeAutospacing="0" w:after="0" w:afterAutospacing="0" w:line="360" w:lineRule="auto"/>
              <w:ind w:left="0" w:right="0"/>
              <w:jc w:val="left"/>
              <w:rPr>
                <w:rFonts w:hint="eastAsia" w:ascii="宋体" w:hAnsi="宋体" w:eastAsia="宋体" w:cs="宋体"/>
                <w:color w:val="000000" w:themeColor="text1"/>
                <w:spacing w:val="0"/>
                <w:sz w:val="22"/>
                <w:szCs w:val="18"/>
                <w:highlight w:val="none"/>
                <w14:textFill>
                  <w14:solidFill>
                    <w14:schemeClr w14:val="tx1"/>
                  </w14:solidFill>
                </w14:textFill>
              </w:rPr>
            </w:pP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投标保证保险投保截止时间：</w:t>
            </w:r>
            <w:r>
              <w:rPr>
                <w:rFonts w:hint="eastAsia" w:ascii="宋体" w:hAnsi="宋体" w:eastAsia="宋体" w:cs="宋体"/>
                <w:color w:val="000000" w:themeColor="text1"/>
                <w:spacing w:val="0"/>
                <w:kern w:val="0"/>
                <w:sz w:val="21"/>
                <w:szCs w:val="21"/>
                <w:highlight w:val="none"/>
                <w:u w:val="single"/>
                <w:lang w:val="en-US" w:eastAsia="zh-CN" w:bidi="ar-SA"/>
                <w14:textFill>
                  <w14:solidFill>
                    <w14:schemeClr w14:val="tx1"/>
                  </w14:solidFill>
                </w14:textFill>
              </w:rPr>
              <w:t>2026</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年</w:t>
            </w:r>
            <w:r>
              <w:rPr>
                <w:rFonts w:hint="eastAsia" w:ascii="宋体" w:hAnsi="宋体" w:eastAsia="宋体" w:cs="宋体"/>
                <w:snapToGrid w:val="0"/>
                <w:color w:val="000000" w:themeColor="text1"/>
                <w:spacing w:val="0"/>
                <w:kern w:val="0"/>
                <w:sz w:val="21"/>
                <w:szCs w:val="21"/>
                <w:highlight w:val="none"/>
                <w:u w:val="single"/>
                <w:lang w:val="en-US" w:eastAsia="zh-CN" w:bidi="ar-SA"/>
                <w14:textFill>
                  <w14:solidFill>
                    <w14:schemeClr w14:val="tx1"/>
                  </w14:solidFill>
                </w14:textFill>
              </w:rPr>
              <w:t>11</w:t>
            </w: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月</w:t>
            </w:r>
            <w:r>
              <w:rPr>
                <w:rFonts w:hint="eastAsia" w:ascii="宋体" w:hAnsi="宋体" w:eastAsia="宋体" w:cs="宋体"/>
                <w:snapToGrid w:val="0"/>
                <w:color w:val="000000" w:themeColor="text1"/>
                <w:spacing w:val="0"/>
                <w:kern w:val="0"/>
                <w:sz w:val="21"/>
                <w:szCs w:val="21"/>
                <w:highlight w:val="none"/>
                <w:u w:val="single"/>
                <w:lang w:val="en-US" w:eastAsia="zh-CN" w:bidi="ar-SA"/>
                <w14:textFill>
                  <w14:solidFill>
                    <w14:schemeClr w14:val="tx1"/>
                  </w14:solidFill>
                </w14:textFill>
              </w:rPr>
              <w:t>12</w:t>
            </w: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日</w:t>
            </w:r>
            <w:r>
              <w:rPr>
                <w:rFonts w:hint="eastAsia" w:ascii="宋体" w:hAnsi="宋体" w:eastAsia="宋体" w:cs="宋体"/>
                <w:snapToGrid w:val="0"/>
                <w:color w:val="000000" w:themeColor="text1"/>
                <w:spacing w:val="0"/>
                <w:kern w:val="0"/>
                <w:sz w:val="21"/>
                <w:szCs w:val="21"/>
                <w:highlight w:val="none"/>
                <w:u w:val="single"/>
                <w:lang w:val="en-US" w:eastAsia="zh-CN" w:bidi="ar-SA"/>
                <w14:textFill>
                  <w14:solidFill>
                    <w14:schemeClr w14:val="tx1"/>
                  </w14:solidFill>
                </w14:textFill>
              </w:rPr>
              <w:t>10</w:t>
            </w: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时</w:t>
            </w:r>
            <w:r>
              <w:rPr>
                <w:rFonts w:hint="eastAsia" w:ascii="宋体" w:hAnsi="宋体" w:eastAsia="宋体" w:cs="宋体"/>
                <w:snapToGrid w:val="0"/>
                <w:color w:val="000000" w:themeColor="text1"/>
                <w:spacing w:val="0"/>
                <w:kern w:val="0"/>
                <w:sz w:val="21"/>
                <w:szCs w:val="21"/>
                <w:highlight w:val="none"/>
                <w:u w:val="single"/>
                <w:lang w:val="en-US" w:eastAsia="zh-CN" w:bidi="ar-SA"/>
                <w14:textFill>
                  <w14:solidFill>
                    <w14:schemeClr w14:val="tx1"/>
                  </w14:solidFill>
                </w14:textFill>
              </w:rPr>
              <w:t>30</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分。</w:t>
            </w:r>
          </w:p>
        </w:tc>
      </w:tr>
      <w:tr w14:paraId="1D384F5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42"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066C4A5C">
            <w:pPr>
              <w:pStyle w:val="28"/>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0"/>
                <w:szCs w:val="22"/>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14:textFill>
                  <w14:solidFill>
                    <w14:schemeClr w14:val="tx1"/>
                  </w14:solidFill>
                </w14:textFill>
              </w:rPr>
              <w:t>6</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76A2BAA3">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000000" w:themeColor="text1"/>
                <w:spacing w:val="0"/>
                <w:kern w:val="0"/>
                <w:sz w:val="22"/>
                <w:szCs w:val="22"/>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2"/>
                <w:szCs w:val="22"/>
                <w:highlight w:val="none"/>
                <w:lang w:val="en-US" w:eastAsia="zh-CN" w:bidi="ar-SA"/>
                <w14:textFill>
                  <w14:solidFill>
                    <w14:schemeClr w14:val="tx1"/>
                  </w14:solidFill>
                </w14:textFill>
              </w:rPr>
              <w:t>电子投标</w:t>
            </w:r>
          </w:p>
          <w:p w14:paraId="2FA17C4F">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2"/>
                <w:szCs w:val="18"/>
                <w:highlight w:val="none"/>
                <w14:textFill>
                  <w14:solidFill>
                    <w14:schemeClr w14:val="tx1"/>
                  </w14:solidFill>
                </w14:textFill>
              </w:rPr>
            </w:pPr>
            <w:r>
              <w:rPr>
                <w:rFonts w:hint="eastAsia" w:ascii="宋体" w:hAnsi="宋体" w:eastAsia="宋体" w:cs="宋体"/>
                <w:snapToGrid w:val="0"/>
                <w:color w:val="000000" w:themeColor="text1"/>
                <w:spacing w:val="0"/>
                <w:kern w:val="0"/>
                <w:sz w:val="22"/>
                <w:szCs w:val="22"/>
                <w:highlight w:val="none"/>
                <w:lang w:val="en-US" w:eastAsia="zh-CN" w:bidi="ar-SA"/>
                <w14:textFill>
                  <w14:solidFill>
                    <w14:schemeClr w14:val="tx1"/>
                  </w14:solidFill>
                </w14:textFill>
              </w:rPr>
              <w:t xml:space="preserve">截止时间 </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0DB12431">
            <w:pPr>
              <w:keepNext w:val="0"/>
              <w:keepLines w:val="0"/>
              <w:pageBreakBefore w:val="0"/>
              <w:widowControl/>
              <w:suppressLineNumbers w:val="0"/>
              <w:wordWrap w:val="0"/>
              <w:overflowPunct/>
              <w:topLinePunct w:val="0"/>
              <w:bidi w:val="0"/>
              <w:snapToGrid w:val="0"/>
              <w:spacing w:before="0" w:beforeAutospacing="0" w:after="0" w:afterAutospacing="0"/>
              <w:ind w:left="0" w:right="0"/>
              <w:jc w:val="left"/>
              <w:rPr>
                <w:rFonts w:hint="eastAsia" w:ascii="宋体" w:hAnsi="宋体" w:eastAsia="宋体" w:cs="宋体"/>
                <w:color w:val="000000" w:themeColor="text1"/>
                <w:spacing w:val="0"/>
                <w:sz w:val="22"/>
                <w:szCs w:val="18"/>
                <w:highlight w:val="none"/>
                <w14:textFill>
                  <w14:solidFill>
                    <w14:schemeClr w14:val="tx1"/>
                  </w14:solidFill>
                </w14:textFill>
              </w:rPr>
            </w:pPr>
            <w:r>
              <w:rPr>
                <w:rFonts w:hint="eastAsia" w:ascii="宋体" w:hAnsi="宋体" w:eastAsia="宋体" w:cs="宋体"/>
                <w:color w:val="000000" w:themeColor="text1"/>
                <w:spacing w:val="0"/>
                <w:kern w:val="0"/>
                <w:sz w:val="21"/>
                <w:szCs w:val="21"/>
                <w:highlight w:val="none"/>
                <w:u w:val="single"/>
                <w:lang w:val="en-US" w:eastAsia="zh-CN" w:bidi="ar-SA"/>
                <w14:textFill>
                  <w14:solidFill>
                    <w14:schemeClr w14:val="tx1"/>
                  </w14:solidFill>
                </w14:textFill>
              </w:rPr>
              <w:t>2026</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年</w:t>
            </w:r>
            <w:r>
              <w:rPr>
                <w:rFonts w:hint="eastAsia" w:ascii="宋体" w:hAnsi="宋体" w:eastAsia="宋体" w:cs="宋体"/>
                <w:snapToGrid w:val="0"/>
                <w:color w:val="000000" w:themeColor="text1"/>
                <w:spacing w:val="0"/>
                <w:kern w:val="0"/>
                <w:sz w:val="21"/>
                <w:szCs w:val="21"/>
                <w:highlight w:val="none"/>
                <w:u w:val="single"/>
                <w:lang w:val="en-US" w:eastAsia="zh-CN" w:bidi="ar-SA"/>
                <w14:textFill>
                  <w14:solidFill>
                    <w14:schemeClr w14:val="tx1"/>
                  </w14:solidFill>
                </w14:textFill>
              </w:rPr>
              <w:t>11</w:t>
            </w: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月</w:t>
            </w:r>
            <w:r>
              <w:rPr>
                <w:rFonts w:hint="eastAsia" w:ascii="宋体" w:hAnsi="宋体" w:eastAsia="宋体" w:cs="宋体"/>
                <w:snapToGrid w:val="0"/>
                <w:color w:val="000000" w:themeColor="text1"/>
                <w:spacing w:val="0"/>
                <w:kern w:val="0"/>
                <w:sz w:val="21"/>
                <w:szCs w:val="21"/>
                <w:highlight w:val="none"/>
                <w:u w:val="single"/>
                <w:lang w:val="en-US" w:eastAsia="zh-CN" w:bidi="ar-SA"/>
                <w14:textFill>
                  <w14:solidFill>
                    <w14:schemeClr w14:val="tx1"/>
                  </w14:solidFill>
                </w14:textFill>
              </w:rPr>
              <w:t>13</w:t>
            </w: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日</w:t>
            </w:r>
            <w:r>
              <w:rPr>
                <w:rFonts w:hint="eastAsia" w:ascii="宋体" w:hAnsi="宋体" w:eastAsia="宋体" w:cs="宋体"/>
                <w:snapToGrid w:val="0"/>
                <w:color w:val="000000" w:themeColor="text1"/>
                <w:spacing w:val="0"/>
                <w:kern w:val="0"/>
                <w:sz w:val="21"/>
                <w:szCs w:val="21"/>
                <w:highlight w:val="none"/>
                <w:u w:val="single"/>
                <w:lang w:val="en-US" w:eastAsia="zh-CN" w:bidi="ar-SA"/>
                <w14:textFill>
                  <w14:solidFill>
                    <w14:schemeClr w14:val="tx1"/>
                  </w14:solidFill>
                </w14:textFill>
              </w:rPr>
              <w:t>10</w:t>
            </w: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时</w:t>
            </w:r>
            <w:r>
              <w:rPr>
                <w:rFonts w:hint="eastAsia" w:ascii="宋体" w:hAnsi="宋体" w:eastAsia="宋体" w:cs="宋体"/>
                <w:snapToGrid w:val="0"/>
                <w:color w:val="000000" w:themeColor="text1"/>
                <w:spacing w:val="0"/>
                <w:kern w:val="0"/>
                <w:sz w:val="21"/>
                <w:szCs w:val="21"/>
                <w:highlight w:val="none"/>
                <w:u w:val="single"/>
                <w:lang w:val="en-US" w:eastAsia="zh-CN" w:bidi="ar-SA"/>
                <w14:textFill>
                  <w14:solidFill>
                    <w14:schemeClr w14:val="tx1"/>
                  </w14:solidFill>
                </w14:textFill>
              </w:rPr>
              <w:t>30</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分</w:t>
            </w:r>
          </w:p>
        </w:tc>
      </w:tr>
      <w:tr w14:paraId="30E0E05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96"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2E2714AB">
            <w:pPr>
              <w:pStyle w:val="28"/>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0"/>
                <w:szCs w:val="22"/>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14:textFill>
                  <w14:solidFill>
                    <w14:schemeClr w14:val="tx1"/>
                  </w14:solidFill>
                </w14:textFill>
              </w:rPr>
              <w:t>7</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121AF192">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000000" w:themeColor="text1"/>
                <w:spacing w:val="0"/>
                <w:kern w:val="0"/>
                <w:sz w:val="22"/>
                <w:szCs w:val="22"/>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2"/>
                <w:szCs w:val="22"/>
                <w:highlight w:val="none"/>
                <w:lang w:val="en-US" w:eastAsia="zh-CN" w:bidi="ar-SA"/>
                <w14:textFill>
                  <w14:solidFill>
                    <w14:schemeClr w14:val="tx1"/>
                  </w14:solidFill>
                </w14:textFill>
              </w:rPr>
              <w:t>投标相关资料（如有）</w:t>
            </w:r>
          </w:p>
          <w:p w14:paraId="5083F832">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2"/>
                <w:szCs w:val="18"/>
                <w:highlight w:val="none"/>
                <w14:textFill>
                  <w14:solidFill>
                    <w14:schemeClr w14:val="tx1"/>
                  </w14:solidFill>
                </w14:textFill>
              </w:rPr>
            </w:pPr>
            <w:r>
              <w:rPr>
                <w:rFonts w:hint="eastAsia" w:ascii="宋体" w:hAnsi="宋体" w:eastAsia="宋体" w:cs="宋体"/>
                <w:snapToGrid w:val="0"/>
                <w:color w:val="000000" w:themeColor="text1"/>
                <w:spacing w:val="0"/>
                <w:kern w:val="0"/>
                <w:sz w:val="22"/>
                <w:szCs w:val="22"/>
                <w:highlight w:val="none"/>
                <w:lang w:val="en-US" w:eastAsia="zh-CN" w:bidi="ar-SA"/>
                <w14:textFill>
                  <w14:solidFill>
                    <w14:schemeClr w14:val="tx1"/>
                  </w14:solidFill>
                </w14:textFill>
              </w:rPr>
              <w:t>递交时间</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38D1657B">
            <w:pPr>
              <w:keepNext w:val="0"/>
              <w:keepLines w:val="0"/>
              <w:pageBreakBefore w:val="0"/>
              <w:widowControl/>
              <w:suppressLineNumbers w:val="0"/>
              <w:wordWrap w:val="0"/>
              <w:overflowPunct/>
              <w:topLinePunct w:val="0"/>
              <w:bidi w:val="0"/>
              <w:snapToGrid w:val="0"/>
              <w:spacing w:before="0" w:beforeAutospacing="0" w:after="0" w:afterAutospacing="0"/>
              <w:ind w:left="0" w:right="0"/>
              <w:jc w:val="left"/>
              <w:rPr>
                <w:rFonts w:hint="eastAsia" w:ascii="宋体" w:hAnsi="宋体" w:eastAsia="宋体" w:cs="宋体"/>
                <w:color w:val="000000" w:themeColor="text1"/>
                <w:spacing w:val="0"/>
                <w:sz w:val="22"/>
                <w:szCs w:val="18"/>
                <w:highlight w:val="none"/>
                <w14:textFill>
                  <w14:solidFill>
                    <w14:schemeClr w14:val="tx1"/>
                  </w14:solidFill>
                </w14:textFill>
              </w:rPr>
            </w:pPr>
            <w:r>
              <w:rPr>
                <w:rFonts w:hint="eastAsia" w:ascii="宋体" w:hAnsi="宋体" w:eastAsia="宋体" w:cs="宋体"/>
                <w:color w:val="000000" w:themeColor="text1"/>
                <w:spacing w:val="0"/>
                <w:kern w:val="0"/>
                <w:sz w:val="21"/>
                <w:szCs w:val="21"/>
                <w:highlight w:val="none"/>
                <w:u w:val="single"/>
                <w:lang w:val="en-US" w:eastAsia="zh-CN" w:bidi="ar-SA"/>
                <w14:textFill>
                  <w14:solidFill>
                    <w14:schemeClr w14:val="tx1"/>
                  </w14:solidFill>
                </w14:textFill>
              </w:rPr>
              <w:t>2026</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年</w:t>
            </w:r>
            <w:r>
              <w:rPr>
                <w:rFonts w:hint="eastAsia" w:ascii="宋体" w:hAnsi="宋体" w:eastAsia="宋体" w:cs="宋体"/>
                <w:snapToGrid w:val="0"/>
                <w:color w:val="000000" w:themeColor="text1"/>
                <w:spacing w:val="0"/>
                <w:kern w:val="0"/>
                <w:sz w:val="21"/>
                <w:szCs w:val="21"/>
                <w:highlight w:val="none"/>
                <w:u w:val="single"/>
                <w:lang w:val="en-US" w:eastAsia="zh-CN" w:bidi="ar-SA"/>
                <w14:textFill>
                  <w14:solidFill>
                    <w14:schemeClr w14:val="tx1"/>
                  </w14:solidFill>
                </w14:textFill>
              </w:rPr>
              <w:t>11</w:t>
            </w: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月</w:t>
            </w:r>
            <w:r>
              <w:rPr>
                <w:rFonts w:hint="eastAsia" w:ascii="宋体" w:hAnsi="宋体" w:eastAsia="宋体" w:cs="宋体"/>
                <w:snapToGrid w:val="0"/>
                <w:color w:val="000000" w:themeColor="text1"/>
                <w:spacing w:val="0"/>
                <w:kern w:val="0"/>
                <w:sz w:val="21"/>
                <w:szCs w:val="21"/>
                <w:highlight w:val="none"/>
                <w:u w:val="single"/>
                <w:lang w:val="en-US" w:eastAsia="zh-CN" w:bidi="ar-SA"/>
                <w14:textFill>
                  <w14:solidFill>
                    <w14:schemeClr w14:val="tx1"/>
                  </w14:solidFill>
                </w14:textFill>
              </w:rPr>
              <w:t>13</w:t>
            </w: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日</w:t>
            </w:r>
            <w:r>
              <w:rPr>
                <w:rFonts w:hint="eastAsia" w:ascii="宋体" w:hAnsi="宋体" w:eastAsia="宋体" w:cs="宋体"/>
                <w:snapToGrid w:val="0"/>
                <w:color w:val="000000" w:themeColor="text1"/>
                <w:spacing w:val="0"/>
                <w:kern w:val="0"/>
                <w:sz w:val="21"/>
                <w:szCs w:val="21"/>
                <w:highlight w:val="none"/>
                <w:u w:val="single"/>
                <w:lang w:val="en-US" w:eastAsia="zh-CN" w:bidi="ar-SA"/>
                <w14:textFill>
                  <w14:solidFill>
                    <w14:schemeClr w14:val="tx1"/>
                  </w14:solidFill>
                </w14:textFill>
              </w:rPr>
              <w:t>10</w:t>
            </w: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时</w:t>
            </w:r>
            <w:r>
              <w:rPr>
                <w:rFonts w:hint="eastAsia" w:ascii="宋体" w:hAnsi="宋体" w:eastAsia="宋体" w:cs="宋体"/>
                <w:snapToGrid w:val="0"/>
                <w:color w:val="000000" w:themeColor="text1"/>
                <w:spacing w:val="0"/>
                <w:kern w:val="0"/>
                <w:sz w:val="21"/>
                <w:szCs w:val="21"/>
                <w:highlight w:val="none"/>
                <w:u w:val="single"/>
                <w:lang w:val="en-US" w:eastAsia="zh-CN" w:bidi="ar-SA"/>
                <w14:textFill>
                  <w14:solidFill>
                    <w14:schemeClr w14:val="tx1"/>
                  </w14:solidFill>
                </w14:textFill>
              </w:rPr>
              <w:t>00</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分至</w:t>
            </w:r>
            <w:r>
              <w:rPr>
                <w:rFonts w:hint="eastAsia" w:ascii="宋体" w:hAnsi="宋体" w:eastAsia="宋体" w:cs="宋体"/>
                <w:color w:val="000000" w:themeColor="text1"/>
                <w:spacing w:val="0"/>
                <w:kern w:val="0"/>
                <w:sz w:val="21"/>
                <w:szCs w:val="21"/>
                <w:highlight w:val="none"/>
                <w:u w:val="single"/>
                <w:lang w:val="en-US" w:eastAsia="zh-CN" w:bidi="ar-SA"/>
                <w14:textFill>
                  <w14:solidFill>
                    <w14:schemeClr w14:val="tx1"/>
                  </w14:solidFill>
                </w14:textFill>
              </w:rPr>
              <w:t xml:space="preserve"> 2026</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年</w:t>
            </w:r>
            <w:r>
              <w:rPr>
                <w:rFonts w:hint="eastAsia" w:ascii="宋体" w:hAnsi="宋体" w:eastAsia="宋体" w:cs="宋体"/>
                <w:snapToGrid w:val="0"/>
                <w:color w:val="000000" w:themeColor="text1"/>
                <w:spacing w:val="0"/>
                <w:kern w:val="0"/>
                <w:sz w:val="21"/>
                <w:szCs w:val="21"/>
                <w:highlight w:val="none"/>
                <w:u w:val="single"/>
                <w:lang w:val="en-US" w:eastAsia="zh-CN" w:bidi="ar-SA"/>
                <w14:textFill>
                  <w14:solidFill>
                    <w14:schemeClr w14:val="tx1"/>
                  </w14:solidFill>
                </w14:textFill>
              </w:rPr>
              <w:t>11</w:t>
            </w: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月</w:t>
            </w:r>
            <w:r>
              <w:rPr>
                <w:rFonts w:hint="eastAsia" w:ascii="宋体" w:hAnsi="宋体" w:eastAsia="宋体" w:cs="宋体"/>
                <w:snapToGrid w:val="0"/>
                <w:color w:val="000000" w:themeColor="text1"/>
                <w:spacing w:val="0"/>
                <w:kern w:val="0"/>
                <w:sz w:val="21"/>
                <w:szCs w:val="21"/>
                <w:highlight w:val="none"/>
                <w:u w:val="single"/>
                <w:lang w:val="en-US" w:eastAsia="zh-CN" w:bidi="ar-SA"/>
                <w14:textFill>
                  <w14:solidFill>
                    <w14:schemeClr w14:val="tx1"/>
                  </w14:solidFill>
                </w14:textFill>
              </w:rPr>
              <w:t>13</w:t>
            </w: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日</w:t>
            </w:r>
            <w:r>
              <w:rPr>
                <w:rFonts w:hint="eastAsia" w:ascii="宋体" w:hAnsi="宋体" w:eastAsia="宋体" w:cs="宋体"/>
                <w:snapToGrid w:val="0"/>
                <w:color w:val="000000" w:themeColor="text1"/>
                <w:spacing w:val="0"/>
                <w:kern w:val="0"/>
                <w:sz w:val="21"/>
                <w:szCs w:val="21"/>
                <w:highlight w:val="none"/>
                <w:u w:val="single"/>
                <w:lang w:val="en-US" w:eastAsia="zh-CN" w:bidi="ar-SA"/>
                <w14:textFill>
                  <w14:solidFill>
                    <w14:schemeClr w14:val="tx1"/>
                  </w14:solidFill>
                </w14:textFill>
              </w:rPr>
              <w:t>10</w:t>
            </w: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时</w:t>
            </w:r>
            <w:r>
              <w:rPr>
                <w:rFonts w:hint="eastAsia" w:ascii="宋体" w:hAnsi="宋体" w:eastAsia="宋体" w:cs="宋体"/>
                <w:snapToGrid w:val="0"/>
                <w:color w:val="000000" w:themeColor="text1"/>
                <w:spacing w:val="0"/>
                <w:kern w:val="0"/>
                <w:sz w:val="21"/>
                <w:szCs w:val="21"/>
                <w:highlight w:val="none"/>
                <w:u w:val="single"/>
                <w:lang w:val="en-US" w:eastAsia="zh-CN" w:bidi="ar-SA"/>
                <w14:textFill>
                  <w14:solidFill>
                    <w14:schemeClr w14:val="tx1"/>
                  </w14:solidFill>
                </w14:textFill>
              </w:rPr>
              <w:t>30</w:t>
            </w:r>
            <w:r>
              <w:rPr>
                <w:rFonts w:hint="eastAsia" w:ascii="宋体" w:hAnsi="宋体" w:eastAsia="宋体" w:cs="宋体"/>
                <w:color w:val="000000" w:themeColor="text1"/>
                <w:spacing w:val="0"/>
                <w:kern w:val="0"/>
                <w:sz w:val="21"/>
                <w:szCs w:val="21"/>
                <w:highlight w:val="none"/>
                <w:lang w:val="en-US" w:eastAsia="zh-CN" w:bidi="ar-SA"/>
                <w14:textFill>
                  <w14:solidFill>
                    <w14:schemeClr w14:val="tx1"/>
                  </w14:solidFill>
                </w14:textFill>
              </w:rPr>
              <w:t>分</w:t>
            </w:r>
          </w:p>
        </w:tc>
      </w:tr>
      <w:tr w14:paraId="3F934CF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96"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4265D800">
            <w:pPr>
              <w:pStyle w:val="28"/>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0"/>
                <w:szCs w:val="22"/>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14:textFill>
                  <w14:solidFill>
                    <w14:schemeClr w14:val="tx1"/>
                  </w14:solidFill>
                </w14:textFill>
              </w:rPr>
              <w:t>8</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298C8B7C">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000000" w:themeColor="text1"/>
                <w:spacing w:val="0"/>
                <w:kern w:val="0"/>
                <w:sz w:val="22"/>
                <w:szCs w:val="22"/>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2"/>
                <w:szCs w:val="22"/>
                <w:highlight w:val="none"/>
                <w:lang w:val="en-US" w:eastAsia="zh-CN" w:bidi="ar-SA"/>
                <w14:textFill>
                  <w14:solidFill>
                    <w14:schemeClr w14:val="tx1"/>
                  </w14:solidFill>
                </w14:textFill>
              </w:rPr>
              <w:t>投标相关资料（如有）</w:t>
            </w:r>
          </w:p>
          <w:p w14:paraId="170BD88B">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2"/>
                <w:szCs w:val="18"/>
                <w:highlight w:val="none"/>
                <w14:textFill>
                  <w14:solidFill>
                    <w14:schemeClr w14:val="tx1"/>
                  </w14:solidFill>
                </w14:textFill>
              </w:rPr>
            </w:pPr>
            <w:r>
              <w:rPr>
                <w:rFonts w:hint="eastAsia" w:ascii="宋体" w:hAnsi="宋体" w:eastAsia="宋体" w:cs="宋体"/>
                <w:snapToGrid w:val="0"/>
                <w:color w:val="000000" w:themeColor="text1"/>
                <w:spacing w:val="0"/>
                <w:kern w:val="0"/>
                <w:sz w:val="22"/>
                <w:szCs w:val="22"/>
                <w:highlight w:val="none"/>
                <w:lang w:val="en-US" w:eastAsia="zh-CN" w:bidi="ar-SA"/>
                <w14:textFill>
                  <w14:solidFill>
                    <w14:schemeClr w14:val="tx1"/>
                  </w14:solidFill>
                </w14:textFill>
              </w:rPr>
              <w:t>递交地点</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6D84EE42">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400" w:lineRule="exact"/>
              <w:ind w:left="0" w:right="0" w:firstLine="210" w:firstLineChars="100"/>
              <w:jc w:val="left"/>
              <w:rPr>
                <w:rFonts w:hint="eastAsia" w:ascii="宋体" w:hAnsi="宋体" w:eastAsia="宋体" w:cs="宋体"/>
                <w:color w:val="000000" w:themeColor="text1"/>
                <w:spacing w:val="0"/>
                <w:sz w:val="22"/>
                <w:szCs w:val="18"/>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递交场所：新丰县丰城街道金园路53号行政服务中心5楼（韶关市公共资源交易中心新丰分中心），具体递交场所以当日现场通知为准。</w:t>
            </w:r>
          </w:p>
        </w:tc>
      </w:tr>
      <w:tr w14:paraId="529A5D9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56"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2C00C926">
            <w:pPr>
              <w:pStyle w:val="28"/>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0"/>
                <w:szCs w:val="22"/>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14:textFill>
                  <w14:solidFill>
                    <w14:schemeClr w14:val="tx1"/>
                  </w14:solidFill>
                </w14:textFill>
              </w:rPr>
              <w:t>9</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257504FA">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2"/>
                <w:szCs w:val="18"/>
                <w:highlight w:val="none"/>
                <w14:textFill>
                  <w14:solidFill>
                    <w14:schemeClr w14:val="tx1"/>
                  </w14:solidFill>
                </w14:textFill>
              </w:rPr>
            </w:pPr>
            <w:r>
              <w:rPr>
                <w:rFonts w:hint="eastAsia" w:ascii="宋体" w:hAnsi="宋体" w:eastAsia="宋体" w:cs="宋体"/>
                <w:snapToGrid w:val="0"/>
                <w:color w:val="000000" w:themeColor="text1"/>
                <w:spacing w:val="0"/>
                <w:kern w:val="0"/>
                <w:sz w:val="22"/>
                <w:szCs w:val="22"/>
                <w:highlight w:val="none"/>
                <w:lang w:val="en-US" w:eastAsia="zh-CN" w:bidi="ar-SA"/>
                <w14:textFill>
                  <w14:solidFill>
                    <w14:schemeClr w14:val="tx1"/>
                  </w14:solidFill>
                </w14:textFill>
              </w:rPr>
              <w:t xml:space="preserve">开标时间 </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4F4A041C">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400" w:lineRule="exact"/>
              <w:ind w:left="0" w:right="0"/>
              <w:jc w:val="left"/>
              <w:rPr>
                <w:rFonts w:hint="eastAsia" w:ascii="宋体" w:hAnsi="宋体" w:eastAsia="宋体" w:cs="宋体"/>
                <w:color w:val="000000" w:themeColor="text1"/>
                <w:spacing w:val="0"/>
                <w:sz w:val="22"/>
                <w:szCs w:val="18"/>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 xml:space="preserve"> </w:t>
            </w:r>
            <w:r>
              <w:rPr>
                <w:rFonts w:hint="eastAsia" w:ascii="宋体" w:hAnsi="宋体" w:eastAsia="宋体" w:cs="宋体"/>
                <w:color w:val="000000" w:themeColor="text1"/>
                <w:spacing w:val="0"/>
                <w:kern w:val="0"/>
                <w:sz w:val="21"/>
                <w:szCs w:val="21"/>
                <w:highlight w:val="none"/>
                <w:u w:val="single"/>
                <w:lang w:val="en-US" w:eastAsia="zh-CN" w:bidi="ar-SA"/>
                <w14:textFill>
                  <w14:solidFill>
                    <w14:schemeClr w14:val="tx1"/>
                  </w14:solidFill>
                </w14:textFill>
              </w:rPr>
              <w:t>2026</w:t>
            </w: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年</w:t>
            </w:r>
            <w:r>
              <w:rPr>
                <w:rFonts w:hint="eastAsia" w:ascii="宋体" w:hAnsi="宋体" w:eastAsia="宋体" w:cs="宋体"/>
                <w:snapToGrid w:val="0"/>
                <w:color w:val="000000" w:themeColor="text1"/>
                <w:spacing w:val="0"/>
                <w:kern w:val="0"/>
                <w:sz w:val="21"/>
                <w:szCs w:val="21"/>
                <w:highlight w:val="none"/>
                <w:u w:val="single"/>
                <w:lang w:val="en-US" w:eastAsia="zh-CN" w:bidi="ar-SA"/>
                <w14:textFill>
                  <w14:solidFill>
                    <w14:schemeClr w14:val="tx1"/>
                  </w14:solidFill>
                </w14:textFill>
              </w:rPr>
              <w:t>11</w:t>
            </w: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月</w:t>
            </w:r>
            <w:r>
              <w:rPr>
                <w:rFonts w:hint="eastAsia" w:ascii="宋体" w:hAnsi="宋体" w:eastAsia="宋体" w:cs="宋体"/>
                <w:snapToGrid w:val="0"/>
                <w:color w:val="000000" w:themeColor="text1"/>
                <w:spacing w:val="0"/>
                <w:kern w:val="0"/>
                <w:sz w:val="21"/>
                <w:szCs w:val="21"/>
                <w:highlight w:val="none"/>
                <w:u w:val="single"/>
                <w:lang w:val="en-US" w:eastAsia="zh-CN" w:bidi="ar-SA"/>
                <w14:textFill>
                  <w14:solidFill>
                    <w14:schemeClr w14:val="tx1"/>
                  </w14:solidFill>
                </w14:textFill>
              </w:rPr>
              <w:t>13</w:t>
            </w: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日</w:t>
            </w:r>
            <w:r>
              <w:rPr>
                <w:rFonts w:hint="eastAsia" w:ascii="宋体" w:hAnsi="宋体" w:eastAsia="宋体" w:cs="宋体"/>
                <w:snapToGrid w:val="0"/>
                <w:color w:val="000000" w:themeColor="text1"/>
                <w:spacing w:val="0"/>
                <w:kern w:val="0"/>
                <w:sz w:val="21"/>
                <w:szCs w:val="21"/>
                <w:highlight w:val="none"/>
                <w:u w:val="single"/>
                <w:lang w:val="en-US" w:eastAsia="zh-CN" w:bidi="ar-SA"/>
                <w14:textFill>
                  <w14:solidFill>
                    <w14:schemeClr w14:val="tx1"/>
                  </w14:solidFill>
                </w14:textFill>
              </w:rPr>
              <w:t>10</w:t>
            </w: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时</w:t>
            </w:r>
            <w:r>
              <w:rPr>
                <w:rFonts w:hint="eastAsia" w:ascii="宋体" w:hAnsi="宋体" w:eastAsia="宋体" w:cs="宋体"/>
                <w:snapToGrid w:val="0"/>
                <w:color w:val="000000" w:themeColor="text1"/>
                <w:spacing w:val="0"/>
                <w:kern w:val="0"/>
                <w:sz w:val="21"/>
                <w:szCs w:val="21"/>
                <w:highlight w:val="none"/>
                <w:u w:val="single"/>
                <w:lang w:val="en-US" w:eastAsia="zh-CN" w:bidi="ar-SA"/>
                <w14:textFill>
                  <w14:solidFill>
                    <w14:schemeClr w14:val="tx1"/>
                  </w14:solidFill>
                </w14:textFill>
              </w:rPr>
              <w:t>30</w:t>
            </w:r>
            <w:bookmarkStart w:id="285" w:name="_GoBack"/>
            <w:bookmarkEnd w:id="285"/>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分</w:t>
            </w:r>
          </w:p>
        </w:tc>
      </w:tr>
      <w:tr w14:paraId="27C90E8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87"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1D049F48">
            <w:pPr>
              <w:pStyle w:val="28"/>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0"/>
                <w:szCs w:val="22"/>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14:textFill>
                  <w14:solidFill>
                    <w14:schemeClr w14:val="tx1"/>
                  </w14:solidFill>
                </w14:textFill>
              </w:rPr>
              <w:t>10</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555B6A36">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2"/>
                <w:szCs w:val="18"/>
                <w:highlight w:val="none"/>
                <w14:textFill>
                  <w14:solidFill>
                    <w14:schemeClr w14:val="tx1"/>
                  </w14:solidFill>
                </w14:textFill>
              </w:rPr>
            </w:pPr>
            <w:r>
              <w:rPr>
                <w:rFonts w:hint="eastAsia" w:ascii="宋体" w:hAnsi="宋体" w:eastAsia="宋体" w:cs="宋体"/>
                <w:snapToGrid w:val="0"/>
                <w:color w:val="000000" w:themeColor="text1"/>
                <w:spacing w:val="0"/>
                <w:kern w:val="0"/>
                <w:sz w:val="22"/>
                <w:szCs w:val="22"/>
                <w:highlight w:val="none"/>
                <w:lang w:val="en-US" w:eastAsia="zh-CN" w:bidi="ar-SA"/>
                <w14:textFill>
                  <w14:solidFill>
                    <w14:schemeClr w14:val="tx1"/>
                  </w14:solidFill>
                </w14:textFill>
              </w:rPr>
              <w:t xml:space="preserve">开标地点 </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37078B09">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400" w:lineRule="exact"/>
              <w:ind w:left="0" w:right="0" w:firstLine="210" w:firstLineChars="100"/>
              <w:jc w:val="left"/>
              <w:rPr>
                <w:rFonts w:hint="eastAsia" w:ascii="宋体" w:hAnsi="宋体" w:eastAsia="宋体" w:cs="宋体"/>
                <w:color w:val="000000" w:themeColor="text1"/>
                <w:spacing w:val="0"/>
                <w:sz w:val="22"/>
                <w:szCs w:val="18"/>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开标地点：新丰县丰城街道金园路53号行政服务中心5楼（韶关市公共资源交易中心新丰分中心），具体开标室以当日现场通知为准。</w:t>
            </w:r>
          </w:p>
        </w:tc>
      </w:tr>
      <w:tr w14:paraId="28D28BD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46" w:hRule="exact"/>
        </w:trPr>
        <w:tc>
          <w:tcPr>
            <w:tcW w:w="1721" w:type="dxa"/>
            <w:gridSpan w:val="2"/>
            <w:tcBorders>
              <w:top w:val="single" w:color="080000" w:sz="4" w:space="0"/>
              <w:left w:val="single" w:color="080000" w:sz="4" w:space="0"/>
              <w:bottom w:val="single" w:color="080000" w:sz="4" w:space="0"/>
              <w:right w:val="single" w:color="080000" w:sz="4" w:space="0"/>
            </w:tcBorders>
            <w:noWrap w:val="0"/>
            <w:vAlign w:val="center"/>
          </w:tcPr>
          <w:p w14:paraId="084E8E9B">
            <w:pPr>
              <w:pStyle w:val="28"/>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0"/>
                <w:szCs w:val="22"/>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备注</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123A471A">
            <w:pPr>
              <w:pStyle w:val="28"/>
              <w:keepNext w:val="0"/>
              <w:keepLines w:val="0"/>
              <w:pageBreakBefore w:val="0"/>
              <w:suppressLineNumbers w:val="0"/>
              <w:wordWrap w:val="0"/>
              <w:overflowPunct/>
              <w:topLinePunct w:val="0"/>
              <w:bidi w:val="0"/>
              <w:adjustRightInd w:val="0"/>
              <w:snapToGrid w:val="0"/>
              <w:spacing w:before="0" w:beforeAutospacing="0" w:after="0" w:afterAutospacing="0" w:line="400" w:lineRule="exact"/>
              <w:ind w:left="0" w:right="0" w:firstLine="210" w:firstLineChars="100"/>
              <w:jc w:val="left"/>
              <w:rPr>
                <w:rFonts w:hint="eastAsia" w:ascii="宋体" w:hAnsi="宋体" w:eastAsia="宋体" w:cs="宋体"/>
                <w:color w:val="000000" w:themeColor="text1"/>
                <w:spacing w:val="0"/>
                <w:sz w:val="20"/>
                <w:szCs w:val="22"/>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14:textFill>
                  <w14:solidFill>
                    <w14:schemeClr w14:val="tx1"/>
                  </w14:solidFill>
                </w14:textFill>
              </w:rPr>
              <w:t>投标人应按有关计划时间安排办理企业CA认证、企业入库等，获取招标文件后自行下载招标文件、资料文件及招标答疑书等。若由于投标人自身原因未能及时取得上述资料的，由此发生的任何责任由投标人自负。</w:t>
            </w:r>
          </w:p>
        </w:tc>
      </w:tr>
    </w:tbl>
    <w:p w14:paraId="7BAA81FE">
      <w:pPr>
        <w:keepNext w:val="0"/>
        <w:keepLines w:val="0"/>
        <w:pageBreakBefore w:val="0"/>
        <w:tabs>
          <w:tab w:val="left" w:pos="8820"/>
        </w:tabs>
        <w:wordWrap w:val="0"/>
        <w:overflowPunct/>
        <w:topLinePunct w:val="0"/>
        <w:bidi w:val="0"/>
        <w:rPr>
          <w:rFonts w:hint="eastAsia" w:ascii="宋体" w:hAnsi="宋体" w:eastAsia="宋体" w:cs="宋体"/>
          <w:b w:val="0"/>
          <w:bCs w:val="0"/>
          <w:color w:val="000000" w:themeColor="text1"/>
          <w:spacing w:val="0"/>
          <w:sz w:val="24"/>
          <w:szCs w:val="24"/>
          <w:highlight w:val="none"/>
          <w14:textFill>
            <w14:solidFill>
              <w14:schemeClr w14:val="tx1"/>
            </w14:solidFill>
          </w14:textFill>
        </w:rPr>
        <w:sectPr>
          <w:headerReference r:id="rId7" w:type="default"/>
          <w:footerReference r:id="rId8" w:type="default"/>
          <w:pgSz w:w="11906" w:h="16839"/>
          <w:pgMar w:top="1440" w:right="1080" w:bottom="1440" w:left="1080" w:header="0" w:footer="1085" w:gutter="0"/>
          <w:pgBorders>
            <w:top w:val="none" w:sz="0" w:space="0"/>
            <w:left w:val="none" w:sz="0" w:space="0"/>
            <w:bottom w:val="none" w:sz="0" w:space="0"/>
            <w:right w:val="none" w:sz="0" w:space="0"/>
          </w:pgBorders>
          <w:pgNumType w:fmt="decimal"/>
          <w:cols w:space="720" w:num="1"/>
        </w:sectPr>
      </w:pPr>
    </w:p>
    <w:p w14:paraId="4035F05F">
      <w:pPr>
        <w:keepNext w:val="0"/>
        <w:keepLines w:val="0"/>
        <w:pageBreakBefore w:val="0"/>
        <w:wordWrap w:val="0"/>
        <w:overflowPunct/>
        <w:topLinePunct w:val="0"/>
        <w:bidi w:val="0"/>
        <w:jc w:val="center"/>
        <w:outlineLvl w:val="1"/>
        <w:rPr>
          <w:rFonts w:hint="eastAsia" w:ascii="宋体" w:hAnsi="宋体" w:eastAsia="宋体" w:cs="宋体"/>
          <w:color w:val="000000" w:themeColor="text1"/>
          <w:spacing w:val="0"/>
          <w:sz w:val="24"/>
          <w:szCs w:val="24"/>
          <w:highlight w:val="none"/>
          <w14:textFill>
            <w14:solidFill>
              <w14:schemeClr w14:val="tx1"/>
            </w14:solidFill>
          </w14:textFill>
        </w:rPr>
      </w:pPr>
      <w:bookmarkStart w:id="11" w:name="_Toc9437"/>
      <w:r>
        <w:rPr>
          <w:rFonts w:hint="eastAsia" w:ascii="宋体" w:hAnsi="宋体" w:eastAsia="宋体" w:cs="宋体"/>
          <w:b/>
          <w:bCs/>
          <w:color w:val="000000" w:themeColor="text1"/>
          <w:spacing w:val="0"/>
          <w:sz w:val="24"/>
          <w:szCs w:val="24"/>
          <w:highlight w:val="none"/>
          <w14:textFill>
            <w14:solidFill>
              <w14:schemeClr w14:val="tx1"/>
            </w14:solidFill>
          </w14:textFill>
        </w:rPr>
        <w:t>第三节</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投标人须知正文</w:t>
      </w:r>
      <w:bookmarkEnd w:id="11"/>
    </w:p>
    <w:p w14:paraId="5DD28753">
      <w:pPr>
        <w:pStyle w:val="5"/>
        <w:keepNext w:val="0"/>
        <w:keepLines w:val="0"/>
        <w:pageBreakBefore w:val="0"/>
        <w:wordWrap w:val="0"/>
        <w:overflowPunct/>
        <w:topLinePunct w:val="0"/>
        <w:bidi w:val="0"/>
        <w:spacing w:line="256" w:lineRule="auto"/>
        <w:rPr>
          <w:rFonts w:hint="eastAsia" w:ascii="宋体" w:hAnsi="宋体" w:eastAsia="宋体" w:cs="宋体"/>
          <w:color w:val="000000" w:themeColor="text1"/>
          <w:spacing w:val="0"/>
          <w:highlight w:val="none"/>
          <w14:textFill>
            <w14:solidFill>
              <w14:schemeClr w14:val="tx1"/>
            </w14:solidFill>
          </w14:textFill>
        </w:rPr>
      </w:pPr>
    </w:p>
    <w:p w14:paraId="217B4480">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0AF44FDE">
      <w:pPr>
        <w:keepNext w:val="0"/>
        <w:keepLines w:val="0"/>
        <w:pageBreakBefore w:val="0"/>
        <w:widowControl/>
        <w:suppressLineNumbers w:val="0"/>
        <w:wordWrap w:val="0"/>
        <w:overflowPunct/>
        <w:topLinePunct w:val="0"/>
        <w:bidi w:val="0"/>
        <w:spacing w:line="360" w:lineRule="auto"/>
        <w:ind w:right="-258" w:rightChars="-123" w:firstLine="480" w:firstLineChars="200"/>
        <w:jc w:val="lef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广东省韶关市新丰县现代物流园及配套设施建设项目——新丰县回龙镇古井正道路沿线路域环境提升项目</w:t>
      </w:r>
      <w:r>
        <w:rPr>
          <w:rFonts w:hint="eastAsia" w:ascii="宋体" w:hAnsi="宋体" w:eastAsia="宋体" w:cs="宋体"/>
          <w:color w:val="000000" w:themeColor="text1"/>
          <w:spacing w:val="0"/>
          <w:sz w:val="24"/>
          <w:szCs w:val="24"/>
          <w:highlight w:val="none"/>
          <w:u w:val="none"/>
          <w:lang w:val="en-US" w:eastAsia="zh-CN"/>
          <w14:textFill>
            <w14:solidFill>
              <w14:schemeClr w14:val="tx1"/>
            </w14:solidFill>
          </w14:textFill>
        </w:rPr>
        <w:t>业</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经</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新丰县发展和改革局</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以</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w:t>
      </w:r>
      <w:r>
        <w:rPr>
          <w:rFonts w:hint="eastAsia" w:ascii="宋体" w:hAnsi="宋体" w:eastAsia="宋体" w:cs="宋体"/>
          <w:snapToGrid w:val="0"/>
          <w:color w:val="000000" w:themeColor="text1"/>
          <w:spacing w:val="0"/>
          <w:kern w:val="0"/>
          <w:sz w:val="24"/>
          <w:szCs w:val="24"/>
          <w:highlight w:val="none"/>
          <w:u w:val="single"/>
          <w:lang w:val="en-US" w:eastAsia="zh-CN"/>
          <w14:textFill>
            <w14:solidFill>
              <w14:schemeClr w14:val="tx1"/>
            </w14:solidFill>
          </w14:textFill>
        </w:rPr>
        <w:t>新丰县发展和改革局关于广东省韶关市新丰县现代物流园及配套设施建设项目——新丰县回龙镇古井正道路沿线路域环境提升项目立项及投资概算的批复</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w:t>
      </w:r>
      <w:r>
        <w:rPr>
          <w:rFonts w:hint="eastAsia" w:ascii="宋体" w:hAnsi="宋体" w:eastAsia="宋体" w:cs="宋体"/>
          <w:snapToGrid w:val="0"/>
          <w:color w:val="000000" w:themeColor="text1"/>
          <w:spacing w:val="0"/>
          <w:kern w:val="0"/>
          <w:sz w:val="24"/>
          <w:szCs w:val="24"/>
          <w:highlight w:val="none"/>
          <w:u w:val="single"/>
          <w:lang w:val="en-US" w:eastAsia="zh-CN"/>
          <w14:textFill>
            <w14:solidFill>
              <w14:schemeClr w14:val="tx1"/>
            </w14:solidFill>
          </w14:textFill>
        </w:rPr>
        <w:t>新丰发改投审〔2026〕58号</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批准建设，项目代码为</w:t>
      </w:r>
      <w:r>
        <w:rPr>
          <w:rFonts w:hint="eastAsia" w:ascii="宋体" w:hAnsi="宋体" w:eastAsia="宋体" w:cs="宋体"/>
          <w:snapToGrid w:val="0"/>
          <w:color w:val="000000" w:themeColor="text1"/>
          <w:spacing w:val="0"/>
          <w:kern w:val="0"/>
          <w:sz w:val="24"/>
          <w:szCs w:val="24"/>
          <w:highlight w:val="none"/>
          <w:u w:val="single"/>
          <w:lang w:val="en-US" w:eastAsia="zh-CN"/>
          <w14:textFill>
            <w14:solidFill>
              <w14:schemeClr w14:val="tx1"/>
            </w14:solidFill>
          </w14:textFill>
        </w:rPr>
        <w:t>2506-440233-04-01-367403</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。本项目业主为</w:t>
      </w:r>
      <w:r>
        <w:rPr>
          <w:rFonts w:hint="eastAsia" w:ascii="宋体" w:hAnsi="宋体" w:eastAsia="宋体" w:cs="宋体"/>
          <w:snapToGrid w:val="0"/>
          <w:color w:val="000000" w:themeColor="text1"/>
          <w:spacing w:val="0"/>
          <w:kern w:val="0"/>
          <w:sz w:val="24"/>
          <w:szCs w:val="24"/>
          <w:highlight w:val="none"/>
          <w:u w:val="single"/>
          <w:lang w:eastAsia="zh-CN"/>
          <w14:textFill>
            <w14:solidFill>
              <w14:schemeClr w14:val="tx1"/>
            </w14:solidFill>
          </w14:textFill>
        </w:rPr>
        <w:t>新丰县回龙镇人民政府</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，建设资金来自</w:t>
      </w:r>
      <w:r>
        <w:rPr>
          <w:rFonts w:hint="eastAsia" w:ascii="宋体" w:hAnsi="宋体" w:eastAsia="宋体" w:cs="宋体"/>
          <w:snapToGrid w:val="0"/>
          <w:color w:val="000000" w:themeColor="text1"/>
          <w:spacing w:val="0"/>
          <w:kern w:val="0"/>
          <w:sz w:val="24"/>
          <w:szCs w:val="24"/>
          <w:highlight w:val="none"/>
          <w:u w:val="single"/>
          <w:lang w:val="en-US" w:eastAsia="zh-CN"/>
          <w14:textFill>
            <w14:solidFill>
              <w14:schemeClr w14:val="tx1"/>
            </w14:solidFill>
          </w14:textFill>
        </w:rPr>
        <w:t>上级资金和县财政统筹安排解决</w:t>
      </w:r>
      <w:r>
        <w:rPr>
          <w:rFonts w:hint="eastAsia" w:ascii="宋体" w:hAnsi="宋体" w:eastAsia="宋体" w:cs="宋体"/>
          <w:snapToGrid w:val="0"/>
          <w:color w:val="000000" w:themeColor="text1"/>
          <w:spacing w:val="0"/>
          <w:kern w:val="0"/>
          <w:sz w:val="24"/>
          <w:szCs w:val="24"/>
          <w:highlight w:val="none"/>
          <w:u w:val="none"/>
          <w:lang w:eastAsia="zh-CN"/>
          <w14:textFill>
            <w14:solidFill>
              <w14:schemeClr w14:val="tx1"/>
            </w14:solidFill>
          </w14:textFill>
        </w:rPr>
        <w:t>，</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出资比例为</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100%</w:t>
      </w:r>
      <w:r>
        <w:rPr>
          <w:rFonts w:hint="eastAsia" w:ascii="宋体" w:hAnsi="宋体" w:eastAsia="宋体" w:cs="宋体"/>
          <w:snapToGrid w:val="0"/>
          <w:color w:val="000000" w:themeColor="text1"/>
          <w:spacing w:val="0"/>
          <w:ker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招标人为</w:t>
      </w:r>
      <w:r>
        <w:rPr>
          <w:rFonts w:hint="eastAsia" w:ascii="宋体" w:hAnsi="宋体" w:eastAsia="宋体" w:cs="宋体"/>
          <w:snapToGrid w:val="0"/>
          <w:color w:val="000000" w:themeColor="text1"/>
          <w:spacing w:val="0"/>
          <w:kern w:val="0"/>
          <w:sz w:val="24"/>
          <w:szCs w:val="24"/>
          <w:highlight w:val="none"/>
          <w:u w:val="single"/>
          <w:lang w:eastAsia="zh-CN"/>
          <w14:textFill>
            <w14:solidFill>
              <w14:schemeClr w14:val="tx1"/>
            </w14:solidFill>
          </w14:textFill>
        </w:rPr>
        <w:t>新丰县回龙镇人民政府</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，招标代理机构为</w:t>
      </w:r>
      <w:r>
        <w:rPr>
          <w:rFonts w:hint="eastAsia" w:ascii="宋体" w:hAnsi="宋体" w:eastAsia="宋体" w:cs="宋体"/>
          <w:color w:val="000000" w:themeColor="text1"/>
          <w:spacing w:val="0"/>
          <w:sz w:val="24"/>
          <w:szCs w:val="24"/>
          <w:highlight w:val="none"/>
          <w:u w:val="single"/>
          <w:lang w:eastAsia="zh-CN"/>
          <w14:textFill>
            <w14:solidFill>
              <w14:schemeClr w14:val="tx1"/>
            </w14:solidFill>
          </w14:textFill>
        </w:rPr>
        <w:t>成致项目管理有限公司</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。项目已具备招标条件，现对该项目的</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施工</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进行公开招标。</w:t>
      </w:r>
    </w:p>
    <w:p w14:paraId="238EB322">
      <w:pPr>
        <w:keepNext w:val="0"/>
        <w:keepLines w:val="0"/>
        <w:pageBreakBefore w:val="0"/>
        <w:widowControl/>
        <w:kinsoku w:val="0"/>
        <w:wordWrap w:val="0"/>
        <w:overflowPunct/>
        <w:topLinePunct w:val="0"/>
        <w:autoSpaceDE w:val="0"/>
        <w:autoSpaceDN w:val="0"/>
        <w:bidi w:val="0"/>
        <w:adjustRightInd w:val="0"/>
        <w:snapToGrid w:val="0"/>
        <w:spacing w:line="220" w:lineRule="auto"/>
        <w:ind w:left="496"/>
        <w:textAlignment w:val="baseline"/>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2" w:name="bookmark52"/>
      <w:bookmarkEnd w:id="12"/>
      <w:bookmarkStart w:id="13" w:name="bookmark73"/>
      <w:bookmarkEnd w:id="13"/>
      <w:bookmarkStart w:id="14" w:name="bookmark59"/>
      <w:bookmarkEnd w:id="14"/>
      <w:bookmarkStart w:id="15" w:name="_Toc30196"/>
      <w:bookmarkStart w:id="16" w:name="_Toc15993"/>
      <w:r>
        <w:rPr>
          <w:rFonts w:hint="eastAsia" w:ascii="宋体" w:hAnsi="宋体" w:eastAsia="宋体" w:cs="宋体"/>
          <w:b/>
          <w:bCs/>
          <w:color w:val="000000" w:themeColor="text1"/>
          <w:spacing w:val="0"/>
          <w:sz w:val="24"/>
          <w:szCs w:val="24"/>
          <w:highlight w:val="none"/>
          <w14:textFill>
            <w14:solidFill>
              <w14:schemeClr w14:val="tx1"/>
            </w14:solidFill>
          </w14:textFill>
        </w:rPr>
        <w:t>1 ．项目概况、招标范围和标段划分、投标费用等</w:t>
      </w:r>
      <w:bookmarkEnd w:id="15"/>
      <w:bookmarkEnd w:id="16"/>
    </w:p>
    <w:p w14:paraId="26BED16D">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  </w:t>
      </w:r>
      <w:r>
        <w:rPr>
          <w:rFonts w:hint="eastAsia" w:ascii="宋体" w:hAnsi="宋体" w:eastAsia="宋体" w:cs="宋体"/>
          <w:color w:val="000000" w:themeColor="text1"/>
          <w:spacing w:val="0"/>
          <w:sz w:val="24"/>
          <w:szCs w:val="24"/>
          <w:highlight w:val="none"/>
          <w14:textFill>
            <w14:solidFill>
              <w14:schemeClr w14:val="tx1"/>
            </w14:solidFill>
          </w14:textFill>
        </w:rPr>
        <w:t>项目概况</w:t>
      </w:r>
    </w:p>
    <w:p w14:paraId="33A0C0A8">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1.1.1  </w:t>
      </w:r>
      <w:r>
        <w:rPr>
          <w:rFonts w:hint="eastAsia" w:ascii="宋体" w:hAnsi="宋体" w:eastAsia="宋体" w:cs="宋体"/>
          <w:color w:val="000000" w:themeColor="text1"/>
          <w:spacing w:val="0"/>
          <w:sz w:val="24"/>
          <w:szCs w:val="24"/>
          <w:highlight w:val="none"/>
          <w14:textFill>
            <w14:solidFill>
              <w14:schemeClr w14:val="tx1"/>
            </w14:solidFill>
          </w14:textFill>
        </w:rPr>
        <w:t>建设地点：</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韶关市新丰县回龙镇古塘村、井塘村、正子村。</w:t>
      </w:r>
    </w:p>
    <w:p w14:paraId="3B072489">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1.1.2  </w:t>
      </w:r>
      <w:r>
        <w:rPr>
          <w:rFonts w:hint="eastAsia" w:ascii="宋体" w:hAnsi="宋体" w:eastAsia="宋体" w:cs="宋体"/>
          <w:color w:val="000000" w:themeColor="text1"/>
          <w:spacing w:val="0"/>
          <w:sz w:val="24"/>
          <w:szCs w:val="24"/>
          <w:highlight w:val="none"/>
          <w14:textFill>
            <w14:solidFill>
              <w14:schemeClr w14:val="tx1"/>
            </w14:solidFill>
          </w14:textFill>
        </w:rPr>
        <w:t>建设内容和规模：</w:t>
      </w:r>
    </w:p>
    <w:p w14:paraId="6E236C1C">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0" w:firstLineChars="200"/>
        <w:textAlignment w:val="baseline"/>
        <w:outlineLvl w:val="9"/>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本项目主要建设入镇三角路口提升、基础环境整治提升、排水工程等，分别为： </w:t>
      </w:r>
    </w:p>
    <w:p w14:paraId="59316B5B">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0" w:firstLineChars="200"/>
        <w:textAlignment w:val="baseline"/>
        <w:outlineLvl w:val="9"/>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1、入镇三角路口提升内容：土坡回填约100立方米；清杂800平方米等； </w:t>
      </w:r>
    </w:p>
    <w:p w14:paraId="57FD40EA">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0" w:firstLineChars="200"/>
        <w:textAlignment w:val="baseline"/>
        <w:outlineLvl w:val="9"/>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2、基础环境整治提升内容：围墙整治约3500米；新建人行道约3450平方米；水渠加盖板建设人行道约200平方米；地面地坪漆划线400平方米；木栈道约1320平方米；木栈道安全护栏580米；新建垃圾分类点11个等； </w:t>
      </w:r>
    </w:p>
    <w:p w14:paraId="12BB77B4">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0" w:firstLineChars="200"/>
        <w:textAlignment w:val="baseline"/>
        <w:outlineLvl w:val="9"/>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3、绿化提升：种植乔木约1500棵，灌木约2800平方米；地被1000平方米；攀爬植物180平方米；竹子60平方米；种植土回填约550立方米等； </w:t>
      </w:r>
    </w:p>
    <w:p w14:paraId="008EFD35">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0" w:firstLineChars="200"/>
        <w:textAlignment w:val="baseline"/>
        <w:outlineLvl w:val="9"/>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4、新建水渠约300米；水渠修缮600米；水渠清淤约1200平方米； </w:t>
      </w:r>
    </w:p>
    <w:p w14:paraId="337CC6CD">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0" w:firstLineChars="200"/>
        <w:textAlignment w:val="baseline"/>
        <w:outlineLvl w:val="9"/>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5、其他工程内容：路灯灯柱移位136个；泥砖房拆除150平方米；破旧垃圾房拆除9座；路域周边清杂10500平方米等。</w:t>
      </w:r>
    </w:p>
    <w:p w14:paraId="582D5F1D">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1.1.3  </w:t>
      </w:r>
      <w:r>
        <w:rPr>
          <w:rFonts w:hint="eastAsia" w:ascii="宋体" w:hAnsi="宋体" w:eastAsia="宋体" w:cs="宋体"/>
          <w:color w:val="000000" w:themeColor="text1"/>
          <w:spacing w:val="0"/>
          <w:sz w:val="24"/>
          <w:szCs w:val="24"/>
          <w:highlight w:val="none"/>
          <w14:textFill>
            <w14:solidFill>
              <w14:schemeClr w14:val="tx1"/>
            </w14:solidFill>
          </w14:textFill>
        </w:rPr>
        <w:t>项目总投资</w:t>
      </w:r>
      <w:r>
        <w:rPr>
          <w:rStyle w:val="26"/>
          <w:rFonts w:hint="eastAsia" w:ascii="宋体" w:hAnsi="宋体" w:eastAsia="宋体" w:cs="宋体"/>
          <w:color w:val="000000" w:themeColor="text1"/>
          <w:spacing w:val="0"/>
          <w:kern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项目估算总投资989.64万元，其中：建安工程费872.14万元、工程建设其他费用73.89万元、预备费43.61万元。</w:t>
      </w:r>
    </w:p>
    <w:p w14:paraId="16BD1157">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pacing w:val="0"/>
          <w:sz w:val="24"/>
          <w:szCs w:val="24"/>
          <w:highlight w:val="none"/>
          <w:u w:val="none"/>
          <w:lang w:val="en-US" w:eastAsia="zh-CN"/>
          <w14:textFill>
            <w14:solidFill>
              <w14:schemeClr w14:val="tx1"/>
            </w14:solidFill>
          </w14:textFill>
        </w:rPr>
        <w:t xml:space="preserve">1.2 </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招标范围和标段划分</w:t>
      </w:r>
    </w:p>
    <w:p w14:paraId="03788986">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1.2.1  </w:t>
      </w:r>
      <w:r>
        <w:rPr>
          <w:rFonts w:hint="eastAsia" w:ascii="宋体" w:hAnsi="宋体" w:eastAsia="宋体" w:cs="宋体"/>
          <w:color w:val="000000" w:themeColor="text1"/>
          <w:spacing w:val="0"/>
          <w:sz w:val="24"/>
          <w:szCs w:val="24"/>
          <w:highlight w:val="none"/>
          <w14:textFill>
            <w14:solidFill>
              <w14:schemeClr w14:val="tx1"/>
            </w14:solidFill>
          </w14:textFill>
        </w:rPr>
        <w:t>招标范围：</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按审查合格的施工图纸及工程量清单内容施工。</w:t>
      </w:r>
    </w:p>
    <w:p w14:paraId="0DFB5F34">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17" w:name="_Toc24593"/>
      <w:bookmarkStart w:id="18" w:name="_Toc14190"/>
      <w:bookmarkStart w:id="19" w:name="_Toc28202"/>
      <w:bookmarkStart w:id="20" w:name="_Toc20855"/>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1.2.2  </w:t>
      </w:r>
      <w:r>
        <w:rPr>
          <w:rFonts w:hint="eastAsia" w:ascii="宋体" w:hAnsi="宋体" w:eastAsia="宋体" w:cs="宋体"/>
          <w:color w:val="000000" w:themeColor="text1"/>
          <w:spacing w:val="0"/>
          <w:sz w:val="24"/>
          <w:szCs w:val="24"/>
          <w:highlight w:val="none"/>
          <w14:textFill>
            <w14:solidFill>
              <w14:schemeClr w14:val="tx1"/>
            </w14:solidFill>
          </w14:textFill>
        </w:rPr>
        <w:t>标段划分：本招标项目不划分标段。</w:t>
      </w:r>
      <w:bookmarkEnd w:id="17"/>
      <w:bookmarkEnd w:id="18"/>
      <w:bookmarkEnd w:id="19"/>
      <w:bookmarkEnd w:id="20"/>
    </w:p>
    <w:p w14:paraId="3BE6141C">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  </w:t>
      </w:r>
      <w:r>
        <w:rPr>
          <w:rFonts w:hint="eastAsia" w:ascii="宋体" w:hAnsi="宋体" w:eastAsia="宋体" w:cs="宋体"/>
          <w:color w:val="000000" w:themeColor="text1"/>
          <w:spacing w:val="0"/>
          <w:sz w:val="24"/>
          <w:szCs w:val="24"/>
          <w:highlight w:val="none"/>
          <w14:textFill>
            <w14:solidFill>
              <w14:schemeClr w14:val="tx1"/>
            </w14:solidFill>
          </w14:textFill>
        </w:rPr>
        <w:t>投标费用：投标人应承担所有准备和参加投标的相关费用，不论投标结果如何，招标人均无义务和责任承担这些费用。</w:t>
      </w:r>
    </w:p>
    <w:p w14:paraId="6DC29DD6">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1.4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招标代理费用：  </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shd w:val="clear" w:color="auto" w:fill="FFFFFF"/>
          <w14:textFill>
            <w14:solidFill>
              <w14:schemeClr w14:val="tx1"/>
            </w14:solidFill>
          </w14:textFill>
        </w:rPr>
        <w:t xml:space="preserve"> 由</w:t>
      </w:r>
      <w:r>
        <w:rPr>
          <w:rFonts w:hint="eastAsia" w:ascii="宋体" w:hAnsi="宋体" w:eastAsia="宋体" w:cs="宋体"/>
          <w:color w:val="000000" w:themeColor="text1"/>
          <w:spacing w:val="0"/>
          <w:sz w:val="24"/>
          <w:szCs w:val="24"/>
          <w:highlight w:val="none"/>
          <w14:textFill>
            <w14:solidFill>
              <w14:schemeClr w14:val="tx1"/>
            </w14:solidFill>
          </w14:textFill>
        </w:rPr>
        <w:t>项目业主</w:t>
      </w:r>
      <w:r>
        <w:rPr>
          <w:rFonts w:hint="eastAsia" w:ascii="宋体" w:hAnsi="宋体" w:eastAsia="宋体" w:cs="宋体"/>
          <w:color w:val="000000" w:themeColor="text1"/>
          <w:spacing w:val="0"/>
          <w:sz w:val="24"/>
          <w:szCs w:val="24"/>
          <w:highlight w:val="none"/>
          <w:shd w:val="clear" w:color="auto" w:fill="FFFFFF"/>
          <w14:textFill>
            <w14:solidFill>
              <w14:schemeClr w14:val="tx1"/>
            </w14:solidFill>
          </w14:textFill>
        </w:rPr>
        <w:t>支</w:t>
      </w:r>
      <w:r>
        <w:rPr>
          <w:rFonts w:hint="eastAsia" w:ascii="宋体" w:hAnsi="宋体" w:eastAsia="宋体" w:cs="宋体"/>
          <w:color w:val="000000" w:themeColor="text1"/>
          <w:spacing w:val="0"/>
          <w:sz w:val="24"/>
          <w:szCs w:val="24"/>
          <w:highlight w:val="none"/>
          <w14:textFill>
            <w14:solidFill>
              <w14:schemeClr w14:val="tx1"/>
            </w14:solidFill>
          </w14:textFill>
        </w:rPr>
        <w:t>付</w:t>
      </w:r>
      <w:r>
        <w:rPr>
          <w:rFonts w:hint="eastAsia" w:ascii="宋体" w:hAnsi="宋体" w:eastAsia="宋体" w:cs="宋体"/>
          <w:color w:val="000000" w:themeColor="text1"/>
          <w:spacing w:val="0"/>
          <w:position w:val="-6"/>
          <w:sz w:val="24"/>
          <w:szCs w:val="24"/>
          <w:highlight w:val="none"/>
          <w:shd w:val="clear" w:color="auto" w:fill="FFFFFF"/>
          <w:lang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shd w:val="clear" w:color="auto" w:fill="FFFFFF"/>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shd w:val="clear" w:color="auto" w:fill="FFFFFF"/>
          <w14:textFill>
            <w14:solidFill>
              <w14:schemeClr w14:val="tx1"/>
            </w14:solidFill>
          </w14:textFill>
        </w:rPr>
        <w:t xml:space="preserve"> 由中标人支付。</w:t>
      </w:r>
    </w:p>
    <w:p w14:paraId="3514024E">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jc w:val="left"/>
        <w:textAlignment w:val="baseline"/>
        <w:outlineLvl w:val="2"/>
        <w:rPr>
          <w:rFonts w:hint="eastAsia" w:ascii="宋体" w:hAnsi="宋体" w:eastAsia="宋体" w:cs="宋体"/>
          <w:b w:val="0"/>
          <w:bCs w:val="0"/>
          <w:color w:val="000000" w:themeColor="text1"/>
          <w:spacing w:val="0"/>
          <w:sz w:val="24"/>
          <w:szCs w:val="24"/>
          <w:highlight w:val="none"/>
          <w14:textFill>
            <w14:solidFill>
              <w14:schemeClr w14:val="tx1"/>
            </w14:solidFill>
          </w14:textFill>
        </w:rPr>
      </w:pPr>
      <w:bookmarkStart w:id="21" w:name="_Toc6096"/>
      <w:r>
        <w:rPr>
          <w:rFonts w:hint="eastAsia" w:ascii="宋体" w:hAnsi="宋体" w:eastAsia="宋体" w:cs="宋体"/>
          <w:b/>
          <w:bCs/>
          <w:color w:val="000000" w:themeColor="text1"/>
          <w:spacing w:val="0"/>
          <w:sz w:val="24"/>
          <w:szCs w:val="24"/>
          <w:highlight w:val="none"/>
          <w14:textFill>
            <w14:solidFill>
              <w14:schemeClr w14:val="tx1"/>
            </w14:solidFill>
          </w14:textFill>
        </w:rPr>
        <w:t>2．</w:t>
      </w:r>
      <w:r>
        <w:rPr>
          <w:rFonts w:hint="eastAsia" w:ascii="宋体" w:hAnsi="宋体" w:eastAsia="宋体" w:cs="宋体"/>
          <w:b w:val="0"/>
          <w:bCs w:val="0"/>
          <w:color w:val="000000" w:themeColor="text1"/>
          <w:spacing w:val="0"/>
          <w:sz w:val="24"/>
          <w:szCs w:val="24"/>
          <w:highlight w:val="none"/>
          <w:lang w:eastAsia="zh-CN"/>
          <w14:textFill>
            <w14:solidFill>
              <w14:schemeClr w14:val="tx1"/>
            </w14:solidFill>
          </w14:textFill>
        </w:rPr>
        <w:t>投标人</w:t>
      </w:r>
      <w:r>
        <w:rPr>
          <w:rFonts w:hint="eastAsia" w:ascii="宋体" w:hAnsi="宋体" w:eastAsia="宋体" w:cs="宋体"/>
          <w:b w:val="0"/>
          <w:bCs w:val="0"/>
          <w:color w:val="000000" w:themeColor="text1"/>
          <w:spacing w:val="0"/>
          <w:sz w:val="24"/>
          <w:szCs w:val="24"/>
          <w:highlight w:val="none"/>
          <w14:textFill>
            <w14:solidFill>
              <w14:schemeClr w14:val="tx1"/>
            </w14:solidFill>
          </w14:textFill>
        </w:rPr>
        <w:t>资质要求</w:t>
      </w:r>
      <w:bookmarkEnd w:id="21"/>
    </w:p>
    <w:p w14:paraId="5F354E72">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6"/>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2.1</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 xml:space="preserve"> 本次招标</w:t>
      </w:r>
      <w:r>
        <w:rPr>
          <w:rStyle w:val="26"/>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接受</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联合体投标，联合体以一个投标人的身份共同投标。</w:t>
      </w:r>
    </w:p>
    <w:p w14:paraId="07B67B3E">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6"/>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2.1.1</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 xml:space="preserve"> 联合体成员数量不超过2个。</w:t>
      </w:r>
    </w:p>
    <w:p w14:paraId="73CA71B9">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6"/>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2.1.2</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 xml:space="preserve"> 联合体各方应按招标文件提供的格式签订联合体协议书，明确联合体牵头人和各方权利义务，并承诺就中标项目向招标人承担连带责任。《联合体协议书》作为投标文件的组成部分向招标人提交。</w:t>
      </w:r>
    </w:p>
    <w:p w14:paraId="1E355253">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6"/>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2.1.3</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 xml:space="preserve"> 联合体成员单位均应具备拟承担的工作内容（以《联合体协议书》的约定为准）所规定的资格条件。若同一工作内容由两个或两个以上单位共同承担，该项工作内容按照资质等级较低的单位确定联合体资质等级。</w:t>
      </w:r>
    </w:p>
    <w:p w14:paraId="6FD4EB24">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6"/>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2.1.4</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 xml:space="preserve"> 联合体各方不得再以自己名义单独或参加其他联合体在本招标项目中投标，否则各相关投标均无效。</w:t>
      </w:r>
    </w:p>
    <w:p w14:paraId="34B9A513">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6"/>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2.2</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 xml:space="preserve"> 资格资质要求</w:t>
      </w:r>
    </w:p>
    <w:p w14:paraId="6CD280F2">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6"/>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2.2.1</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 xml:space="preserve"> 投标人须具备独立法人资格，按国家法律经营。</w:t>
      </w:r>
    </w:p>
    <w:p w14:paraId="55AC02AD">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6"/>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2.2.2</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 xml:space="preserve"> 投标人（组成联合体时指联合体双方）须持有建设行政主管部门颁发的企业资质证书及安全生产许可证。</w:t>
      </w:r>
    </w:p>
    <w:p w14:paraId="22415752">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6"/>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 xml:space="preserve">2.2.3 </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投标人须具备以下资质：</w:t>
      </w:r>
      <w:r>
        <w:rPr>
          <w:rStyle w:val="26"/>
          <w:rFonts w:hint="eastAsia" w:ascii="宋体" w:hAnsi="宋体" w:eastAsia="宋体" w:cs="宋体"/>
          <w:b w:val="0"/>
          <w:bCs w:val="0"/>
          <w:color w:val="000000" w:themeColor="text1"/>
          <w:spacing w:val="0"/>
          <w:kern w:val="0"/>
          <w:sz w:val="24"/>
          <w:szCs w:val="24"/>
          <w:highlight w:val="none"/>
          <w:u w:val="single"/>
          <w:lang w:val="en-US" w:eastAsia="zh-CN"/>
          <w14:textFill>
            <w14:solidFill>
              <w14:schemeClr w14:val="tx1"/>
            </w14:solidFill>
          </w14:textFill>
        </w:rPr>
        <w:t>参加投标的投标人可以是单一独立法人或由不超过两家独立法人组成的联合体，联合体双方不得再以自己的名义单独申请，也不得同时参加两个或两个以上的联合体进行本项目的投标。投标人（组成联合体投标的，指联合体双方）须具备建设行政主管部门颁发的市政公用工程施工总承包三级以上（含三级）资质。</w:t>
      </w:r>
    </w:p>
    <w:p w14:paraId="7FA9A21A">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6"/>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2.2.4</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 xml:space="preserve"> 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2F9CF9A1">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6"/>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2.3</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 xml:space="preserve"> 相关人员要求</w:t>
      </w:r>
    </w:p>
    <w:p w14:paraId="49155701">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6"/>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 xml:space="preserve">2.3.1 </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拟派项目经理为</w:t>
      </w:r>
      <w:r>
        <w:rPr>
          <w:rStyle w:val="26"/>
          <w:rFonts w:hint="eastAsia" w:ascii="宋体" w:hAnsi="宋体" w:eastAsia="宋体" w:cs="宋体"/>
          <w:b w:val="0"/>
          <w:bCs w:val="0"/>
          <w:color w:val="000000" w:themeColor="text1"/>
          <w:spacing w:val="0"/>
          <w:kern w:val="0"/>
          <w:sz w:val="24"/>
          <w:szCs w:val="24"/>
          <w:highlight w:val="none"/>
          <w:u w:val="single"/>
          <w:lang w:val="en-US" w:eastAsia="zh-CN"/>
          <w14:textFill>
            <w14:solidFill>
              <w14:schemeClr w14:val="tx1"/>
            </w14:solidFill>
          </w14:textFill>
        </w:rPr>
        <w:t>市政公用工程</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专业一级或二级注册建造师，应持有住建部门印发的在使用有效期内的有效电子注册证书（根据广东省住房和城乡建设厅（粤建市函〔2023〕469号）文件精神，二级注册建造师可随注册企业在全国范围内执业）。同时均须具备有效安全生产考核合格证明（B证），且未担任其他在施（包括已中标未开工、已开工未竣工）建设工程项目的项目经理。</w:t>
      </w:r>
    </w:p>
    <w:p w14:paraId="5F0FE099">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6"/>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2.3.2</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 xml:space="preserve"> 拟派项目技术负责人须具备</w:t>
      </w:r>
      <w:r>
        <w:rPr>
          <w:rStyle w:val="26"/>
          <w:rFonts w:hint="eastAsia" w:ascii="宋体" w:hAnsi="宋体" w:eastAsia="宋体" w:cs="宋体"/>
          <w:b w:val="0"/>
          <w:bCs w:val="0"/>
          <w:color w:val="000000" w:themeColor="text1"/>
          <w:spacing w:val="0"/>
          <w:kern w:val="0"/>
          <w:sz w:val="24"/>
          <w:szCs w:val="24"/>
          <w:highlight w:val="none"/>
          <w:u w:val="single"/>
          <w:lang w:val="en-US" w:eastAsia="zh-CN"/>
          <w14:textFill>
            <w14:solidFill>
              <w14:schemeClr w14:val="tx1"/>
            </w14:solidFill>
          </w14:textFill>
        </w:rPr>
        <w:t>市政工程</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相关专业</w:t>
      </w:r>
      <w:r>
        <w:rPr>
          <w:rStyle w:val="26"/>
          <w:rFonts w:hint="eastAsia" w:ascii="宋体" w:hAnsi="宋体" w:eastAsia="宋体" w:cs="宋体"/>
          <w:b w:val="0"/>
          <w:bCs w:val="0"/>
          <w:color w:val="000000" w:themeColor="text1"/>
          <w:spacing w:val="0"/>
          <w:kern w:val="0"/>
          <w:sz w:val="24"/>
          <w:szCs w:val="24"/>
          <w:highlight w:val="none"/>
          <w:u w:val="single"/>
          <w:lang w:val="en-US" w:eastAsia="zh-CN"/>
          <w14:textFill>
            <w14:solidFill>
              <w14:schemeClr w14:val="tx1"/>
            </w14:solidFill>
          </w14:textFill>
        </w:rPr>
        <w:t>中</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级以上（含</w:t>
      </w:r>
      <w:r>
        <w:rPr>
          <w:rStyle w:val="26"/>
          <w:rFonts w:hint="eastAsia" w:ascii="宋体" w:hAnsi="宋体" w:eastAsia="宋体" w:cs="宋体"/>
          <w:b w:val="0"/>
          <w:bCs w:val="0"/>
          <w:color w:val="000000" w:themeColor="text1"/>
          <w:spacing w:val="0"/>
          <w:kern w:val="0"/>
          <w:sz w:val="24"/>
          <w:szCs w:val="24"/>
          <w:highlight w:val="none"/>
          <w:u w:val="single"/>
          <w:lang w:val="en-US" w:eastAsia="zh-CN"/>
          <w14:textFill>
            <w14:solidFill>
              <w14:schemeClr w14:val="tx1"/>
            </w14:solidFill>
          </w14:textFill>
        </w:rPr>
        <w:t>中</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级）技术职称。</w:t>
      </w:r>
    </w:p>
    <w:p w14:paraId="4A2C1918">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6"/>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 xml:space="preserve">2.3.3 </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投标人拟派专职安全生产管理人员须具备有效安全生产考核合格证明（C证，安全生产考核合格证书或“广东省建筑施工企业管理人员安全生产考核系统”考核合格信息打印页），且不少于</w:t>
      </w:r>
      <w:r>
        <w:rPr>
          <w:rStyle w:val="26"/>
          <w:rFonts w:hint="eastAsia" w:ascii="宋体" w:hAnsi="宋体" w:eastAsia="宋体" w:cs="宋体"/>
          <w:b w:val="0"/>
          <w:bCs w:val="0"/>
          <w:color w:val="000000" w:themeColor="text1"/>
          <w:spacing w:val="0"/>
          <w:kern w:val="0"/>
          <w:sz w:val="24"/>
          <w:szCs w:val="24"/>
          <w:highlight w:val="none"/>
          <w:u w:val="single"/>
          <w:lang w:val="en-US" w:eastAsia="zh-CN"/>
          <w14:textFill>
            <w14:solidFill>
              <w14:schemeClr w14:val="tx1"/>
            </w14:solidFill>
          </w14:textFill>
        </w:rPr>
        <w:t xml:space="preserve"> 1 </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人。</w:t>
      </w:r>
    </w:p>
    <w:p w14:paraId="4F82BDFF">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6"/>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2.3.4</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 xml:space="preserve"> 投标人（包括组成联合体的所有成员单位）与其拟派往本项目管理机构的所有人员之间必须具备合法、唯一的劳动聘用关系。拟派人员中具备注册执业资格的，其注册单位须与投标人保持一致。</w:t>
      </w:r>
    </w:p>
    <w:p w14:paraId="6B5D9824">
      <w:pPr>
        <w:keepNext w:val="0"/>
        <w:keepLines w:val="0"/>
        <w:pageBreakBefore w:val="0"/>
        <w:wordWrap w:val="0"/>
        <w:overflowPunct/>
        <w:topLinePunct w:val="0"/>
        <w:bidi w:val="0"/>
        <w:spacing w:before="78" w:line="220" w:lineRule="auto"/>
        <w:ind w:left="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2.4  </w:t>
      </w:r>
      <w:r>
        <w:rPr>
          <w:rFonts w:hint="eastAsia" w:ascii="宋体" w:hAnsi="宋体" w:eastAsia="宋体" w:cs="宋体"/>
          <w:color w:val="000000" w:themeColor="text1"/>
          <w:spacing w:val="0"/>
          <w:sz w:val="24"/>
          <w:szCs w:val="24"/>
          <w:highlight w:val="none"/>
          <w14:textFill>
            <w14:solidFill>
              <w14:schemeClr w14:val="tx1"/>
            </w14:solidFill>
          </w14:textFill>
        </w:rPr>
        <w:t>禁止投标条款</w:t>
      </w:r>
    </w:p>
    <w:p w14:paraId="4F43481F">
      <w:pPr>
        <w:keepNext w:val="0"/>
        <w:keepLines w:val="0"/>
        <w:pageBreakBefore w:val="0"/>
        <w:wordWrap w:val="0"/>
        <w:overflowPunct/>
        <w:topLinePunct w:val="0"/>
        <w:bidi w:val="0"/>
        <w:spacing w:before="153" w:line="220" w:lineRule="auto"/>
        <w:ind w:left="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2.4.1  </w:t>
      </w:r>
      <w:r>
        <w:rPr>
          <w:rFonts w:hint="eastAsia" w:ascii="宋体" w:hAnsi="宋体" w:eastAsia="宋体" w:cs="宋体"/>
          <w:color w:val="000000" w:themeColor="text1"/>
          <w:spacing w:val="0"/>
          <w:sz w:val="24"/>
          <w:szCs w:val="24"/>
          <w:highlight w:val="none"/>
          <w14:textFill>
            <w14:solidFill>
              <w14:schemeClr w14:val="tx1"/>
            </w14:solidFill>
          </w14:textFill>
        </w:rPr>
        <w:t>投标人不得存在下列情形之一：</w:t>
      </w:r>
    </w:p>
    <w:p w14:paraId="5ECD680F">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（1）为招标人不具有独立法人资格的附属机构（单位）；</w:t>
      </w:r>
    </w:p>
    <w:p w14:paraId="7BE80EB7">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（2）为本招标项目前期准备提供设计或咨询服务的；</w:t>
      </w:r>
    </w:p>
    <w:p w14:paraId="0466C218">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（3）与本招标项目的其他投标人为同一个单位负责人；</w:t>
      </w:r>
    </w:p>
    <w:p w14:paraId="51978EC7">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（4）与本招标项目的其他投标人存在控股、管理关系；</w:t>
      </w:r>
    </w:p>
    <w:p w14:paraId="27DE5D51">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（5）为本招标项目的监理人；</w:t>
      </w:r>
    </w:p>
    <w:p w14:paraId="01E2A759">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（6）为本招标项目的代建人；</w:t>
      </w:r>
    </w:p>
    <w:p w14:paraId="3F4CE4E0">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（7）为本招标项目的招标代理机构；</w:t>
      </w:r>
    </w:p>
    <w:p w14:paraId="32DC1C8C">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（8）与本招标项目的监理人或代建人或招标代理机构同为一个 法定代表人；</w:t>
      </w:r>
    </w:p>
    <w:p w14:paraId="356D5091">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（9）与本招标项目的监理人或代建人或招标代理机构存在控股或参股关系；</w:t>
      </w:r>
    </w:p>
    <w:p w14:paraId="1F6F6AFF">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（10）与本招标项目的监理人或代建人或招标代理机构存在相互任职或工作关系；</w:t>
      </w:r>
    </w:p>
    <w:p w14:paraId="62615967">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（11）被依法暂停或者取消投标资格；</w:t>
      </w:r>
    </w:p>
    <w:p w14:paraId="51CC66B8">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（12）被责令停产停业、暂扣或者吊销许可证、暂扣或者吊销执照；</w:t>
      </w:r>
    </w:p>
    <w:p w14:paraId="4D4EA795">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（13）进入清算程序，或被宣告破产，或其他丧失履约能力的情形；</w:t>
      </w:r>
    </w:p>
    <w:p w14:paraId="742CE9C2">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（14）在最近三年内发生重大工程质量或安全问题（以相关行业主管部门的行政处罚决定或司法机关出具的有关法律文书为准）；</w:t>
      </w:r>
    </w:p>
    <w:p w14:paraId="5FDD5BCF">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（15）被“信用中国 ”网站（https://www.creditchina.gov.cn）发布的《法人和非法人组织公共信用信息报告》列为严重失信主体名单的。</w:t>
      </w:r>
    </w:p>
    <w:p w14:paraId="28B49AD7">
      <w:pPr>
        <w:keepNext w:val="0"/>
        <w:keepLines w:val="0"/>
        <w:pageBreakBefore w:val="0"/>
        <w:wordWrap w:val="0"/>
        <w:overflowPunct/>
        <w:topLinePunct w:val="0"/>
        <w:bidi w:val="0"/>
        <w:spacing w:before="155" w:line="219" w:lineRule="auto"/>
        <w:ind w:left="70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2.4.2  </w:t>
      </w:r>
      <w:r>
        <w:rPr>
          <w:rFonts w:hint="eastAsia" w:ascii="宋体" w:hAnsi="宋体" w:eastAsia="宋体" w:cs="宋体"/>
          <w:color w:val="000000" w:themeColor="text1"/>
          <w:spacing w:val="0"/>
          <w:sz w:val="24"/>
          <w:szCs w:val="24"/>
          <w:highlight w:val="none"/>
          <w14:textFill>
            <w14:solidFill>
              <w14:schemeClr w14:val="tx1"/>
            </w14:solidFill>
          </w14:textFill>
        </w:rPr>
        <w:t>招标人拒绝以下名单中的单位参加本次投标：</w:t>
      </w:r>
    </w:p>
    <w:tbl>
      <w:tblPr>
        <w:tblStyle w:val="14"/>
        <w:tblW w:w="98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137"/>
        <w:gridCol w:w="4973"/>
      </w:tblGrid>
      <w:tr w14:paraId="26355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8" w:type="dxa"/>
            <w:vAlign w:val="center"/>
          </w:tcPr>
          <w:p w14:paraId="2E257EED">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序号</w:t>
            </w:r>
          </w:p>
        </w:tc>
        <w:tc>
          <w:tcPr>
            <w:tcW w:w="4137" w:type="dxa"/>
            <w:vAlign w:val="center"/>
          </w:tcPr>
          <w:p w14:paraId="3BE59F6F">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单位名称</w:t>
            </w:r>
          </w:p>
        </w:tc>
        <w:tc>
          <w:tcPr>
            <w:tcW w:w="4973" w:type="dxa"/>
            <w:vAlign w:val="center"/>
          </w:tcPr>
          <w:p w14:paraId="08E046A8">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拒绝原因</w:t>
            </w:r>
          </w:p>
        </w:tc>
      </w:tr>
      <w:tr w14:paraId="4BD3B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788" w:type="dxa"/>
            <w:vAlign w:val="center"/>
          </w:tcPr>
          <w:p w14:paraId="28B9B72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1</w:t>
            </w:r>
          </w:p>
        </w:tc>
        <w:tc>
          <w:tcPr>
            <w:tcW w:w="4137" w:type="dxa"/>
            <w:vAlign w:val="center"/>
          </w:tcPr>
          <w:p w14:paraId="3774472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新丰县回龙镇人民政府</w:t>
            </w:r>
          </w:p>
        </w:tc>
        <w:tc>
          <w:tcPr>
            <w:tcW w:w="4973" w:type="dxa"/>
            <w:vAlign w:val="center"/>
          </w:tcPr>
          <w:p w14:paraId="4D06AD7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为本招标项目的招标人</w:t>
            </w:r>
          </w:p>
        </w:tc>
      </w:tr>
      <w:tr w14:paraId="71381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88" w:type="dxa"/>
            <w:vAlign w:val="center"/>
          </w:tcPr>
          <w:p w14:paraId="0337EEE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2</w:t>
            </w:r>
          </w:p>
        </w:tc>
        <w:tc>
          <w:tcPr>
            <w:tcW w:w="4137" w:type="dxa"/>
            <w:vAlign w:val="center"/>
          </w:tcPr>
          <w:p w14:paraId="0BD57B5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成致项目管理有限公司</w:t>
            </w:r>
          </w:p>
        </w:tc>
        <w:tc>
          <w:tcPr>
            <w:tcW w:w="4973" w:type="dxa"/>
            <w:vAlign w:val="center"/>
          </w:tcPr>
          <w:p w14:paraId="0820A20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为本招标项目的招标代理机构</w:t>
            </w:r>
          </w:p>
        </w:tc>
      </w:tr>
      <w:tr w14:paraId="5FC80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88" w:type="dxa"/>
            <w:vAlign w:val="center"/>
          </w:tcPr>
          <w:p w14:paraId="3E51A30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3</w:t>
            </w:r>
          </w:p>
        </w:tc>
        <w:tc>
          <w:tcPr>
            <w:tcW w:w="4137" w:type="dxa"/>
            <w:vAlign w:val="center"/>
          </w:tcPr>
          <w:p w14:paraId="72D7100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成致项目管理有限公司</w:t>
            </w:r>
          </w:p>
        </w:tc>
        <w:tc>
          <w:tcPr>
            <w:tcW w:w="4973" w:type="dxa"/>
            <w:vAlign w:val="center"/>
          </w:tcPr>
          <w:p w14:paraId="08D67BA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为本招标项目的监理单位</w:t>
            </w:r>
          </w:p>
        </w:tc>
      </w:tr>
      <w:tr w14:paraId="424AA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88" w:type="dxa"/>
            <w:vAlign w:val="center"/>
          </w:tcPr>
          <w:p w14:paraId="3C00839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4</w:t>
            </w:r>
          </w:p>
        </w:tc>
        <w:tc>
          <w:tcPr>
            <w:tcW w:w="4137" w:type="dxa"/>
            <w:vAlign w:val="center"/>
          </w:tcPr>
          <w:p w14:paraId="090E5EA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泰宇建筑工程技术咨询有限公司</w:t>
            </w:r>
          </w:p>
        </w:tc>
        <w:tc>
          <w:tcPr>
            <w:tcW w:w="4973" w:type="dxa"/>
            <w:vAlign w:val="center"/>
          </w:tcPr>
          <w:p w14:paraId="6754F47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为本招标项目的工程造价咨询单位</w:t>
            </w:r>
          </w:p>
        </w:tc>
      </w:tr>
      <w:tr w14:paraId="59F08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788" w:type="dxa"/>
            <w:vAlign w:val="center"/>
          </w:tcPr>
          <w:p w14:paraId="59ED6C9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5</w:t>
            </w:r>
          </w:p>
        </w:tc>
        <w:tc>
          <w:tcPr>
            <w:tcW w:w="4137" w:type="dxa"/>
            <w:vAlign w:val="center"/>
          </w:tcPr>
          <w:p w14:paraId="48B5BCD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新丰县丰江测绘工程技术有限责任公司</w:t>
            </w:r>
          </w:p>
        </w:tc>
        <w:tc>
          <w:tcPr>
            <w:tcW w:w="4973" w:type="dxa"/>
            <w:vAlign w:val="center"/>
          </w:tcPr>
          <w:p w14:paraId="7D7EDDC0">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为本招标项目的测绘服务单位</w:t>
            </w:r>
          </w:p>
        </w:tc>
      </w:tr>
      <w:tr w14:paraId="0AB37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788" w:type="dxa"/>
            <w:vAlign w:val="center"/>
          </w:tcPr>
          <w:p w14:paraId="6B38E2B6">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6</w:t>
            </w:r>
          </w:p>
        </w:tc>
        <w:tc>
          <w:tcPr>
            <w:tcW w:w="4137" w:type="dxa"/>
            <w:vAlign w:val="center"/>
          </w:tcPr>
          <w:p w14:paraId="38EC161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中建联设计院（广州）股份有限公司</w:t>
            </w:r>
          </w:p>
        </w:tc>
        <w:tc>
          <w:tcPr>
            <w:tcW w:w="4973" w:type="dxa"/>
            <w:vAlign w:val="center"/>
          </w:tcPr>
          <w:p w14:paraId="0EEB4B3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为本招标项目的施工图设计单位</w:t>
            </w:r>
          </w:p>
        </w:tc>
      </w:tr>
    </w:tbl>
    <w:p w14:paraId="770A3CA2">
      <w:pPr>
        <w:keepNext w:val="0"/>
        <w:keepLines w:val="0"/>
        <w:pageBreakBefore w:val="0"/>
        <w:wordWrap w:val="0"/>
        <w:overflowPunct/>
        <w:topLinePunct w:val="0"/>
        <w:bidi w:val="0"/>
        <w:spacing w:line="93" w:lineRule="auto"/>
        <w:rPr>
          <w:rFonts w:hint="eastAsia" w:ascii="宋体" w:hAnsi="宋体" w:eastAsia="宋体" w:cs="宋体"/>
          <w:color w:val="000000" w:themeColor="text1"/>
          <w:spacing w:val="0"/>
          <w:sz w:val="2"/>
          <w:highlight w:val="none"/>
          <w14:textFill>
            <w14:solidFill>
              <w14:schemeClr w14:val="tx1"/>
            </w14:solidFill>
          </w14:textFill>
        </w:rPr>
      </w:pPr>
    </w:p>
    <w:p w14:paraId="103B6326">
      <w:pPr>
        <w:keepNext w:val="0"/>
        <w:keepLines w:val="0"/>
        <w:pageBreakBefore w:val="0"/>
        <w:wordWrap w:val="0"/>
        <w:overflowPunct/>
        <w:topLinePunct w:val="0"/>
        <w:bidi w:val="0"/>
        <w:spacing w:before="153" w:line="221" w:lineRule="auto"/>
        <w:ind w:left="70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2.5  </w:t>
      </w:r>
      <w:r>
        <w:rPr>
          <w:rFonts w:hint="eastAsia" w:ascii="宋体" w:hAnsi="宋体" w:eastAsia="宋体" w:cs="宋体"/>
          <w:color w:val="000000" w:themeColor="text1"/>
          <w:spacing w:val="0"/>
          <w:sz w:val="24"/>
          <w:szCs w:val="24"/>
          <w:highlight w:val="none"/>
          <w14:textFill>
            <w14:solidFill>
              <w14:schemeClr w14:val="tx1"/>
            </w14:solidFill>
          </w14:textFill>
        </w:rPr>
        <w:t>其他要求</w:t>
      </w:r>
    </w:p>
    <w:p w14:paraId="495DD04A">
      <w:pPr>
        <w:keepNext w:val="0"/>
        <w:keepLines w:val="0"/>
        <w:pageBreakBefore w:val="0"/>
        <w:wordWrap w:val="0"/>
        <w:overflowPunct/>
        <w:topLinePunct w:val="0"/>
        <w:bidi w:val="0"/>
        <w:spacing w:before="150" w:line="334" w:lineRule="auto"/>
        <w:ind w:left="232" w:right="99" w:firstLine="481"/>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省外企业及其拟派往本项目管理机构的所有人员均须按照《广东省住房和城乡建设厅关于取消省外建筑企业和人员进粤信息备案有关工作的通知》（粤建市﹝2015﹞52 号）规定在“进粤企业和人员诚信信息登记平台”录入相关信息并通过数据规范检查。</w:t>
      </w:r>
    </w:p>
    <w:p w14:paraId="1FE05A34">
      <w:pPr>
        <w:keepNext w:val="0"/>
        <w:keepLines w:val="0"/>
        <w:pageBreakBefore w:val="0"/>
        <w:wordWrap w:val="0"/>
        <w:overflowPunct/>
        <w:topLinePunct w:val="0"/>
        <w:bidi w:val="0"/>
        <w:spacing w:before="79" w:line="220" w:lineRule="auto"/>
        <w:ind w:left="715"/>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22" w:name="_Toc23243"/>
      <w:bookmarkStart w:id="23" w:name="_Toc15370"/>
      <w:r>
        <w:rPr>
          <w:rFonts w:hint="eastAsia" w:ascii="宋体" w:hAnsi="宋体" w:eastAsia="宋体" w:cs="宋体"/>
          <w:b/>
          <w:bCs/>
          <w:color w:val="000000" w:themeColor="text1"/>
          <w:spacing w:val="0"/>
          <w:sz w:val="24"/>
          <w:szCs w:val="24"/>
          <w:highlight w:val="none"/>
          <w14:textFill>
            <w14:solidFill>
              <w14:schemeClr w14:val="tx1"/>
            </w14:solidFill>
          </w14:textFill>
        </w:rPr>
        <w:t>3．招标文件的获取</w:t>
      </w:r>
      <w:bookmarkEnd w:id="22"/>
      <w:bookmarkEnd w:id="23"/>
    </w:p>
    <w:p w14:paraId="58025C1D">
      <w:pPr>
        <w:keepNext w:val="0"/>
        <w:keepLines w:val="0"/>
        <w:pageBreakBefore w:val="0"/>
        <w:wordWrap w:val="0"/>
        <w:overflowPunct/>
        <w:topLinePunct w:val="0"/>
        <w:bidi w:val="0"/>
        <w:spacing w:before="182" w:line="219" w:lineRule="auto"/>
        <w:ind w:left="70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3.1  </w:t>
      </w:r>
      <w:r>
        <w:rPr>
          <w:rFonts w:hint="eastAsia" w:ascii="宋体" w:hAnsi="宋体" w:eastAsia="宋体" w:cs="宋体"/>
          <w:color w:val="000000" w:themeColor="text1"/>
          <w:spacing w:val="0"/>
          <w:sz w:val="24"/>
          <w:szCs w:val="24"/>
          <w:highlight w:val="none"/>
          <w14:textFill>
            <w14:solidFill>
              <w14:schemeClr w14:val="tx1"/>
            </w14:solidFill>
          </w14:textFill>
        </w:rPr>
        <w:t>本次招标实行电子投标。</w:t>
      </w:r>
    </w:p>
    <w:p w14:paraId="29156863">
      <w:pPr>
        <w:keepNext w:val="0"/>
        <w:keepLines w:val="0"/>
        <w:pageBreakBefore w:val="0"/>
        <w:wordWrap w:val="0"/>
        <w:overflowPunct/>
        <w:topLinePunct w:val="0"/>
        <w:bidi w:val="0"/>
        <w:spacing w:before="178" w:line="355" w:lineRule="auto"/>
        <w:ind w:left="0" w:leftChars="0" w:firstLine="481" w:firstLineChars="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本次招标实行电子投标。本项目招标文件随招标公告一并在全国公共资源交易平台（广东省 ·韶关市）（https://ygp.gdzwfw.gov.cn/ggzy-portal/#/440200/index）网站发布。招标文件一经发布，视为发送投标人，招标文件及相关附件由投标人自行在全国公共资源交易平台（广东省 ·韶关市）网站下载。请于招标文件获取期间,（见本章第二节“重要事项时间地点一览表 ”）招标文件获取期间与招标公告发布时间一致，投标人须登录全国公共资源交易平台（广东省 ·韶关市）（https://ygp.gdzwfw.gov.cn/ggzy-portal/#/440200/index），使用新建设工程交易系统进行下载招标文件及相关附件，并于电子投标截止时间（见本章第二节“重要事项时间地点一览表 ”）前完成电子投标。投标人可登录全国公共资源交易平台（广东省 ·韶关市）（https://ygp.gdzwfw.gov.cn/ggzy-portal/#/440200/index），在【服务指南】栏目中建设工程交易中下载《韶关市公共资源建设工程交易系统-投标人操作指南（电子评标）》（附件2），了解网上获取招标文件操作流程。技术咨询电话：0751-8379671 伍先生，业务咨询电话：0751-8633211、8633071。</w:t>
      </w:r>
    </w:p>
    <w:p w14:paraId="039A8FB6">
      <w:pPr>
        <w:keepNext w:val="0"/>
        <w:keepLines w:val="0"/>
        <w:pageBreakBefore w:val="0"/>
        <w:wordWrap w:val="0"/>
        <w:overflowPunct/>
        <w:topLinePunct w:val="0"/>
        <w:bidi w:val="0"/>
        <w:spacing w:before="142" w:line="330" w:lineRule="auto"/>
        <w:ind w:left="11" w:right="105" w:firstLine="473"/>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3.2  </w:t>
      </w:r>
      <w:r>
        <w:rPr>
          <w:rFonts w:hint="eastAsia" w:ascii="宋体" w:hAnsi="宋体" w:eastAsia="宋体" w:cs="宋体"/>
          <w:color w:val="000000" w:themeColor="text1"/>
          <w:spacing w:val="0"/>
          <w:sz w:val="24"/>
          <w:szCs w:val="24"/>
          <w:highlight w:val="none"/>
          <w14:textFill>
            <w14:solidFill>
              <w14:schemeClr w14:val="tx1"/>
            </w14:solidFill>
          </w14:textFill>
        </w:rPr>
        <w:t>只有申领了数字证书（CA）、“粤企签 ”或 GDCA/SZCA/NETCA 等符合法律法规规定的电子印章，并在交易系统中完成企业信息数据入库的投标人，方可使用建设工程交易系统进行招标文件及附件获取和电子投标。</w:t>
      </w:r>
    </w:p>
    <w:p w14:paraId="2FE752CB">
      <w:pPr>
        <w:keepNext w:val="0"/>
        <w:keepLines w:val="0"/>
        <w:pageBreakBefore w:val="0"/>
        <w:wordWrap w:val="0"/>
        <w:overflowPunct/>
        <w:topLinePunct w:val="0"/>
        <w:bidi w:val="0"/>
        <w:spacing w:before="32" w:line="332" w:lineRule="auto"/>
        <w:ind w:left="10" w:right="90" w:firstLine="483"/>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首次在韶关市参与建设工程招标投标活动的投标人，必须在平台系统上传企业相关资料办理企业入库事宜。投标人可登录全国公共资源交易平台（广东省 ·韶关市）（</w:t>
      </w: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"https://ygp.gdzwfw.gov.cn/ggzy-portal/#/440200/index"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color w:val="000000" w:themeColor="text1"/>
          <w:spacing w:val="0"/>
          <w:sz w:val="24"/>
          <w:szCs w:val="24"/>
          <w:highlight w:val="none"/>
          <w14:textFill>
            <w14:solidFill>
              <w14:schemeClr w14:val="tx1"/>
            </w14:solidFill>
          </w14:textFill>
        </w:rPr>
        <w:t>https://ygp.gdzwfw.gov.cn/ggzy-portal/#/440200/index</w:t>
      </w:r>
      <w:r>
        <w:rPr>
          <w:rFonts w:hint="eastAsia" w:ascii="宋体" w:hAnsi="宋体" w:eastAsia="宋体" w:cs="宋体"/>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color w:val="000000" w:themeColor="text1"/>
          <w:spacing w:val="0"/>
          <w:sz w:val="24"/>
          <w:szCs w:val="24"/>
          <w:highlight w:val="none"/>
          <w14:textFill>
            <w14:solidFill>
              <w14:schemeClr w14:val="tx1"/>
            </w14:solidFill>
          </w14:textFill>
        </w:rPr>
        <w:t>）办理企业入库、数字证书及电子印章事宜，具体请在平台查阅相应的交易指引。</w:t>
      </w:r>
    </w:p>
    <w:p w14:paraId="6F360068">
      <w:pPr>
        <w:keepNext w:val="0"/>
        <w:keepLines w:val="0"/>
        <w:pageBreakBefore w:val="0"/>
        <w:wordWrap w:val="0"/>
        <w:overflowPunct/>
        <w:topLinePunct w:val="0"/>
        <w:bidi w:val="0"/>
        <w:spacing w:before="37" w:line="329" w:lineRule="auto"/>
        <w:ind w:left="9" w:right="105" w:firstLine="507"/>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已入库企业有关信息（如单位名称、基本账号、资质、人员等）发生变化的，须及时在交易系统进行相应变更。投标人未及时变更信息而造成的损失和后果，由投标人自行承担。</w:t>
      </w:r>
    </w:p>
    <w:p w14:paraId="1BE8084A">
      <w:pPr>
        <w:keepNext w:val="0"/>
        <w:keepLines w:val="0"/>
        <w:pageBreakBefore w:val="0"/>
        <w:wordWrap w:val="0"/>
        <w:overflowPunct/>
        <w:topLinePunct w:val="0"/>
        <w:bidi w:val="0"/>
        <w:spacing w:before="33" w:line="335" w:lineRule="auto"/>
        <w:ind w:left="10" w:right="105" w:firstLine="508"/>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 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p>
    <w:p w14:paraId="40CA127C">
      <w:pPr>
        <w:keepNext w:val="0"/>
        <w:keepLines w:val="0"/>
        <w:pageBreakBefore w:val="0"/>
        <w:wordWrap w:val="0"/>
        <w:overflowPunct/>
        <w:topLinePunct w:val="0"/>
        <w:bidi w:val="0"/>
        <w:spacing w:before="33" w:line="221" w:lineRule="auto"/>
        <w:ind w:left="48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3.3  </w:t>
      </w:r>
      <w:r>
        <w:rPr>
          <w:rFonts w:hint="eastAsia" w:ascii="宋体" w:hAnsi="宋体" w:eastAsia="宋体" w:cs="宋体"/>
          <w:color w:val="000000" w:themeColor="text1"/>
          <w:spacing w:val="0"/>
          <w:sz w:val="24"/>
          <w:szCs w:val="24"/>
          <w:highlight w:val="none"/>
          <w14:textFill>
            <w14:solidFill>
              <w14:schemeClr w14:val="tx1"/>
            </w14:solidFill>
          </w14:textFill>
        </w:rPr>
        <w:t>投标保证</w:t>
      </w:r>
    </w:p>
    <w:p w14:paraId="734994B7">
      <w:pPr>
        <w:keepNext w:val="0"/>
        <w:keepLines w:val="0"/>
        <w:pageBreakBefore w:val="0"/>
        <w:wordWrap w:val="0"/>
        <w:overflowPunct/>
        <w:topLinePunct w:val="0"/>
        <w:bidi w:val="0"/>
        <w:spacing w:before="152" w:line="280" w:lineRule="auto"/>
        <w:ind w:left="8" w:right="105"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3.3.1  </w:t>
      </w:r>
      <w:r>
        <w:rPr>
          <w:rFonts w:hint="eastAsia" w:ascii="宋体" w:hAnsi="宋体" w:eastAsia="宋体" w:cs="宋体"/>
          <w:color w:val="000000" w:themeColor="text1"/>
          <w:spacing w:val="0"/>
          <w:sz w:val="24"/>
          <w:szCs w:val="24"/>
          <w:highlight w:val="none"/>
          <w14:textFill>
            <w14:solidFill>
              <w14:schemeClr w14:val="tx1"/>
            </w14:solidFill>
          </w14:textFill>
        </w:rPr>
        <w:t>投标人须缴纳金额为</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80000.00</w:t>
      </w:r>
      <w:r>
        <w:rPr>
          <w:rFonts w:hint="eastAsia" w:ascii="宋体" w:hAnsi="宋体" w:eastAsia="宋体" w:cs="宋体"/>
          <w:color w:val="000000" w:themeColor="text1"/>
          <w:spacing w:val="0"/>
          <w:sz w:val="24"/>
          <w:szCs w:val="24"/>
          <w:highlight w:val="none"/>
          <w:u w:val="none"/>
          <w:lang w:val="en-US" w:eastAsia="zh-CN"/>
          <w14:textFill>
            <w14:solidFill>
              <w14:schemeClr w14:val="tx1"/>
            </w14:solidFill>
          </w14:textFill>
        </w:rPr>
        <w:t>元</w:t>
      </w:r>
      <w:r>
        <w:rPr>
          <w:rFonts w:hint="eastAsia" w:ascii="宋体" w:hAnsi="宋体" w:eastAsia="宋体" w:cs="宋体"/>
          <w:color w:val="000000" w:themeColor="text1"/>
          <w:spacing w:val="0"/>
          <w:sz w:val="24"/>
          <w:szCs w:val="24"/>
          <w:highlight w:val="none"/>
          <w14:textFill>
            <w14:solidFill>
              <w14:schemeClr w14:val="tx1"/>
            </w14:solidFill>
          </w14:textFill>
        </w:rPr>
        <w:t>人民币的投标保证。联合体投标的，由联合体牵头人缴纳。</w:t>
      </w:r>
    </w:p>
    <w:p w14:paraId="5595FFDA">
      <w:pPr>
        <w:keepNext w:val="0"/>
        <w:keepLines w:val="0"/>
        <w:pageBreakBefore w:val="0"/>
        <w:wordWrap w:val="0"/>
        <w:overflowPunct/>
        <w:topLinePunct w:val="0"/>
        <w:bidi w:val="0"/>
        <w:spacing w:before="35" w:line="325" w:lineRule="auto"/>
        <w:ind w:left="12" w:right="108" w:firstLine="471"/>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3.3.2  </w:t>
      </w:r>
      <w:r>
        <w:rPr>
          <w:rFonts w:hint="eastAsia" w:ascii="宋体" w:hAnsi="宋体" w:eastAsia="宋体" w:cs="宋体"/>
          <w:color w:val="000000" w:themeColor="text1"/>
          <w:spacing w:val="0"/>
          <w:sz w:val="24"/>
          <w:szCs w:val="24"/>
          <w:highlight w:val="none"/>
          <w14:textFill>
            <w14:solidFill>
              <w14:schemeClr w14:val="tx1"/>
            </w14:solidFill>
          </w14:textFill>
        </w:rPr>
        <w:t>投标保证的形式包括投标保证金、投标保证担保、投标保证保险三种，由投标人自主选择。</w:t>
      </w:r>
    </w:p>
    <w:p w14:paraId="52BC198A">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000000" w:themeColor="text1"/>
          <w:spacing w:val="0"/>
          <w:sz w:val="24"/>
          <w:szCs w:val="24"/>
          <w:highlight w:val="none"/>
          <w14:textFill>
            <w14:solidFill>
              <w14:schemeClr w14:val="tx1"/>
            </w14:solidFill>
          </w14:textFill>
        </w:rPr>
      </w:pPr>
      <w:bookmarkStart w:id="24" w:name="bookmark117"/>
      <w:bookmarkEnd w:id="24"/>
      <w:r>
        <w:rPr>
          <w:rFonts w:hint="eastAsia" w:ascii="宋体" w:hAnsi="宋体" w:eastAsia="宋体" w:cs="宋体"/>
          <w:color w:val="000000" w:themeColor="text1"/>
          <w:spacing w:val="0"/>
          <w:sz w:val="24"/>
          <w:szCs w:val="24"/>
          <w:highlight w:val="none"/>
          <w14:textFill>
            <w14:solidFill>
              <w14:schemeClr w14:val="tx1"/>
            </w14:solidFill>
          </w14:textFill>
        </w:rPr>
        <w:t>（1）采用投标保证金的，投标人在建设工程交易系统获取招标文件完毕后，即可在系统申请缴纳投标保证金，获取本次招标投标保证金缴纳账号。投标人必须于投标保证金到账截止时间（见本招标文件“重要事项时间地点一览表 ”）前，从其基本账户将投标保证金转账到指定的缴纳账号。逾期到账的、从非投标人基本账户转出的，其投标无效。</w:t>
      </w:r>
    </w:p>
    <w:p w14:paraId="5AD570B6">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（2）采用投标保证担保的，投标人应提交有效的电子保函或保证保险，电子保函或保证保险的有效期不得短于投标有效期。投标人必须在投标保证担保截止时间（详见“重要事项时间地点一览表 ”）前，使用工程建设交易系统完成网上办理电子保函或保证保险。</w:t>
      </w:r>
    </w:p>
    <w:p w14:paraId="66604B82">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（3）采用投标保证保险的，投标人须在投标保证保险投保截止时间（见本招标文件“重要事项时间地点一览表 ”）前，使用建设工程交易系统完成网上投保。投标人可在系统选择保险机构、录入投保信息、支付保费、打印电子保单，电子保单的有效期不得短于投标有效期。投标人可登录全国公共资源交易平台（广东省·韶关市）（</w:t>
      </w:r>
      <w:r>
        <w:rPr>
          <w:rFonts w:hint="eastAsia" w:ascii="宋体" w:hAnsi="宋体" w:eastAsia="宋体" w:cs="宋体"/>
          <w:color w:val="000000" w:themeColor="text1"/>
          <w:spacing w:val="0"/>
          <w:sz w:val="24"/>
          <w:szCs w:val="24"/>
          <w:highlight w:val="none"/>
          <w14:textFill>
            <w14:solidFill>
              <w14:schemeClr w14:val="tx1"/>
            </w14:solidFill>
          </w14:textFill>
        </w:rPr>
        <w:fldChar w:fldCharType="begin"/>
      </w:r>
      <w:r>
        <w:rPr>
          <w:rFonts w:hint="eastAsia" w:ascii="宋体" w:hAnsi="宋体" w:eastAsia="宋体" w:cs="宋体"/>
          <w:color w:val="000000" w:themeColor="text1"/>
          <w:spacing w:val="0"/>
          <w:sz w:val="24"/>
          <w:szCs w:val="24"/>
          <w:highlight w:val="none"/>
          <w14:textFill>
            <w14:solidFill>
              <w14:schemeClr w14:val="tx1"/>
            </w14:solidFill>
          </w14:textFill>
        </w:rPr>
        <w:instrText xml:space="preserve"> HYPERLINK "https://ygp.gdzwfw.gov.cn/ggzy-portal/#/440200/index" </w:instrText>
      </w:r>
      <w:r>
        <w:rPr>
          <w:rFonts w:hint="eastAsia" w:ascii="宋体" w:hAnsi="宋体" w:eastAsia="宋体" w:cs="宋体"/>
          <w:color w:val="000000" w:themeColor="text1"/>
          <w:spacing w:val="0"/>
          <w:sz w:val="24"/>
          <w:szCs w:val="24"/>
          <w:highlight w:val="none"/>
          <w14:textFill>
            <w14:solidFill>
              <w14:schemeClr w14:val="tx1"/>
            </w14:solidFill>
          </w14:textFill>
        </w:rPr>
        <w:fldChar w:fldCharType="separate"/>
      </w:r>
      <w:r>
        <w:rPr>
          <w:rFonts w:hint="eastAsia" w:ascii="宋体" w:hAnsi="宋体" w:eastAsia="宋体" w:cs="宋体"/>
          <w:color w:val="000000" w:themeColor="text1"/>
          <w:spacing w:val="0"/>
          <w:sz w:val="24"/>
          <w:szCs w:val="24"/>
          <w:highlight w:val="none"/>
          <w14:textFill>
            <w14:solidFill>
              <w14:schemeClr w14:val="tx1"/>
            </w14:solidFill>
          </w14:textFill>
        </w:rPr>
        <w:t>https://ygp.gdzwfw.gov.cn/ggzy-portal/#/440200/index</w:t>
      </w:r>
      <w:r>
        <w:rPr>
          <w:rFonts w:hint="eastAsia" w:ascii="宋体" w:hAnsi="宋体" w:eastAsia="宋体" w:cs="宋体"/>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color w:val="000000" w:themeColor="text1"/>
          <w:spacing w:val="0"/>
          <w:sz w:val="24"/>
          <w:szCs w:val="24"/>
          <w:highlight w:val="none"/>
          <w14:textFill>
            <w14:solidFill>
              <w14:schemeClr w14:val="tx1"/>
            </w14:solidFill>
          </w14:textFill>
        </w:rPr>
        <w:t>），在【服务指南】栏目中下载《建设工程网上交易系统保险保证金缴纳操作指南》，了解网上投保具体操作流程。逾期投保的，其投标无效。</w:t>
      </w:r>
    </w:p>
    <w:p w14:paraId="20834965">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温馨提示：1.投标人采用投标保证担保或投标保证保险的，为避免在评标过程中因有效期发生争议，建议投标人将银行保函或电子保单有效期设置为较招标文件规定的投标有效期延长不少于 20 个日历天。</w:t>
      </w:r>
    </w:p>
    <w:p w14:paraId="1EC47989">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3.4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若投标人因自身原因未能正确完成获取招标文件、电子投标、缴纳投标保证的，其投标无效。</w:t>
      </w:r>
    </w:p>
    <w:p w14:paraId="385224D7">
      <w:pPr>
        <w:keepNext w:val="0"/>
        <w:keepLines w:val="0"/>
        <w:pageBreakBefore w:val="0"/>
        <w:wordWrap w:val="0"/>
        <w:overflowPunct/>
        <w:topLinePunct w:val="0"/>
        <w:bidi w:val="0"/>
        <w:spacing w:before="79" w:line="221" w:lineRule="auto"/>
        <w:ind w:left="487"/>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25" w:name="bookmark78"/>
      <w:bookmarkEnd w:id="25"/>
      <w:bookmarkStart w:id="26" w:name="bookmark64"/>
      <w:bookmarkEnd w:id="26"/>
      <w:bookmarkStart w:id="27" w:name="_Toc15498"/>
      <w:bookmarkStart w:id="28" w:name="_Toc5728"/>
      <w:r>
        <w:rPr>
          <w:rFonts w:hint="eastAsia" w:ascii="宋体" w:hAnsi="宋体" w:eastAsia="宋体" w:cs="宋体"/>
          <w:b/>
          <w:bCs/>
          <w:color w:val="000000" w:themeColor="text1"/>
          <w:spacing w:val="0"/>
          <w:sz w:val="24"/>
          <w:szCs w:val="24"/>
          <w:highlight w:val="none"/>
          <w14:textFill>
            <w14:solidFill>
              <w14:schemeClr w14:val="tx1"/>
            </w14:solidFill>
          </w14:textFill>
        </w:rPr>
        <w:t>4</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．工期要求</w:t>
      </w:r>
      <w:bookmarkEnd w:id="27"/>
      <w:bookmarkEnd w:id="28"/>
    </w:p>
    <w:p w14:paraId="10DC164E">
      <w:pPr>
        <w:keepNext w:val="0"/>
        <w:keepLines w:val="0"/>
        <w:pageBreakBefore w:val="0"/>
        <w:wordWrap w:val="0"/>
        <w:overflowPunct/>
        <w:topLinePunct w:val="0"/>
        <w:bidi w:val="0"/>
        <w:spacing w:before="153" w:line="324" w:lineRule="auto"/>
        <w:ind w:left="30" w:right="65" w:firstLine="46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本招标项目招标工期为</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180个日历天</w:t>
      </w:r>
      <w:r>
        <w:rPr>
          <w:rFonts w:hint="eastAsia" w:ascii="宋体" w:hAnsi="宋体" w:eastAsia="宋体" w:cs="宋体"/>
          <w:color w:val="000000" w:themeColor="text1"/>
          <w:spacing w:val="0"/>
          <w:sz w:val="24"/>
          <w:szCs w:val="24"/>
          <w:highlight w:val="none"/>
          <w14:textFill>
            <w14:solidFill>
              <w14:schemeClr w14:val="tx1"/>
            </w14:solidFill>
          </w14:textFill>
        </w:rPr>
        <w:t>，中标人必须在招标工期内完成招标范围内的全部内容。</w:t>
      </w:r>
    </w:p>
    <w:p w14:paraId="2574D13A">
      <w:pPr>
        <w:keepNext w:val="0"/>
        <w:keepLines w:val="0"/>
        <w:pageBreakBefore w:val="0"/>
        <w:wordWrap w:val="0"/>
        <w:overflowPunct/>
        <w:topLinePunct w:val="0"/>
        <w:bidi w:val="0"/>
        <w:spacing w:before="78" w:line="219" w:lineRule="auto"/>
        <w:ind w:left="488"/>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29" w:name="_Toc17663"/>
      <w:bookmarkStart w:id="30" w:name="_Toc4154"/>
      <w:r>
        <w:rPr>
          <w:rFonts w:hint="eastAsia" w:ascii="宋体" w:hAnsi="宋体" w:eastAsia="宋体" w:cs="宋体"/>
          <w:b/>
          <w:bCs/>
          <w:color w:val="000000" w:themeColor="text1"/>
          <w:spacing w:val="0"/>
          <w:sz w:val="24"/>
          <w:szCs w:val="24"/>
          <w:highlight w:val="none"/>
          <w14:textFill>
            <w14:solidFill>
              <w14:schemeClr w14:val="tx1"/>
            </w14:solidFill>
          </w14:textFill>
        </w:rPr>
        <w:t>5</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．质量标准和材料、机械要求</w:t>
      </w:r>
      <w:bookmarkEnd w:id="29"/>
      <w:bookmarkEnd w:id="30"/>
    </w:p>
    <w:p w14:paraId="2EE63B7A">
      <w:pPr>
        <w:keepNext w:val="0"/>
        <w:keepLines w:val="0"/>
        <w:pageBreakBefore w:val="0"/>
        <w:wordWrap w:val="0"/>
        <w:overflowPunct/>
        <w:topLinePunct w:val="0"/>
        <w:bidi w:val="0"/>
        <w:spacing w:before="154" w:line="360" w:lineRule="auto"/>
        <w:ind w:left="11" w:right="99"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5.1  </w:t>
      </w:r>
      <w:r>
        <w:rPr>
          <w:rFonts w:hint="eastAsia" w:ascii="宋体" w:hAnsi="宋体" w:eastAsia="宋体" w:cs="宋体"/>
          <w:color w:val="000000" w:themeColor="text1"/>
          <w:spacing w:val="0"/>
          <w:sz w:val="24"/>
          <w:szCs w:val="24"/>
          <w:highlight w:val="none"/>
          <w14:textFill>
            <w14:solidFill>
              <w14:schemeClr w14:val="tx1"/>
            </w14:solidFill>
          </w14:textFill>
        </w:rPr>
        <w:t>施工工艺严格按照国家和广东省的有关现行施工技术规范及标准执行，工程质量标准</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符合现行国家有关工程施工质量验收规范和标准的要求，达到验收合格标准</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550F785F">
      <w:pPr>
        <w:keepNext w:val="0"/>
        <w:keepLines w:val="0"/>
        <w:pageBreakBefore w:val="0"/>
        <w:wordWrap w:val="0"/>
        <w:overflowPunct/>
        <w:topLinePunct w:val="0"/>
        <w:bidi w:val="0"/>
        <w:spacing w:before="154" w:line="360" w:lineRule="auto"/>
        <w:ind w:left="10" w:right="99" w:firstLine="55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5.2</w:t>
      </w:r>
      <w:r>
        <w:rPr>
          <w:rFonts w:hint="eastAsia" w:ascii="宋体" w:hAnsi="宋体" w:eastAsia="宋体" w:cs="宋体"/>
          <w:b/>
          <w:bCs/>
          <w:color w:val="000000" w:themeColor="text1"/>
          <w:spacing w:val="0"/>
          <w:w w:val="101"/>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中标人在施工中如果工程质量不符合设计要求和有关规定，招标人或监理单位要求停工和返工的必须立即执行，并承担由此产生的各种费用，工期不予顺延。</w:t>
      </w:r>
    </w:p>
    <w:p w14:paraId="7AA414CC">
      <w:pPr>
        <w:keepNext w:val="0"/>
        <w:keepLines w:val="0"/>
        <w:pageBreakBefore w:val="0"/>
        <w:wordWrap w:val="0"/>
        <w:overflowPunct/>
        <w:topLinePunct w:val="0"/>
        <w:bidi w:val="0"/>
        <w:spacing w:before="152" w:line="360" w:lineRule="auto"/>
        <w:ind w:left="9" w:firstLine="56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5.3  </w:t>
      </w:r>
      <w:r>
        <w:rPr>
          <w:rFonts w:hint="eastAsia" w:ascii="宋体" w:hAnsi="宋体" w:eastAsia="宋体" w:cs="宋体"/>
          <w:color w:val="000000" w:themeColor="text1"/>
          <w:spacing w:val="0"/>
          <w:sz w:val="24"/>
          <w:szCs w:val="24"/>
          <w:highlight w:val="none"/>
          <w14:textFill>
            <w14:solidFill>
              <w14:schemeClr w14:val="tx1"/>
            </w14:solidFill>
          </w14:textFill>
        </w:rPr>
        <w:t>保修期限按《建设工程质量管理条例》（中华人民共和国国务院令第 279号）规定执行，在保修期内因施工质量问题而造成返修，一切费用由中标人负责。中标人在向招标人提交竣工验收报告时，应当向招标人出具质量保修书。质量保修书中应当明确建设工程的保修范围、保修期限和保修责任等。</w:t>
      </w:r>
    </w:p>
    <w:p w14:paraId="46FB79BE">
      <w:pPr>
        <w:keepNext w:val="0"/>
        <w:keepLines w:val="0"/>
        <w:pageBreakBefore w:val="0"/>
        <w:wordWrap w:val="0"/>
        <w:overflowPunct/>
        <w:topLinePunct w:val="0"/>
        <w:bidi w:val="0"/>
        <w:spacing w:before="152" w:line="360" w:lineRule="auto"/>
        <w:ind w:left="9" w:firstLine="56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5.4</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根据韶关市人民政府《关于加快推进全市绿色建筑发展工作的通知》（韶府办明电〔2013〕277 号）有关规定，结合《韶关市住建管理局关于贯彻落实&lt;广东省绿色建筑条例&gt;有关工作的通知》（韶市建字〔2021〕85 号）等有关规定，</w:t>
      </w:r>
      <w:r>
        <w:rPr>
          <w:rFonts w:hint="eastAsia" w:ascii="宋体" w:hAnsi="宋体" w:eastAsia="宋体" w:cs="宋体"/>
          <w:color w:val="000000" w:themeColor="text1"/>
          <w:spacing w:val="0"/>
          <w:sz w:val="24"/>
          <w:szCs w:val="24"/>
          <w:highlight w:val="none"/>
          <w14:textFill>
            <w14:solidFill>
              <w14:schemeClr w14:val="tx1"/>
            </w14:solidFill>
          </w14:textFill>
        </w:rPr>
        <w:t>本招标项目</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不</w:t>
      </w:r>
      <w:r>
        <w:rPr>
          <w:rFonts w:hint="eastAsia" w:ascii="宋体" w:hAnsi="宋体" w:eastAsia="宋体" w:cs="宋体"/>
          <w:color w:val="000000" w:themeColor="text1"/>
          <w:spacing w:val="0"/>
          <w:sz w:val="24"/>
          <w:szCs w:val="24"/>
          <w:highlight w:val="none"/>
          <w14:textFill>
            <w14:solidFill>
              <w14:schemeClr w14:val="tx1"/>
            </w14:solidFill>
          </w14:textFill>
        </w:rPr>
        <w:t>纳入绿色建设实施范围</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p>
    <w:p w14:paraId="096BED74">
      <w:pPr>
        <w:keepNext w:val="0"/>
        <w:keepLines w:val="0"/>
        <w:pageBreakBefore w:val="0"/>
        <w:wordWrap w:val="0"/>
        <w:overflowPunct/>
        <w:topLinePunct w:val="0"/>
        <w:bidi w:val="0"/>
        <w:spacing w:before="152" w:line="309" w:lineRule="auto"/>
        <w:ind w:left="9" w:firstLine="568"/>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5.5</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其它：</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本招标项目</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不</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纳入装配式建造建设实施范围。</w:t>
      </w:r>
    </w:p>
    <w:p w14:paraId="744CB0C9">
      <w:pPr>
        <w:keepNext w:val="0"/>
        <w:keepLines w:val="0"/>
        <w:pageBreakBefore w:val="0"/>
        <w:wordWrap w:val="0"/>
        <w:overflowPunct/>
        <w:topLinePunct w:val="0"/>
        <w:bidi w:val="0"/>
        <w:spacing w:before="152" w:line="309" w:lineRule="auto"/>
        <w:ind w:left="9" w:firstLine="56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5.6</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其它：本招标文件（包括答疑纪要、补充及修改文件）中招标人对材料或设备有明确要求的，投标人必须响应招标人要求，如投标人在投标文件未明确响应者视为默认；或投标人在投标文件中的虽有响应但不符合招标人要求的，视为无效响应，中标后必须按招标人要求执行。如招标人在招标文件中对材料或设备没有明确要求</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则中标人必须使用合格材料或设备。</w:t>
      </w:r>
    </w:p>
    <w:p w14:paraId="10FFFDBC">
      <w:pPr>
        <w:keepNext w:val="0"/>
        <w:keepLines w:val="0"/>
        <w:pageBreakBefore w:val="0"/>
        <w:wordWrap w:val="0"/>
        <w:overflowPunct/>
        <w:topLinePunct w:val="0"/>
        <w:bidi w:val="0"/>
        <w:spacing w:before="152" w:line="309" w:lineRule="auto"/>
        <w:ind w:left="9" w:firstLine="568"/>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5.</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7</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工程使用的主要材料质量要求：不低于强制标准、招标工程量清单所列的要求，主要材料必须先提供样板或相关资料给招标人和监理工程师验收，同意确定其规格、型号、颜色、等级等，并经发包人委托的第三方检测部门检测合格方可使用，所有材料必须使用合格产品。</w:t>
      </w:r>
    </w:p>
    <w:p w14:paraId="54A8F521">
      <w:pPr>
        <w:keepNext w:val="0"/>
        <w:keepLines w:val="0"/>
        <w:pageBreakBefore w:val="0"/>
        <w:wordWrap w:val="0"/>
        <w:overflowPunct/>
        <w:topLinePunct w:val="0"/>
        <w:bidi w:val="0"/>
        <w:spacing w:before="78" w:line="220" w:lineRule="auto"/>
        <w:ind w:left="489"/>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31" w:name="_Toc7763"/>
      <w:bookmarkStart w:id="32" w:name="_Toc2095"/>
      <w:r>
        <w:rPr>
          <w:rFonts w:hint="eastAsia" w:ascii="宋体" w:hAnsi="宋体" w:eastAsia="宋体" w:cs="宋体"/>
          <w:b/>
          <w:bCs/>
          <w:color w:val="000000" w:themeColor="text1"/>
          <w:spacing w:val="0"/>
          <w:sz w:val="24"/>
          <w:szCs w:val="24"/>
          <w:highlight w:val="none"/>
          <w14:textFill>
            <w14:solidFill>
              <w14:schemeClr w14:val="tx1"/>
            </w14:solidFill>
          </w14:textFill>
        </w:rPr>
        <w:t>6 ．施工条件及现场踏勘</w:t>
      </w:r>
      <w:bookmarkEnd w:id="31"/>
      <w:bookmarkEnd w:id="32"/>
    </w:p>
    <w:p w14:paraId="33B1E63A">
      <w:pPr>
        <w:keepNext w:val="0"/>
        <w:keepLines w:val="0"/>
        <w:pageBreakBefore w:val="0"/>
        <w:wordWrap w:val="0"/>
        <w:overflowPunct/>
        <w:topLinePunct w:val="0"/>
        <w:bidi w:val="0"/>
        <w:spacing w:before="155" w:line="360" w:lineRule="auto"/>
        <w:ind w:left="12" w:right="99" w:firstLine="5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6.1  </w:t>
      </w:r>
      <w:r>
        <w:rPr>
          <w:rFonts w:hint="eastAsia" w:ascii="宋体" w:hAnsi="宋体" w:eastAsia="宋体" w:cs="宋体"/>
          <w:color w:val="000000" w:themeColor="text1"/>
          <w:spacing w:val="0"/>
          <w:sz w:val="24"/>
          <w:szCs w:val="24"/>
          <w:highlight w:val="none"/>
          <w14:textFill>
            <w14:solidFill>
              <w14:schemeClr w14:val="tx1"/>
            </w14:solidFill>
          </w14:textFill>
        </w:rPr>
        <w:t>招标人仅在本招标项目征地红线范围内提供场地，其他一切场地费用由中标人自行负责（含临时道路）。</w:t>
      </w:r>
    </w:p>
    <w:p w14:paraId="43C889C7">
      <w:pPr>
        <w:keepNext w:val="0"/>
        <w:keepLines w:val="0"/>
        <w:pageBreakBefore w:val="0"/>
        <w:wordWrap w:val="0"/>
        <w:overflowPunct/>
        <w:topLinePunct w:val="0"/>
        <w:bidi w:val="0"/>
        <w:spacing w:before="155" w:line="360" w:lineRule="auto"/>
        <w:ind w:left="12" w:right="99" w:firstLine="556"/>
        <w:rPr>
          <w:rFonts w:hint="eastAsia" w:ascii="宋体" w:hAnsi="宋体" w:eastAsia="宋体" w:cs="宋体"/>
          <w:color w:val="000000" w:themeColor="text1"/>
          <w:spacing w:val="0"/>
          <w:sz w:val="24"/>
          <w:szCs w:val="24"/>
          <w:highlight w:val="none"/>
          <w14:textFill>
            <w14:solidFill>
              <w14:schemeClr w14:val="tx1"/>
            </w14:solidFill>
          </w14:textFill>
        </w:rPr>
      </w:pPr>
      <w:bookmarkStart w:id="33" w:name="bookmark118"/>
      <w:bookmarkEnd w:id="33"/>
      <w:r>
        <w:rPr>
          <w:rFonts w:hint="eastAsia" w:ascii="宋体" w:hAnsi="宋体" w:eastAsia="宋体" w:cs="宋体"/>
          <w:b/>
          <w:bCs/>
          <w:color w:val="000000" w:themeColor="text1"/>
          <w:spacing w:val="0"/>
          <w:sz w:val="24"/>
          <w:szCs w:val="24"/>
          <w:highlight w:val="none"/>
          <w14:textFill>
            <w14:solidFill>
              <w14:schemeClr w14:val="tx1"/>
            </w14:solidFill>
          </w14:textFill>
        </w:rPr>
        <w:t>6.2</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施工用水：</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由中标人自行解决，费用考虑在投标报价中</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5DA5ED0F">
      <w:pPr>
        <w:keepNext w:val="0"/>
        <w:keepLines w:val="0"/>
        <w:pageBreakBefore w:val="0"/>
        <w:wordWrap w:val="0"/>
        <w:overflowPunct/>
        <w:topLinePunct w:val="0"/>
        <w:bidi w:val="0"/>
        <w:spacing w:before="155" w:line="360" w:lineRule="auto"/>
        <w:ind w:left="12" w:right="99" w:firstLine="5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6.3</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施工用电：</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由中标人自行解决，费用考虑在投标报价中</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4117B1E2">
      <w:pPr>
        <w:keepNext w:val="0"/>
        <w:keepLines w:val="0"/>
        <w:pageBreakBefore w:val="0"/>
        <w:wordWrap w:val="0"/>
        <w:overflowPunct/>
        <w:topLinePunct w:val="0"/>
        <w:bidi w:val="0"/>
        <w:spacing w:before="155" w:line="360" w:lineRule="auto"/>
        <w:ind w:left="12" w:right="99" w:firstLine="5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6.4</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施工用水、用电各提供一驳接点到现场边缘。要求中标人单独安装水表、电表，其水、电费按项目所在地</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新丰县</w:t>
      </w:r>
      <w:r>
        <w:rPr>
          <w:rFonts w:hint="eastAsia" w:ascii="宋体" w:hAnsi="宋体" w:eastAsia="宋体" w:cs="宋体"/>
          <w:color w:val="000000" w:themeColor="text1"/>
          <w:spacing w:val="0"/>
          <w:sz w:val="24"/>
          <w:szCs w:val="24"/>
          <w:highlight w:val="none"/>
          <w14:textFill>
            <w14:solidFill>
              <w14:schemeClr w14:val="tx1"/>
            </w14:solidFill>
          </w14:textFill>
        </w:rPr>
        <w:t>基建工程水、电计费标准计算并由中标人缴纳。</w:t>
      </w:r>
    </w:p>
    <w:p w14:paraId="7B035D82">
      <w:pPr>
        <w:keepNext w:val="0"/>
        <w:keepLines w:val="0"/>
        <w:pageBreakBefore w:val="0"/>
        <w:wordWrap w:val="0"/>
        <w:overflowPunct/>
        <w:topLinePunct w:val="0"/>
        <w:bidi w:val="0"/>
        <w:spacing w:before="154" w:line="360" w:lineRule="auto"/>
        <w:ind w:left="9" w:right="16" w:firstLine="55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6.5  </w:t>
      </w:r>
      <w:r>
        <w:rPr>
          <w:rFonts w:hint="eastAsia" w:ascii="宋体" w:hAnsi="宋体" w:eastAsia="宋体" w:cs="宋体"/>
          <w:color w:val="000000" w:themeColor="text1"/>
          <w:spacing w:val="0"/>
          <w:sz w:val="24"/>
          <w:szCs w:val="24"/>
          <w:highlight w:val="none"/>
          <w14:textFill>
            <w14:solidFill>
              <w14:schemeClr w14:val="tx1"/>
            </w14:solidFill>
          </w14:textFill>
        </w:rPr>
        <w:t>招标人不组织现场踏勘，但会在招标文件及有关设计文件中明确告知招标项目的具体位置和周边环境，并在现场设置足以识别的标识或提供足以表明招标项目具体位置的文字或图片。投标人需要了解现场情况的</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可自行进行现场踏勘。</w:t>
      </w:r>
    </w:p>
    <w:p w14:paraId="7738F7AC">
      <w:pPr>
        <w:keepNext w:val="0"/>
        <w:keepLines w:val="0"/>
        <w:pageBreakBefore w:val="0"/>
        <w:wordWrap w:val="0"/>
        <w:overflowPunct/>
        <w:topLinePunct w:val="0"/>
        <w:bidi w:val="0"/>
        <w:spacing w:before="153" w:line="360" w:lineRule="auto"/>
        <w:ind w:left="9" w:right="16" w:firstLine="55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6.6  </w:t>
      </w:r>
      <w:r>
        <w:rPr>
          <w:rFonts w:hint="eastAsia" w:ascii="宋体" w:hAnsi="宋体" w:eastAsia="宋体" w:cs="宋体"/>
          <w:color w:val="000000" w:themeColor="text1"/>
          <w:spacing w:val="0"/>
          <w:sz w:val="24"/>
          <w:szCs w:val="24"/>
          <w:highlight w:val="none"/>
          <w14:textFill>
            <w14:solidFill>
              <w14:schemeClr w14:val="tx1"/>
            </w14:solidFill>
          </w14:textFill>
        </w:rPr>
        <w:t>在现场踏勘过程中，投标人应确保自身安全，投标人如果发生人身伤亡、财物或其他损失，法律法规有规定的按有关规定处理，没有规定的由投标人自行负责。</w:t>
      </w:r>
    </w:p>
    <w:p w14:paraId="7E2F99A6">
      <w:pPr>
        <w:keepNext w:val="0"/>
        <w:keepLines w:val="0"/>
        <w:pageBreakBefore w:val="0"/>
        <w:wordWrap w:val="0"/>
        <w:overflowPunct/>
        <w:topLinePunct w:val="0"/>
        <w:bidi w:val="0"/>
        <w:spacing w:before="153" w:line="360" w:lineRule="auto"/>
        <w:ind w:left="568"/>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6.7  </w:t>
      </w:r>
      <w:r>
        <w:rPr>
          <w:rFonts w:hint="eastAsia" w:ascii="宋体" w:hAnsi="宋体" w:eastAsia="宋体" w:cs="宋体"/>
          <w:color w:val="000000" w:themeColor="text1"/>
          <w:spacing w:val="0"/>
          <w:sz w:val="24"/>
          <w:szCs w:val="24"/>
          <w:highlight w:val="none"/>
          <w14:textFill>
            <w14:solidFill>
              <w14:schemeClr w14:val="tx1"/>
            </w14:solidFill>
          </w14:textFill>
        </w:rPr>
        <w:t>现场踏勘期间的交通、食宿由投标人自行安排，费用自理。</w:t>
      </w:r>
    </w:p>
    <w:p w14:paraId="1757ED06">
      <w:pPr>
        <w:keepNext w:val="0"/>
        <w:keepLines w:val="0"/>
        <w:pageBreakBefore w:val="0"/>
        <w:wordWrap w:val="0"/>
        <w:overflowPunct/>
        <w:topLinePunct w:val="0"/>
        <w:bidi w:val="0"/>
        <w:spacing w:before="78" w:line="360" w:lineRule="auto"/>
        <w:ind w:left="488"/>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34" w:name="bookmark81"/>
      <w:bookmarkEnd w:id="34"/>
      <w:bookmarkStart w:id="35" w:name="bookmark67"/>
      <w:bookmarkEnd w:id="35"/>
      <w:bookmarkStart w:id="36" w:name="bookmark69"/>
      <w:bookmarkEnd w:id="36"/>
      <w:bookmarkStart w:id="37" w:name="_Toc31147"/>
      <w:bookmarkStart w:id="38" w:name="_Toc15543"/>
      <w:r>
        <w:rPr>
          <w:rFonts w:hint="eastAsia" w:ascii="宋体" w:hAnsi="宋体" w:eastAsia="宋体" w:cs="宋体"/>
          <w:b/>
          <w:bCs/>
          <w:color w:val="000000" w:themeColor="text1"/>
          <w:spacing w:val="0"/>
          <w:sz w:val="24"/>
          <w:szCs w:val="24"/>
          <w:highlight w:val="none"/>
          <w14:textFill>
            <w14:solidFill>
              <w14:schemeClr w14:val="tx1"/>
            </w14:solidFill>
          </w14:textFill>
        </w:rPr>
        <w:t>7 ．招标文件的提问和答疑</w:t>
      </w:r>
      <w:bookmarkEnd w:id="37"/>
      <w:bookmarkEnd w:id="38"/>
    </w:p>
    <w:p w14:paraId="58203EDA">
      <w:pPr>
        <w:keepNext w:val="0"/>
        <w:keepLines w:val="0"/>
        <w:pageBreakBefore w:val="0"/>
        <w:wordWrap w:val="0"/>
        <w:overflowPunct/>
        <w:topLinePunct w:val="0"/>
        <w:bidi w:val="0"/>
        <w:spacing w:before="153" w:line="360" w:lineRule="auto"/>
        <w:ind w:left="9" w:right="16" w:firstLine="47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7.1  </w:t>
      </w:r>
      <w:r>
        <w:rPr>
          <w:rFonts w:hint="eastAsia" w:ascii="宋体" w:hAnsi="宋体" w:eastAsia="宋体" w:cs="宋体"/>
          <w:color w:val="000000" w:themeColor="text1"/>
          <w:spacing w:val="0"/>
          <w:sz w:val="24"/>
          <w:szCs w:val="24"/>
          <w:highlight w:val="none"/>
          <w14:textFill>
            <w14:solidFill>
              <w14:schemeClr w14:val="tx1"/>
            </w14:solidFill>
          </w14:textFill>
        </w:rPr>
        <w:t>投标人若对招标文件（含施工图、招标工程量清单）有疑问，应在提问截止时间（见本章第二节“重要事项时间地点一览表 ”）前使用建设工程交易系统提出问题。未在指定时间前、未采用指定方式提出的，招标人不予受理。</w:t>
      </w:r>
    </w:p>
    <w:p w14:paraId="79A8D99B">
      <w:pPr>
        <w:keepNext w:val="0"/>
        <w:keepLines w:val="0"/>
        <w:pageBreakBefore w:val="0"/>
        <w:wordWrap w:val="0"/>
        <w:overflowPunct/>
        <w:topLinePunct w:val="0"/>
        <w:bidi w:val="0"/>
        <w:spacing w:before="154" w:line="360" w:lineRule="auto"/>
        <w:ind w:left="9" w:right="16" w:firstLine="55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7.2  </w:t>
      </w:r>
      <w:r>
        <w:rPr>
          <w:rFonts w:hint="eastAsia" w:ascii="宋体" w:hAnsi="宋体" w:eastAsia="宋体" w:cs="宋体"/>
          <w:color w:val="000000" w:themeColor="text1"/>
          <w:spacing w:val="0"/>
          <w:sz w:val="24"/>
          <w:szCs w:val="24"/>
          <w:highlight w:val="none"/>
          <w14:textFill>
            <w14:solidFill>
              <w14:schemeClr w14:val="tx1"/>
            </w14:solidFill>
          </w14:textFill>
        </w:rPr>
        <w:t>招标人在提问截止时间（见本章第二节“重要事项时间地点一览表 ”）后 3 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w:t>
      </w:r>
    </w:p>
    <w:p w14:paraId="446874AE">
      <w:pPr>
        <w:keepNext w:val="0"/>
        <w:keepLines w:val="0"/>
        <w:pageBreakBefore w:val="0"/>
        <w:wordWrap w:val="0"/>
        <w:overflowPunct/>
        <w:topLinePunct w:val="0"/>
        <w:bidi w:val="0"/>
        <w:spacing w:before="152" w:line="360" w:lineRule="auto"/>
        <w:ind w:firstLine="482" w:firstLineChars="200"/>
        <w:jc w:val="both"/>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7.3  </w:t>
      </w:r>
      <w:r>
        <w:rPr>
          <w:rFonts w:hint="eastAsia" w:ascii="宋体" w:hAnsi="宋体" w:eastAsia="宋体" w:cs="宋体"/>
          <w:color w:val="000000" w:themeColor="text1"/>
          <w:spacing w:val="0"/>
          <w:sz w:val="24"/>
          <w:szCs w:val="24"/>
          <w:highlight w:val="none"/>
          <w14:textFill>
            <w14:solidFill>
              <w14:schemeClr w14:val="tx1"/>
            </w14:solidFill>
          </w14:textFill>
        </w:rPr>
        <w:t>招标人对招标文件所作的答疑（或修改）公告，构成招标文件的组成部分。</w:t>
      </w:r>
    </w:p>
    <w:p w14:paraId="1850E2AC">
      <w:pPr>
        <w:keepNext w:val="0"/>
        <w:keepLines w:val="0"/>
        <w:pageBreakBefore w:val="0"/>
        <w:wordWrap w:val="0"/>
        <w:overflowPunct/>
        <w:topLinePunct w:val="0"/>
        <w:bidi w:val="0"/>
        <w:spacing w:before="79" w:line="360" w:lineRule="auto"/>
        <w:ind w:left="488"/>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39" w:name="_Toc6897"/>
      <w:bookmarkStart w:id="40" w:name="_Toc15237"/>
      <w:r>
        <w:rPr>
          <w:rFonts w:hint="eastAsia" w:ascii="宋体" w:hAnsi="宋体" w:eastAsia="宋体" w:cs="宋体"/>
          <w:b/>
          <w:bCs/>
          <w:color w:val="000000" w:themeColor="text1"/>
          <w:spacing w:val="0"/>
          <w:sz w:val="24"/>
          <w:szCs w:val="24"/>
          <w:highlight w:val="none"/>
          <w14:textFill>
            <w14:solidFill>
              <w14:schemeClr w14:val="tx1"/>
            </w14:solidFill>
          </w14:textFill>
        </w:rPr>
        <w:t>8 ．</w:t>
      </w:r>
      <w:bookmarkEnd w:id="39"/>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bookmarkEnd w:id="40"/>
    </w:p>
    <w:p w14:paraId="37FBB470">
      <w:pPr>
        <w:keepNext w:val="0"/>
        <w:keepLines w:val="0"/>
        <w:pageBreakBefore w:val="0"/>
        <w:wordWrap w:val="0"/>
        <w:overflowPunct/>
        <w:topLinePunct w:val="0"/>
        <w:bidi w:val="0"/>
        <w:spacing w:before="155" w:line="360" w:lineRule="auto"/>
        <w:ind w:left="48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8.1  </w:t>
      </w:r>
      <w:r>
        <w:rPr>
          <w:rFonts w:hint="eastAsia" w:ascii="宋体" w:hAnsi="宋体" w:eastAsia="宋体" w:cs="宋体"/>
          <w:color w:val="000000" w:themeColor="text1"/>
          <w:spacing w:val="0"/>
          <w:sz w:val="24"/>
          <w:szCs w:val="24"/>
          <w:highlight w:val="none"/>
          <w14:textFill>
            <w14:solidFill>
              <w14:schemeClr w14:val="tx1"/>
            </w14:solidFill>
          </w14:textFill>
        </w:rPr>
        <w:t>本招标项目按照以下依据编制</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1070EE1C">
      <w:pPr>
        <w:keepNext w:val="0"/>
        <w:keepLines w:val="0"/>
        <w:pageBreakBefore w:val="0"/>
        <w:wordWrap w:val="0"/>
        <w:overflowPunct/>
        <w:topLinePunct w:val="0"/>
        <w:bidi w:val="0"/>
        <w:spacing w:before="157" w:line="36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建设工程工程量清单计价标准</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GB/T50500-2024</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4A7247E5">
      <w:pPr>
        <w:keepNext w:val="0"/>
        <w:keepLines w:val="0"/>
        <w:pageBreakBefore w:val="0"/>
        <w:wordWrap w:val="0"/>
        <w:overflowPunct/>
        <w:topLinePunct w:val="0"/>
        <w:bidi w:val="0"/>
        <w:spacing w:before="153" w:line="360" w:lineRule="auto"/>
        <w:ind w:left="9" w:right="16"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31DF117C">
      <w:pPr>
        <w:keepNext w:val="0"/>
        <w:keepLines w:val="0"/>
        <w:pageBreakBefore w:val="0"/>
        <w:wordWrap w:val="0"/>
        <w:overflowPunct/>
        <w:topLinePunct w:val="0"/>
        <w:bidi w:val="0"/>
        <w:spacing w:before="154" w:line="36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（3）施工图及相关资料；</w:t>
      </w:r>
    </w:p>
    <w:p w14:paraId="2964A12F">
      <w:pPr>
        <w:keepNext w:val="0"/>
        <w:keepLines w:val="0"/>
        <w:pageBreakBefore w:val="0"/>
        <w:wordWrap w:val="0"/>
        <w:overflowPunct/>
        <w:topLinePunct w:val="0"/>
        <w:bidi w:val="0"/>
        <w:spacing w:before="78" w:line="360" w:lineRule="auto"/>
        <w:ind w:left="502"/>
        <w:rPr>
          <w:rFonts w:hint="eastAsia" w:ascii="宋体" w:hAnsi="宋体" w:eastAsia="宋体" w:cs="宋体"/>
          <w:color w:val="000000" w:themeColor="text1"/>
          <w:spacing w:val="0"/>
          <w:sz w:val="24"/>
          <w:szCs w:val="24"/>
          <w:highlight w:val="none"/>
          <w14:textFill>
            <w14:solidFill>
              <w14:schemeClr w14:val="tx1"/>
            </w14:solidFill>
          </w14:textFill>
        </w:rPr>
      </w:pPr>
      <w:bookmarkStart w:id="41" w:name="bookmark119"/>
      <w:bookmarkEnd w:id="41"/>
      <w:r>
        <w:rPr>
          <w:rFonts w:hint="eastAsia" w:ascii="宋体" w:hAnsi="宋体" w:eastAsia="宋体" w:cs="宋体"/>
          <w:color w:val="000000" w:themeColor="text1"/>
          <w:spacing w:val="0"/>
          <w:sz w:val="24"/>
          <w:szCs w:val="24"/>
          <w:highlight w:val="none"/>
          <w14:textFill>
            <w14:solidFill>
              <w14:schemeClr w14:val="tx1"/>
            </w14:solidFill>
          </w14:textFill>
        </w:rPr>
        <w:t>（4）招标文件及招标工程量清单；</w:t>
      </w:r>
    </w:p>
    <w:p w14:paraId="76D0A57F">
      <w:pPr>
        <w:keepNext w:val="0"/>
        <w:keepLines w:val="0"/>
        <w:pageBreakBefore w:val="0"/>
        <w:wordWrap w:val="0"/>
        <w:overflowPunct/>
        <w:topLinePunct w:val="0"/>
        <w:bidi w:val="0"/>
        <w:spacing w:before="155" w:line="360" w:lineRule="auto"/>
        <w:ind w:left="50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（5）施工现场情况、工程特点及常规施工方案；</w:t>
      </w:r>
    </w:p>
    <w:p w14:paraId="504E4C98">
      <w:pPr>
        <w:keepNext w:val="0"/>
        <w:keepLines w:val="0"/>
        <w:pageBreakBefore w:val="0"/>
        <w:wordWrap w:val="0"/>
        <w:overflowPunct/>
        <w:topLinePunct w:val="0"/>
        <w:bidi w:val="0"/>
        <w:spacing w:before="153" w:line="360" w:lineRule="auto"/>
        <w:ind w:left="12" w:right="136"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（6）项目所在地工程造价管理机构发布的工程造价信息，工程造价信息缺项的，参照市场价格；</w:t>
      </w:r>
    </w:p>
    <w:p w14:paraId="6B6B220A">
      <w:pPr>
        <w:keepNext w:val="0"/>
        <w:keepLines w:val="0"/>
        <w:pageBreakBefore w:val="0"/>
        <w:wordWrap w:val="0"/>
        <w:overflowPunct/>
        <w:topLinePunct w:val="0"/>
        <w:bidi w:val="0"/>
        <w:spacing w:before="157" w:line="360" w:lineRule="auto"/>
        <w:ind w:left="50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（7）与建设项目相关的标准、规范、技术资料。</w:t>
      </w:r>
    </w:p>
    <w:p w14:paraId="352FEA31">
      <w:pPr>
        <w:wordWrap w:val="0"/>
        <w:spacing w:before="79" w:line="333" w:lineRule="auto"/>
        <w:ind w:left="11" w:firstLine="479"/>
        <w:jc w:val="both"/>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8.2</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eastAsia="zh-CN"/>
          <w14:textFill>
            <w14:solidFill>
              <w14:schemeClr w14:val="tx1"/>
            </w14:solidFill>
          </w14:textFill>
        </w:rPr>
        <w:t>本招标项目最高投标限价为人民币（大写）：</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捌佰陆拾叁万叁仟壹佰肆拾玖元伍角贰分（¥</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8633149.52</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元）</w:t>
      </w:r>
      <w:r>
        <w:rPr>
          <w:rFonts w:hint="eastAsia" w:ascii="宋体" w:hAnsi="宋体" w:eastAsia="宋体" w:cs="宋体"/>
          <w:color w:val="000000" w:themeColor="text1"/>
          <w:sz w:val="24"/>
          <w:szCs w:val="24"/>
          <w:highlight w:val="none"/>
          <w:lang w:eastAsia="zh-CN"/>
          <w14:textFill>
            <w14:solidFill>
              <w14:schemeClr w14:val="tx1"/>
            </w14:solidFill>
          </w14:textFill>
        </w:rPr>
        <w:t>，其中安全生产措施费为：¥</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180822.22</w:t>
      </w:r>
      <w:r>
        <w:rPr>
          <w:rFonts w:hint="eastAsia" w:ascii="宋体" w:hAnsi="宋体" w:eastAsia="宋体" w:cs="宋体"/>
          <w:color w:val="000000" w:themeColor="text1"/>
          <w:sz w:val="24"/>
          <w:szCs w:val="24"/>
          <w:highlight w:val="none"/>
          <w:lang w:eastAsia="zh-CN"/>
          <w14:textFill>
            <w14:solidFill>
              <w14:schemeClr w14:val="tx1"/>
            </w14:solidFill>
          </w14:textFill>
        </w:rPr>
        <w:t>元，暂列金额为：¥</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343070.75</w:t>
      </w:r>
      <w:r>
        <w:rPr>
          <w:rFonts w:hint="eastAsia" w:ascii="宋体" w:hAnsi="宋体" w:eastAsia="宋体" w:cs="宋体"/>
          <w:color w:val="000000" w:themeColor="text1"/>
          <w:sz w:val="24"/>
          <w:szCs w:val="24"/>
          <w:highlight w:val="none"/>
          <w:lang w:eastAsia="zh-CN"/>
          <w14:textFill>
            <w14:solidFill>
              <w14:schemeClr w14:val="tx1"/>
            </w14:solidFill>
          </w14:textFill>
        </w:rPr>
        <w:t>元，专业工程暂估价为：¥</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253851.84</w:t>
      </w:r>
      <w:r>
        <w:rPr>
          <w:rFonts w:hint="eastAsia" w:ascii="宋体" w:hAnsi="宋体" w:eastAsia="宋体" w:cs="宋体"/>
          <w:color w:val="000000" w:themeColor="text1"/>
          <w:sz w:val="24"/>
          <w:szCs w:val="24"/>
          <w:highlight w:val="none"/>
          <w:lang w:eastAsia="zh-CN"/>
          <w14:textFill>
            <w14:solidFill>
              <w14:schemeClr w14:val="tx1"/>
            </w14:solidFill>
          </w14:textFill>
        </w:rPr>
        <w:t>元。</w:t>
      </w:r>
      <w:r>
        <w:rPr>
          <w:rFonts w:hint="eastAsia" w:ascii="宋体" w:hAnsi="宋体" w:eastAsia="宋体" w:cs="宋体"/>
          <w:b/>
          <w:bCs/>
          <w:color w:val="000000" w:themeColor="text1"/>
          <w:sz w:val="24"/>
          <w:szCs w:val="24"/>
          <w:highlight w:val="none"/>
          <w:lang w:eastAsia="zh-CN"/>
          <w14:textFill>
            <w14:solidFill>
              <w14:schemeClr w14:val="tx1"/>
            </w14:solidFill>
          </w14:textFill>
        </w:rPr>
        <w:t>具体如下表：</w:t>
      </w:r>
    </w:p>
    <w:tbl>
      <w:tblPr>
        <w:tblStyle w:val="14"/>
        <w:tblW w:w="0" w:type="auto"/>
        <w:tblInd w:w="93" w:type="dxa"/>
        <w:tblLayout w:type="fixed"/>
        <w:tblCellMar>
          <w:top w:w="0" w:type="dxa"/>
          <w:left w:w="108" w:type="dxa"/>
          <w:bottom w:w="0" w:type="dxa"/>
          <w:right w:w="108" w:type="dxa"/>
        </w:tblCellMar>
      </w:tblPr>
      <w:tblGrid>
        <w:gridCol w:w="1294"/>
        <w:gridCol w:w="4522"/>
        <w:gridCol w:w="3510"/>
      </w:tblGrid>
      <w:tr w14:paraId="5737B612">
        <w:tblPrEx>
          <w:tblCellMar>
            <w:top w:w="0" w:type="dxa"/>
            <w:left w:w="108" w:type="dxa"/>
            <w:bottom w:w="0" w:type="dxa"/>
            <w:right w:w="108" w:type="dxa"/>
          </w:tblCellMar>
        </w:tblPrEx>
        <w:trPr>
          <w:trHeight w:val="345" w:hRule="atLeast"/>
        </w:trPr>
        <w:tc>
          <w:tcPr>
            <w:tcW w:w="1294" w:type="dxa"/>
            <w:tcBorders>
              <w:top w:val="single" w:color="000000" w:sz="8" w:space="0"/>
              <w:left w:val="single" w:color="000000" w:sz="8" w:space="0"/>
              <w:bottom w:val="single" w:color="000000" w:sz="4" w:space="0"/>
              <w:right w:val="single" w:color="000000" w:sz="4" w:space="0"/>
            </w:tcBorders>
            <w:shd w:val="clear" w:color="FFFFFF" w:fill="FFFFFF"/>
            <w:noWrap w:val="0"/>
            <w:vAlign w:val="center"/>
          </w:tcPr>
          <w:p w14:paraId="4758A7FA">
            <w:pPr>
              <w:keepNext w:val="0"/>
              <w:keepLines w:val="0"/>
              <w:widowControl/>
              <w:suppressLineNumbers w:val="0"/>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序号</w:t>
            </w:r>
          </w:p>
        </w:tc>
        <w:tc>
          <w:tcPr>
            <w:tcW w:w="4522" w:type="dxa"/>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4B1C9E07">
            <w:pPr>
              <w:keepNext w:val="0"/>
              <w:keepLines w:val="0"/>
              <w:widowControl/>
              <w:suppressLineNumbers w:val="0"/>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项 目 内 容</w:t>
            </w:r>
          </w:p>
        </w:tc>
        <w:tc>
          <w:tcPr>
            <w:tcW w:w="3510" w:type="dxa"/>
            <w:tcBorders>
              <w:top w:val="single" w:color="000000" w:sz="8" w:space="0"/>
              <w:left w:val="single" w:color="000000" w:sz="4" w:space="0"/>
              <w:bottom w:val="single" w:color="000000" w:sz="4" w:space="0"/>
              <w:right w:val="single" w:color="000000" w:sz="8" w:space="0"/>
            </w:tcBorders>
            <w:shd w:val="clear" w:color="FFFFFF" w:fill="FFFFFF"/>
            <w:noWrap w:val="0"/>
            <w:vAlign w:val="center"/>
          </w:tcPr>
          <w:p w14:paraId="26D1ACA2">
            <w:pPr>
              <w:keepNext w:val="0"/>
              <w:keepLines w:val="0"/>
              <w:widowControl/>
              <w:suppressLineNumbers w:val="0"/>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金 额</w:t>
            </w: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（元）</w:t>
            </w:r>
          </w:p>
        </w:tc>
      </w:tr>
      <w:tr w14:paraId="1739F96B">
        <w:tblPrEx>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14:paraId="0E00238E">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1</w:t>
            </w:r>
          </w:p>
        </w:tc>
        <w:tc>
          <w:tcPr>
            <w:tcW w:w="4522"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CE22A9F">
            <w:pPr>
              <w:keepNext w:val="0"/>
              <w:keepLines w:val="0"/>
              <w:widowControl/>
              <w:suppressLineNumbers w:val="0"/>
              <w:jc w:val="left"/>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分部分项工程费</w:t>
            </w:r>
          </w:p>
        </w:tc>
        <w:tc>
          <w:tcPr>
            <w:tcW w:w="3510" w:type="dxa"/>
            <w:tcBorders>
              <w:top w:val="single" w:color="000000" w:sz="4" w:space="0"/>
              <w:left w:val="single" w:color="000000" w:sz="4" w:space="0"/>
              <w:bottom w:val="single" w:color="000000" w:sz="4" w:space="0"/>
              <w:right w:val="single" w:color="000000" w:sz="8" w:space="0"/>
            </w:tcBorders>
            <w:shd w:val="clear" w:color="FFFFFF" w:fill="FFFFFF"/>
            <w:noWrap w:val="0"/>
            <w:vAlign w:val="center"/>
          </w:tcPr>
          <w:p w14:paraId="1C598AA1">
            <w:pPr>
              <w:keepNext w:val="0"/>
              <w:keepLines w:val="0"/>
              <w:widowControl/>
              <w:suppressLineNumbers w:val="0"/>
              <w:jc w:val="right"/>
              <w:textAlignment w:val="center"/>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6861414.91</w:t>
            </w:r>
          </w:p>
        </w:tc>
      </w:tr>
      <w:tr w14:paraId="7B87595C">
        <w:tblPrEx>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14:paraId="6365E64C">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1.1</w:t>
            </w:r>
          </w:p>
        </w:tc>
        <w:tc>
          <w:tcPr>
            <w:tcW w:w="4522"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246F1FF">
            <w:pPr>
              <w:keepNext w:val="0"/>
              <w:keepLines w:val="0"/>
              <w:widowControl/>
              <w:suppressLineNumbers w:val="0"/>
              <w:jc w:val="left"/>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单项工程</w:t>
            </w:r>
          </w:p>
        </w:tc>
        <w:tc>
          <w:tcPr>
            <w:tcW w:w="3510" w:type="dxa"/>
            <w:tcBorders>
              <w:top w:val="single" w:color="000000" w:sz="4" w:space="0"/>
              <w:left w:val="single" w:color="000000" w:sz="4" w:space="0"/>
              <w:bottom w:val="single" w:color="000000" w:sz="4" w:space="0"/>
              <w:right w:val="single" w:color="000000" w:sz="8" w:space="0"/>
            </w:tcBorders>
            <w:shd w:val="clear" w:color="FFFFFF" w:fill="FFFFFF"/>
            <w:noWrap w:val="0"/>
            <w:vAlign w:val="center"/>
          </w:tcPr>
          <w:p w14:paraId="3DFE5A4F">
            <w:pPr>
              <w:keepNext w:val="0"/>
              <w:keepLines w:val="0"/>
              <w:widowControl/>
              <w:suppressLineNumbers w:val="0"/>
              <w:jc w:val="right"/>
              <w:textAlignment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6861414.91</w:t>
            </w:r>
          </w:p>
        </w:tc>
      </w:tr>
      <w:tr w14:paraId="05FF2CD6">
        <w:tblPrEx>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14:paraId="7CF0513E">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1.1.1</w:t>
            </w:r>
          </w:p>
        </w:tc>
        <w:tc>
          <w:tcPr>
            <w:tcW w:w="4522"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B556D31">
            <w:pPr>
              <w:keepNext w:val="0"/>
              <w:keepLines w:val="0"/>
              <w:widowControl/>
              <w:suppressLineNumbers w:val="0"/>
              <w:jc w:val="left"/>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市政</w:t>
            </w:r>
          </w:p>
        </w:tc>
        <w:tc>
          <w:tcPr>
            <w:tcW w:w="3510" w:type="dxa"/>
            <w:tcBorders>
              <w:top w:val="single" w:color="000000" w:sz="4" w:space="0"/>
              <w:left w:val="single" w:color="000000" w:sz="4" w:space="0"/>
              <w:bottom w:val="single" w:color="000000" w:sz="4" w:space="0"/>
              <w:right w:val="single" w:color="000000" w:sz="8" w:space="0"/>
            </w:tcBorders>
            <w:shd w:val="clear" w:color="FFFFFF" w:fill="FFFFFF"/>
            <w:noWrap w:val="0"/>
            <w:vAlign w:val="center"/>
          </w:tcPr>
          <w:p w14:paraId="65DF249A">
            <w:pPr>
              <w:keepNext w:val="0"/>
              <w:keepLines w:val="0"/>
              <w:widowControl/>
              <w:suppressLineNumbers w:val="0"/>
              <w:jc w:val="right"/>
              <w:textAlignment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5725076.43</w:t>
            </w:r>
          </w:p>
        </w:tc>
      </w:tr>
      <w:tr w14:paraId="32F65424">
        <w:tblPrEx>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14:paraId="332DAC41">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1.1.2</w:t>
            </w:r>
          </w:p>
        </w:tc>
        <w:tc>
          <w:tcPr>
            <w:tcW w:w="4522"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07FA038">
            <w:pPr>
              <w:keepNext w:val="0"/>
              <w:keepLines w:val="0"/>
              <w:widowControl/>
              <w:suppressLineNumbers w:val="0"/>
              <w:jc w:val="left"/>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市政风貌设施</w:t>
            </w:r>
          </w:p>
        </w:tc>
        <w:tc>
          <w:tcPr>
            <w:tcW w:w="3510" w:type="dxa"/>
            <w:tcBorders>
              <w:top w:val="single" w:color="000000" w:sz="4" w:space="0"/>
              <w:left w:val="single" w:color="000000" w:sz="4" w:space="0"/>
              <w:bottom w:val="single" w:color="000000" w:sz="4" w:space="0"/>
              <w:right w:val="single" w:color="000000" w:sz="8" w:space="0"/>
            </w:tcBorders>
            <w:shd w:val="clear" w:color="FFFFFF" w:fill="FFFFFF"/>
            <w:noWrap w:val="0"/>
            <w:vAlign w:val="center"/>
          </w:tcPr>
          <w:p w14:paraId="0E3C1B20">
            <w:pPr>
              <w:keepNext w:val="0"/>
              <w:keepLines w:val="0"/>
              <w:widowControl/>
              <w:suppressLineNumbers w:val="0"/>
              <w:jc w:val="right"/>
              <w:textAlignment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1136338.48</w:t>
            </w:r>
          </w:p>
        </w:tc>
      </w:tr>
      <w:tr w14:paraId="7B72127E">
        <w:tblPrEx>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14:paraId="1FB1CFDF">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2</w:t>
            </w:r>
          </w:p>
        </w:tc>
        <w:tc>
          <w:tcPr>
            <w:tcW w:w="4522"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33EB208">
            <w:pPr>
              <w:keepNext w:val="0"/>
              <w:keepLines w:val="0"/>
              <w:widowControl/>
              <w:suppressLineNumbers w:val="0"/>
              <w:jc w:val="left"/>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措施项目费</w:t>
            </w:r>
          </w:p>
        </w:tc>
        <w:tc>
          <w:tcPr>
            <w:tcW w:w="3510" w:type="dxa"/>
            <w:tcBorders>
              <w:top w:val="single" w:color="000000" w:sz="4" w:space="0"/>
              <w:left w:val="single" w:color="000000" w:sz="4" w:space="0"/>
              <w:bottom w:val="single" w:color="000000" w:sz="4" w:space="0"/>
              <w:right w:val="single" w:color="000000" w:sz="8" w:space="0"/>
            </w:tcBorders>
            <w:shd w:val="clear" w:color="FFFFFF" w:fill="FFFFFF"/>
            <w:noWrap w:val="0"/>
            <w:vAlign w:val="center"/>
          </w:tcPr>
          <w:p w14:paraId="574133F5">
            <w:pPr>
              <w:keepNext w:val="0"/>
              <w:keepLines w:val="0"/>
              <w:widowControl/>
              <w:suppressLineNumbers w:val="0"/>
              <w:jc w:val="right"/>
              <w:textAlignment w:val="center"/>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482943.40</w:t>
            </w:r>
          </w:p>
        </w:tc>
      </w:tr>
      <w:tr w14:paraId="5EA5956F">
        <w:tblPrEx>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14:paraId="1CC23BAB">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2.1</w:t>
            </w:r>
          </w:p>
        </w:tc>
        <w:tc>
          <w:tcPr>
            <w:tcW w:w="4522"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FD11611">
            <w:pPr>
              <w:keepNext w:val="0"/>
              <w:keepLines w:val="0"/>
              <w:widowControl/>
              <w:suppressLineNumbers w:val="0"/>
              <w:jc w:val="left"/>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安全生产措施费</w:t>
            </w:r>
          </w:p>
        </w:tc>
        <w:tc>
          <w:tcPr>
            <w:tcW w:w="3510" w:type="dxa"/>
            <w:tcBorders>
              <w:top w:val="single" w:color="000000" w:sz="4" w:space="0"/>
              <w:left w:val="single" w:color="000000" w:sz="4" w:space="0"/>
              <w:bottom w:val="single" w:color="000000" w:sz="4" w:space="0"/>
              <w:right w:val="single" w:color="000000" w:sz="8" w:space="0"/>
            </w:tcBorders>
            <w:shd w:val="clear" w:color="FFFFFF" w:fill="FFFFFF"/>
            <w:noWrap w:val="0"/>
            <w:vAlign w:val="center"/>
          </w:tcPr>
          <w:p w14:paraId="62AD2DE6">
            <w:pPr>
              <w:keepNext w:val="0"/>
              <w:keepLines w:val="0"/>
              <w:widowControl/>
              <w:suppressLineNumbers w:val="0"/>
              <w:jc w:val="right"/>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180822.22</w:t>
            </w:r>
          </w:p>
        </w:tc>
      </w:tr>
      <w:tr w14:paraId="2C41EF50">
        <w:tblPrEx>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14:paraId="6496128C">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3</w:t>
            </w:r>
          </w:p>
        </w:tc>
        <w:tc>
          <w:tcPr>
            <w:tcW w:w="4522"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FC4E353">
            <w:pPr>
              <w:keepNext w:val="0"/>
              <w:keepLines w:val="0"/>
              <w:widowControl/>
              <w:suppressLineNumbers w:val="0"/>
              <w:jc w:val="left"/>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其他项目费</w:t>
            </w:r>
          </w:p>
        </w:tc>
        <w:tc>
          <w:tcPr>
            <w:tcW w:w="3510" w:type="dxa"/>
            <w:tcBorders>
              <w:top w:val="single" w:color="000000" w:sz="4" w:space="0"/>
              <w:left w:val="single" w:color="000000" w:sz="4" w:space="0"/>
              <w:bottom w:val="single" w:color="000000" w:sz="4" w:space="0"/>
              <w:right w:val="single" w:color="000000" w:sz="8" w:space="0"/>
            </w:tcBorders>
            <w:shd w:val="clear" w:color="FFFFFF" w:fill="FFFFFF"/>
            <w:noWrap w:val="0"/>
            <w:vAlign w:val="center"/>
          </w:tcPr>
          <w:p w14:paraId="125DD00B">
            <w:pPr>
              <w:keepNext w:val="0"/>
              <w:keepLines w:val="0"/>
              <w:widowControl/>
              <w:suppressLineNumbers w:val="0"/>
              <w:jc w:val="right"/>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596922.59</w:t>
            </w:r>
          </w:p>
        </w:tc>
      </w:tr>
      <w:tr w14:paraId="283913F0">
        <w:tblPrEx>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14:paraId="774EAA51">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3.1</w:t>
            </w:r>
          </w:p>
        </w:tc>
        <w:tc>
          <w:tcPr>
            <w:tcW w:w="4522"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09C7FA0">
            <w:pPr>
              <w:keepNext w:val="0"/>
              <w:keepLines w:val="0"/>
              <w:widowControl/>
              <w:suppressLineNumbers w:val="0"/>
              <w:jc w:val="left"/>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其中：暂列金额</w:t>
            </w:r>
          </w:p>
        </w:tc>
        <w:tc>
          <w:tcPr>
            <w:tcW w:w="3510" w:type="dxa"/>
            <w:tcBorders>
              <w:top w:val="single" w:color="000000" w:sz="4" w:space="0"/>
              <w:left w:val="single" w:color="000000" w:sz="4" w:space="0"/>
              <w:bottom w:val="single" w:color="000000" w:sz="4" w:space="0"/>
              <w:right w:val="single" w:color="000000" w:sz="8" w:space="0"/>
            </w:tcBorders>
            <w:shd w:val="clear" w:color="FFFFFF" w:fill="FFFFFF"/>
            <w:noWrap w:val="0"/>
            <w:vAlign w:val="center"/>
          </w:tcPr>
          <w:p w14:paraId="6ECF396D">
            <w:pPr>
              <w:keepNext w:val="0"/>
              <w:keepLines w:val="0"/>
              <w:widowControl/>
              <w:suppressLineNumbers w:val="0"/>
              <w:jc w:val="right"/>
              <w:textAlignment w:val="center"/>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343070.75</w:t>
            </w:r>
          </w:p>
        </w:tc>
      </w:tr>
      <w:tr w14:paraId="129BD9EA">
        <w:tblPrEx>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14:paraId="3E9EDB01">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3.2</w:t>
            </w:r>
          </w:p>
        </w:tc>
        <w:tc>
          <w:tcPr>
            <w:tcW w:w="4522"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BB3D4AB">
            <w:pPr>
              <w:keepNext w:val="0"/>
              <w:keepLines w:val="0"/>
              <w:widowControl/>
              <w:suppressLineNumbers w:val="0"/>
              <w:jc w:val="left"/>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其中：专业工程暂估价</w:t>
            </w:r>
          </w:p>
        </w:tc>
        <w:tc>
          <w:tcPr>
            <w:tcW w:w="3510" w:type="dxa"/>
            <w:tcBorders>
              <w:top w:val="single" w:color="000000" w:sz="4" w:space="0"/>
              <w:left w:val="single" w:color="000000" w:sz="4" w:space="0"/>
              <w:bottom w:val="single" w:color="000000" w:sz="4" w:space="0"/>
              <w:right w:val="single" w:color="000000" w:sz="8" w:space="0"/>
            </w:tcBorders>
            <w:shd w:val="clear" w:color="FFFFFF" w:fill="FFFFFF"/>
            <w:noWrap w:val="0"/>
            <w:vAlign w:val="center"/>
          </w:tcPr>
          <w:p w14:paraId="6BF4EAC8">
            <w:pPr>
              <w:keepNext w:val="0"/>
              <w:keepLines w:val="0"/>
              <w:widowControl/>
              <w:suppressLineNumbers w:val="0"/>
              <w:jc w:val="right"/>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253851.84</w:t>
            </w:r>
          </w:p>
        </w:tc>
      </w:tr>
      <w:tr w14:paraId="751C6C78">
        <w:tblPrEx>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14:paraId="7596D8F4">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3.3</w:t>
            </w:r>
          </w:p>
        </w:tc>
        <w:tc>
          <w:tcPr>
            <w:tcW w:w="4522"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B6BE157">
            <w:pPr>
              <w:keepNext w:val="0"/>
              <w:keepLines w:val="0"/>
              <w:widowControl/>
              <w:suppressLineNumbers w:val="0"/>
              <w:jc w:val="left"/>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其中：计日工</w:t>
            </w:r>
          </w:p>
        </w:tc>
        <w:tc>
          <w:tcPr>
            <w:tcW w:w="3510" w:type="dxa"/>
            <w:tcBorders>
              <w:top w:val="single" w:color="000000" w:sz="4" w:space="0"/>
              <w:left w:val="single" w:color="000000" w:sz="4" w:space="0"/>
              <w:bottom w:val="single" w:color="000000" w:sz="4" w:space="0"/>
              <w:right w:val="single" w:color="000000" w:sz="8" w:space="0"/>
            </w:tcBorders>
            <w:shd w:val="clear" w:color="FFFFFF" w:fill="FFFFFF"/>
            <w:noWrap w:val="0"/>
            <w:vAlign w:val="center"/>
          </w:tcPr>
          <w:p w14:paraId="68AF3E3A">
            <w:pPr>
              <w:jc w:val="right"/>
              <w:rPr>
                <w:rFonts w:hint="eastAsia" w:ascii="宋体" w:hAnsi="宋体" w:eastAsia="宋体" w:cs="宋体"/>
                <w:color w:val="000000" w:themeColor="text1"/>
                <w:sz w:val="24"/>
                <w:szCs w:val="24"/>
                <w:highlight w:val="none"/>
                <w14:textFill>
                  <w14:solidFill>
                    <w14:schemeClr w14:val="tx1"/>
                  </w14:solidFill>
                </w14:textFill>
              </w:rPr>
            </w:pPr>
          </w:p>
        </w:tc>
      </w:tr>
      <w:tr w14:paraId="6148EC29">
        <w:tblPrEx>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14:paraId="667D3147">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3.4</w:t>
            </w:r>
          </w:p>
        </w:tc>
        <w:tc>
          <w:tcPr>
            <w:tcW w:w="4522"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2275C67">
            <w:pPr>
              <w:keepNext w:val="0"/>
              <w:keepLines w:val="0"/>
              <w:widowControl/>
              <w:suppressLineNumbers w:val="0"/>
              <w:jc w:val="left"/>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其中：总承包服务费</w:t>
            </w:r>
          </w:p>
        </w:tc>
        <w:tc>
          <w:tcPr>
            <w:tcW w:w="3510" w:type="dxa"/>
            <w:tcBorders>
              <w:top w:val="single" w:color="000000" w:sz="4" w:space="0"/>
              <w:left w:val="single" w:color="000000" w:sz="4" w:space="0"/>
              <w:bottom w:val="single" w:color="000000" w:sz="4" w:space="0"/>
              <w:right w:val="single" w:color="000000" w:sz="8" w:space="0"/>
            </w:tcBorders>
            <w:shd w:val="clear" w:color="FFFFFF" w:fill="FFFFFF"/>
            <w:noWrap w:val="0"/>
            <w:vAlign w:val="center"/>
          </w:tcPr>
          <w:p w14:paraId="26D7FC9B">
            <w:pPr>
              <w:jc w:val="right"/>
              <w:rPr>
                <w:rFonts w:hint="eastAsia" w:ascii="宋体" w:hAnsi="宋体" w:eastAsia="宋体" w:cs="宋体"/>
                <w:color w:val="000000" w:themeColor="text1"/>
                <w:sz w:val="24"/>
                <w:szCs w:val="24"/>
                <w:highlight w:val="none"/>
                <w14:textFill>
                  <w14:solidFill>
                    <w14:schemeClr w14:val="tx1"/>
                  </w14:solidFill>
                </w14:textFill>
              </w:rPr>
            </w:pPr>
          </w:p>
        </w:tc>
      </w:tr>
      <w:tr w14:paraId="7E2E8421">
        <w:tblPrEx>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14:paraId="2F988BCF">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3.5</w:t>
            </w:r>
          </w:p>
        </w:tc>
        <w:tc>
          <w:tcPr>
            <w:tcW w:w="4522"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5A6A755">
            <w:pPr>
              <w:keepNext w:val="0"/>
              <w:keepLines w:val="0"/>
              <w:widowControl/>
              <w:suppressLineNumbers w:val="0"/>
              <w:jc w:val="left"/>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其中：合同中约定的其他项目</w:t>
            </w:r>
          </w:p>
        </w:tc>
        <w:tc>
          <w:tcPr>
            <w:tcW w:w="3510" w:type="dxa"/>
            <w:tcBorders>
              <w:top w:val="single" w:color="000000" w:sz="4" w:space="0"/>
              <w:left w:val="single" w:color="000000" w:sz="4" w:space="0"/>
              <w:bottom w:val="single" w:color="000000" w:sz="4" w:space="0"/>
              <w:right w:val="single" w:color="000000" w:sz="8" w:space="0"/>
            </w:tcBorders>
            <w:shd w:val="clear" w:color="FFFFFF" w:fill="FFFFFF"/>
            <w:noWrap w:val="0"/>
            <w:vAlign w:val="center"/>
          </w:tcPr>
          <w:p w14:paraId="748EDE14">
            <w:pPr>
              <w:jc w:val="right"/>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r>
      <w:tr w14:paraId="0092A47E">
        <w:tblPrEx>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14:paraId="1786C0BB">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3.6</w:t>
            </w:r>
          </w:p>
        </w:tc>
        <w:tc>
          <w:tcPr>
            <w:tcW w:w="4522"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79D5A16">
            <w:pPr>
              <w:keepNext w:val="0"/>
              <w:keepLines w:val="0"/>
              <w:widowControl/>
              <w:suppressLineNumbers w:val="0"/>
              <w:jc w:val="left"/>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其中：预算包干费</w:t>
            </w:r>
          </w:p>
        </w:tc>
        <w:tc>
          <w:tcPr>
            <w:tcW w:w="3510" w:type="dxa"/>
            <w:tcBorders>
              <w:top w:val="single" w:color="000000" w:sz="4" w:space="0"/>
              <w:left w:val="single" w:color="000000" w:sz="4" w:space="0"/>
              <w:bottom w:val="single" w:color="000000" w:sz="4" w:space="0"/>
              <w:right w:val="single" w:color="000000" w:sz="8" w:space="0"/>
            </w:tcBorders>
            <w:shd w:val="clear" w:color="FFFFFF" w:fill="FFFFFF"/>
            <w:noWrap w:val="0"/>
            <w:vAlign w:val="center"/>
          </w:tcPr>
          <w:p w14:paraId="20B1EB89">
            <w:pPr>
              <w:jc w:val="right"/>
              <w:rPr>
                <w:rFonts w:hint="eastAsia" w:ascii="宋体" w:hAnsi="宋体" w:eastAsia="宋体" w:cs="宋体"/>
                <w:color w:val="000000" w:themeColor="text1"/>
                <w:sz w:val="24"/>
                <w:szCs w:val="24"/>
                <w:highlight w:val="none"/>
                <w14:textFill>
                  <w14:solidFill>
                    <w14:schemeClr w14:val="tx1"/>
                  </w14:solidFill>
                </w14:textFill>
              </w:rPr>
            </w:pPr>
          </w:p>
        </w:tc>
      </w:tr>
      <w:tr w14:paraId="39FB9B78">
        <w:tblPrEx>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14:paraId="7633D50A">
            <w:pPr>
              <w:keepNext w:val="0"/>
              <w:keepLines w:val="0"/>
              <w:widowControl/>
              <w:suppressLineNumbers w:val="0"/>
              <w:jc w:val="center"/>
              <w:textAlignment w:val="cente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3.7</w:t>
            </w:r>
          </w:p>
        </w:tc>
        <w:tc>
          <w:tcPr>
            <w:tcW w:w="4522"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1BC4417">
            <w:pPr>
              <w:keepNext w:val="0"/>
              <w:keepLines w:val="0"/>
              <w:widowControl/>
              <w:suppressLineNumbers w:val="0"/>
              <w:jc w:val="left"/>
              <w:textAlignment w:val="cente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其中：工程优质费</w:t>
            </w:r>
          </w:p>
        </w:tc>
        <w:tc>
          <w:tcPr>
            <w:tcW w:w="3510" w:type="dxa"/>
            <w:tcBorders>
              <w:top w:val="single" w:color="000000" w:sz="4" w:space="0"/>
              <w:left w:val="single" w:color="000000" w:sz="4" w:space="0"/>
              <w:bottom w:val="single" w:color="000000" w:sz="4" w:space="0"/>
              <w:right w:val="single" w:color="000000" w:sz="8" w:space="0"/>
            </w:tcBorders>
            <w:shd w:val="clear" w:color="FFFFFF" w:fill="FFFFFF"/>
            <w:noWrap w:val="0"/>
            <w:vAlign w:val="center"/>
          </w:tcPr>
          <w:p w14:paraId="04921B1B">
            <w:pPr>
              <w:jc w:val="right"/>
              <w:rPr>
                <w:rFonts w:hint="eastAsia" w:ascii="宋体" w:hAnsi="宋体" w:eastAsia="宋体" w:cs="宋体"/>
                <w:color w:val="000000" w:themeColor="text1"/>
                <w:sz w:val="24"/>
                <w:szCs w:val="24"/>
                <w:highlight w:val="none"/>
                <w14:textFill>
                  <w14:solidFill>
                    <w14:schemeClr w14:val="tx1"/>
                  </w14:solidFill>
                </w14:textFill>
              </w:rPr>
            </w:pPr>
          </w:p>
        </w:tc>
      </w:tr>
      <w:tr w14:paraId="19DC3C08">
        <w:tblPrEx>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14:paraId="4C9E4A63">
            <w:pPr>
              <w:keepNext w:val="0"/>
              <w:keepLines w:val="0"/>
              <w:widowControl/>
              <w:suppressLineNumbers w:val="0"/>
              <w:jc w:val="center"/>
              <w:textAlignment w:val="cente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3.8</w:t>
            </w:r>
          </w:p>
        </w:tc>
        <w:tc>
          <w:tcPr>
            <w:tcW w:w="4522"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28A4F67">
            <w:pPr>
              <w:keepNext w:val="0"/>
              <w:keepLines w:val="0"/>
              <w:widowControl/>
              <w:suppressLineNumbers w:val="0"/>
              <w:jc w:val="left"/>
              <w:textAlignment w:val="cente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其中：消纳费</w:t>
            </w:r>
          </w:p>
        </w:tc>
        <w:tc>
          <w:tcPr>
            <w:tcW w:w="3510" w:type="dxa"/>
            <w:tcBorders>
              <w:top w:val="single" w:color="000000" w:sz="4" w:space="0"/>
              <w:left w:val="single" w:color="000000" w:sz="4" w:space="0"/>
              <w:bottom w:val="single" w:color="000000" w:sz="4" w:space="0"/>
              <w:right w:val="single" w:color="000000" w:sz="8" w:space="0"/>
            </w:tcBorders>
            <w:shd w:val="clear" w:color="FFFFFF" w:fill="FFFFFF"/>
            <w:noWrap w:val="0"/>
            <w:vAlign w:val="center"/>
          </w:tcPr>
          <w:p w14:paraId="1A9C0CAB">
            <w:pPr>
              <w:jc w:val="right"/>
              <w:rPr>
                <w:rFonts w:hint="eastAsia" w:ascii="宋体" w:hAnsi="宋体" w:eastAsia="宋体" w:cs="宋体"/>
                <w:color w:val="000000" w:themeColor="text1"/>
                <w:sz w:val="24"/>
                <w:szCs w:val="24"/>
                <w:highlight w:val="none"/>
                <w14:textFill>
                  <w14:solidFill>
                    <w14:schemeClr w14:val="tx1"/>
                  </w14:solidFill>
                </w14:textFill>
              </w:rPr>
            </w:pPr>
          </w:p>
        </w:tc>
      </w:tr>
      <w:tr w14:paraId="7948E0E7">
        <w:tblPrEx>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14:paraId="3A6BEDB2">
            <w:pPr>
              <w:keepNext w:val="0"/>
              <w:keepLines w:val="0"/>
              <w:widowControl/>
              <w:suppressLineNumbers w:val="0"/>
              <w:jc w:val="center"/>
              <w:textAlignment w:val="cente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4</w:t>
            </w:r>
          </w:p>
        </w:tc>
        <w:tc>
          <w:tcPr>
            <w:tcW w:w="4522"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379A195">
            <w:pPr>
              <w:keepNext w:val="0"/>
              <w:keepLines w:val="0"/>
              <w:widowControl/>
              <w:suppressLineNumbers w:val="0"/>
              <w:jc w:val="left"/>
              <w:textAlignment w:val="cente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税前工程造价</w:t>
            </w:r>
          </w:p>
        </w:tc>
        <w:tc>
          <w:tcPr>
            <w:tcW w:w="3510" w:type="dxa"/>
            <w:tcBorders>
              <w:top w:val="single" w:color="000000" w:sz="4" w:space="0"/>
              <w:left w:val="single" w:color="000000" w:sz="4" w:space="0"/>
              <w:bottom w:val="single" w:color="000000" w:sz="4" w:space="0"/>
              <w:right w:val="single" w:color="000000" w:sz="8" w:space="0"/>
            </w:tcBorders>
            <w:shd w:val="clear" w:color="FFFFFF" w:fill="FFFFFF"/>
            <w:noWrap w:val="0"/>
            <w:vAlign w:val="center"/>
          </w:tcPr>
          <w:p w14:paraId="502F6462">
            <w:pPr>
              <w:keepNext w:val="0"/>
              <w:keepLines w:val="0"/>
              <w:widowControl/>
              <w:suppressLineNumbers w:val="0"/>
              <w:jc w:val="right"/>
              <w:textAlignment w:val="center"/>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7941280.90</w:t>
            </w:r>
          </w:p>
        </w:tc>
      </w:tr>
      <w:tr w14:paraId="2BAF90FA">
        <w:tblPrEx>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14:paraId="176FDED1">
            <w:pPr>
              <w:keepNext w:val="0"/>
              <w:keepLines w:val="0"/>
              <w:widowControl/>
              <w:suppressLineNumbers w:val="0"/>
              <w:jc w:val="center"/>
              <w:textAlignment w:val="cente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5</w:t>
            </w:r>
          </w:p>
        </w:tc>
        <w:tc>
          <w:tcPr>
            <w:tcW w:w="4522"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ED38858">
            <w:pPr>
              <w:keepNext w:val="0"/>
              <w:keepLines w:val="0"/>
              <w:widowControl/>
              <w:suppressLineNumbers w:val="0"/>
              <w:jc w:val="left"/>
              <w:textAlignment w:val="cente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增值税</w:t>
            </w:r>
          </w:p>
        </w:tc>
        <w:tc>
          <w:tcPr>
            <w:tcW w:w="3510" w:type="dxa"/>
            <w:tcBorders>
              <w:top w:val="single" w:color="000000" w:sz="4" w:space="0"/>
              <w:left w:val="single" w:color="000000" w:sz="4" w:space="0"/>
              <w:bottom w:val="single" w:color="000000" w:sz="4" w:space="0"/>
              <w:right w:val="single" w:color="000000" w:sz="8" w:space="0"/>
            </w:tcBorders>
            <w:shd w:val="clear" w:color="FFFFFF" w:fill="FFFFFF"/>
            <w:noWrap w:val="0"/>
            <w:vAlign w:val="center"/>
          </w:tcPr>
          <w:p w14:paraId="528B5DF4">
            <w:pPr>
              <w:keepNext w:val="0"/>
              <w:keepLines w:val="0"/>
              <w:widowControl/>
              <w:suppressLineNumbers w:val="0"/>
              <w:jc w:val="right"/>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691868.62</w:t>
            </w:r>
          </w:p>
        </w:tc>
      </w:tr>
      <w:tr w14:paraId="1BB3BC63">
        <w:tblPrEx>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14:paraId="74FB0CF4">
            <w:pPr>
              <w:keepNext w:val="0"/>
              <w:keepLines w:val="0"/>
              <w:widowControl/>
              <w:suppressLineNumbers w:val="0"/>
              <w:jc w:val="center"/>
              <w:textAlignment w:val="cente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6</w:t>
            </w:r>
          </w:p>
        </w:tc>
        <w:tc>
          <w:tcPr>
            <w:tcW w:w="4522"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34485B5">
            <w:pPr>
              <w:keepNext w:val="0"/>
              <w:keepLines w:val="0"/>
              <w:widowControl/>
              <w:suppressLineNumbers w:val="0"/>
              <w:jc w:val="left"/>
              <w:textAlignment w:val="cente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合   计</w:t>
            </w:r>
          </w:p>
        </w:tc>
        <w:tc>
          <w:tcPr>
            <w:tcW w:w="3510" w:type="dxa"/>
            <w:tcBorders>
              <w:top w:val="single" w:color="000000" w:sz="4" w:space="0"/>
              <w:left w:val="single" w:color="000000" w:sz="4" w:space="0"/>
              <w:bottom w:val="single" w:color="000000" w:sz="4" w:space="0"/>
              <w:right w:val="single" w:color="000000" w:sz="8" w:space="0"/>
            </w:tcBorders>
            <w:shd w:val="clear" w:color="FFFFFF" w:fill="FFFFFF"/>
            <w:noWrap w:val="0"/>
            <w:vAlign w:val="center"/>
          </w:tcPr>
          <w:p w14:paraId="282D172F">
            <w:pPr>
              <w:keepNext w:val="0"/>
              <w:keepLines w:val="0"/>
              <w:widowControl/>
              <w:suppressLineNumbers w:val="0"/>
              <w:jc w:val="right"/>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8633149.52</w:t>
            </w:r>
          </w:p>
        </w:tc>
      </w:tr>
    </w:tbl>
    <w:p w14:paraId="10B5A99E">
      <w:pPr>
        <w:keepNext w:val="0"/>
        <w:keepLines w:val="0"/>
        <w:pageBreakBefore w:val="0"/>
        <w:wordWrap w:val="0"/>
        <w:overflowPunct/>
        <w:topLinePunct w:val="0"/>
        <w:bidi w:val="0"/>
        <w:spacing w:before="79" w:line="360" w:lineRule="auto"/>
        <w:ind w:left="11" w:firstLine="479"/>
        <w:jc w:val="both"/>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pPr>
    </w:p>
    <w:p w14:paraId="458077E8">
      <w:pPr>
        <w:keepNext w:val="0"/>
        <w:keepLines w:val="0"/>
        <w:pageBreakBefore w:val="0"/>
        <w:wordWrap w:val="0"/>
        <w:overflowPunct/>
        <w:topLinePunct w:val="0"/>
        <w:bidi w:val="0"/>
        <w:spacing w:before="79" w:line="360" w:lineRule="auto"/>
        <w:ind w:left="11" w:firstLine="479"/>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8.</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3</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暂估价指招标工程量清单中提供的用于支付必然发生但暂时不能确定价格的材料、工程设备的单价以及专业工程的金额；暂列金额指招标工程量清单中暂定并包括在合同价款中的一笔款项，用于工程合同签订时尚未确定或者不可预见的所需材料、工程设备、服务的采购，施工中可能发生的工程变更、合同约定调整因素出现时的合同价款调整以及发生的索赔、现场签证确认等的费用。</w:t>
      </w:r>
    </w:p>
    <w:p w14:paraId="1698FFA3">
      <w:pPr>
        <w:keepNext w:val="0"/>
        <w:keepLines w:val="0"/>
        <w:pageBreakBefore w:val="0"/>
        <w:wordWrap w:val="0"/>
        <w:overflowPunct/>
        <w:topLinePunct w:val="0"/>
        <w:bidi w:val="0"/>
        <w:spacing w:before="36" w:line="360" w:lineRule="auto"/>
        <w:ind w:left="10" w:right="200" w:firstLine="4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8.</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4</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本招标项目以暂估价形式列入招标工程量清单中的材料、工程设备、专业工程（以下统称“暂估价项目 ”）包括：</w:t>
      </w:r>
      <w:r>
        <w:rPr>
          <w:rFonts w:hint="eastAsia" w:ascii="宋体" w:hAnsi="宋体" w:eastAsia="宋体" w:cs="宋体"/>
          <w:color w:val="000000" w:themeColor="text1"/>
          <w:spacing w:val="0"/>
          <w:sz w:val="24"/>
          <w:szCs w:val="24"/>
          <w:highlight w:val="none"/>
          <w:u w:val="single"/>
          <w14:textFill>
            <w14:solidFill>
              <w14:schemeClr w14:val="tx1"/>
            </w14:solidFill>
          </w14:textFill>
        </w:rPr>
        <w:t>为招标人在工程量清单中提供的用于支付必然发生但暂时不能确定价格的材料、工程设备的单价以及专业工程的金额。投标人必须按招标工程量清单中列出的单价、金额统一报价，其结算原则按本招标文件相关条款执行。</w:t>
      </w:r>
    </w:p>
    <w:p w14:paraId="27DBB8AB">
      <w:pPr>
        <w:keepNext w:val="0"/>
        <w:keepLines w:val="0"/>
        <w:pageBreakBefore w:val="0"/>
        <w:wordWrap w:val="0"/>
        <w:overflowPunct/>
        <w:topLinePunct w:val="0"/>
        <w:bidi w:val="0"/>
        <w:spacing w:before="154" w:line="360" w:lineRule="auto"/>
        <w:ind w:left="12" w:right="200"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8.</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5</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当暂估价项目的内容、标准、要求在项目实施过程中得以深化、明确、固定后，按以下原则发包：</w:t>
      </w:r>
    </w:p>
    <w:p w14:paraId="2E6E5889">
      <w:pPr>
        <w:keepNext w:val="0"/>
        <w:keepLines w:val="0"/>
        <w:pageBreakBefore w:val="0"/>
        <w:wordWrap w:val="0"/>
        <w:overflowPunct/>
        <w:topLinePunct w:val="0"/>
        <w:bidi w:val="0"/>
        <w:spacing w:before="153" w:line="360" w:lineRule="auto"/>
        <w:ind w:left="-3" w:lef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（1）暂估价项目按工程、货物（指材料或工程设备，下同）的类别分类汇总的金额，达到必须招标规模标准的，由</w:t>
      </w:r>
      <w:r>
        <w:rPr>
          <w:rFonts w:hint="eastAsia" w:ascii="宋体" w:hAnsi="宋体" w:eastAsia="宋体" w:cs="宋体"/>
          <w:b/>
          <w:bCs/>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pacing w:val="0"/>
          <w:sz w:val="24"/>
          <w:szCs w:val="24"/>
          <w:highlight w:val="none"/>
          <w:u w:val="single"/>
          <w14:textFill>
            <w14:solidFill>
              <w14:schemeClr w14:val="tx1"/>
            </w14:solidFill>
          </w14:textFill>
        </w:rPr>
        <w:t xml:space="preserve">中标人招标，招标人参与管理 </w:t>
      </w:r>
      <w:r>
        <w:rPr>
          <w:rFonts w:hint="eastAsia" w:ascii="宋体" w:hAnsi="宋体" w:eastAsia="宋体" w:cs="宋体"/>
          <w:bCs/>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确定专业工程承包人（或材料、工程 设备供应商）和合同价格。</w:t>
      </w:r>
    </w:p>
    <w:p w14:paraId="748F67E9">
      <w:pPr>
        <w:keepNext w:val="0"/>
        <w:keepLines w:val="0"/>
        <w:pageBreakBefore w:val="0"/>
        <w:wordWrap w:val="0"/>
        <w:overflowPunct/>
        <w:topLinePunct w:val="0"/>
        <w:bidi w:val="0"/>
        <w:spacing w:before="30" w:line="299" w:lineRule="auto"/>
        <w:ind w:left="11" w:right="65"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（2）暂估价项目按工程、货物的类别分类汇总的金额，未达到必须招标规模标准但适用政府采购规定的，按照政府采购规定确定专业工程承包人（或材料、工程设备供应商）和合同价格。</w:t>
      </w:r>
    </w:p>
    <w:p w14:paraId="6736DF1E">
      <w:pPr>
        <w:keepNext w:val="0"/>
        <w:keepLines w:val="0"/>
        <w:pageBreakBefore w:val="0"/>
        <w:wordWrap w:val="0"/>
        <w:overflowPunct/>
        <w:topLinePunct w:val="0"/>
        <w:bidi w:val="0"/>
        <w:spacing w:before="154" w:line="309" w:lineRule="auto"/>
        <w:ind w:left="11" w:right="65"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暂估价项目按工程、货物的类别分类汇总的金额，未达到必须招标规模标准也不适用政府采购规定，中标人具备相应资格条件的，由中标人承包；中标人不具备相应资格条件但具备分包权的，由中标人分包，招标人同中标人结算原则按本招标文件相关条款执行。</w:t>
      </w:r>
    </w:p>
    <w:p w14:paraId="6EC26BD9">
      <w:pPr>
        <w:keepNext w:val="0"/>
        <w:keepLines w:val="0"/>
        <w:pageBreakBefore w:val="0"/>
        <w:wordWrap w:val="0"/>
        <w:overflowPunct/>
        <w:topLinePunct w:val="0"/>
        <w:bidi w:val="0"/>
        <w:spacing w:before="154" w:line="299" w:lineRule="auto"/>
        <w:ind w:left="11" w:right="65"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（4）暂估价项目按工程、货物的类别分类汇总的金额，未达到必须招标规模标准也不适用政府采购规定，中标人既不具备相应资格条件又不具备分包权的，由招标人另行发包。</w:t>
      </w:r>
    </w:p>
    <w:p w14:paraId="51638999">
      <w:pPr>
        <w:keepNext w:val="0"/>
        <w:keepLines w:val="0"/>
        <w:pageBreakBefore w:val="0"/>
        <w:wordWrap w:val="0"/>
        <w:overflowPunct/>
        <w:topLinePunct w:val="0"/>
        <w:bidi w:val="0"/>
        <w:spacing w:before="155" w:line="279" w:lineRule="auto"/>
        <w:ind w:left="9" w:right="66"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（5）暂估价项目由其他承包人承包的，纳入中标人的管理和协调范围，由其他承包人向中标人承担质量、安全、文明施工、工期责任，中标人向招标人承担责任。</w:t>
      </w:r>
    </w:p>
    <w:p w14:paraId="06A8222B">
      <w:pPr>
        <w:keepNext w:val="0"/>
        <w:keepLines w:val="0"/>
        <w:pageBreakBefore w:val="0"/>
        <w:wordWrap w:val="0"/>
        <w:overflowPunct/>
        <w:topLinePunct w:val="0"/>
        <w:bidi w:val="0"/>
        <w:spacing w:before="155" w:line="333" w:lineRule="auto"/>
        <w:ind w:left="10" w:right="65" w:firstLine="478"/>
        <w:jc w:val="both"/>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8</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.6</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本招标项目以暂列金额形式列入招标工程量清单中的所需货物和服务的采购（以下统称“暂列金额项目 ”）若有发生，按照本节第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8.5 </w:t>
      </w:r>
      <w:r>
        <w:rPr>
          <w:rFonts w:hint="eastAsia" w:ascii="宋体" w:hAnsi="宋体" w:eastAsia="宋体" w:cs="宋体"/>
          <w:color w:val="000000" w:themeColor="text1"/>
          <w:spacing w:val="0"/>
          <w:sz w:val="24"/>
          <w:szCs w:val="24"/>
          <w:highlight w:val="none"/>
          <w14:textFill>
            <w14:solidFill>
              <w14:schemeClr w14:val="tx1"/>
            </w14:solidFill>
          </w14:textFill>
        </w:rPr>
        <w:t>条的规定确定货物（或服务）供应商和合同价格。暂列金额项目由其他承包人承包的，纳入中标人的管理和协调范围</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由其他承包人向中标人承担质量、安全、文明施工、工期责任，中标人向招标人承担责任。</w:t>
      </w:r>
    </w:p>
    <w:p w14:paraId="44041CF4">
      <w:pPr>
        <w:keepNext w:val="0"/>
        <w:keepLines w:val="0"/>
        <w:pageBreakBefore w:val="0"/>
        <w:wordWrap w:val="0"/>
        <w:overflowPunct/>
        <w:topLinePunct w:val="0"/>
        <w:bidi w:val="0"/>
        <w:spacing w:before="79" w:line="219" w:lineRule="auto"/>
        <w:ind w:left="487"/>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42" w:name="_Toc22978"/>
      <w:bookmarkStart w:id="43" w:name="_Toc7353"/>
      <w:r>
        <w:rPr>
          <w:rFonts w:hint="eastAsia" w:ascii="宋体" w:hAnsi="宋体" w:eastAsia="宋体" w:cs="宋体"/>
          <w:b/>
          <w:bCs/>
          <w:color w:val="000000" w:themeColor="text1"/>
          <w:spacing w:val="0"/>
          <w:sz w:val="24"/>
          <w:szCs w:val="24"/>
          <w:highlight w:val="none"/>
          <w14:textFill>
            <w14:solidFill>
              <w14:schemeClr w14:val="tx1"/>
            </w14:solidFill>
          </w14:textFill>
        </w:rPr>
        <w:t>9 ．投标报价</w:t>
      </w:r>
      <w:bookmarkEnd w:id="42"/>
      <w:bookmarkEnd w:id="43"/>
    </w:p>
    <w:p w14:paraId="0ED2EF22">
      <w:pPr>
        <w:keepNext w:val="0"/>
        <w:keepLines w:val="0"/>
        <w:pageBreakBefore w:val="0"/>
        <w:wordWrap w:val="0"/>
        <w:overflowPunct/>
        <w:topLinePunct w:val="0"/>
        <w:bidi w:val="0"/>
        <w:spacing w:before="157" w:line="219" w:lineRule="auto"/>
        <w:ind w:left="48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9.1  </w:t>
      </w:r>
      <w:r>
        <w:rPr>
          <w:rFonts w:hint="eastAsia" w:ascii="宋体" w:hAnsi="宋体" w:eastAsia="宋体" w:cs="宋体"/>
          <w:color w:val="000000" w:themeColor="text1"/>
          <w:spacing w:val="0"/>
          <w:sz w:val="24"/>
          <w:szCs w:val="24"/>
          <w:highlight w:val="none"/>
          <w14:textFill>
            <w14:solidFill>
              <w14:schemeClr w14:val="tx1"/>
            </w14:solidFill>
          </w14:textFill>
        </w:rPr>
        <w:t>投标人应按照以下依据编制投标报价：</w:t>
      </w:r>
    </w:p>
    <w:p w14:paraId="5DFFCF42">
      <w:pPr>
        <w:keepNext w:val="0"/>
        <w:keepLines w:val="0"/>
        <w:pageBreakBefore w:val="0"/>
        <w:wordWrap w:val="0"/>
        <w:overflowPunct/>
        <w:topLinePunct w:val="0"/>
        <w:bidi w:val="0"/>
        <w:spacing w:before="155" w:line="219"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建设工程工程量清单计价标准</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GB/T50500-2024</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1C5DC104">
      <w:pPr>
        <w:keepNext w:val="0"/>
        <w:keepLines w:val="0"/>
        <w:pageBreakBefore w:val="0"/>
        <w:wordWrap w:val="0"/>
        <w:overflowPunct/>
        <w:topLinePunct w:val="0"/>
        <w:bidi w:val="0"/>
        <w:spacing w:before="153" w:line="309" w:lineRule="auto"/>
        <w:ind w:left="9" w:right="65"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56A82739">
      <w:pPr>
        <w:keepNext w:val="0"/>
        <w:keepLines w:val="0"/>
        <w:pageBreakBefore w:val="0"/>
        <w:wordWrap w:val="0"/>
        <w:overflowPunct/>
        <w:topLinePunct w:val="0"/>
        <w:bidi w:val="0"/>
        <w:spacing w:before="78"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bookmarkStart w:id="44" w:name="bookmark120"/>
      <w:bookmarkEnd w:id="44"/>
      <w:r>
        <w:rPr>
          <w:rFonts w:hint="eastAsia" w:ascii="宋体" w:hAnsi="宋体" w:eastAsia="宋体" w:cs="宋体"/>
          <w:color w:val="000000" w:themeColor="text1"/>
          <w:spacing w:val="0"/>
          <w:sz w:val="24"/>
          <w:szCs w:val="24"/>
          <w:highlight w:val="none"/>
          <w14:textFill>
            <w14:solidFill>
              <w14:schemeClr w14:val="tx1"/>
            </w14:solidFill>
          </w14:textFill>
        </w:rPr>
        <w:t>（3）企业定额；</w:t>
      </w:r>
    </w:p>
    <w:p w14:paraId="21D7AB3A">
      <w:pPr>
        <w:keepNext w:val="0"/>
        <w:keepLines w:val="0"/>
        <w:pageBreakBefore w:val="0"/>
        <w:wordWrap w:val="0"/>
        <w:overflowPunct/>
        <w:topLinePunct w:val="0"/>
        <w:bidi w:val="0"/>
        <w:spacing w:before="155" w:line="219"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（4）招标文件及其答疑（或修改）公告、招标工程量清单；</w:t>
      </w:r>
    </w:p>
    <w:p w14:paraId="6C148BBB">
      <w:pPr>
        <w:keepNext w:val="0"/>
        <w:keepLines w:val="0"/>
        <w:pageBreakBefore w:val="0"/>
        <w:wordWrap w:val="0"/>
        <w:overflowPunct/>
        <w:topLinePunct w:val="0"/>
        <w:bidi w:val="0"/>
        <w:spacing w:before="154" w:line="221"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（5）施工图及相关资料；</w:t>
      </w:r>
    </w:p>
    <w:p w14:paraId="05C84BB3">
      <w:pPr>
        <w:keepNext w:val="0"/>
        <w:keepLines w:val="0"/>
        <w:pageBreakBefore w:val="0"/>
        <w:wordWrap w:val="0"/>
        <w:overflowPunct/>
        <w:topLinePunct w:val="0"/>
        <w:bidi w:val="0"/>
        <w:spacing w:before="152" w:line="219"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（6）施工现场情况、工程特点及投标时拟定的施工组织设计或施工方案；</w:t>
      </w:r>
    </w:p>
    <w:p w14:paraId="42F852A9">
      <w:pPr>
        <w:keepNext w:val="0"/>
        <w:keepLines w:val="0"/>
        <w:pageBreakBefore w:val="0"/>
        <w:wordWrap w:val="0"/>
        <w:overflowPunct/>
        <w:topLinePunct w:val="0"/>
        <w:bidi w:val="0"/>
        <w:spacing w:before="156" w:line="219"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（7）市场价格信息或项目所在地工程造价管理机构发布的工程造价信息；</w:t>
      </w:r>
    </w:p>
    <w:p w14:paraId="42E67E93">
      <w:pPr>
        <w:keepNext w:val="0"/>
        <w:keepLines w:val="0"/>
        <w:pageBreakBefore w:val="0"/>
        <w:wordWrap w:val="0"/>
        <w:overflowPunct/>
        <w:topLinePunct w:val="0"/>
        <w:bidi w:val="0"/>
        <w:spacing w:before="155"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（8）与建设项目相关的标准、规范、技术资料。</w:t>
      </w:r>
    </w:p>
    <w:p w14:paraId="655BD8EA">
      <w:pPr>
        <w:keepNext w:val="0"/>
        <w:keepLines w:val="0"/>
        <w:pageBreakBefore w:val="0"/>
        <w:wordWrap w:val="0"/>
        <w:overflowPunct/>
        <w:topLinePunct w:val="0"/>
        <w:bidi w:val="0"/>
        <w:spacing w:before="153" w:line="309" w:lineRule="auto"/>
        <w:ind w:left="8" w:right="150" w:firstLine="55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9.2  </w:t>
      </w:r>
      <w:r>
        <w:rPr>
          <w:rFonts w:hint="eastAsia" w:ascii="宋体" w:hAnsi="宋体" w:eastAsia="宋体" w:cs="宋体"/>
          <w:color w:val="000000" w:themeColor="text1"/>
          <w:spacing w:val="0"/>
          <w:sz w:val="24"/>
          <w:szCs w:val="24"/>
          <w:highlight w:val="none"/>
          <w14:textFill>
            <w14:solidFill>
              <w14:schemeClr w14:val="tx1"/>
            </w14:solidFill>
          </w14:textFill>
        </w:rPr>
        <w:t>投标人应根据招标工程量清单、工程量清单计价</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标准</w:t>
      </w:r>
      <w:r>
        <w:rPr>
          <w:rFonts w:hint="eastAsia" w:ascii="宋体" w:hAnsi="宋体" w:eastAsia="宋体" w:cs="宋体"/>
          <w:color w:val="000000" w:themeColor="text1"/>
          <w:spacing w:val="0"/>
          <w:sz w:val="24"/>
          <w:szCs w:val="24"/>
          <w:highlight w:val="none"/>
          <w14:textFill>
            <w14:solidFill>
              <w14:schemeClr w14:val="tx1"/>
            </w14:solidFill>
          </w14:textFill>
        </w:rPr>
        <w:t>中的工作内容、设计文件和有关要求、施工现场实际情况、投标人拟定的施工组织设计、本单位的企业定额和市场价格进行编制，自行报价，并承担一定范围内的风险费用。所谓“一定范围内的风险 ”是指合同约定的风险。</w:t>
      </w:r>
    </w:p>
    <w:p w14:paraId="7D8B28AF">
      <w:pPr>
        <w:keepNext w:val="0"/>
        <w:keepLines w:val="0"/>
        <w:pageBreakBefore w:val="0"/>
        <w:wordWrap w:val="0"/>
        <w:overflowPunct/>
        <w:topLinePunct w:val="0"/>
        <w:bidi w:val="0"/>
        <w:spacing w:before="152" w:line="309" w:lineRule="auto"/>
        <w:ind w:left="9" w:right="150" w:firstLine="55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9.3  </w:t>
      </w:r>
      <w:r>
        <w:rPr>
          <w:rFonts w:hint="eastAsia" w:ascii="宋体" w:hAnsi="宋体" w:eastAsia="宋体" w:cs="宋体"/>
          <w:color w:val="000000" w:themeColor="text1"/>
          <w:spacing w:val="0"/>
          <w:sz w:val="24"/>
          <w:szCs w:val="24"/>
          <w:highlight w:val="none"/>
          <w14:textFill>
            <w14:solidFill>
              <w14:schemeClr w14:val="tx1"/>
            </w14:solidFill>
          </w14:textFill>
        </w:rPr>
        <w:t>招标人及招标代理机构不集中组织现场踏勘，投标人需要了解现场情况的，可自行进行现场踏勘。各投标人应勘察施工现场及周围环境、地形、地貌、水文、交通等情况，以获得一切可能影响到投标的直接资料。投标人应针对现场情况编制施工组织设计，并在编制投标报价时考虑现场情况的影响。</w:t>
      </w:r>
    </w:p>
    <w:p w14:paraId="7BD0F3F4">
      <w:pPr>
        <w:keepNext w:val="0"/>
        <w:keepLines w:val="0"/>
        <w:pageBreakBefore w:val="0"/>
        <w:wordWrap w:val="0"/>
        <w:overflowPunct/>
        <w:topLinePunct w:val="0"/>
        <w:bidi w:val="0"/>
        <w:spacing w:before="155" w:line="279" w:lineRule="auto"/>
        <w:ind w:left="10" w:right="150" w:firstLine="5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9.4  </w:t>
      </w:r>
      <w:r>
        <w:rPr>
          <w:rFonts w:hint="eastAsia" w:ascii="宋体" w:hAnsi="宋体" w:eastAsia="宋体" w:cs="宋体"/>
          <w:color w:val="000000" w:themeColor="text1"/>
          <w:spacing w:val="0"/>
          <w:sz w:val="24"/>
          <w:szCs w:val="24"/>
          <w:highlight w:val="none"/>
          <w14:textFill>
            <w14:solidFill>
              <w14:schemeClr w14:val="tx1"/>
            </w14:solidFill>
          </w14:textFill>
        </w:rPr>
        <w:t>招标人向投标人提供的有关现场的数据和资料，是招标人现有的能被投标人利用的资料，招标人对投标人做出的任何推论、理解和结论均不负责任。</w:t>
      </w:r>
    </w:p>
    <w:p w14:paraId="18DC3EDD">
      <w:pPr>
        <w:keepNext w:val="0"/>
        <w:keepLines w:val="0"/>
        <w:pageBreakBefore w:val="0"/>
        <w:wordWrap w:val="0"/>
        <w:overflowPunct/>
        <w:topLinePunct w:val="0"/>
        <w:bidi w:val="0"/>
        <w:spacing w:before="154" w:line="299" w:lineRule="auto"/>
        <w:ind w:left="12" w:firstLine="55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9.5  </w:t>
      </w:r>
      <w:r>
        <w:rPr>
          <w:rFonts w:hint="eastAsia" w:ascii="宋体" w:hAnsi="宋体" w:eastAsia="宋体" w:cs="宋体"/>
          <w:color w:val="000000" w:themeColor="text1"/>
          <w:spacing w:val="0"/>
          <w:sz w:val="24"/>
          <w:szCs w:val="24"/>
          <w:highlight w:val="none"/>
          <w14:textFill>
            <w14:solidFill>
              <w14:schemeClr w14:val="tx1"/>
            </w14:solidFill>
          </w14:textFill>
        </w:rPr>
        <w:t>投标人必须按照招标工程量清单及表格填报价格。项目编码、项目名称、项目特征、计量单位、工程量必须与招标工程量清单一致。所有报价均以人民币“元 ”为单位，并保留小数点后两位。</w:t>
      </w:r>
    </w:p>
    <w:p w14:paraId="2DEC74A0">
      <w:pPr>
        <w:keepNext w:val="0"/>
        <w:keepLines w:val="0"/>
        <w:pageBreakBefore w:val="0"/>
        <w:wordWrap w:val="0"/>
        <w:overflowPunct/>
        <w:topLinePunct w:val="0"/>
        <w:bidi w:val="0"/>
        <w:spacing w:before="158" w:line="314" w:lineRule="auto"/>
        <w:ind w:left="9" w:right="150" w:firstLine="55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9.6  </w:t>
      </w:r>
      <w:r>
        <w:rPr>
          <w:rFonts w:hint="eastAsia" w:ascii="宋体" w:hAnsi="宋体" w:eastAsia="宋体" w:cs="宋体"/>
          <w:color w:val="000000" w:themeColor="text1"/>
          <w:spacing w:val="0"/>
          <w:sz w:val="24"/>
          <w:szCs w:val="24"/>
          <w:highlight w:val="none"/>
          <w14:textFill>
            <w14:solidFill>
              <w14:schemeClr w14:val="tx1"/>
            </w14:solidFill>
          </w14:textFill>
        </w:rPr>
        <w:t>投标人只允许有一个投标总价。投标总价必须同时用大、小写表示，大、小写报价应保持一致，若不一致，以大写报价为准。招标工程量清单与计价表中列明的所有需要填写单价和合价的项目，投标人均应填写且只允许有一个报价。未填写单价和合价的项目，视为此项费用已包含在已标价工程量清单其他项目的单价和合价中，竣工结算时不得重新组价和调整。</w:t>
      </w:r>
    </w:p>
    <w:p w14:paraId="40CE886C">
      <w:pPr>
        <w:keepNext w:val="0"/>
        <w:keepLines w:val="0"/>
        <w:pageBreakBefore w:val="0"/>
        <w:wordWrap w:val="0"/>
        <w:overflowPunct/>
        <w:topLinePunct w:val="0"/>
        <w:bidi w:val="0"/>
        <w:spacing w:before="152" w:line="309" w:lineRule="auto"/>
        <w:ind w:left="7" w:right="120" w:firstLine="480"/>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9.7  </w:t>
      </w:r>
      <w:r>
        <w:rPr>
          <w:rFonts w:hint="eastAsia" w:ascii="宋体" w:hAnsi="宋体" w:eastAsia="宋体" w:cs="宋体"/>
          <w:color w:val="000000" w:themeColor="text1"/>
          <w:spacing w:val="0"/>
          <w:sz w:val="24"/>
          <w:szCs w:val="24"/>
          <w:highlight w:val="none"/>
          <w14:textFill>
            <w14:solidFill>
              <w14:schemeClr w14:val="tx1"/>
            </w14:solidFill>
          </w14:textFill>
        </w:rPr>
        <w:t>投标人的投标总价不得高于</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color w:val="000000" w:themeColor="text1"/>
          <w:spacing w:val="0"/>
          <w:sz w:val="24"/>
          <w:szCs w:val="24"/>
          <w:highlight w:val="none"/>
          <w14:textFill>
            <w14:solidFill>
              <w14:schemeClr w14:val="tx1"/>
            </w14:solidFill>
          </w14:textFill>
        </w:rPr>
        <w:t>，也不得低于工程成本。投标人对投标总价的所有优惠（降价、让利等），均应当反映在具体清单项目或其综合单价的报价上。</w:t>
      </w:r>
      <w:r>
        <w:rPr>
          <w:rFonts w:hint="eastAsia" w:ascii="宋体" w:hAnsi="宋体" w:eastAsia="宋体" w:cs="宋体"/>
          <w:b/>
          <w:bCs/>
          <w:color w:val="000000" w:themeColor="text1"/>
          <w:spacing w:val="0"/>
          <w:sz w:val="24"/>
          <w:szCs w:val="24"/>
          <w:highlight w:val="none"/>
          <w14:textFill>
            <w14:solidFill>
              <w14:schemeClr w14:val="tx1"/>
            </w14:solidFill>
          </w14:textFill>
        </w:rPr>
        <w:t>如果投标人的投标总价下浮率高于</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15%时，投标人必须在投标文件中专项作出详细合理的书面说明并提供以往类似工程详细成本分析报告供评标委员会审查。</w:t>
      </w:r>
    </w:p>
    <w:p w14:paraId="2EE97EFC">
      <w:pPr>
        <w:keepNext w:val="0"/>
        <w:keepLines w:val="0"/>
        <w:pageBreakBefore w:val="0"/>
        <w:wordWrap w:val="0"/>
        <w:overflowPunct/>
        <w:topLinePunct w:val="0"/>
        <w:bidi w:val="0"/>
        <w:outlineLvl w:val="9"/>
        <w:rPr>
          <w:rFonts w:hint="eastAsia" w:ascii="宋体" w:hAnsi="宋体" w:eastAsia="宋体" w:cs="宋体"/>
          <w:color w:val="000000" w:themeColor="text1"/>
          <w:spacing w:val="0"/>
          <w:highlight w:val="none"/>
          <w:lang w:eastAsia="zh-CN"/>
          <w14:textFill>
            <w14:solidFill>
              <w14:schemeClr w14:val="tx1"/>
            </w14:solidFill>
          </w14:textFill>
        </w:rPr>
      </w:pP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投标总价下浮率=（1-投标总价</w:t>
      </w:r>
      <w:r>
        <w:rPr>
          <w:rFonts w:hint="eastAsia" w:ascii="宋体" w:hAnsi="宋体" w:eastAsia="宋体" w:cs="宋体"/>
          <w:b/>
          <w:bCs/>
          <w:color w:val="000000" w:themeColor="text1"/>
          <w:spacing w:val="0"/>
          <w:sz w:val="24"/>
          <w:szCs w:val="24"/>
          <w:highlight w:val="none"/>
          <w14:textFill>
            <w14:solidFill>
              <w14:schemeClr w14:val="tx1"/>
            </w14:solidFill>
          </w14:textFill>
        </w:rPr>
        <w:t>÷</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b/>
          <w:bCs/>
          <w:color w:val="000000" w:themeColor="text1"/>
          <w:spacing w:val="0"/>
          <w:sz w:val="24"/>
          <w:szCs w:val="24"/>
          <w:highlight w:val="none"/>
          <w14:textFill>
            <w14:solidFill>
              <w14:schemeClr w14:val="tx1"/>
            </w14:solidFill>
          </w14:textFill>
        </w:rPr>
        <w:t>×</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100%</w:t>
      </w:r>
    </w:p>
    <w:p w14:paraId="0A848A62">
      <w:pPr>
        <w:keepNext w:val="0"/>
        <w:keepLines w:val="0"/>
        <w:pageBreakBefore w:val="0"/>
        <w:wordWrap w:val="0"/>
        <w:overflowPunct/>
        <w:topLinePunct w:val="0"/>
        <w:bidi w:val="0"/>
        <w:spacing w:before="146" w:line="325" w:lineRule="auto"/>
        <w:ind w:left="29" w:right="153" w:firstLine="458"/>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9.8  </w:t>
      </w:r>
      <w:r>
        <w:rPr>
          <w:rFonts w:hint="eastAsia" w:ascii="宋体" w:hAnsi="宋体" w:eastAsia="宋体" w:cs="宋体"/>
          <w:color w:val="000000" w:themeColor="text1"/>
          <w:spacing w:val="0"/>
          <w:sz w:val="24"/>
          <w:szCs w:val="24"/>
          <w:highlight w:val="none"/>
          <w14:textFill>
            <w14:solidFill>
              <w14:schemeClr w14:val="tx1"/>
            </w14:solidFill>
          </w14:textFill>
        </w:rPr>
        <w:t>投标人的</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color w:val="000000" w:themeColor="text1"/>
          <w:spacing w:val="0"/>
          <w:sz w:val="24"/>
          <w:szCs w:val="24"/>
          <w:highlight w:val="none"/>
          <w14:textFill>
            <w14:solidFill>
              <w14:schemeClr w14:val="tx1"/>
            </w14:solidFill>
          </w14:textFill>
        </w:rPr>
        <w:t>报价必须达到或超过</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color w:val="000000" w:themeColor="text1"/>
          <w:spacing w:val="0"/>
          <w:sz w:val="24"/>
          <w:szCs w:val="24"/>
          <w:highlight w:val="none"/>
          <w14:textFill>
            <w14:solidFill>
              <w14:schemeClr w14:val="tx1"/>
            </w14:solidFill>
          </w14:textFill>
        </w:rPr>
        <w:t>中提供的</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76AD78D0">
      <w:pPr>
        <w:keepNext w:val="0"/>
        <w:keepLines w:val="0"/>
        <w:pageBreakBefore w:val="0"/>
        <w:wordWrap w:val="0"/>
        <w:overflowPunct/>
        <w:topLinePunct w:val="0"/>
        <w:bidi w:val="0"/>
        <w:spacing w:before="78" w:line="309" w:lineRule="auto"/>
        <w:ind w:right="99" w:firstLine="482"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9.9  </w:t>
      </w:r>
      <w:r>
        <w:rPr>
          <w:rFonts w:hint="eastAsia" w:ascii="宋体" w:hAnsi="宋体" w:eastAsia="宋体" w:cs="宋体"/>
          <w:color w:val="000000" w:themeColor="text1"/>
          <w:spacing w:val="0"/>
          <w:sz w:val="24"/>
          <w:szCs w:val="24"/>
          <w:highlight w:val="none"/>
          <w14:textFill>
            <w14:solidFill>
              <w14:schemeClr w14:val="tx1"/>
            </w14:solidFill>
          </w14:textFill>
        </w:rPr>
        <w:t>投标人必须按照招标工程量清单中提供的暂列金额和暂估价统一报价。投标人应充分考虑暂估价项目（或暂列金额项目）的管理和协调所发生的费用，并将其纳入已标价工程量清单中的适当项目。招标人视该项管理和协调所发生的费用已包含在其它有价款的竞争性报价内，不再另行支付。</w:t>
      </w:r>
    </w:p>
    <w:p w14:paraId="31555D04">
      <w:pPr>
        <w:pStyle w:val="5"/>
        <w:keepNext w:val="0"/>
        <w:keepLines w:val="0"/>
        <w:pageBreakBefore w:val="0"/>
        <w:widowControl/>
        <w:kinsoku w:val="0"/>
        <w:wordWrap w:val="0"/>
        <w:overflowPunct/>
        <w:topLinePunct w:val="0"/>
        <w:autoSpaceDE w:val="0"/>
        <w:autoSpaceDN w:val="0"/>
        <w:bidi w:val="0"/>
        <w:adjustRightInd w:val="0"/>
        <w:snapToGrid w:val="0"/>
        <w:spacing w:line="310" w:lineRule="auto"/>
        <w:ind w:firstLine="422" w:firstLineChars="200"/>
        <w:textAlignment w:val="baseline"/>
        <w:rPr>
          <w:rFonts w:hint="eastAsia" w:ascii="宋体" w:hAnsi="宋体" w:eastAsia="宋体" w:cs="宋体"/>
          <w:snapToGrid w:val="0"/>
          <w:color w:val="000000" w:themeColor="text1"/>
          <w:spacing w:val="0"/>
          <w:sz w:val="24"/>
          <w:szCs w:val="24"/>
          <w:highlight w:val="none"/>
          <w:lang w:val="en-US" w:eastAsia="en-US" w:bidi="ar-SA"/>
          <w14:textFill>
            <w14:solidFill>
              <w14:schemeClr w14:val="tx1"/>
            </w14:solidFill>
          </w14:textFill>
        </w:rPr>
      </w:pPr>
      <w:r>
        <w:rPr>
          <w:rFonts w:hint="eastAsia" w:ascii="宋体" w:hAnsi="宋体" w:eastAsia="宋体" w:cs="宋体"/>
          <w:b/>
          <w:bCs/>
          <w:color w:val="000000" w:themeColor="text1"/>
          <w:spacing w:val="0"/>
          <w:highlight w:val="none"/>
          <w14:textFill>
            <w14:solidFill>
              <w14:schemeClr w14:val="tx1"/>
            </w14:solidFill>
          </w14:textFill>
        </w:rPr>
        <w:t xml:space="preserve">9.10 </w:t>
      </w:r>
      <w:r>
        <w:rPr>
          <w:rFonts w:hint="eastAsia" w:ascii="宋体" w:hAnsi="宋体" w:eastAsia="宋体" w:cs="宋体"/>
          <w:snapToGrid w:val="0"/>
          <w:color w:val="000000" w:themeColor="text1"/>
          <w:spacing w:val="0"/>
          <w:sz w:val="24"/>
          <w:szCs w:val="24"/>
          <w:highlight w:val="none"/>
          <w:lang w:val="en-US" w:eastAsia="en-US" w:bidi="ar-SA"/>
          <w14:textFill>
            <w14:solidFill>
              <w14:schemeClr w14:val="tx1"/>
            </w14:solidFill>
          </w14:textFill>
        </w:rPr>
        <w:t>预算包干内容一般包括施工雨（污）水的排除、因地形影响造成的场内料具二次运输、20 米高以下的工程用水加压措施、施工材料堆放场地的整理、机电安装后的补洞（槽）工料费、工程成品保护费、施工中的临时停水停电、基础埋深 2 米以内挖土方的塌方、日间照明施工增加费（不包括地下室和特殊工程）、完工清场后的垃圾外运等。投标报价时，应按《广东省建设工程计价依据（2018）》规定的费率报价，若招标工程量清单明确说明不计算预算包干费或另外确定预算包干费费率的，则按招标工程量清单报价。</w:t>
      </w:r>
    </w:p>
    <w:p w14:paraId="02BC6D0D">
      <w:pPr>
        <w:keepNext w:val="0"/>
        <w:keepLines w:val="0"/>
        <w:pageBreakBefore w:val="0"/>
        <w:wordWrap w:val="0"/>
        <w:overflowPunct/>
        <w:topLinePunct w:val="0"/>
        <w:bidi w:val="0"/>
        <w:spacing w:before="78" w:line="220" w:lineRule="auto"/>
        <w:ind w:left="496"/>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45" w:name="_Toc16322"/>
      <w:bookmarkStart w:id="46" w:name="_Toc1984"/>
      <w:r>
        <w:rPr>
          <w:rFonts w:hint="eastAsia" w:ascii="宋体" w:hAnsi="宋体" w:eastAsia="宋体" w:cs="宋体"/>
          <w:b/>
          <w:bCs/>
          <w:color w:val="000000" w:themeColor="text1"/>
          <w:spacing w:val="0"/>
          <w:sz w:val="24"/>
          <w:szCs w:val="24"/>
          <w:highlight w:val="none"/>
          <w14:textFill>
            <w14:solidFill>
              <w14:schemeClr w14:val="tx1"/>
            </w14:solidFill>
          </w14:textFill>
        </w:rPr>
        <w:t>10 ．投标文件的编制要求</w:t>
      </w:r>
      <w:bookmarkEnd w:id="45"/>
      <w:bookmarkEnd w:id="46"/>
    </w:p>
    <w:p w14:paraId="1ADA1598">
      <w:pPr>
        <w:keepNext w:val="0"/>
        <w:keepLines w:val="0"/>
        <w:pageBreakBefore w:val="0"/>
        <w:wordWrap w:val="0"/>
        <w:overflowPunct/>
        <w:topLinePunct w:val="0"/>
        <w:bidi w:val="0"/>
        <w:spacing w:before="152" w:line="360" w:lineRule="auto"/>
        <w:ind w:left="496"/>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47" w:name="_Toc20590"/>
      <w:bookmarkStart w:id="48" w:name="_Toc22937"/>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10.1  </w:t>
      </w:r>
      <w:r>
        <w:rPr>
          <w:rFonts w:hint="eastAsia" w:ascii="宋体" w:hAnsi="宋体" w:eastAsia="宋体" w:cs="宋体"/>
          <w:color w:val="000000" w:themeColor="text1"/>
          <w:spacing w:val="0"/>
          <w:sz w:val="24"/>
          <w:szCs w:val="24"/>
          <w:highlight w:val="none"/>
          <w14:textFill>
            <w14:solidFill>
              <w14:schemeClr w14:val="tx1"/>
            </w14:solidFill>
          </w14:textFill>
        </w:rPr>
        <w:t>一般要求</w:t>
      </w:r>
      <w:bookmarkEnd w:id="47"/>
      <w:bookmarkEnd w:id="48"/>
    </w:p>
    <w:p w14:paraId="3BA09E09">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投标文件应按第六章投标文件格式规定的内容，投标人提交的投标文件应当使用招标文件所提供的投标文件全部格式。</w:t>
      </w:r>
    </w:p>
    <w:p w14:paraId="64F68F54">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2"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10.1.1  </w:t>
      </w:r>
      <w:r>
        <w:rPr>
          <w:rFonts w:hint="eastAsia" w:ascii="宋体" w:hAnsi="宋体" w:eastAsia="宋体" w:cs="宋体"/>
          <w:color w:val="000000" w:themeColor="text1"/>
          <w:spacing w:val="0"/>
          <w:sz w:val="24"/>
          <w:szCs w:val="24"/>
          <w:highlight w:val="none"/>
          <w14:textFill>
            <w14:solidFill>
              <w14:schemeClr w14:val="tx1"/>
            </w14:solidFill>
          </w14:textFill>
        </w:rPr>
        <w:t>投标人必须响应招标文件，并在充分理解招标人提供的全部文件、设计图纸、资料及现场条件的基础上编制投标文件。因投标文件不符合招标文件的要求而造成的损失和后果，由投标人自行承担。</w:t>
      </w:r>
    </w:p>
    <w:p w14:paraId="51122B59">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2"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10.1.2  </w:t>
      </w:r>
      <w:r>
        <w:rPr>
          <w:rFonts w:hint="eastAsia" w:ascii="宋体" w:hAnsi="宋体" w:eastAsia="宋体" w:cs="宋体"/>
          <w:color w:val="000000" w:themeColor="text1"/>
          <w:spacing w:val="0"/>
          <w:sz w:val="24"/>
          <w:szCs w:val="24"/>
          <w:highlight w:val="none"/>
          <w14:textFill>
            <w14:solidFill>
              <w14:schemeClr w14:val="tx1"/>
            </w14:solidFill>
          </w14:textFill>
        </w:rPr>
        <w:t>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广东省 ·韶关市）交易指引。</w:t>
      </w:r>
    </w:p>
    <w:p w14:paraId="1C1308EF">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2"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10.1.3  </w:t>
      </w:r>
      <w:r>
        <w:rPr>
          <w:rFonts w:hint="eastAsia" w:ascii="宋体" w:hAnsi="宋体" w:eastAsia="宋体" w:cs="宋体"/>
          <w:color w:val="000000" w:themeColor="text1"/>
          <w:spacing w:val="0"/>
          <w:sz w:val="24"/>
          <w:szCs w:val="24"/>
          <w:highlight w:val="none"/>
          <w14:textFill>
            <w14:solidFill>
              <w14:schemeClr w14:val="tx1"/>
            </w14:solidFill>
          </w14:textFill>
        </w:rPr>
        <w:t>投标文件需按以下要求签字、盖章：电子投标文件：</w:t>
      </w:r>
    </w:p>
    <w:p w14:paraId="75FDA074">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2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"10.1.3.1"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10.1.3.1</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投标文件封面、组成内容中凡注明“签字 ”处由要求的人员签字或电子签章；凡注明“签字或盖章 ”处由要求的人员签字或盖其私章（电子印章）；凡注明 “签字并盖执业印章 ”处由要求的人员签字并盖其执业印章。</w:t>
      </w:r>
    </w:p>
    <w:p w14:paraId="6358B792">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2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"10.1.3.2"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10.1.3.2</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投标文件封套、封面、组成内容中凡要求录入投标人名称且注明“盖单位章 ”处盖单位法人公章（电子印章）。</w:t>
      </w:r>
    </w:p>
    <w:p w14:paraId="3F70DCC9">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2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"10.1.3.3"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10.1.3.3</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投标文件的签字均为签字人本人亲笔署名或签章（电子印章），其余部分的复印件无须另行签字、盖章。</w:t>
      </w:r>
    </w:p>
    <w:p w14:paraId="2DA037BE">
      <w:pPr>
        <w:keepNext w:val="0"/>
        <w:keepLines w:val="0"/>
        <w:pageBreakBefore w:val="0"/>
        <w:widowControl/>
        <w:kinsoku w:val="0"/>
        <w:wordWrap w:val="0"/>
        <w:overflowPunct/>
        <w:topLinePunct w:val="0"/>
        <w:autoSpaceDE w:val="0"/>
        <w:autoSpaceDN w:val="0"/>
        <w:bidi w:val="0"/>
        <w:adjustRightInd/>
        <w:snapToGrid/>
        <w:spacing w:line="360" w:lineRule="auto"/>
        <w:ind w:left="0" w:leftChars="0" w:right="0" w:firstLine="482" w:firstLineChars="200"/>
        <w:textAlignment w:val="baseline"/>
        <w:outlineLvl w:val="9"/>
        <w:rPr>
          <w:rFonts w:hint="eastAsia" w:ascii="宋体" w:hAnsi="宋体" w:eastAsia="宋体" w:cs="宋体"/>
          <w:b w:val="0"/>
          <w:bCs w:val="0"/>
          <w:color w:val="000000" w:themeColor="text1"/>
          <w:spacing w:val="0"/>
          <w:sz w:val="24"/>
          <w:szCs w:val="24"/>
          <w:highlight w:val="none"/>
          <w14:textFill>
            <w14:solidFill>
              <w14:schemeClr w14:val="tx1"/>
            </w14:solidFill>
          </w14:textFill>
        </w:rPr>
      </w:pPr>
      <w:bookmarkStart w:id="49" w:name="_Toc21271"/>
      <w:bookmarkStart w:id="50" w:name="_Toc20223"/>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10.1.3.4 </w:t>
      </w:r>
      <w:r>
        <w:rPr>
          <w:rFonts w:hint="eastAsia" w:ascii="宋体" w:hAnsi="宋体" w:eastAsia="宋体" w:cs="宋体"/>
          <w:color w:val="000000" w:themeColor="text1"/>
          <w:spacing w:val="0"/>
          <w:sz w:val="24"/>
          <w:szCs w:val="24"/>
          <w:highlight w:val="none"/>
          <w14:textFill>
            <w14:solidFill>
              <w14:schemeClr w14:val="tx1"/>
            </w14:solidFill>
          </w14:textFill>
        </w:rPr>
        <w:t>联合体投标的，除《联合体协议书》外，由联合体牵头人按以上要求签亲笔署名或签章（电子印章）即可。</w:t>
      </w:r>
    </w:p>
    <w:p w14:paraId="0C858C64">
      <w:pPr>
        <w:keepNext w:val="0"/>
        <w:keepLines w:val="0"/>
        <w:pageBreakBefore w:val="0"/>
        <w:wordWrap w:val="0"/>
        <w:overflowPunct/>
        <w:topLinePunct w:val="0"/>
        <w:bidi w:val="0"/>
        <w:spacing w:before="155" w:line="219" w:lineRule="auto"/>
        <w:ind w:left="500"/>
        <w:outlineLvl w:val="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10.2  </w:t>
      </w:r>
      <w:r>
        <w:rPr>
          <w:rFonts w:hint="eastAsia" w:ascii="宋体" w:hAnsi="宋体" w:eastAsia="宋体" w:cs="宋体"/>
          <w:color w:val="000000" w:themeColor="text1"/>
          <w:spacing w:val="0"/>
          <w:sz w:val="24"/>
          <w:szCs w:val="24"/>
          <w:highlight w:val="none"/>
          <w14:textFill>
            <w14:solidFill>
              <w14:schemeClr w14:val="tx1"/>
            </w14:solidFill>
          </w14:textFill>
        </w:rPr>
        <w:t>商务标书的编制要求</w:t>
      </w:r>
      <w:bookmarkEnd w:id="49"/>
      <w:bookmarkEnd w:id="50"/>
    </w:p>
    <w:p w14:paraId="0C2AF9BC">
      <w:pPr>
        <w:keepNext w:val="0"/>
        <w:keepLines w:val="0"/>
        <w:pageBreakBefore w:val="0"/>
        <w:wordWrap w:val="0"/>
        <w:overflowPunct/>
        <w:topLinePunct w:val="0"/>
        <w:bidi w:val="0"/>
        <w:spacing w:before="157" w:line="219" w:lineRule="auto"/>
        <w:ind w:left="58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10.2.1 </w:t>
      </w:r>
      <w:r>
        <w:rPr>
          <w:rFonts w:hint="eastAsia" w:ascii="宋体" w:hAnsi="宋体" w:eastAsia="宋体" w:cs="宋体"/>
          <w:color w:val="000000" w:themeColor="text1"/>
          <w:spacing w:val="0"/>
          <w:sz w:val="24"/>
          <w:szCs w:val="24"/>
          <w:highlight w:val="none"/>
          <w14:textFill>
            <w14:solidFill>
              <w14:schemeClr w14:val="tx1"/>
            </w14:solidFill>
          </w14:textFill>
        </w:rPr>
        <w:t>商务标书包括但不限于以下内容：</w:t>
      </w:r>
    </w:p>
    <w:p w14:paraId="352E57AE">
      <w:pPr>
        <w:keepNext w:val="0"/>
        <w:keepLines w:val="0"/>
        <w:pageBreakBefore w:val="0"/>
        <w:wordWrap w:val="0"/>
        <w:overflowPunct/>
        <w:topLinePunct w:val="0"/>
        <w:bidi w:val="0"/>
        <w:spacing w:before="154" w:line="220"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（1）封面（格式一）；</w:t>
      </w:r>
    </w:p>
    <w:p w14:paraId="76EADC31">
      <w:pPr>
        <w:keepNext w:val="0"/>
        <w:keepLines w:val="0"/>
        <w:pageBreakBefore w:val="0"/>
        <w:wordWrap w:val="0"/>
        <w:overflowPunct/>
        <w:topLinePunct w:val="0"/>
        <w:bidi w:val="0"/>
        <w:spacing w:before="153" w:line="222"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 目录；</w:t>
      </w:r>
    </w:p>
    <w:p w14:paraId="774FBD39">
      <w:pPr>
        <w:keepNext w:val="0"/>
        <w:keepLines w:val="0"/>
        <w:pageBreakBefore w:val="0"/>
        <w:wordWrap w:val="0"/>
        <w:overflowPunct/>
        <w:topLinePunct w:val="0"/>
        <w:bidi w:val="0"/>
        <w:spacing w:before="153" w:line="220"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（3）《投标函》（格式二）；</w:t>
      </w:r>
    </w:p>
    <w:p w14:paraId="720161C8">
      <w:pPr>
        <w:keepNext w:val="0"/>
        <w:keepLines w:val="0"/>
        <w:pageBreakBefore w:val="0"/>
        <w:wordWrap w:val="0"/>
        <w:overflowPunct/>
        <w:topLinePunct w:val="0"/>
        <w:bidi w:val="0"/>
        <w:spacing w:before="153" w:line="220"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（4）《各项承诺一览表》（格式三）；</w:t>
      </w:r>
    </w:p>
    <w:p w14:paraId="7094AFC2">
      <w:pPr>
        <w:keepNext w:val="0"/>
        <w:keepLines w:val="0"/>
        <w:pageBreakBefore w:val="0"/>
        <w:wordWrap w:val="0"/>
        <w:overflowPunct/>
        <w:topLinePunct w:val="0"/>
        <w:bidi w:val="0"/>
        <w:spacing w:before="154" w:line="219"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（5）《授权委托书》（格式四）；</w:t>
      </w:r>
    </w:p>
    <w:p w14:paraId="3AF70EF9">
      <w:pPr>
        <w:keepNext w:val="0"/>
        <w:keepLines w:val="0"/>
        <w:pageBreakBefore w:val="0"/>
        <w:wordWrap w:val="0"/>
        <w:overflowPunct/>
        <w:topLinePunct w:val="0"/>
        <w:bidi w:val="0"/>
        <w:spacing w:before="156" w:line="220"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（6）《法定代表人身份证明》（格式五）；</w:t>
      </w:r>
    </w:p>
    <w:p w14:paraId="2DB8A529">
      <w:pPr>
        <w:keepNext w:val="0"/>
        <w:keepLines w:val="0"/>
        <w:pageBreakBefore w:val="0"/>
        <w:wordWrap w:val="0"/>
        <w:overflowPunct/>
        <w:topLinePunct w:val="0"/>
        <w:bidi w:val="0"/>
        <w:spacing w:before="154" w:line="219"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（7）《联合体协议书》（格式六）及所附资料；</w:t>
      </w:r>
    </w:p>
    <w:p w14:paraId="6673BC70">
      <w:pPr>
        <w:keepNext w:val="0"/>
        <w:keepLines w:val="0"/>
        <w:pageBreakBefore w:val="0"/>
        <w:wordWrap w:val="0"/>
        <w:overflowPunct/>
        <w:topLinePunct w:val="0"/>
        <w:bidi w:val="0"/>
        <w:spacing w:before="153" w:line="309" w:lineRule="auto"/>
        <w:ind w:left="13" w:right="133"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8）投标保证缴纳证明（投标人采用投标保证金的，附建设工程交易系统《缴纳投标保证金通知书》页面截图和银行转账单彩色扫描件；采用投标保证担保的，附银行保函彩色扫描件；采用投标保证保险的，附电子保单和</w:t>
      </w:r>
      <w:r>
        <w:rPr>
          <w:rFonts w:hint="eastAsia" w:ascii="宋体" w:hAnsi="宋体" w:eastAsia="宋体" w:cs="宋体"/>
          <w:b/>
          <w:bCs/>
          <w:color w:val="000000" w:themeColor="text1"/>
          <w:spacing w:val="0"/>
          <w:sz w:val="24"/>
          <w:szCs w:val="24"/>
          <w:highlight w:val="none"/>
          <w14:textFill>
            <w14:solidFill>
              <w14:schemeClr w14:val="tx1"/>
            </w14:solidFill>
          </w14:textFill>
        </w:rPr>
        <w:t>《韶关市公共资源交易一体化平台保证金缴纳信息》页面截图</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36031B27">
      <w:pPr>
        <w:keepNext w:val="0"/>
        <w:keepLines w:val="0"/>
        <w:pageBreakBefore w:val="0"/>
        <w:wordWrap w:val="0"/>
        <w:overflowPunct/>
        <w:topLinePunct w:val="0"/>
        <w:bidi w:val="0"/>
        <w:spacing w:before="156" w:line="219"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（9）《投标人基本情况表》（格式七）及所附资料；</w:t>
      </w:r>
    </w:p>
    <w:p w14:paraId="2CE7262F">
      <w:pPr>
        <w:keepNext w:val="0"/>
        <w:keepLines w:val="0"/>
        <w:pageBreakBefore w:val="0"/>
        <w:wordWrap w:val="0"/>
        <w:overflowPunct/>
        <w:topLinePunct w:val="0"/>
        <w:bidi w:val="0"/>
        <w:spacing w:before="155" w:line="219"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（10）《项目经理简历表》（格式八）及所附资料；</w:t>
      </w:r>
    </w:p>
    <w:p w14:paraId="4BF4D313">
      <w:pPr>
        <w:keepNext w:val="0"/>
        <w:keepLines w:val="0"/>
        <w:pageBreakBefore w:val="0"/>
        <w:wordWrap w:val="0"/>
        <w:overflowPunct/>
        <w:topLinePunct w:val="0"/>
        <w:bidi w:val="0"/>
        <w:spacing w:before="154" w:line="220"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（11）《项目经理任职声明》（格式九）；</w:t>
      </w:r>
    </w:p>
    <w:p w14:paraId="6D95CC60">
      <w:pPr>
        <w:keepNext w:val="0"/>
        <w:keepLines w:val="0"/>
        <w:pageBreakBefore w:val="0"/>
        <w:wordWrap w:val="0"/>
        <w:overflowPunct/>
        <w:topLinePunct w:val="0"/>
        <w:bidi w:val="0"/>
        <w:spacing w:before="156" w:line="219"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（12）《项目技术负责人简历表》（格式十）及所附资料；</w:t>
      </w:r>
    </w:p>
    <w:p w14:paraId="0132BAD9">
      <w:pPr>
        <w:keepNext w:val="0"/>
        <w:keepLines w:val="0"/>
        <w:pageBreakBefore w:val="0"/>
        <w:wordWrap w:val="0"/>
        <w:overflowPunct/>
        <w:topLinePunct w:val="0"/>
        <w:bidi w:val="0"/>
        <w:spacing w:before="154" w:line="219"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（13）《项</w:t>
      </w:r>
      <w:bookmarkStart w:id="51" w:name="OLE_LINK7"/>
      <w:r>
        <w:rPr>
          <w:rFonts w:hint="eastAsia" w:ascii="宋体" w:hAnsi="宋体" w:eastAsia="宋体" w:cs="宋体"/>
          <w:color w:val="000000" w:themeColor="text1"/>
          <w:spacing w:val="0"/>
          <w:sz w:val="24"/>
          <w:szCs w:val="24"/>
          <w:highlight w:val="none"/>
          <w14:textFill>
            <w14:solidFill>
              <w14:schemeClr w14:val="tx1"/>
            </w14:solidFill>
          </w14:textFill>
        </w:rPr>
        <w:t>目管理机构组成表》（格式十一）及</w:t>
      </w:r>
      <w:bookmarkEnd w:id="51"/>
      <w:r>
        <w:rPr>
          <w:rFonts w:hint="eastAsia" w:ascii="宋体" w:hAnsi="宋体" w:eastAsia="宋体" w:cs="宋体"/>
          <w:color w:val="000000" w:themeColor="text1"/>
          <w:spacing w:val="0"/>
          <w:sz w:val="24"/>
          <w:szCs w:val="24"/>
          <w:highlight w:val="none"/>
          <w14:textFill>
            <w14:solidFill>
              <w14:schemeClr w14:val="tx1"/>
            </w14:solidFill>
          </w14:textFill>
        </w:rPr>
        <w:t>所附资料；</w:t>
      </w:r>
    </w:p>
    <w:p w14:paraId="6E0A04ED">
      <w:pPr>
        <w:keepNext w:val="0"/>
        <w:keepLines w:val="0"/>
        <w:pageBreakBefore w:val="0"/>
        <w:wordWrap w:val="0"/>
        <w:overflowPunct/>
        <w:topLinePunct w:val="0"/>
        <w:bidi w:val="0"/>
        <w:spacing w:before="155" w:line="360"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（14）本节第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15.5.1 </w:t>
      </w:r>
      <w:r>
        <w:rPr>
          <w:rFonts w:hint="eastAsia" w:ascii="宋体" w:hAnsi="宋体" w:eastAsia="宋体" w:cs="宋体"/>
          <w:color w:val="000000" w:themeColor="text1"/>
          <w:spacing w:val="0"/>
          <w:sz w:val="24"/>
          <w:szCs w:val="24"/>
          <w:highlight w:val="none"/>
          <w14:textFill>
            <w14:solidFill>
              <w14:schemeClr w14:val="tx1"/>
            </w14:solidFill>
          </w14:textFill>
        </w:rPr>
        <w:t>目“评标方法 ”要求提供的评审资料；</w:t>
      </w:r>
    </w:p>
    <w:p w14:paraId="03DF9A5F">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（15）投标人认为有必要补充的其他资料。（例如投标人已经工商变更，但其企业资质证书、安全生产许可证或其员工执业资格注册证书上的企业名称未能在投标期间完成变更的书面说明和佐证材料等）</w:t>
      </w:r>
    </w:p>
    <w:p w14:paraId="29D2CA8C">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2"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10.2.2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本节第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10.2.1  </w:t>
      </w:r>
      <w:r>
        <w:rPr>
          <w:rFonts w:hint="eastAsia" w:ascii="宋体" w:hAnsi="宋体" w:eastAsia="宋体" w:cs="宋体"/>
          <w:color w:val="000000" w:themeColor="text1"/>
          <w:spacing w:val="0"/>
          <w:sz w:val="24"/>
          <w:szCs w:val="24"/>
          <w:highlight w:val="none"/>
          <w14:textFill>
            <w14:solidFill>
              <w14:schemeClr w14:val="tx1"/>
            </w14:solidFill>
          </w14:textFill>
        </w:rPr>
        <w:t>目中所列出的商务标书组成内容中，第（1）至第（13）项所有投标人均应提供，</w:t>
      </w:r>
      <w:r>
        <w:rPr>
          <w:rFonts w:hint="eastAsia" w:ascii="宋体" w:hAnsi="宋体" w:eastAsia="宋体" w:cs="宋体"/>
          <w:b/>
          <w:bCs/>
          <w:color w:val="000000" w:themeColor="text1"/>
          <w:spacing w:val="0"/>
          <w:sz w:val="24"/>
          <w:szCs w:val="24"/>
          <w:highlight w:val="none"/>
          <w14:textFill>
            <w14:solidFill>
              <w14:schemeClr w14:val="tx1"/>
            </w14:solidFill>
          </w14:textFill>
        </w:rPr>
        <w:t>但非联合体投标的，无需提供第（7）项内容。</w:t>
      </w:r>
    </w:p>
    <w:p w14:paraId="2F3F2186">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2"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10.2.3 </w:t>
      </w:r>
      <w:r>
        <w:rPr>
          <w:rFonts w:hint="eastAsia" w:ascii="宋体" w:hAnsi="宋体" w:eastAsia="宋体" w:cs="宋体"/>
          <w:color w:val="000000" w:themeColor="text1"/>
          <w:spacing w:val="0"/>
          <w:sz w:val="24"/>
          <w:szCs w:val="24"/>
          <w:highlight w:val="none"/>
          <w14:textFill>
            <w14:solidFill>
              <w14:schemeClr w14:val="tx1"/>
            </w14:solidFill>
          </w14:textFill>
        </w:rPr>
        <w:t>商务标书的组成内容按本节第 10.2.1 目规定的顺序整理、编排后，逐页（页码起始从封面开始）连续标记页码。</w:t>
      </w:r>
    </w:p>
    <w:p w14:paraId="2D4DCA8F">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firstLineChars="0"/>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52" w:name="_Toc10602"/>
      <w:bookmarkStart w:id="53" w:name="_Toc29370"/>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10.3  </w:t>
      </w:r>
      <w:r>
        <w:rPr>
          <w:rFonts w:hint="eastAsia" w:ascii="宋体" w:hAnsi="宋体" w:eastAsia="宋体" w:cs="宋体"/>
          <w:color w:val="000000" w:themeColor="text1"/>
          <w:spacing w:val="0"/>
          <w:sz w:val="24"/>
          <w:szCs w:val="24"/>
          <w:highlight w:val="none"/>
          <w14:textFill>
            <w14:solidFill>
              <w14:schemeClr w14:val="tx1"/>
            </w14:solidFill>
          </w14:textFill>
        </w:rPr>
        <w:t>经济标书的编制要求</w:t>
      </w:r>
      <w:bookmarkEnd w:id="52"/>
      <w:bookmarkEnd w:id="53"/>
    </w:p>
    <w:p w14:paraId="1F78619A">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2"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10.3.1  </w:t>
      </w:r>
      <w:r>
        <w:rPr>
          <w:rFonts w:hint="eastAsia" w:ascii="宋体" w:hAnsi="宋体" w:eastAsia="宋体" w:cs="宋体"/>
          <w:color w:val="000000" w:themeColor="text1"/>
          <w:spacing w:val="0"/>
          <w:sz w:val="24"/>
          <w:szCs w:val="24"/>
          <w:highlight w:val="none"/>
          <w14:textFill>
            <w14:solidFill>
              <w14:schemeClr w14:val="tx1"/>
            </w14:solidFill>
          </w14:textFill>
        </w:rPr>
        <w:t>经济标书包括以下内容：</w:t>
      </w:r>
    </w:p>
    <w:p w14:paraId="57663477">
      <w:pPr>
        <w:keepNext w:val="0"/>
        <w:keepLines w:val="0"/>
        <w:pageBreakBefore w:val="0"/>
        <w:wordWrap w:val="0"/>
        <w:overflowPunct/>
        <w:topLinePunct w:val="0"/>
        <w:bidi w:val="0"/>
        <w:spacing w:before="156"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（1）封面（格式一）；</w:t>
      </w:r>
    </w:p>
    <w:p w14:paraId="18A4AD47">
      <w:pPr>
        <w:keepNext w:val="0"/>
        <w:keepLines w:val="0"/>
        <w:pageBreakBefore w:val="0"/>
        <w:wordWrap w:val="0"/>
        <w:overflowPunct/>
        <w:topLinePunct w:val="0"/>
        <w:bidi w:val="0"/>
        <w:spacing w:before="153" w:line="222"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 目录；</w:t>
      </w:r>
    </w:p>
    <w:p w14:paraId="74083071">
      <w:pPr>
        <w:keepNext w:val="0"/>
        <w:keepLines w:val="0"/>
        <w:pageBreakBefore w:val="0"/>
        <w:wordWrap w:val="0"/>
        <w:overflowPunct/>
        <w:topLinePunct w:val="0"/>
        <w:bidi w:val="0"/>
        <w:spacing w:before="150" w:line="219"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（3）《投标总价》；</w:t>
      </w:r>
    </w:p>
    <w:p w14:paraId="105877BB">
      <w:pPr>
        <w:keepNext w:val="0"/>
        <w:keepLines w:val="0"/>
        <w:pageBreakBefore w:val="0"/>
        <w:widowControl/>
        <w:kinsoku w:val="0"/>
        <w:wordWrap w:val="0"/>
        <w:overflowPunct/>
        <w:topLinePunct w:val="0"/>
        <w:autoSpaceDE w:val="0"/>
        <w:autoSpaceDN w:val="0"/>
        <w:bidi w:val="0"/>
        <w:adjustRightInd w:val="0"/>
        <w:snapToGrid w:val="0"/>
        <w:spacing w:before="155" w:line="360" w:lineRule="auto"/>
        <w:ind w:left="5" w:firstLine="48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说明：《投标总价》的格式按照《</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建设工程工程量清单计价标准</w:t>
      </w:r>
      <w:r>
        <w:rPr>
          <w:rFonts w:hint="eastAsia" w:ascii="宋体" w:hAnsi="宋体" w:eastAsia="宋体" w:cs="宋体"/>
          <w:color w:val="000000" w:themeColor="text1"/>
          <w:spacing w:val="0"/>
          <w:sz w:val="24"/>
          <w:szCs w:val="24"/>
          <w:highlight w:val="none"/>
          <w14:textFill>
            <w14:solidFill>
              <w14:schemeClr w14:val="tx1"/>
            </w14:solidFill>
          </w14:textFill>
        </w:rPr>
        <w:t>》（GB/T50500-2024）执行，并应满足以下要求：</w:t>
      </w:r>
    </w:p>
    <w:p w14:paraId="2569EC2C">
      <w:pPr>
        <w:keepNext w:val="0"/>
        <w:keepLines w:val="0"/>
        <w:pageBreakBefore w:val="0"/>
        <w:widowControl/>
        <w:kinsoku w:val="0"/>
        <w:wordWrap w:val="0"/>
        <w:overflowPunct/>
        <w:topLinePunct w:val="0"/>
        <w:autoSpaceDE w:val="0"/>
        <w:autoSpaceDN w:val="0"/>
        <w:bidi w:val="0"/>
        <w:adjustRightInd w:val="0"/>
        <w:snapToGrid w:val="0"/>
        <w:spacing w:before="150" w:line="360" w:lineRule="auto"/>
        <w:ind w:left="8" w:firstLine="482"/>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a </w:t>
      </w:r>
      <w:r>
        <w:rPr>
          <w:rFonts w:hint="eastAsia" w:ascii="宋体" w:hAnsi="宋体" w:eastAsia="宋体" w:cs="宋体"/>
          <w:color w:val="000000" w:themeColor="text1"/>
          <w:spacing w:val="0"/>
          <w:sz w:val="24"/>
          <w:szCs w:val="24"/>
          <w:highlight w:val="none"/>
          <w14:textFill>
            <w14:solidFill>
              <w14:schemeClr w14:val="tx1"/>
            </w14:solidFill>
          </w14:textFill>
        </w:rPr>
        <w:t>．《投标总价扉页》后应附编制人的造价工程师注册证书彩色扫描件（须扫描至变更注册栏，</w:t>
      </w:r>
      <w:r>
        <w:rPr>
          <w:rFonts w:hint="eastAsia" w:ascii="宋体" w:hAnsi="宋体" w:eastAsia="宋体" w:cs="宋体"/>
          <w:b/>
          <w:bCs/>
          <w:color w:val="000000" w:themeColor="text1"/>
          <w:spacing w:val="0"/>
          <w:sz w:val="24"/>
          <w:szCs w:val="24"/>
          <w:highlight w:val="none"/>
          <w14:textFill>
            <w14:solidFill>
              <w14:schemeClr w14:val="tx1"/>
            </w14:solidFill>
          </w14:textFill>
        </w:rPr>
        <w:t>一级造价师或二级造价师均可提供电子证书</w:t>
      </w:r>
      <w:r>
        <w:rPr>
          <w:rFonts w:hint="eastAsia" w:ascii="宋体" w:hAnsi="宋体" w:eastAsia="宋体" w:cs="宋体"/>
          <w:color w:val="000000" w:themeColor="text1"/>
          <w:spacing w:val="0"/>
          <w:sz w:val="24"/>
          <w:szCs w:val="24"/>
          <w:highlight w:val="none"/>
          <w14:textFill>
            <w14:solidFill>
              <w14:schemeClr w14:val="tx1"/>
            </w14:solidFill>
          </w14:textFill>
        </w:rPr>
        <w:t>）；投标人委托造价咨询单位编制《投标总价》的，在该扉页“投标人”栏目加盖造价咨询人公章，并在该扉页后附造价咨询人的营业执照副本彩色扫描件。</w:t>
      </w:r>
    </w:p>
    <w:p w14:paraId="068BAFD3">
      <w:pPr>
        <w:keepNext w:val="0"/>
        <w:keepLines w:val="0"/>
        <w:pageBreakBefore w:val="0"/>
        <w:widowControl/>
        <w:kinsoku w:val="0"/>
        <w:wordWrap w:val="0"/>
        <w:overflowPunct/>
        <w:topLinePunct w:val="0"/>
        <w:autoSpaceDE w:val="0"/>
        <w:autoSpaceDN w:val="0"/>
        <w:bidi w:val="0"/>
        <w:adjustRightInd w:val="0"/>
        <w:snapToGrid w:val="0"/>
        <w:spacing w:before="119" w:line="360" w:lineRule="auto"/>
        <w:ind w:left="10" w:right="61" w:firstLine="474"/>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b.  </w:t>
      </w:r>
      <w:r>
        <w:rPr>
          <w:rFonts w:hint="eastAsia" w:ascii="宋体" w:hAnsi="宋体" w:eastAsia="宋体" w:cs="宋体"/>
          <w:color w:val="000000" w:themeColor="text1"/>
          <w:spacing w:val="0"/>
          <w:sz w:val="24"/>
          <w:szCs w:val="24"/>
          <w:highlight w:val="none"/>
          <w14:textFill>
            <w14:solidFill>
              <w14:schemeClr w14:val="tx1"/>
            </w14:solidFill>
          </w14:textFill>
        </w:rPr>
        <w:t>投标人认为有必要补充的其他资料（例如关于投标总价下浮率超过 15%的书面说明和佐证材料）。</w:t>
      </w:r>
    </w:p>
    <w:p w14:paraId="05D38EAE">
      <w:pPr>
        <w:keepNext w:val="0"/>
        <w:keepLines w:val="0"/>
        <w:pageBreakBefore w:val="0"/>
        <w:wordWrap w:val="0"/>
        <w:overflowPunct/>
        <w:topLinePunct w:val="0"/>
        <w:bidi w:val="0"/>
        <w:spacing w:before="99" w:line="360" w:lineRule="auto"/>
        <w:ind w:left="10" w:right="63" w:firstLine="48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10.3.2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本节第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10.3.1  </w:t>
      </w:r>
      <w:r>
        <w:rPr>
          <w:rFonts w:hint="eastAsia" w:ascii="宋体" w:hAnsi="宋体" w:eastAsia="宋体" w:cs="宋体"/>
          <w:color w:val="000000" w:themeColor="text1"/>
          <w:spacing w:val="0"/>
          <w:sz w:val="24"/>
          <w:szCs w:val="24"/>
          <w:highlight w:val="none"/>
          <w14:textFill>
            <w14:solidFill>
              <w14:schemeClr w14:val="tx1"/>
            </w14:solidFill>
          </w14:textFill>
        </w:rPr>
        <w:t>目中所列出的经济标书组成内容中，第（1）至第（3）项所有投标人均应提供。</w:t>
      </w:r>
    </w:p>
    <w:p w14:paraId="1592DD8B">
      <w:pPr>
        <w:keepNext w:val="0"/>
        <w:keepLines w:val="0"/>
        <w:pageBreakBefore w:val="0"/>
        <w:wordWrap w:val="0"/>
        <w:overflowPunct/>
        <w:topLinePunct w:val="0"/>
        <w:bidi w:val="0"/>
        <w:spacing w:before="155" w:line="360" w:lineRule="auto"/>
        <w:ind w:left="8" w:right="61" w:firstLine="48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10.3.3 </w:t>
      </w:r>
      <w:r>
        <w:rPr>
          <w:rFonts w:hint="eastAsia" w:ascii="宋体" w:hAnsi="宋体" w:eastAsia="宋体" w:cs="宋体"/>
          <w:color w:val="000000" w:themeColor="text1"/>
          <w:spacing w:val="0"/>
          <w:sz w:val="24"/>
          <w:szCs w:val="24"/>
          <w:highlight w:val="none"/>
          <w14:textFill>
            <w14:solidFill>
              <w14:schemeClr w14:val="tx1"/>
            </w14:solidFill>
          </w14:textFill>
        </w:rPr>
        <w:t>经济标书的组成内容按本节第 10.3.1 目规定的顺序整理、编排后，逐页（页码起始从封面开始）连续标记页码。</w:t>
      </w:r>
    </w:p>
    <w:p w14:paraId="3A6D334B">
      <w:pPr>
        <w:keepNext w:val="0"/>
        <w:keepLines w:val="0"/>
        <w:pageBreakBefore w:val="0"/>
        <w:wordWrap w:val="0"/>
        <w:overflowPunct/>
        <w:topLinePunct w:val="0"/>
        <w:bidi w:val="0"/>
        <w:spacing w:before="82" w:line="360" w:lineRule="auto"/>
        <w:ind w:left="496"/>
        <w:outlineLvl w:val="9"/>
        <w:rPr>
          <w:rFonts w:hint="eastAsia" w:ascii="宋体" w:hAnsi="宋体" w:eastAsia="宋体" w:cs="宋体"/>
          <w:color w:val="000000" w:themeColor="text1"/>
          <w:spacing w:val="0"/>
          <w:sz w:val="25"/>
          <w:szCs w:val="25"/>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10.4  </w:t>
      </w:r>
      <w:r>
        <w:rPr>
          <w:rFonts w:hint="eastAsia" w:ascii="宋体" w:hAnsi="宋体" w:eastAsia="宋体" w:cs="宋体"/>
          <w:color w:val="000000" w:themeColor="text1"/>
          <w:spacing w:val="0"/>
          <w:sz w:val="24"/>
          <w:szCs w:val="24"/>
          <w:highlight w:val="none"/>
          <w14:textFill>
            <w14:solidFill>
              <w14:schemeClr w14:val="tx1"/>
            </w14:solidFill>
          </w14:textFill>
        </w:rPr>
        <w:t>施工组织设计的编制要求</w:t>
      </w:r>
    </w:p>
    <w:p w14:paraId="7828F48B">
      <w:pPr>
        <w:keepNext w:val="0"/>
        <w:keepLines w:val="0"/>
        <w:pageBreakBefore w:val="0"/>
        <w:wordWrap w:val="0"/>
        <w:overflowPunct/>
        <w:topLinePunct w:val="0"/>
        <w:bidi w:val="0"/>
        <w:spacing w:before="151" w:line="360"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10.4.1 </w:t>
      </w:r>
      <w:r>
        <w:rPr>
          <w:rFonts w:hint="eastAsia" w:ascii="宋体" w:hAnsi="宋体" w:eastAsia="宋体" w:cs="宋体"/>
          <w:color w:val="000000" w:themeColor="text1"/>
          <w:spacing w:val="0"/>
          <w:sz w:val="24"/>
          <w:szCs w:val="24"/>
          <w:highlight w:val="none"/>
          <w14:textFill>
            <w14:solidFill>
              <w14:schemeClr w14:val="tx1"/>
            </w14:solidFill>
          </w14:textFill>
        </w:rPr>
        <w:t>施工组织设计的编制依据包括且不限于：</w:t>
      </w:r>
    </w:p>
    <w:p w14:paraId="69CA5D7C">
      <w:pPr>
        <w:keepNext w:val="0"/>
        <w:keepLines w:val="0"/>
        <w:pageBreakBefore w:val="0"/>
        <w:wordWrap w:val="0"/>
        <w:overflowPunct/>
        <w:topLinePunct w:val="0"/>
        <w:bidi w:val="0"/>
        <w:spacing w:before="156" w:line="219"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（1）招标文件及其答疑（或修改）公告；</w:t>
      </w:r>
    </w:p>
    <w:p w14:paraId="3D9B573B">
      <w:pPr>
        <w:keepNext w:val="0"/>
        <w:keepLines w:val="0"/>
        <w:pageBreakBefore w:val="0"/>
        <w:wordWrap w:val="0"/>
        <w:overflowPunct/>
        <w:topLinePunct w:val="0"/>
        <w:bidi w:val="0"/>
        <w:spacing w:before="155" w:line="221"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（2）施工图及相关资料；</w:t>
      </w:r>
    </w:p>
    <w:p w14:paraId="56E6D366">
      <w:pPr>
        <w:keepNext w:val="0"/>
        <w:keepLines w:val="0"/>
        <w:pageBreakBefore w:val="0"/>
        <w:wordWrap w:val="0"/>
        <w:overflowPunct/>
        <w:topLinePunct w:val="0"/>
        <w:bidi w:val="0"/>
        <w:spacing w:before="152"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（3）施工现场情况、工程特点；</w:t>
      </w:r>
    </w:p>
    <w:p w14:paraId="3FE9ED6F">
      <w:pPr>
        <w:keepNext w:val="0"/>
        <w:keepLines w:val="0"/>
        <w:pageBreakBefore w:val="0"/>
        <w:wordWrap w:val="0"/>
        <w:overflowPunct/>
        <w:topLinePunct w:val="0"/>
        <w:bidi w:val="0"/>
        <w:spacing w:before="78"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（4）相关法律、法规、规定；</w:t>
      </w:r>
    </w:p>
    <w:p w14:paraId="059FD045">
      <w:pPr>
        <w:keepNext w:val="0"/>
        <w:keepLines w:val="0"/>
        <w:pageBreakBefore w:val="0"/>
        <w:wordWrap w:val="0"/>
        <w:overflowPunct/>
        <w:topLinePunct w:val="0"/>
        <w:bidi w:val="0"/>
        <w:spacing w:before="153" w:line="299" w:lineRule="auto"/>
        <w:ind w:left="10" w:right="21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国家、广东省、韶关市关于施工现场管理、施工工艺、绿色施工、安全防护、文明施工、环境保护等方面的标准、规范、技术资料。如《广东省住房和城乡建设厅绿色施工导则》《广东省建设工程施工扬尘污染防治管理办法（试行）》等；</w:t>
      </w:r>
    </w:p>
    <w:p w14:paraId="50B2B5BD">
      <w:pPr>
        <w:keepNext w:val="0"/>
        <w:keepLines w:val="0"/>
        <w:pageBreakBefore w:val="0"/>
        <w:wordWrap w:val="0"/>
        <w:overflowPunct/>
        <w:topLinePunct w:val="0"/>
        <w:bidi w:val="0"/>
        <w:spacing w:before="155"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（6）企业内部标准、工法。</w:t>
      </w:r>
    </w:p>
    <w:p w14:paraId="6608343E">
      <w:pPr>
        <w:keepNext w:val="0"/>
        <w:keepLines w:val="0"/>
        <w:pageBreakBefore w:val="0"/>
        <w:wordWrap w:val="0"/>
        <w:overflowPunct/>
        <w:topLinePunct w:val="0"/>
        <w:bidi w:val="0"/>
        <w:spacing w:before="153" w:line="220"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10.4.2 </w:t>
      </w:r>
      <w:r>
        <w:rPr>
          <w:rFonts w:hint="eastAsia" w:ascii="宋体" w:hAnsi="宋体" w:eastAsia="宋体" w:cs="宋体"/>
          <w:color w:val="000000" w:themeColor="text1"/>
          <w:spacing w:val="0"/>
          <w:sz w:val="24"/>
          <w:szCs w:val="24"/>
          <w:highlight w:val="none"/>
          <w14:textFill>
            <w14:solidFill>
              <w14:schemeClr w14:val="tx1"/>
            </w14:solidFill>
          </w14:textFill>
        </w:rPr>
        <w:t>施工组织设计包括但不限于以下内容：</w:t>
      </w:r>
    </w:p>
    <w:p w14:paraId="11AC19C5">
      <w:pPr>
        <w:keepNext w:val="0"/>
        <w:keepLines w:val="0"/>
        <w:pageBreakBefore w:val="0"/>
        <w:wordWrap w:val="0"/>
        <w:overflowPunct/>
        <w:topLinePunct w:val="0"/>
        <w:bidi w:val="0"/>
        <w:spacing w:before="153"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（1）封面（格式一）；</w:t>
      </w:r>
    </w:p>
    <w:p w14:paraId="0D89566C">
      <w:pPr>
        <w:keepNext w:val="0"/>
        <w:keepLines w:val="0"/>
        <w:pageBreakBefore w:val="0"/>
        <w:wordWrap w:val="0"/>
        <w:overflowPunct/>
        <w:topLinePunct w:val="0"/>
        <w:bidi w:val="0"/>
        <w:spacing w:before="156" w:line="222"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（2）目录；</w:t>
      </w:r>
    </w:p>
    <w:p w14:paraId="42EF60D6">
      <w:pPr>
        <w:keepNext w:val="0"/>
        <w:keepLines w:val="0"/>
        <w:pageBreakBefore w:val="0"/>
        <w:wordWrap w:val="0"/>
        <w:overflowPunct/>
        <w:topLinePunct w:val="0"/>
        <w:bidi w:val="0"/>
        <w:spacing w:before="150"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（3）总体概述（包括施工程序总体设想及施工段划分等内容）；</w:t>
      </w:r>
    </w:p>
    <w:p w14:paraId="2188CD8A">
      <w:pPr>
        <w:keepNext w:val="0"/>
        <w:keepLines w:val="0"/>
        <w:pageBreakBefore w:val="0"/>
        <w:wordWrap w:val="0"/>
        <w:overflowPunct/>
        <w:topLinePunct w:val="0"/>
        <w:bidi w:val="0"/>
        <w:spacing w:before="154" w:line="299" w:lineRule="auto"/>
        <w:ind w:left="9" w:right="211"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（4）施工总进度计划及保证措施（包括进度管理目标；以横道图或标明关键线路的网络进度计划；保障进度计划需要的人、材、机需求计划及保证措施；违约责任承诺等内容）；</w:t>
      </w:r>
    </w:p>
    <w:p w14:paraId="1FC69F82">
      <w:pPr>
        <w:keepNext w:val="0"/>
        <w:keepLines w:val="0"/>
        <w:pageBreakBefore w:val="0"/>
        <w:wordWrap w:val="0"/>
        <w:overflowPunct/>
        <w:topLinePunct w:val="0"/>
        <w:bidi w:val="0"/>
        <w:spacing w:before="153"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（5）质量保证措施（包括质量管理目标；相应保证措施；违约责任承诺等内容</w:t>
      </w:r>
      <w:r>
        <w:rPr>
          <w:rFonts w:hint="eastAsia" w:ascii="宋体" w:hAnsi="宋体" w:eastAsia="宋体" w:cs="宋体"/>
          <w:color w:val="000000" w:themeColor="text1"/>
          <w:spacing w:val="0"/>
          <w:w w:val="97"/>
          <w:sz w:val="24"/>
          <w:szCs w:val="24"/>
          <w:highlight w:val="none"/>
          <w14:textFill>
            <w14:solidFill>
              <w14:schemeClr w14:val="tx1"/>
            </w14:solidFill>
          </w14:textFill>
        </w:rPr>
        <w:t>）；</w:t>
      </w:r>
    </w:p>
    <w:p w14:paraId="69700B99">
      <w:pPr>
        <w:keepNext w:val="0"/>
        <w:keepLines w:val="0"/>
        <w:pageBreakBefore w:val="0"/>
        <w:wordWrap w:val="0"/>
        <w:overflowPunct/>
        <w:topLinePunct w:val="0"/>
        <w:bidi w:val="0"/>
        <w:spacing w:before="156" w:line="279" w:lineRule="auto"/>
        <w:ind w:left="11" w:right="211"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（6）施工技术措施（包括关键施工技术、工艺及工程项目实施的重点、难点分析和解决方案；新技术应用与承诺等内容）；</w:t>
      </w:r>
    </w:p>
    <w:p w14:paraId="4D11B874">
      <w:pPr>
        <w:keepNext w:val="0"/>
        <w:keepLines w:val="0"/>
        <w:pageBreakBefore w:val="0"/>
        <w:wordWrap w:val="0"/>
        <w:overflowPunct/>
        <w:topLinePunct w:val="0"/>
        <w:bidi w:val="0"/>
        <w:spacing w:before="118" w:line="297" w:lineRule="auto"/>
        <w:ind w:left="11" w:right="31"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（7）绿色施工、安全防护、文明施工措施计划(应对建设单位组织的勘察设计等单位在施工招标文件中列出的危大工程清单(详见格式十三)进行投标文件回应，如有)；</w:t>
      </w:r>
    </w:p>
    <w:p w14:paraId="00EDD96D">
      <w:pPr>
        <w:keepNext w:val="0"/>
        <w:keepLines w:val="0"/>
        <w:pageBreakBefore w:val="0"/>
        <w:wordWrap w:val="0"/>
        <w:overflowPunct/>
        <w:topLinePunct w:val="0"/>
        <w:bidi w:val="0"/>
        <w:spacing w:before="118" w:line="297" w:lineRule="auto"/>
        <w:ind w:left="11" w:right="31"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（8）施工现场总平面布置（</w:t>
      </w:r>
      <w:bookmarkStart w:id="54" w:name="OLE_LINK8"/>
      <w:r>
        <w:rPr>
          <w:rFonts w:hint="eastAsia" w:ascii="宋体" w:hAnsi="宋体" w:eastAsia="宋体" w:cs="宋体"/>
          <w:color w:val="000000" w:themeColor="text1"/>
          <w:spacing w:val="0"/>
          <w:sz w:val="24"/>
          <w:szCs w:val="24"/>
          <w:highlight w:val="none"/>
          <w14:textFill>
            <w14:solidFill>
              <w14:schemeClr w14:val="tx1"/>
            </w14:solidFill>
          </w14:textFill>
        </w:rPr>
        <w:t>投标人应递交一份施工现场总平面布置图，绘出现场临时设施布置图表并附文字说明，说明临时设施、加工车间、现场办公、设备及仓储、供电、供水、卫生、生活、道路、消防等设施的情况和布置</w:t>
      </w:r>
      <w:bookmarkEnd w:id="54"/>
      <w:r>
        <w:rPr>
          <w:rFonts w:hint="eastAsia" w:ascii="宋体" w:hAnsi="宋体" w:eastAsia="宋体" w:cs="宋体"/>
          <w:color w:val="000000" w:themeColor="text1"/>
          <w:spacing w:val="0"/>
          <w:sz w:val="24"/>
          <w:szCs w:val="24"/>
          <w:highlight w:val="none"/>
          <w14:textFill>
            <w14:solidFill>
              <w14:schemeClr w14:val="tx1"/>
            </w14:solidFill>
          </w14:textFill>
        </w:rPr>
        <w:t>）；</w:t>
      </w:r>
    </w:p>
    <w:p w14:paraId="523DCF6A">
      <w:pPr>
        <w:keepNext w:val="0"/>
        <w:keepLines w:val="0"/>
        <w:pageBreakBefore w:val="0"/>
        <w:wordWrap w:val="0"/>
        <w:overflowPunct/>
        <w:topLinePunct w:val="0"/>
        <w:bidi w:val="0"/>
        <w:spacing w:before="155" w:line="219"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（9）项目管理机构。</w:t>
      </w:r>
    </w:p>
    <w:p w14:paraId="16991E29">
      <w:pPr>
        <w:keepNext w:val="0"/>
        <w:keepLines w:val="0"/>
        <w:pageBreakBefore w:val="0"/>
        <w:wordWrap w:val="0"/>
        <w:overflowPunct/>
        <w:topLinePunct w:val="0"/>
        <w:bidi w:val="0"/>
        <w:spacing w:before="154" w:line="360" w:lineRule="auto"/>
        <w:ind w:right="211"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（10）投标人认为有必要补充的其他内容（例如对总包管理的认识以及对专业分包工程的管理、协调、配合、服务方案）。</w:t>
      </w:r>
    </w:p>
    <w:p w14:paraId="5EA512C0">
      <w:pPr>
        <w:keepNext w:val="0"/>
        <w:keepLines w:val="0"/>
        <w:pageBreakBefore w:val="0"/>
        <w:wordWrap w:val="0"/>
        <w:overflowPunct/>
        <w:topLinePunct w:val="0"/>
        <w:bidi w:val="0"/>
        <w:spacing w:before="152" w:line="360" w:lineRule="auto"/>
        <w:ind w:right="196" w:firstLine="482"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10.4.3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本节第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10.4.2  </w:t>
      </w:r>
      <w:r>
        <w:rPr>
          <w:rFonts w:hint="eastAsia" w:ascii="宋体" w:hAnsi="宋体" w:eastAsia="宋体" w:cs="宋体"/>
          <w:color w:val="000000" w:themeColor="text1"/>
          <w:spacing w:val="0"/>
          <w:sz w:val="24"/>
          <w:szCs w:val="24"/>
          <w:highlight w:val="none"/>
          <w14:textFill>
            <w14:solidFill>
              <w14:schemeClr w14:val="tx1"/>
            </w14:solidFill>
          </w14:textFill>
        </w:rPr>
        <w:t>目中所列出的施工组织设计组成内容中，第（1）至第（9）项所有投标人均应提供。</w:t>
      </w:r>
    </w:p>
    <w:p w14:paraId="6B854B9F">
      <w:pPr>
        <w:keepNext w:val="0"/>
        <w:keepLines w:val="0"/>
        <w:pageBreakBefore w:val="0"/>
        <w:wordWrap w:val="0"/>
        <w:overflowPunct/>
        <w:topLinePunct w:val="0"/>
        <w:bidi w:val="0"/>
        <w:spacing w:before="157" w:line="360" w:lineRule="auto"/>
        <w:ind w:right="211" w:firstLine="482"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10.4.4 </w:t>
      </w:r>
      <w:r>
        <w:rPr>
          <w:rFonts w:hint="eastAsia" w:ascii="宋体" w:hAnsi="宋体" w:eastAsia="宋体" w:cs="宋体"/>
          <w:color w:val="000000" w:themeColor="text1"/>
          <w:spacing w:val="0"/>
          <w:sz w:val="24"/>
          <w:szCs w:val="24"/>
          <w:highlight w:val="none"/>
          <w14:textFill>
            <w14:solidFill>
              <w14:schemeClr w14:val="tx1"/>
            </w14:solidFill>
          </w14:textFill>
        </w:rPr>
        <w:t>施工组织设计的组成内容按本节第 10.4.2 目规定的顺序整理、编排后，逐页（页码起始从封面开始）连续标记页码。</w:t>
      </w:r>
    </w:p>
    <w:p w14:paraId="7DA830C4">
      <w:pPr>
        <w:keepNext w:val="0"/>
        <w:keepLines w:val="0"/>
        <w:pageBreakBefore w:val="0"/>
        <w:wordWrap w:val="0"/>
        <w:overflowPunct/>
        <w:topLinePunct w:val="0"/>
        <w:bidi w:val="0"/>
        <w:spacing w:line="360" w:lineRule="auto"/>
        <w:outlineLvl w:val="9"/>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10.4.5</w:t>
      </w:r>
      <w:bookmarkStart w:id="55" w:name="OLE_LINK9"/>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施工组织设计的正文不得超过</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150</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页</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bookmarkEnd w:id="55"/>
      <w:bookmarkStart w:id="56" w:name="bookmark121"/>
      <w:bookmarkEnd w:id="56"/>
    </w:p>
    <w:p w14:paraId="4B5482FE">
      <w:pPr>
        <w:widowControl w:val="0"/>
        <w:kinsoku/>
        <w:wordWrap w:val="0"/>
        <w:autoSpaceDE/>
        <w:autoSpaceDN/>
        <w:adjustRightInd/>
        <w:snapToGrid/>
        <w:spacing w:line="400" w:lineRule="exact"/>
        <w:ind w:firstLine="482" w:firstLineChars="200"/>
        <w:jc w:val="both"/>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57" w:name="_Toc21936"/>
      <w:r>
        <w:rPr>
          <w:rFonts w:hint="eastAsia" w:ascii="宋体" w:hAnsi="宋体" w:eastAsia="宋体" w:cs="宋体"/>
          <w:b/>
          <w:bCs/>
          <w:color w:val="000000" w:themeColor="text1"/>
          <w:sz w:val="24"/>
          <w:szCs w:val="24"/>
          <w:highlight w:val="none"/>
          <w:lang w:eastAsia="zh-CN"/>
          <w14:textFill>
            <w14:solidFill>
              <w14:schemeClr w14:val="tx1"/>
            </w14:solidFill>
          </w14:textFill>
        </w:rPr>
        <w:t>10.5定标文件的编制要求：</w:t>
      </w:r>
    </w:p>
    <w:p w14:paraId="4CF15BB9">
      <w:pPr>
        <w:wordWrap w:val="0"/>
        <w:spacing w:before="152" w:line="279" w:lineRule="auto"/>
        <w:ind w:right="196"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10.5.1 定标文件包括以下内容：</w:t>
      </w:r>
    </w:p>
    <w:p w14:paraId="5904E37A">
      <w:pPr>
        <w:wordWrap w:val="0"/>
        <w:spacing w:before="152" w:line="279" w:lineRule="auto"/>
        <w:ind w:right="196" w:firstLine="480" w:firstLineChars="200"/>
        <w:rPr>
          <w:color w:val="000000" w:themeColor="text1"/>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（1）封面（格式一）</w:t>
      </w:r>
    </w:p>
    <w:p w14:paraId="3E8FB86A">
      <w:pPr>
        <w:wordWrap w:val="0"/>
        <w:spacing w:before="152" w:line="279" w:lineRule="auto"/>
        <w:ind w:right="196"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(2)定标因素评审资料（格式十六）</w:t>
      </w:r>
    </w:p>
    <w:p w14:paraId="2298A603">
      <w:pPr>
        <w:keepNext w:val="0"/>
        <w:keepLines w:val="0"/>
        <w:pageBreakBefore w:val="0"/>
        <w:wordWrap w:val="0"/>
        <w:overflowPunct/>
        <w:topLinePunct w:val="0"/>
        <w:bidi w:val="0"/>
        <w:spacing w:before="78" w:line="360" w:lineRule="auto"/>
        <w:ind w:left="0" w:leftChars="0" w:firstLine="480" w:firstLineChars="200"/>
        <w:outlineLvl w:val="9"/>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10.5.2 本节第10.5.1目中所列出的组成内容中，第（1）至第（2）项所有投标人均应提供。</w:t>
      </w:r>
    </w:p>
    <w:p w14:paraId="334D0149">
      <w:pPr>
        <w:keepNext w:val="0"/>
        <w:keepLines w:val="0"/>
        <w:pageBreakBefore w:val="0"/>
        <w:wordWrap w:val="0"/>
        <w:overflowPunct/>
        <w:topLinePunct w:val="0"/>
        <w:bidi w:val="0"/>
        <w:spacing w:before="78" w:line="360" w:lineRule="auto"/>
        <w:ind w:left="496"/>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58" w:name="_Toc20976"/>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 </w:t>
      </w:r>
      <w:r>
        <w:rPr>
          <w:rFonts w:hint="eastAsia" w:ascii="宋体" w:hAnsi="宋体" w:eastAsia="宋体" w:cs="宋体"/>
          <w:color w:val="000000" w:themeColor="text1"/>
          <w:spacing w:val="0"/>
          <w:sz w:val="24"/>
          <w:szCs w:val="24"/>
          <w:highlight w:val="none"/>
          <w14:textFill>
            <w14:solidFill>
              <w14:schemeClr w14:val="tx1"/>
            </w14:solidFill>
          </w14:textFill>
        </w:rPr>
        <w:t>电子投标</w:t>
      </w:r>
      <w:bookmarkEnd w:id="57"/>
      <w:bookmarkEnd w:id="58"/>
    </w:p>
    <w:p w14:paraId="2928C8B1">
      <w:pPr>
        <w:keepNext w:val="0"/>
        <w:keepLines w:val="0"/>
        <w:pageBreakBefore w:val="0"/>
        <w:wordWrap w:val="0"/>
        <w:overflowPunct/>
        <w:topLinePunct w:val="0"/>
        <w:bidi w:val="0"/>
        <w:spacing w:before="112" w:line="360" w:lineRule="auto"/>
        <w:ind w:left="10" w:firstLine="48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11.1  </w:t>
      </w:r>
      <w:r>
        <w:rPr>
          <w:rFonts w:hint="eastAsia" w:ascii="宋体" w:hAnsi="宋体" w:eastAsia="宋体" w:cs="宋体"/>
          <w:color w:val="000000" w:themeColor="text1"/>
          <w:spacing w:val="0"/>
          <w:sz w:val="24"/>
          <w:szCs w:val="24"/>
          <w:highlight w:val="none"/>
          <w14:textFill>
            <w14:solidFill>
              <w14:schemeClr w14:val="tx1"/>
            </w14:solidFill>
          </w14:textFill>
        </w:rPr>
        <w:t>在建设工程交易系统上传加盖了电子印章的投标文件、录入相关信息及标书页码信息，</w:t>
      </w:r>
      <w:r>
        <w:rPr>
          <w:rFonts w:hint="eastAsia" w:ascii="宋体" w:hAnsi="宋体" w:eastAsia="宋体" w:cs="宋体"/>
          <w:b/>
          <w:bCs/>
          <w:color w:val="000000" w:themeColor="text1"/>
          <w:spacing w:val="0"/>
          <w:sz w:val="24"/>
          <w:szCs w:val="24"/>
          <w:highlight w:val="none"/>
          <w14:textFill>
            <w14:solidFill>
              <w14:schemeClr w14:val="tx1"/>
            </w14:solidFill>
          </w14:textFill>
        </w:rPr>
        <w:t>（页码起始从封面开始）</w:t>
      </w:r>
      <w:r>
        <w:rPr>
          <w:rFonts w:hint="eastAsia" w:ascii="宋体" w:hAnsi="宋体" w:eastAsia="宋体" w:cs="宋体"/>
          <w:color w:val="000000" w:themeColor="text1"/>
          <w:spacing w:val="0"/>
          <w:sz w:val="24"/>
          <w:szCs w:val="24"/>
          <w:highlight w:val="none"/>
          <w14:textFill>
            <w14:solidFill>
              <w14:schemeClr w14:val="tx1"/>
            </w14:solidFill>
          </w14:textFill>
        </w:rPr>
        <w:t>并提交投标标书。提交标书为已加密投标文件。 具体操作参照《韶关市公共资源建设工程交易系统-投标人操作指南（电子评标）》。本项目评标采用全流程电子化进行招标投标（投标人应根据韶关市公共资源建设工程交易系统进行编辑投标相关内容、按招标文件电子投标要求上传已加盖电子印章投标文件，否则将自行承担不利后果）。投标文件完成上传后，投标人应使用 CA 数字证书对投标文件进行文件加密，形成加密的投标文件并提交标书。</w:t>
      </w:r>
    </w:p>
    <w:p w14:paraId="71973AD4">
      <w:pPr>
        <w:keepNext w:val="0"/>
        <w:keepLines w:val="0"/>
        <w:pageBreakBefore w:val="0"/>
        <w:wordWrap w:val="0"/>
        <w:overflowPunct/>
        <w:topLinePunct w:val="0"/>
        <w:bidi w:val="0"/>
        <w:spacing w:before="115" w:line="360" w:lineRule="auto"/>
        <w:ind w:left="10" w:right="81" w:firstLine="485"/>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11.2  </w:t>
      </w:r>
      <w:r>
        <w:rPr>
          <w:rFonts w:hint="eastAsia" w:ascii="宋体" w:hAnsi="宋体" w:eastAsia="宋体" w:cs="宋体"/>
          <w:color w:val="000000" w:themeColor="text1"/>
          <w:spacing w:val="0"/>
          <w:sz w:val="24"/>
          <w:szCs w:val="24"/>
          <w:highlight w:val="none"/>
          <w14:textFill>
            <w14:solidFill>
              <w14:schemeClr w14:val="tx1"/>
            </w14:solidFill>
          </w14:textFill>
        </w:rPr>
        <w:t>电子投标文件的修改、撤回：在提交投标文件截止时间前，投标人可以修改或撤回未解密的电子投标文件，并于提交投标文件截止时间前将重新上传修改后的电子投标文件至系统，到达投标文件提交截止时间后投标人不得撤回、补充、修改和更换投标文件。</w:t>
      </w:r>
    </w:p>
    <w:p w14:paraId="05B82554">
      <w:pPr>
        <w:keepNext w:val="0"/>
        <w:keepLines w:val="0"/>
        <w:pageBreakBefore w:val="0"/>
        <w:widowControl/>
        <w:numPr>
          <w:ilvl w:val="0"/>
          <w:numId w:val="0"/>
        </w:numPr>
        <w:kinsoku w:val="0"/>
        <w:wordWrap w:val="0"/>
        <w:overflowPunct/>
        <w:topLinePunct w:val="0"/>
        <w:autoSpaceDE w:val="0"/>
        <w:autoSpaceDN w:val="0"/>
        <w:bidi w:val="0"/>
        <w:adjustRightInd w:val="0"/>
        <w:snapToGrid w:val="0"/>
        <w:spacing w:before="78" w:line="286" w:lineRule="auto"/>
        <w:ind w:firstLine="482" w:firstLineChars="200"/>
        <w:textAlignment w:val="baseline"/>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59" w:name="_Toc27655"/>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12.</w:t>
      </w:r>
      <w:r>
        <w:rPr>
          <w:rFonts w:hint="eastAsia" w:ascii="宋体" w:hAnsi="宋体" w:eastAsia="宋体" w:cs="宋体"/>
          <w:b/>
          <w:bCs/>
          <w:color w:val="000000" w:themeColor="text1"/>
          <w:spacing w:val="0"/>
          <w:w w:val="101"/>
          <w:sz w:val="24"/>
          <w:szCs w:val="24"/>
          <w:highlight w:val="none"/>
          <w14:textFill>
            <w14:solidFill>
              <w14:schemeClr w14:val="tx1"/>
            </w14:solidFill>
          </w14:textFill>
        </w:rPr>
        <w:t xml:space="preserve"> </w:t>
      </w:r>
      <w:bookmarkStart w:id="60" w:name="_Toc29834"/>
      <w:r>
        <w:rPr>
          <w:rFonts w:hint="eastAsia" w:ascii="宋体" w:hAnsi="宋体" w:eastAsia="宋体" w:cs="宋体"/>
          <w:b/>
          <w:bCs/>
          <w:color w:val="000000" w:themeColor="text1"/>
          <w:spacing w:val="0"/>
          <w:sz w:val="24"/>
          <w:szCs w:val="24"/>
          <w:highlight w:val="none"/>
          <w14:textFill>
            <w14:solidFill>
              <w14:schemeClr w14:val="tx1"/>
            </w14:solidFill>
          </w14:textFill>
        </w:rPr>
        <w:t>电子投标及投标解密失败及突发情况的补救方案</w:t>
      </w:r>
      <w:bookmarkEnd w:id="59"/>
      <w:bookmarkEnd w:id="60"/>
    </w:p>
    <w:p w14:paraId="656A950F">
      <w:pPr>
        <w:keepNext w:val="0"/>
        <w:keepLines w:val="0"/>
        <w:pageBreakBefore w:val="0"/>
        <w:widowControl/>
        <w:kinsoku w:val="0"/>
        <w:wordWrap w:val="0"/>
        <w:overflowPunct/>
        <w:topLinePunct w:val="0"/>
        <w:autoSpaceDE w:val="0"/>
        <w:autoSpaceDN w:val="0"/>
        <w:bidi w:val="0"/>
        <w:adjustRightInd w:val="0"/>
        <w:snapToGrid w:val="0"/>
        <w:spacing w:before="78" w:line="286" w:lineRule="auto"/>
        <w:ind w:firstLine="482"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12.1 </w:t>
      </w:r>
      <w:r>
        <w:rPr>
          <w:rFonts w:hint="eastAsia" w:ascii="宋体" w:hAnsi="宋体" w:eastAsia="宋体" w:cs="宋体"/>
          <w:color w:val="000000" w:themeColor="text1"/>
          <w:spacing w:val="0"/>
          <w:sz w:val="24"/>
          <w:szCs w:val="24"/>
          <w:highlight w:val="none"/>
          <w14:textFill>
            <w14:solidFill>
              <w14:schemeClr w14:val="tx1"/>
            </w14:solidFill>
          </w14:textFill>
        </w:rPr>
        <w:t>按照交易平台关于全流程电子化项目的相关指南进行操作。详见：全国公共资源交易平台（广东省 ·韶关市）（https://ygp.gdzwfw.gov.cn/ggzy-portal/#/44 0200/index）服务指南栏目发布的最新版操作指引。</w:t>
      </w:r>
    </w:p>
    <w:p w14:paraId="3E34A594">
      <w:pPr>
        <w:keepNext w:val="0"/>
        <w:keepLines w:val="0"/>
        <w:pageBreakBefore w:val="0"/>
        <w:widowControl/>
        <w:kinsoku w:val="0"/>
        <w:wordWrap w:val="0"/>
        <w:overflowPunct/>
        <w:topLinePunct w:val="0"/>
        <w:autoSpaceDE w:val="0"/>
        <w:autoSpaceDN w:val="0"/>
        <w:bidi w:val="0"/>
        <w:adjustRightInd w:val="0"/>
        <w:snapToGrid w:val="0"/>
        <w:spacing w:before="113" w:line="286" w:lineRule="auto"/>
        <w:ind w:left="496"/>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12.2  </w:t>
      </w:r>
      <w:r>
        <w:rPr>
          <w:rFonts w:hint="eastAsia" w:ascii="宋体" w:hAnsi="宋体" w:eastAsia="宋体" w:cs="宋体"/>
          <w:color w:val="000000" w:themeColor="text1"/>
          <w:spacing w:val="0"/>
          <w:sz w:val="24"/>
          <w:szCs w:val="24"/>
          <w:highlight w:val="none"/>
          <w14:textFill>
            <w14:solidFill>
              <w14:schemeClr w14:val="tx1"/>
            </w14:solidFill>
          </w14:textFill>
        </w:rPr>
        <w:t>补救方案：</w:t>
      </w:r>
    </w:p>
    <w:p w14:paraId="7A5C0062">
      <w:pPr>
        <w:keepNext w:val="0"/>
        <w:keepLines w:val="0"/>
        <w:pageBreakBefore w:val="0"/>
        <w:wordWrap w:val="0"/>
        <w:overflowPunct/>
        <w:topLinePunct w:val="0"/>
        <w:bidi w:val="0"/>
        <w:spacing w:before="115" w:line="220"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12.2.1  </w:t>
      </w:r>
      <w:r>
        <w:rPr>
          <w:rFonts w:hint="eastAsia" w:ascii="宋体" w:hAnsi="宋体" w:eastAsia="宋体" w:cs="宋体"/>
          <w:color w:val="000000" w:themeColor="text1"/>
          <w:spacing w:val="0"/>
          <w:sz w:val="24"/>
          <w:szCs w:val="24"/>
          <w:highlight w:val="none"/>
          <w14:textFill>
            <w14:solidFill>
              <w14:schemeClr w14:val="tx1"/>
            </w14:solidFill>
          </w14:textFill>
        </w:rPr>
        <w:t>投标文件解密失败的补救方案：</w:t>
      </w:r>
    </w:p>
    <w:p w14:paraId="2D1DE68F">
      <w:pPr>
        <w:keepNext w:val="0"/>
        <w:keepLines w:val="0"/>
        <w:pageBreakBefore w:val="0"/>
        <w:wordWrap w:val="0"/>
        <w:overflowPunct/>
        <w:topLinePunct w:val="0"/>
        <w:bidi w:val="0"/>
        <w:spacing w:before="115" w:line="298" w:lineRule="auto"/>
        <w:ind w:right="81"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 30 分钟内）内</w:t>
      </w:r>
      <w:bookmarkStart w:id="61" w:name="bookmark122"/>
      <w:bookmarkEnd w:id="61"/>
      <w:r>
        <w:rPr>
          <w:rFonts w:hint="eastAsia" w:ascii="宋体" w:hAnsi="宋体" w:eastAsia="宋体" w:cs="宋体"/>
          <w:color w:val="000000" w:themeColor="text1"/>
          <w:spacing w:val="0"/>
          <w:sz w:val="24"/>
          <w:szCs w:val="24"/>
          <w:highlight w:val="none"/>
          <w14:textFill>
            <w14:solidFill>
              <w14:schemeClr w14:val="tx1"/>
            </w14:solidFill>
          </w14:textFill>
        </w:rPr>
        <w:t>重新提交投标文件继续开标程序。</w:t>
      </w:r>
    </w:p>
    <w:p w14:paraId="0F175F6A">
      <w:pPr>
        <w:keepNext w:val="0"/>
        <w:keepLines w:val="0"/>
        <w:pageBreakBefore w:val="0"/>
        <w:wordWrap w:val="0"/>
        <w:overflowPunct/>
        <w:topLinePunct w:val="0"/>
        <w:bidi w:val="0"/>
        <w:spacing w:before="114" w:line="220"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12.2.2  </w:t>
      </w:r>
      <w:r>
        <w:rPr>
          <w:rFonts w:hint="eastAsia" w:ascii="宋体" w:hAnsi="宋体" w:eastAsia="宋体" w:cs="宋体"/>
          <w:color w:val="000000" w:themeColor="text1"/>
          <w:spacing w:val="0"/>
          <w:sz w:val="24"/>
          <w:szCs w:val="24"/>
          <w:highlight w:val="none"/>
          <w14:textFill>
            <w14:solidFill>
              <w14:schemeClr w14:val="tx1"/>
            </w14:solidFill>
          </w14:textFill>
        </w:rPr>
        <w:t>评标时突发情况的补救方案</w:t>
      </w:r>
    </w:p>
    <w:p w14:paraId="5863CD1F">
      <w:pPr>
        <w:keepNext w:val="0"/>
        <w:keepLines w:val="0"/>
        <w:pageBreakBefore w:val="0"/>
        <w:wordWrap w:val="0"/>
        <w:overflowPunct/>
        <w:topLinePunct w:val="0"/>
        <w:bidi w:val="0"/>
        <w:spacing w:before="114" w:line="303" w:lineRule="auto"/>
        <w:ind w:right="81"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在评标过程中，因主场或副场网络故障、电子设备或者评标系统故障，以及其他原因导致无法继续进行评标时，在 4 小时以内解除故障的可继续评标，超过 4 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p>
    <w:p w14:paraId="58ACD5FB">
      <w:pPr>
        <w:keepNext w:val="0"/>
        <w:keepLines w:val="0"/>
        <w:pageBreakBefore w:val="0"/>
        <w:wordWrap w:val="0"/>
        <w:overflowPunct/>
        <w:topLinePunct w:val="0"/>
        <w:bidi w:val="0"/>
        <w:spacing w:before="69" w:line="324" w:lineRule="auto"/>
        <w:ind w:left="11" w:right="81" w:firstLine="484"/>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12.2.3  </w:t>
      </w:r>
      <w:r>
        <w:rPr>
          <w:rFonts w:hint="eastAsia" w:ascii="宋体" w:hAnsi="宋体" w:eastAsia="宋体" w:cs="宋体"/>
          <w:color w:val="000000" w:themeColor="text1"/>
          <w:spacing w:val="0"/>
          <w:sz w:val="24"/>
          <w:szCs w:val="24"/>
          <w:highlight w:val="none"/>
          <w14:textFill>
            <w14:solidFill>
              <w14:schemeClr w14:val="tx1"/>
            </w14:solidFill>
          </w14:textFill>
        </w:rPr>
        <w:t>除发生上述情况外，开标评标均以投标人（联合体投标的，由联合体牵头人）通过交易平台网上递交的电子投标文件为准。</w:t>
      </w:r>
    </w:p>
    <w:p w14:paraId="5DCEDB99">
      <w:pPr>
        <w:keepNext w:val="0"/>
        <w:keepLines w:val="0"/>
        <w:pageBreakBefore w:val="0"/>
        <w:wordWrap w:val="0"/>
        <w:overflowPunct/>
        <w:topLinePunct w:val="0"/>
        <w:bidi w:val="0"/>
        <w:spacing w:before="78" w:line="220" w:lineRule="auto"/>
        <w:ind w:left="496"/>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62" w:name="_Toc27195"/>
      <w:bookmarkStart w:id="63" w:name="_Toc9348"/>
      <w:r>
        <w:rPr>
          <w:rFonts w:hint="eastAsia" w:ascii="宋体" w:hAnsi="宋体" w:eastAsia="宋体" w:cs="宋体"/>
          <w:b/>
          <w:bCs/>
          <w:color w:val="000000" w:themeColor="text1"/>
          <w:spacing w:val="0"/>
          <w:sz w:val="24"/>
          <w:szCs w:val="24"/>
          <w:highlight w:val="none"/>
          <w14:textFill>
            <w14:solidFill>
              <w14:schemeClr w14:val="tx1"/>
            </w14:solidFill>
          </w14:textFill>
        </w:rPr>
        <w:t>13 ．投标文件的提交</w:t>
      </w:r>
      <w:bookmarkEnd w:id="62"/>
      <w:bookmarkEnd w:id="63"/>
    </w:p>
    <w:p w14:paraId="7068EE2E">
      <w:pPr>
        <w:keepNext w:val="0"/>
        <w:keepLines w:val="0"/>
        <w:pageBreakBefore w:val="0"/>
        <w:wordWrap w:val="0"/>
        <w:overflowPunct/>
        <w:topLinePunct w:val="0"/>
        <w:bidi w:val="0"/>
        <w:spacing w:before="123" w:line="278" w:lineRule="auto"/>
        <w:ind w:left="13" w:right="81" w:firstLine="48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13.1  </w:t>
      </w:r>
      <w:r>
        <w:rPr>
          <w:rFonts w:hint="eastAsia" w:ascii="宋体" w:hAnsi="宋体" w:eastAsia="宋体" w:cs="宋体"/>
          <w:color w:val="000000" w:themeColor="text1"/>
          <w:spacing w:val="0"/>
          <w:sz w:val="24"/>
          <w:szCs w:val="24"/>
          <w:highlight w:val="none"/>
          <w14:textFill>
            <w14:solidFill>
              <w14:schemeClr w14:val="tx1"/>
            </w14:solidFill>
          </w14:textFill>
        </w:rPr>
        <w:t>在投标文件提交截止时间前，投标人通过全国公共资源交易平台（广东省 ·韶关市）提交已加密投标文件。逾期提交的电子投标文件，全国公共资源交易平台（广东省 ·韶关市）将予以拒收。</w:t>
      </w:r>
    </w:p>
    <w:p w14:paraId="09924D0F">
      <w:pPr>
        <w:keepNext w:val="0"/>
        <w:keepLines w:val="0"/>
        <w:pageBreakBefore w:val="0"/>
        <w:wordWrap w:val="0"/>
        <w:overflowPunct/>
        <w:topLinePunct w:val="0"/>
        <w:bidi w:val="0"/>
        <w:spacing w:before="115" w:line="219"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13.2  </w:t>
      </w:r>
      <w:r>
        <w:rPr>
          <w:rFonts w:hint="eastAsia" w:ascii="宋体" w:hAnsi="宋体" w:eastAsia="宋体" w:cs="宋体"/>
          <w:color w:val="000000" w:themeColor="text1"/>
          <w:spacing w:val="0"/>
          <w:sz w:val="24"/>
          <w:szCs w:val="24"/>
          <w:highlight w:val="none"/>
          <w14:textFill>
            <w14:solidFill>
              <w14:schemeClr w14:val="tx1"/>
            </w14:solidFill>
          </w14:textFill>
        </w:rPr>
        <w:t>提交时间和地点：见本章第二节“重要事项时间地点一览表 ”</w:t>
      </w:r>
    </w:p>
    <w:p w14:paraId="683F40A3">
      <w:pPr>
        <w:keepNext w:val="0"/>
        <w:keepLines w:val="0"/>
        <w:pageBreakBefore w:val="0"/>
        <w:wordWrap w:val="0"/>
        <w:overflowPunct/>
        <w:topLinePunct w:val="0"/>
        <w:bidi w:val="0"/>
        <w:spacing w:before="113" w:line="279" w:lineRule="auto"/>
        <w:ind w:left="9" w:right="24" w:firstLine="48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13.3  </w:t>
      </w:r>
      <w:r>
        <w:rPr>
          <w:rFonts w:hint="eastAsia" w:ascii="宋体" w:hAnsi="宋体" w:eastAsia="宋体" w:cs="宋体"/>
          <w:color w:val="000000" w:themeColor="text1"/>
          <w:spacing w:val="0"/>
          <w:sz w:val="24"/>
          <w:szCs w:val="24"/>
          <w:highlight w:val="none"/>
          <w14:textFill>
            <w14:solidFill>
              <w14:schemeClr w14:val="tx1"/>
            </w14:solidFill>
          </w14:textFill>
        </w:rPr>
        <w:t>递交时间和地点：投标人如有招标文件要求提交的用于评审的证书、证件、证明原件（附一式两份清单），由投标人法定代表人或其委托代理人在指定的时间和地点递交（见“重要事项时间地点一览表 ”）。</w:t>
      </w:r>
    </w:p>
    <w:p w14:paraId="1E722792">
      <w:pPr>
        <w:keepNext w:val="0"/>
        <w:keepLines w:val="0"/>
        <w:pageBreakBefore w:val="0"/>
        <w:wordWrap w:val="0"/>
        <w:overflowPunct/>
        <w:topLinePunct w:val="0"/>
        <w:bidi w:val="0"/>
        <w:spacing w:before="112" w:line="219" w:lineRule="auto"/>
        <w:ind w:firstLine="482" w:firstLineChars="20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13.4  </w:t>
      </w:r>
      <w:r>
        <w:rPr>
          <w:rFonts w:hint="eastAsia" w:ascii="宋体" w:hAnsi="宋体" w:eastAsia="宋体" w:cs="宋体"/>
          <w:color w:val="000000" w:themeColor="text1"/>
          <w:spacing w:val="0"/>
          <w:sz w:val="24"/>
          <w:szCs w:val="24"/>
          <w:highlight w:val="none"/>
          <w14:textFill>
            <w14:solidFill>
              <w14:schemeClr w14:val="tx1"/>
            </w14:solidFill>
          </w14:textFill>
        </w:rPr>
        <w:t>代理机构对因不可抗力事件造成的投标文件的损坏、丢失的，不承担责任。</w:t>
      </w:r>
    </w:p>
    <w:p w14:paraId="458845F2">
      <w:pPr>
        <w:keepNext w:val="0"/>
        <w:keepLines w:val="0"/>
        <w:pageBreakBefore w:val="0"/>
        <w:wordWrap w:val="0"/>
        <w:overflowPunct/>
        <w:topLinePunct w:val="0"/>
        <w:bidi w:val="0"/>
        <w:spacing w:before="116" w:line="220"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13.5  </w:t>
      </w:r>
      <w:r>
        <w:rPr>
          <w:rFonts w:hint="eastAsia" w:ascii="宋体" w:hAnsi="宋体" w:eastAsia="宋体" w:cs="宋体"/>
          <w:color w:val="000000" w:themeColor="text1"/>
          <w:spacing w:val="0"/>
          <w:sz w:val="24"/>
          <w:szCs w:val="24"/>
          <w:highlight w:val="none"/>
          <w14:textFill>
            <w14:solidFill>
              <w14:schemeClr w14:val="tx1"/>
            </w14:solidFill>
          </w14:textFill>
        </w:rPr>
        <w:t>出现下述情形之一，属于未成功提交投标文件，按无效投标处理：</w:t>
      </w:r>
    </w:p>
    <w:p w14:paraId="26FD4E45">
      <w:pPr>
        <w:keepNext w:val="0"/>
        <w:keepLines w:val="0"/>
        <w:pageBreakBefore w:val="0"/>
        <w:wordWrap w:val="0"/>
        <w:overflowPunct/>
        <w:topLinePunct w:val="0"/>
        <w:bidi w:val="0"/>
        <w:spacing w:before="115" w:line="219" w:lineRule="auto"/>
        <w:ind w:left="74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（1）至提交投标文件截止时，投标文件未完整上传及提交标书；</w:t>
      </w:r>
    </w:p>
    <w:p w14:paraId="0801F50A">
      <w:pPr>
        <w:keepNext w:val="0"/>
        <w:keepLines w:val="0"/>
        <w:pageBreakBefore w:val="0"/>
        <w:wordWrap w:val="0"/>
        <w:overflowPunct/>
        <w:topLinePunct w:val="0"/>
        <w:bidi w:val="0"/>
        <w:spacing w:before="114" w:line="220" w:lineRule="auto"/>
        <w:ind w:left="74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（2）解密失败且在规定时间内未重新提交投标文件的；</w:t>
      </w:r>
    </w:p>
    <w:p w14:paraId="04D5C6EB">
      <w:pPr>
        <w:keepNext w:val="0"/>
        <w:keepLines w:val="0"/>
        <w:pageBreakBefore w:val="0"/>
        <w:wordWrap w:val="0"/>
        <w:overflowPunct/>
        <w:topLinePunct w:val="0"/>
        <w:bidi w:val="0"/>
        <w:spacing w:before="115" w:line="220" w:lineRule="auto"/>
        <w:ind w:left="74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（3）投标文件损坏或格式不正确的；</w:t>
      </w:r>
    </w:p>
    <w:p w14:paraId="43D9083E">
      <w:pPr>
        <w:keepNext w:val="0"/>
        <w:keepLines w:val="0"/>
        <w:pageBreakBefore w:val="0"/>
        <w:wordWrap w:val="0"/>
        <w:overflowPunct/>
        <w:topLinePunct w:val="0"/>
        <w:bidi w:val="0"/>
        <w:spacing w:before="115" w:line="219"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13.6  </w:t>
      </w:r>
      <w:r>
        <w:rPr>
          <w:rFonts w:hint="eastAsia" w:ascii="宋体" w:hAnsi="宋体" w:eastAsia="宋体" w:cs="宋体"/>
          <w:color w:val="000000" w:themeColor="text1"/>
          <w:spacing w:val="0"/>
          <w:sz w:val="24"/>
          <w:szCs w:val="24"/>
          <w:highlight w:val="none"/>
          <w14:textFill>
            <w14:solidFill>
              <w14:schemeClr w14:val="tx1"/>
            </w14:solidFill>
          </w14:textFill>
        </w:rPr>
        <w:t>联合体投标的，由联合体牵头人按以上要求递交相关资料。</w:t>
      </w:r>
    </w:p>
    <w:p w14:paraId="7FCFB836">
      <w:pPr>
        <w:keepNext w:val="0"/>
        <w:keepLines w:val="0"/>
        <w:pageBreakBefore w:val="0"/>
        <w:widowControl/>
        <w:kinsoku w:val="0"/>
        <w:wordWrap w:val="0"/>
        <w:overflowPunct/>
        <w:topLinePunct w:val="0"/>
        <w:autoSpaceDE w:val="0"/>
        <w:autoSpaceDN w:val="0"/>
        <w:bidi w:val="0"/>
        <w:adjustRightInd w:val="0"/>
        <w:snapToGrid w:val="0"/>
        <w:spacing w:before="113" w:line="286" w:lineRule="auto"/>
        <w:ind w:left="11" w:right="23" w:firstLine="488"/>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13.7  </w:t>
      </w:r>
      <w:r>
        <w:rPr>
          <w:rFonts w:hint="eastAsia" w:ascii="宋体" w:hAnsi="宋体" w:eastAsia="宋体" w:cs="宋体"/>
          <w:color w:val="000000" w:themeColor="text1"/>
          <w:spacing w:val="0"/>
          <w:sz w:val="24"/>
          <w:szCs w:val="24"/>
          <w:highlight w:val="none"/>
          <w14:textFill>
            <w14:solidFill>
              <w14:schemeClr w14:val="tx1"/>
            </w14:solidFill>
          </w14:textFill>
        </w:rPr>
        <w:t>招标人或其授权的招标代理机构核对、接收投标人递交的投标相关资料后，应向投标人出具标明签收人和签收时间的凭证，并妥善保管。</w:t>
      </w:r>
    </w:p>
    <w:p w14:paraId="465B9D6E">
      <w:pPr>
        <w:keepNext w:val="0"/>
        <w:keepLines w:val="0"/>
        <w:pageBreakBefore w:val="0"/>
        <w:wordWrap w:val="0"/>
        <w:overflowPunct/>
        <w:topLinePunct w:val="0"/>
        <w:bidi w:val="0"/>
        <w:spacing w:before="113" w:line="279" w:lineRule="auto"/>
        <w:ind w:left="9" w:right="24" w:firstLine="48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13.8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本次招标投标有效期为</w:t>
      </w:r>
      <w:r>
        <w:rPr>
          <w:rFonts w:hint="eastAsia" w:ascii="宋体" w:hAnsi="宋体" w:eastAsia="宋体" w:cs="宋体"/>
          <w:color w:val="000000" w:themeColor="text1"/>
          <w:spacing w:val="0"/>
          <w:sz w:val="24"/>
          <w:szCs w:val="24"/>
          <w:highlight w:val="none"/>
          <w:u w:val="single"/>
          <w:lang w:eastAsia="zh-CN"/>
          <w14:textFill>
            <w14:solidFill>
              <w14:schemeClr w14:val="tx1"/>
            </w14:solidFill>
          </w14:textFill>
        </w:rPr>
        <w:t>90</w:t>
      </w:r>
      <w:r>
        <w:rPr>
          <w:rFonts w:hint="eastAsia" w:ascii="宋体" w:hAnsi="宋体" w:eastAsia="宋体" w:cs="宋体"/>
          <w:color w:val="000000" w:themeColor="text1"/>
          <w:spacing w:val="0"/>
          <w:sz w:val="24"/>
          <w:szCs w:val="24"/>
          <w:highlight w:val="none"/>
          <w14:textFill>
            <w14:solidFill>
              <w14:schemeClr w14:val="tx1"/>
            </w14:solidFill>
          </w14:textFill>
        </w:rPr>
        <w:t>个日历天，投标有效期从提交投标文件的截止之日起计算。在此期间，投标人不得撤销或修改其投标文件，否则其投标保证不予退还。</w:t>
      </w:r>
    </w:p>
    <w:p w14:paraId="2CB00EB8">
      <w:pPr>
        <w:keepNext w:val="0"/>
        <w:keepLines w:val="0"/>
        <w:pageBreakBefore w:val="0"/>
        <w:wordWrap w:val="0"/>
        <w:overflowPunct/>
        <w:topLinePunct w:val="0"/>
        <w:bidi w:val="0"/>
        <w:spacing w:before="145" w:line="221" w:lineRule="auto"/>
        <w:ind w:left="496"/>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64" w:name="_Toc22047"/>
      <w:bookmarkStart w:id="65" w:name="_Toc21683"/>
      <w:r>
        <w:rPr>
          <w:rFonts w:hint="eastAsia" w:ascii="宋体" w:hAnsi="宋体" w:eastAsia="宋体" w:cs="宋体"/>
          <w:b/>
          <w:bCs/>
          <w:color w:val="000000" w:themeColor="text1"/>
          <w:spacing w:val="0"/>
          <w:sz w:val="24"/>
          <w:szCs w:val="24"/>
          <w:highlight w:val="none"/>
          <w14:textFill>
            <w14:solidFill>
              <w14:schemeClr w14:val="tx1"/>
            </w14:solidFill>
          </w14:textFill>
        </w:rPr>
        <w:t>14 ．开标</w:t>
      </w:r>
      <w:bookmarkEnd w:id="64"/>
      <w:bookmarkEnd w:id="65"/>
    </w:p>
    <w:p w14:paraId="034EB3D3">
      <w:pPr>
        <w:keepNext w:val="0"/>
        <w:keepLines w:val="0"/>
        <w:pageBreakBefore w:val="0"/>
        <w:wordWrap w:val="0"/>
        <w:overflowPunct/>
        <w:topLinePunct w:val="0"/>
        <w:bidi w:val="0"/>
        <w:spacing w:before="155" w:line="329" w:lineRule="auto"/>
        <w:ind w:left="10" w:right="81" w:firstLine="485"/>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14.1  </w:t>
      </w:r>
      <w:r>
        <w:rPr>
          <w:rFonts w:hint="eastAsia" w:ascii="宋体" w:hAnsi="宋体" w:eastAsia="宋体" w:cs="宋体"/>
          <w:color w:val="000000" w:themeColor="text1"/>
          <w:spacing w:val="0"/>
          <w:sz w:val="24"/>
          <w:szCs w:val="24"/>
          <w:highlight w:val="none"/>
          <w14:textFill>
            <w14:solidFill>
              <w14:schemeClr w14:val="tx1"/>
            </w14:solidFill>
          </w14:textFill>
        </w:rPr>
        <w:t>招标人邀请所有正确获取招标文件、电子投标、缴纳投标保证的投标人参加开标，投标人可自主决定是否参加。投标人可登陆交易平台观看开标实况、提出异议或进行澄清、确认等操作（具体按招标文件和系统操作手册为准）。投标人不参加开</w:t>
      </w:r>
      <w:bookmarkStart w:id="66" w:name="bookmark123"/>
      <w:bookmarkEnd w:id="66"/>
      <w:r>
        <w:rPr>
          <w:rFonts w:hint="eastAsia" w:ascii="宋体" w:hAnsi="宋体" w:eastAsia="宋体" w:cs="宋体"/>
          <w:color w:val="000000" w:themeColor="text1"/>
          <w:spacing w:val="0"/>
          <w:sz w:val="24"/>
          <w:szCs w:val="24"/>
          <w:highlight w:val="none"/>
          <w14:textFill>
            <w14:solidFill>
              <w14:schemeClr w14:val="tx1"/>
            </w14:solidFill>
          </w14:textFill>
        </w:rPr>
        <w:t>标的，视其默认开标结果，以及放弃在开标期间见证、监督、投诉、申辩的权利。</w:t>
      </w:r>
    </w:p>
    <w:p w14:paraId="05862D79">
      <w:pPr>
        <w:keepNext w:val="0"/>
        <w:keepLines w:val="0"/>
        <w:pageBreakBefore w:val="0"/>
        <w:wordWrap w:val="0"/>
        <w:overflowPunct/>
        <w:topLinePunct w:val="0"/>
        <w:bidi w:val="0"/>
        <w:spacing w:before="156" w:line="219"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14.1.1  </w:t>
      </w:r>
      <w:r>
        <w:rPr>
          <w:rFonts w:hint="eastAsia" w:ascii="宋体" w:hAnsi="宋体" w:eastAsia="宋体" w:cs="宋体"/>
          <w:color w:val="000000" w:themeColor="text1"/>
          <w:spacing w:val="0"/>
          <w:sz w:val="24"/>
          <w:szCs w:val="24"/>
          <w:highlight w:val="none"/>
          <w14:textFill>
            <w14:solidFill>
              <w14:schemeClr w14:val="tx1"/>
            </w14:solidFill>
          </w14:textFill>
        </w:rPr>
        <w:t>开标时间和地点：见本章第二节“重要事项时间地点一览表 ”。</w:t>
      </w:r>
    </w:p>
    <w:p w14:paraId="08F091B7">
      <w:pPr>
        <w:keepNext w:val="0"/>
        <w:keepLines w:val="0"/>
        <w:pageBreakBefore w:val="0"/>
        <w:widowControl/>
        <w:kinsoku w:val="0"/>
        <w:wordWrap w:val="0"/>
        <w:overflowPunct/>
        <w:topLinePunct w:val="0"/>
        <w:autoSpaceDE w:val="0"/>
        <w:autoSpaceDN w:val="0"/>
        <w:bidi w:val="0"/>
        <w:adjustRightInd w:val="0"/>
        <w:snapToGrid w:val="0"/>
        <w:spacing w:before="153" w:line="320" w:lineRule="auto"/>
        <w:ind w:left="11" w:firstLine="488"/>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14.1.2 </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开标前 24 小时，若建设工程交易系统显示缴纳投标保证（包括投标保证金、投标保证担保、投标保证保险）的投标人数量不足 3 个时，招标人将取消原定于次日召开的开标活动。投标人可在投标保证缴纳截止时间（见本章第二节“重要事项时间 地点一览表 ”）至电子投标截止时间（见本章第二节“重要事项时间地点一览表 ”） 期间登录全国公共资源交易平台（广东省 ·韶关市）（https://ygp.gdzwfw.gov.cn/ggzy-portal/#/440200/index）查询是否发布了取消开标活动的相关信息。</w:t>
      </w:r>
    </w:p>
    <w:p w14:paraId="55E539B0">
      <w:pPr>
        <w:keepNext w:val="0"/>
        <w:keepLines w:val="0"/>
        <w:pageBreakBefore w:val="0"/>
        <w:wordWrap w:val="0"/>
        <w:overflowPunct/>
        <w:topLinePunct w:val="0"/>
        <w:bidi w:val="0"/>
        <w:spacing w:before="159" w:line="319" w:lineRule="auto"/>
        <w:ind w:left="10" w:right="80" w:firstLine="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14.1.3</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本项目实行全流程电子化招标投标，投标人在交易平台按要求上传加盖电子印章并经加密的电子投标文件，并在交易平台录入准确的页码信息即可完成在线投标</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7A2CFB6D">
      <w:pPr>
        <w:keepNext w:val="0"/>
        <w:keepLines w:val="0"/>
        <w:pageBreakBefore w:val="0"/>
        <w:wordWrap w:val="0"/>
        <w:overflowPunct/>
        <w:topLinePunct w:val="0"/>
        <w:bidi w:val="0"/>
        <w:spacing w:before="152" w:line="221"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14.2  </w:t>
      </w:r>
      <w:r>
        <w:rPr>
          <w:rFonts w:hint="eastAsia" w:ascii="宋体" w:hAnsi="宋体" w:eastAsia="宋体" w:cs="宋体"/>
          <w:color w:val="000000" w:themeColor="text1"/>
          <w:spacing w:val="0"/>
          <w:sz w:val="24"/>
          <w:szCs w:val="24"/>
          <w:highlight w:val="none"/>
          <w14:textFill>
            <w14:solidFill>
              <w14:schemeClr w14:val="tx1"/>
            </w14:solidFill>
          </w14:textFill>
        </w:rPr>
        <w:t>开标程序</w:t>
      </w:r>
    </w:p>
    <w:p w14:paraId="48C37DE6">
      <w:pPr>
        <w:keepNext w:val="0"/>
        <w:keepLines w:val="0"/>
        <w:pageBreakBefore w:val="0"/>
        <w:wordWrap w:val="0"/>
        <w:overflowPunct/>
        <w:topLinePunct w:val="0"/>
        <w:bidi w:val="0"/>
        <w:spacing w:before="42" w:line="219" w:lineRule="auto"/>
        <w:ind w:left="501"/>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67" w:name="_Toc10291"/>
      <w:bookmarkStart w:id="68" w:name="_Toc10685"/>
      <w:bookmarkStart w:id="69" w:name="_Toc15587"/>
      <w:bookmarkStart w:id="70" w:name="_Toc8314"/>
      <w:r>
        <w:rPr>
          <w:rFonts w:hint="eastAsia" w:ascii="宋体" w:hAnsi="宋体" w:eastAsia="宋体" w:cs="宋体"/>
          <w:color w:val="000000" w:themeColor="text1"/>
          <w:spacing w:val="0"/>
          <w:sz w:val="24"/>
          <w:szCs w:val="24"/>
          <w:highlight w:val="none"/>
          <w14:textFill>
            <w14:solidFill>
              <w14:schemeClr w14:val="tx1"/>
            </w14:solidFill>
          </w14:textFill>
        </w:rPr>
        <w:t>（1）主持人（招标人代表或招标人授权的招标代理机构人员）宣读开标纪律。</w:t>
      </w:r>
      <w:bookmarkEnd w:id="67"/>
      <w:bookmarkEnd w:id="68"/>
      <w:bookmarkEnd w:id="69"/>
      <w:bookmarkEnd w:id="70"/>
    </w:p>
    <w:p w14:paraId="776645C0">
      <w:pPr>
        <w:keepNext w:val="0"/>
        <w:keepLines w:val="0"/>
        <w:pageBreakBefore w:val="0"/>
        <w:wordWrap w:val="0"/>
        <w:overflowPunct/>
        <w:topLinePunct w:val="0"/>
        <w:bidi w:val="0"/>
        <w:spacing w:before="181" w:line="219" w:lineRule="auto"/>
        <w:ind w:left="501"/>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71" w:name="_Toc2011"/>
      <w:bookmarkStart w:id="72" w:name="_Toc20238"/>
      <w:bookmarkStart w:id="73" w:name="_Toc30853"/>
      <w:bookmarkStart w:id="74" w:name="_Toc16292"/>
      <w:r>
        <w:rPr>
          <w:rFonts w:hint="eastAsia" w:ascii="宋体" w:hAnsi="宋体" w:eastAsia="宋体" w:cs="宋体"/>
          <w:color w:val="000000" w:themeColor="text1"/>
          <w:spacing w:val="0"/>
          <w:sz w:val="24"/>
          <w:szCs w:val="24"/>
          <w:highlight w:val="none"/>
          <w14:textFill>
            <w14:solidFill>
              <w14:schemeClr w14:val="tx1"/>
            </w14:solidFill>
          </w14:textFill>
        </w:rPr>
        <w:t>（2）主持人宣布唱标人、记录人、见证人、监督人等有关人员姓名。</w:t>
      </w:r>
      <w:bookmarkEnd w:id="71"/>
      <w:bookmarkEnd w:id="72"/>
      <w:bookmarkEnd w:id="73"/>
      <w:bookmarkEnd w:id="74"/>
    </w:p>
    <w:p w14:paraId="505384A6">
      <w:pPr>
        <w:keepNext w:val="0"/>
        <w:keepLines w:val="0"/>
        <w:pageBreakBefore w:val="0"/>
        <w:wordWrap w:val="0"/>
        <w:overflowPunct/>
        <w:topLinePunct w:val="0"/>
        <w:bidi w:val="0"/>
        <w:spacing w:before="183" w:line="219" w:lineRule="auto"/>
        <w:ind w:left="501"/>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75" w:name="_Toc31716"/>
      <w:bookmarkStart w:id="76" w:name="_Toc1974"/>
      <w:bookmarkStart w:id="77" w:name="_Toc26494"/>
      <w:bookmarkStart w:id="78" w:name="_Toc17462"/>
      <w:r>
        <w:rPr>
          <w:rFonts w:hint="eastAsia" w:ascii="宋体" w:hAnsi="宋体" w:eastAsia="宋体" w:cs="宋体"/>
          <w:color w:val="000000" w:themeColor="text1"/>
          <w:spacing w:val="0"/>
          <w:sz w:val="24"/>
          <w:szCs w:val="24"/>
          <w:highlight w:val="none"/>
          <w14:textFill>
            <w14:solidFill>
              <w14:schemeClr w14:val="tx1"/>
            </w14:solidFill>
          </w14:textFill>
        </w:rPr>
        <w:t>（3）唱标人公布在投标截止时间前进行投标文件的投标人数量和名称</w:t>
      </w:r>
      <w:bookmarkEnd w:id="75"/>
      <w:bookmarkEnd w:id="76"/>
      <w:bookmarkEnd w:id="77"/>
      <w:bookmarkEnd w:id="78"/>
    </w:p>
    <w:p w14:paraId="224B54ED">
      <w:pPr>
        <w:keepNext w:val="0"/>
        <w:keepLines w:val="0"/>
        <w:pageBreakBefore w:val="0"/>
        <w:wordWrap w:val="0"/>
        <w:overflowPunct/>
        <w:topLinePunct w:val="0"/>
        <w:bidi w:val="0"/>
        <w:spacing w:before="181" w:line="219" w:lineRule="auto"/>
        <w:ind w:left="501"/>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79" w:name="_Toc27967"/>
      <w:bookmarkStart w:id="80" w:name="_Toc8179"/>
      <w:bookmarkStart w:id="81" w:name="_Toc15860"/>
      <w:bookmarkStart w:id="82" w:name="_Toc20559"/>
      <w:r>
        <w:rPr>
          <w:rFonts w:hint="eastAsia" w:ascii="宋体" w:hAnsi="宋体" w:eastAsia="宋体" w:cs="宋体"/>
          <w:color w:val="000000" w:themeColor="text1"/>
          <w:spacing w:val="0"/>
          <w:sz w:val="24"/>
          <w:szCs w:val="24"/>
          <w:highlight w:val="none"/>
          <w14:textFill>
            <w14:solidFill>
              <w14:schemeClr w14:val="tx1"/>
            </w14:solidFill>
          </w14:textFill>
        </w:rPr>
        <w:t>（4）招标代理机构会同交易场所工作人员对投标人的电子投标信息进行解密，</w:t>
      </w:r>
      <w:bookmarkEnd w:id="79"/>
      <w:bookmarkEnd w:id="80"/>
      <w:bookmarkEnd w:id="81"/>
      <w:bookmarkEnd w:id="82"/>
    </w:p>
    <w:p w14:paraId="0C0A9C7B">
      <w:pPr>
        <w:keepNext w:val="0"/>
        <w:keepLines w:val="0"/>
        <w:pageBreakBefore w:val="0"/>
        <w:wordWrap w:val="0"/>
        <w:overflowPunct/>
        <w:topLinePunct w:val="0"/>
        <w:bidi w:val="0"/>
        <w:spacing w:before="183" w:line="220" w:lineRule="auto"/>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建设工程交易系统自动生成《投标保证缴纳情况表》和《开标一览表》。</w:t>
      </w:r>
    </w:p>
    <w:p w14:paraId="7C434C90">
      <w:pPr>
        <w:keepNext w:val="0"/>
        <w:keepLines w:val="0"/>
        <w:pageBreakBefore w:val="0"/>
        <w:wordWrap w:val="0"/>
        <w:overflowPunct/>
        <w:topLinePunct w:val="0"/>
        <w:bidi w:val="0"/>
        <w:spacing w:before="182" w:line="360" w:lineRule="auto"/>
        <w:ind w:firstLine="482" w:firstLineChars="200"/>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83" w:name="_Toc2199"/>
      <w:bookmarkStart w:id="84" w:name="_Toc28812"/>
      <w:bookmarkStart w:id="85" w:name="_Toc28266"/>
      <w:bookmarkStart w:id="86" w:name="_Toc26216"/>
      <w:r>
        <w:rPr>
          <w:rFonts w:hint="eastAsia" w:ascii="宋体" w:hAnsi="宋体" w:eastAsia="宋体" w:cs="宋体"/>
          <w:b/>
          <w:bCs/>
          <w:color w:val="000000" w:themeColor="text1"/>
          <w:spacing w:val="0"/>
          <w:sz w:val="24"/>
          <w:szCs w:val="24"/>
          <w:highlight w:val="none"/>
          <w14:textFill>
            <w14:solidFill>
              <w14:schemeClr w14:val="tx1"/>
            </w14:solidFill>
          </w14:textFill>
        </w:rPr>
        <w:t>温馨提示：因本项目实行全流程电子化招标投标，投标人无须进行现场签到，可</w:t>
      </w:r>
      <w:bookmarkEnd w:id="83"/>
      <w:bookmarkEnd w:id="84"/>
      <w:bookmarkEnd w:id="85"/>
      <w:r>
        <w:rPr>
          <w:rFonts w:hint="eastAsia" w:ascii="宋体" w:hAnsi="宋体" w:eastAsia="宋体" w:cs="宋体"/>
          <w:b/>
          <w:bCs/>
          <w:color w:val="000000" w:themeColor="text1"/>
          <w:spacing w:val="0"/>
          <w:sz w:val="24"/>
          <w:szCs w:val="24"/>
          <w:highlight w:val="none"/>
          <w14:textFill>
            <w14:solidFill>
              <w14:schemeClr w14:val="tx1"/>
            </w14:solidFill>
          </w14:textFill>
        </w:rPr>
        <w:t>登录交易平台观看开标实况、提出异议或进行澄清、确认等操作，对开标事项的异议未在开标期间提出的，招标</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人不</w:t>
      </w:r>
      <w:r>
        <w:rPr>
          <w:rFonts w:hint="eastAsia" w:ascii="宋体" w:hAnsi="宋体" w:eastAsia="宋体" w:cs="宋体"/>
          <w:b/>
          <w:bCs/>
          <w:color w:val="000000" w:themeColor="text1"/>
          <w:spacing w:val="0"/>
          <w:sz w:val="24"/>
          <w:szCs w:val="24"/>
          <w:highlight w:val="none"/>
          <w14:textFill>
            <w14:solidFill>
              <w14:schemeClr w14:val="tx1"/>
            </w14:solidFill>
          </w14:textFill>
        </w:rPr>
        <w:t>予受理。具体按招标文件和系统操作手册为准。</w:t>
      </w:r>
      <w:bookmarkEnd w:id="86"/>
    </w:p>
    <w:p w14:paraId="29DDC04A">
      <w:pPr>
        <w:keepNext w:val="0"/>
        <w:keepLines w:val="0"/>
        <w:pageBreakBefore w:val="0"/>
        <w:wordWrap w:val="0"/>
        <w:overflowPunct/>
        <w:topLinePunct w:val="0"/>
        <w:bidi w:val="0"/>
        <w:spacing w:before="143" w:line="299" w:lineRule="auto"/>
        <w:ind w:left="11" w:right="80" w:firstLine="48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14.3  </w:t>
      </w:r>
      <w:r>
        <w:rPr>
          <w:rFonts w:hint="eastAsia" w:ascii="宋体" w:hAnsi="宋体" w:eastAsia="宋体" w:cs="宋体"/>
          <w:color w:val="000000" w:themeColor="text1"/>
          <w:spacing w:val="0"/>
          <w:sz w:val="24"/>
          <w:szCs w:val="24"/>
          <w:highlight w:val="none"/>
          <w14:textFill>
            <w14:solidFill>
              <w14:schemeClr w14:val="tx1"/>
            </w14:solidFill>
          </w14:textFill>
        </w:rPr>
        <w:t>投标人对开标相关事项（如开标程序等）有异议的，必须在开标期间和开标现场提出，招标人或其授权的招标代理机构应当场作出答复，并记录在案。对开标事项的异议未在开标期间和开标现场提出的，招标人不予受理。</w:t>
      </w:r>
    </w:p>
    <w:p w14:paraId="1DB30EA2">
      <w:pPr>
        <w:keepNext w:val="0"/>
        <w:keepLines w:val="0"/>
        <w:pageBreakBefore w:val="0"/>
        <w:wordWrap w:val="0"/>
        <w:overflowPunct/>
        <w:topLinePunct w:val="0"/>
        <w:bidi w:val="0"/>
        <w:spacing w:before="155" w:line="279" w:lineRule="auto"/>
        <w:ind w:left="8" w:right="82" w:firstLine="487"/>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14.4 </w:t>
      </w:r>
      <w:r>
        <w:rPr>
          <w:rFonts w:hint="eastAsia" w:ascii="宋体" w:hAnsi="宋体" w:eastAsia="宋体" w:cs="宋体"/>
          <w:color w:val="000000" w:themeColor="text1"/>
          <w:spacing w:val="0"/>
          <w:sz w:val="24"/>
          <w:szCs w:val="24"/>
          <w:highlight w:val="none"/>
          <w14:textFill>
            <w14:solidFill>
              <w14:schemeClr w14:val="tx1"/>
            </w14:solidFill>
          </w14:textFill>
        </w:rPr>
        <w:t>招标代理机构将资料原件（如有）、《开标一览表》以及其他有关资料移交评标委员会。</w:t>
      </w:r>
    </w:p>
    <w:p w14:paraId="2E809B78">
      <w:pPr>
        <w:keepNext w:val="0"/>
        <w:keepLines w:val="0"/>
        <w:pageBreakBefore w:val="0"/>
        <w:wordWrap w:val="0"/>
        <w:overflowPunct/>
        <w:topLinePunct w:val="0"/>
        <w:bidi w:val="0"/>
        <w:spacing w:before="78" w:line="221" w:lineRule="auto"/>
        <w:ind w:left="496"/>
        <w:outlineLvl w:val="2"/>
        <w:rPr>
          <w:rFonts w:hint="eastAsia" w:ascii="宋体" w:hAnsi="宋体" w:eastAsia="宋体" w:cs="宋体"/>
          <w:color w:val="000000" w:themeColor="text1"/>
          <w:spacing w:val="0"/>
          <w:highlight w:val="none"/>
          <w14:textFill>
            <w14:solidFill>
              <w14:schemeClr w14:val="tx1"/>
            </w14:solidFill>
          </w14:textFill>
        </w:rPr>
      </w:pPr>
      <w:bookmarkStart w:id="87" w:name="_Toc11616"/>
      <w:bookmarkStart w:id="88" w:name="_Toc961"/>
      <w:r>
        <w:rPr>
          <w:rFonts w:hint="eastAsia" w:ascii="宋体" w:hAnsi="宋体" w:eastAsia="宋体" w:cs="宋体"/>
          <w:b/>
          <w:bCs/>
          <w:color w:val="000000" w:themeColor="text1"/>
          <w:spacing w:val="0"/>
          <w:sz w:val="24"/>
          <w:szCs w:val="24"/>
          <w:highlight w:val="none"/>
          <w14:textFill>
            <w14:solidFill>
              <w14:schemeClr w14:val="tx1"/>
            </w14:solidFill>
          </w14:textFill>
        </w:rPr>
        <w:t>15 ．评标</w:t>
      </w:r>
      <w:bookmarkEnd w:id="87"/>
      <w:bookmarkEnd w:id="88"/>
    </w:p>
    <w:p w14:paraId="6B3E0F13">
      <w:pPr>
        <w:keepNext w:val="0"/>
        <w:keepLines w:val="0"/>
        <w:pageBreakBefore w:val="0"/>
        <w:wordWrap w:val="0"/>
        <w:overflowPunct/>
        <w:topLinePunct w:val="0"/>
        <w:bidi w:val="0"/>
        <w:spacing w:before="78" w:line="331" w:lineRule="auto"/>
        <w:ind w:left="8" w:right="65" w:firstLine="480"/>
        <w:rPr>
          <w:rFonts w:hint="eastAsia" w:ascii="宋体" w:hAnsi="宋体" w:eastAsia="宋体" w:cs="宋体"/>
          <w:color w:val="000000" w:themeColor="text1"/>
          <w:spacing w:val="0"/>
          <w:sz w:val="24"/>
          <w:szCs w:val="24"/>
          <w:highlight w:val="none"/>
          <w14:textFill>
            <w14:solidFill>
              <w14:schemeClr w14:val="tx1"/>
            </w14:solidFill>
          </w14:textFill>
        </w:rPr>
      </w:pPr>
      <w:bookmarkStart w:id="89" w:name="bookmark124"/>
      <w:bookmarkEnd w:id="89"/>
      <w:r>
        <w:rPr>
          <w:rFonts w:hint="eastAsia" w:ascii="宋体" w:hAnsi="宋体" w:eastAsia="宋体" w:cs="宋体"/>
          <w:color w:val="000000" w:themeColor="text1"/>
          <w:spacing w:val="0"/>
          <w:sz w:val="24"/>
          <w:szCs w:val="24"/>
          <w:highlight w:val="none"/>
          <w14:textFill>
            <w14:solidFill>
              <w14:schemeClr w14:val="tx1"/>
            </w14:solidFill>
          </w14:textFill>
        </w:rPr>
        <w:t>评标分为初步评审和详细评审两个阶段，由评标委员会在有关部门的监督下，严格按照本招标文件指定的评标方法，对投标人的投标文件进行审查、评审。评标委员会完成评标后，评标委员会按照投标人评审综合总得分由高到低的原则,向招标人推荐已明确的定标候选人数量（不标明排序），并向招标人提交由全体评标委员会成员签字的评标报告。</w:t>
      </w:r>
    </w:p>
    <w:p w14:paraId="1AE0EC81">
      <w:pPr>
        <w:keepNext w:val="0"/>
        <w:keepLines w:val="0"/>
        <w:pageBreakBefore w:val="0"/>
        <w:wordWrap w:val="0"/>
        <w:overflowPunct/>
        <w:topLinePunct w:val="0"/>
        <w:bidi w:val="0"/>
        <w:spacing w:before="38" w:line="219"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15.1  </w:t>
      </w:r>
      <w:r>
        <w:rPr>
          <w:rFonts w:hint="eastAsia" w:ascii="宋体" w:hAnsi="宋体" w:eastAsia="宋体" w:cs="宋体"/>
          <w:color w:val="000000" w:themeColor="text1"/>
          <w:spacing w:val="0"/>
          <w:sz w:val="24"/>
          <w:szCs w:val="24"/>
          <w:highlight w:val="none"/>
          <w14:textFill>
            <w14:solidFill>
              <w14:schemeClr w14:val="tx1"/>
            </w14:solidFill>
          </w14:textFill>
        </w:rPr>
        <w:t>评标委员会</w:t>
      </w:r>
    </w:p>
    <w:p w14:paraId="31B92F0C">
      <w:pPr>
        <w:keepNext w:val="0"/>
        <w:keepLines w:val="0"/>
        <w:pageBreakBefore w:val="0"/>
        <w:wordWrap w:val="0"/>
        <w:overflowPunct/>
        <w:topLinePunct w:val="0"/>
        <w:bidi w:val="0"/>
        <w:spacing w:before="155" w:line="324" w:lineRule="auto"/>
        <w:ind w:left="10" w:right="65" w:firstLine="48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15.1.1 </w:t>
      </w:r>
      <w:r>
        <w:rPr>
          <w:rFonts w:hint="eastAsia" w:ascii="宋体" w:hAnsi="宋体" w:eastAsia="宋体" w:cs="宋体"/>
          <w:color w:val="000000" w:themeColor="text1"/>
          <w:spacing w:val="0"/>
          <w:sz w:val="24"/>
          <w:szCs w:val="24"/>
          <w:highlight w:val="none"/>
          <w14:textFill>
            <w14:solidFill>
              <w14:schemeClr w14:val="tx1"/>
            </w14:solidFill>
          </w14:textFill>
        </w:rPr>
        <w:t>评标委员会由</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5 </w:t>
      </w:r>
      <w:r>
        <w:rPr>
          <w:rFonts w:hint="eastAsia" w:ascii="宋体" w:hAnsi="宋体" w:eastAsia="宋体" w:cs="宋体"/>
          <w:color w:val="000000" w:themeColor="text1"/>
          <w:spacing w:val="0"/>
          <w:sz w:val="24"/>
          <w:szCs w:val="24"/>
          <w:highlight w:val="none"/>
          <w14:textFill>
            <w14:solidFill>
              <w14:schemeClr w14:val="tx1"/>
            </w14:solidFill>
          </w14:textFill>
        </w:rPr>
        <w:t>人组成，其中招标人代表</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1</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人，专家</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4</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人。专家从</w:t>
      </w:r>
      <w:r>
        <w:rPr>
          <w:rFonts w:hint="eastAsia" w:ascii="宋体" w:hAnsi="宋体" w:eastAsia="宋体" w:cs="宋体"/>
          <w:color w:val="000000" w:themeColor="text1"/>
          <w:spacing w:val="0"/>
          <w:sz w:val="24"/>
          <w:szCs w:val="24"/>
          <w:highlight w:val="none"/>
          <w:u w:val="none"/>
          <w14:textFill>
            <w14:solidFill>
              <w14:schemeClr w14:val="tx1"/>
            </w14:solidFill>
          </w14:textFill>
        </w:rPr>
        <w:t>广东省综合评标评审专家库</w:t>
      </w:r>
      <w:r>
        <w:rPr>
          <w:rFonts w:hint="eastAsia" w:ascii="宋体" w:hAnsi="宋体" w:eastAsia="宋体" w:cs="宋体"/>
          <w:color w:val="000000" w:themeColor="text1"/>
          <w:spacing w:val="0"/>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u w:val="single"/>
          <w14:textFill>
            <w14:solidFill>
              <w14:schemeClr w14:val="tx1"/>
            </w14:solidFill>
          </w14:textFill>
        </w:rPr>
        <w:t>韶关</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市</w:t>
      </w:r>
      <w:r>
        <w:rPr>
          <w:rFonts w:hint="eastAsia" w:ascii="宋体" w:hAnsi="宋体" w:eastAsia="宋体" w:cs="宋体"/>
          <w:color w:val="000000" w:themeColor="text1"/>
          <w:spacing w:val="0"/>
          <w:sz w:val="24"/>
          <w:szCs w:val="24"/>
          <w:highlight w:val="none"/>
          <w:u w:val="single"/>
          <w14:textFill>
            <w14:solidFill>
              <w14:schemeClr w14:val="tx1"/>
            </w14:solidFill>
          </w14:textFill>
        </w:rPr>
        <w:t>区域</w:t>
      </w:r>
      <w:r>
        <w:rPr>
          <w:rFonts w:hint="eastAsia" w:ascii="宋体" w:hAnsi="宋体" w:eastAsia="宋体" w:cs="宋体"/>
          <w:color w:val="000000" w:themeColor="text1"/>
          <w:spacing w:val="0"/>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广东省内异地评标区域</w:t>
      </w:r>
      <w:r>
        <w:rPr>
          <w:rFonts w:hint="eastAsia" w:ascii="宋体" w:hAnsi="宋体" w:eastAsia="宋体" w:cs="宋体"/>
          <w:color w:val="000000" w:themeColor="text1"/>
          <w:spacing w:val="0"/>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中随机抽取，其中技术类专家</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2 </w:t>
      </w:r>
      <w:r>
        <w:rPr>
          <w:rFonts w:hint="eastAsia" w:ascii="宋体" w:hAnsi="宋体" w:eastAsia="宋体" w:cs="宋体"/>
          <w:color w:val="000000" w:themeColor="text1"/>
          <w:spacing w:val="0"/>
          <w:sz w:val="24"/>
          <w:szCs w:val="24"/>
          <w:highlight w:val="none"/>
          <w14:textFill>
            <w14:solidFill>
              <w14:schemeClr w14:val="tx1"/>
            </w14:solidFill>
          </w14:textFill>
        </w:rPr>
        <w:t>人，经济类专家</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2 </w:t>
      </w:r>
      <w:r>
        <w:rPr>
          <w:rFonts w:hint="eastAsia" w:ascii="宋体" w:hAnsi="宋体" w:eastAsia="宋体" w:cs="宋体"/>
          <w:color w:val="000000" w:themeColor="text1"/>
          <w:spacing w:val="0"/>
          <w:sz w:val="24"/>
          <w:szCs w:val="24"/>
          <w:highlight w:val="none"/>
          <w14:textFill>
            <w14:solidFill>
              <w14:schemeClr w14:val="tx1"/>
            </w14:solidFill>
          </w14:textFill>
        </w:rPr>
        <w:t>人。评标委员会设负责人，由评标委员会成员推举产生。评标委员会负责人与评标委员会的其他成员有同等的表决权。</w:t>
      </w:r>
    </w:p>
    <w:p w14:paraId="3773E95D">
      <w:pPr>
        <w:keepNext w:val="0"/>
        <w:keepLines w:val="0"/>
        <w:pageBreakBefore w:val="0"/>
        <w:wordWrap w:val="0"/>
        <w:overflowPunct/>
        <w:topLinePunct w:val="0"/>
        <w:bidi w:val="0"/>
        <w:spacing w:before="32" w:line="280" w:lineRule="auto"/>
        <w:ind w:left="13" w:right="7" w:firstLine="56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15.1.2  </w:t>
      </w:r>
      <w:r>
        <w:rPr>
          <w:rFonts w:hint="eastAsia" w:ascii="宋体" w:hAnsi="宋体" w:eastAsia="宋体" w:cs="宋体"/>
          <w:color w:val="000000" w:themeColor="text1"/>
          <w:spacing w:val="0"/>
          <w:sz w:val="24"/>
          <w:szCs w:val="24"/>
          <w:highlight w:val="none"/>
          <w14:textFill>
            <w14:solidFill>
              <w14:schemeClr w14:val="tx1"/>
            </w14:solidFill>
          </w14:textFill>
        </w:rPr>
        <w:t>评标委员会应认真、公正、诚实、廉洁地履行职责。有下列情形之一的，不得担任评标委员会成员：</w:t>
      </w:r>
    </w:p>
    <w:p w14:paraId="630ECC06">
      <w:pPr>
        <w:keepNext w:val="0"/>
        <w:keepLines w:val="0"/>
        <w:pageBreakBefore w:val="0"/>
        <w:wordWrap w:val="0"/>
        <w:overflowPunct/>
        <w:topLinePunct w:val="0"/>
        <w:bidi w:val="0"/>
        <w:spacing w:before="154" w:line="220" w:lineRule="auto"/>
        <w:ind w:left="5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（1）投标人或投标人主要负责人的近亲属；</w:t>
      </w:r>
    </w:p>
    <w:p w14:paraId="6812A920">
      <w:pPr>
        <w:keepNext w:val="0"/>
        <w:keepLines w:val="0"/>
        <w:pageBreakBefore w:val="0"/>
        <w:wordWrap w:val="0"/>
        <w:overflowPunct/>
        <w:topLinePunct w:val="0"/>
        <w:bidi w:val="0"/>
        <w:spacing w:before="153" w:line="220" w:lineRule="auto"/>
        <w:ind w:left="5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（2）项目主管部门或者行政监督部门的人员；</w:t>
      </w:r>
    </w:p>
    <w:p w14:paraId="4E3A1FF1">
      <w:pPr>
        <w:keepNext w:val="0"/>
        <w:keepLines w:val="0"/>
        <w:pageBreakBefore w:val="0"/>
        <w:wordWrap w:val="0"/>
        <w:overflowPunct/>
        <w:topLinePunct w:val="0"/>
        <w:bidi w:val="0"/>
        <w:spacing w:before="155" w:line="221" w:lineRule="auto"/>
        <w:ind w:left="5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（3）与投标人有经济利益关系，可能影响对投标公正评审的；</w:t>
      </w:r>
    </w:p>
    <w:p w14:paraId="6C955D4C">
      <w:pPr>
        <w:keepNext w:val="0"/>
        <w:keepLines w:val="0"/>
        <w:pageBreakBefore w:val="0"/>
        <w:wordWrap w:val="0"/>
        <w:overflowPunct/>
        <w:topLinePunct w:val="0"/>
        <w:bidi w:val="0"/>
        <w:spacing w:before="153" w:line="279" w:lineRule="auto"/>
        <w:ind w:left="8" w:right="65" w:firstLine="57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（4）曾因在招标、评标以及其他与招标投标有关活动中从事违法行为而受过行政处罚或刑事处罚的。</w:t>
      </w:r>
    </w:p>
    <w:p w14:paraId="3C4B0D01">
      <w:pPr>
        <w:keepNext w:val="0"/>
        <w:keepLines w:val="0"/>
        <w:pageBreakBefore w:val="0"/>
        <w:wordWrap w:val="0"/>
        <w:overflowPunct/>
        <w:topLinePunct w:val="0"/>
        <w:bidi w:val="0"/>
        <w:spacing w:before="155" w:line="219" w:lineRule="auto"/>
        <w:ind w:left="48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评标委员会成员有以上情形之一的，应主动提出回避。</w:t>
      </w:r>
    </w:p>
    <w:p w14:paraId="779D0486">
      <w:pPr>
        <w:keepNext w:val="0"/>
        <w:keepLines w:val="0"/>
        <w:pageBreakBefore w:val="0"/>
        <w:wordWrap w:val="0"/>
        <w:overflowPunct/>
        <w:topLinePunct w:val="0"/>
        <w:bidi w:val="0"/>
        <w:spacing w:before="154" w:line="279" w:lineRule="auto"/>
        <w:ind w:left="8" w:right="65" w:firstLine="48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15.1.3  </w:t>
      </w:r>
      <w:r>
        <w:rPr>
          <w:rFonts w:hint="eastAsia" w:ascii="宋体" w:hAnsi="宋体" w:eastAsia="宋体" w:cs="宋体"/>
          <w:color w:val="000000" w:themeColor="text1"/>
          <w:spacing w:val="0"/>
          <w:sz w:val="24"/>
          <w:szCs w:val="24"/>
          <w:highlight w:val="none"/>
          <w14:textFill>
            <w14:solidFill>
              <w14:schemeClr w14:val="tx1"/>
            </w14:solidFill>
          </w14:textFill>
        </w:rPr>
        <w:t>评标全过程实行封闭式管理，在中标结果公布前，禁止评标委员会成员以任何方式私下接触投标人。</w:t>
      </w:r>
    </w:p>
    <w:p w14:paraId="4E1CA66A">
      <w:pPr>
        <w:keepNext w:val="0"/>
        <w:keepLines w:val="0"/>
        <w:pageBreakBefore w:val="0"/>
        <w:wordWrap w:val="0"/>
        <w:overflowPunct/>
        <w:topLinePunct w:val="0"/>
        <w:bidi w:val="0"/>
        <w:spacing w:before="157" w:line="298" w:lineRule="auto"/>
        <w:ind w:left="11" w:right="65" w:firstLine="48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15.1.4  </w:t>
      </w:r>
      <w:r>
        <w:rPr>
          <w:rFonts w:hint="eastAsia" w:ascii="宋体" w:hAnsi="宋体" w:eastAsia="宋体" w:cs="宋体"/>
          <w:color w:val="000000" w:themeColor="text1"/>
          <w:spacing w:val="0"/>
          <w:sz w:val="24"/>
          <w:szCs w:val="24"/>
          <w:highlight w:val="none"/>
          <w14:textFill>
            <w14:solidFill>
              <w14:schemeClr w14:val="tx1"/>
            </w14:solidFill>
          </w14:textFill>
        </w:rPr>
        <w:t>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2761184C">
      <w:pPr>
        <w:keepNext w:val="0"/>
        <w:keepLines w:val="0"/>
        <w:pageBreakBefore w:val="0"/>
        <w:wordWrap w:val="0"/>
        <w:overflowPunct/>
        <w:topLinePunct w:val="0"/>
        <w:bidi w:val="0"/>
        <w:spacing w:before="156" w:line="309" w:lineRule="auto"/>
        <w:ind w:left="8" w:right="65" w:firstLine="56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15.1.5  </w:t>
      </w:r>
      <w:r>
        <w:rPr>
          <w:rFonts w:hint="eastAsia" w:ascii="宋体" w:hAnsi="宋体" w:eastAsia="宋体" w:cs="宋体"/>
          <w:color w:val="000000" w:themeColor="text1"/>
          <w:spacing w:val="0"/>
          <w:sz w:val="24"/>
          <w:szCs w:val="24"/>
          <w:highlight w:val="none"/>
          <w14:textFill>
            <w14:solidFill>
              <w14:schemeClr w14:val="tx1"/>
            </w14:solidFill>
          </w14:textFill>
        </w:rPr>
        <w:t>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3267A2AD">
      <w:pPr>
        <w:keepNext w:val="0"/>
        <w:keepLines w:val="0"/>
        <w:pageBreakBefore w:val="0"/>
        <w:wordWrap w:val="0"/>
        <w:overflowPunct/>
        <w:topLinePunct w:val="0"/>
        <w:bidi w:val="0"/>
        <w:spacing w:before="79" w:line="221" w:lineRule="auto"/>
        <w:ind w:left="577"/>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15.2  </w:t>
      </w:r>
      <w:r>
        <w:rPr>
          <w:rFonts w:hint="eastAsia" w:ascii="宋体" w:hAnsi="宋体" w:eastAsia="宋体" w:cs="宋体"/>
          <w:color w:val="000000" w:themeColor="text1"/>
          <w:spacing w:val="0"/>
          <w:sz w:val="24"/>
          <w:szCs w:val="24"/>
          <w:highlight w:val="none"/>
          <w14:textFill>
            <w14:solidFill>
              <w14:schemeClr w14:val="tx1"/>
            </w14:solidFill>
          </w14:textFill>
        </w:rPr>
        <w:t>评标方法</w:t>
      </w:r>
    </w:p>
    <w:p w14:paraId="31CCE9AE">
      <w:pPr>
        <w:keepNext w:val="0"/>
        <w:keepLines w:val="0"/>
        <w:pageBreakBefore w:val="0"/>
        <w:wordWrap w:val="0"/>
        <w:overflowPunct/>
        <w:topLinePunct w:val="0"/>
        <w:bidi w:val="0"/>
        <w:spacing w:before="78" w:line="326" w:lineRule="auto"/>
        <w:ind w:left="231" w:right="181" w:firstLine="560"/>
        <w:rPr>
          <w:rFonts w:hint="eastAsia" w:ascii="宋体" w:hAnsi="宋体" w:eastAsia="宋体" w:cs="宋体"/>
          <w:color w:val="000000" w:themeColor="text1"/>
          <w:spacing w:val="0"/>
          <w:highlight w:val="none"/>
          <w14:textFill>
            <w14:solidFill>
              <w14:schemeClr w14:val="tx1"/>
            </w14:solidFill>
          </w14:textFill>
        </w:rPr>
      </w:pPr>
      <w:bookmarkStart w:id="90" w:name="bookmark125"/>
      <w:bookmarkEnd w:id="90"/>
      <w:r>
        <w:rPr>
          <w:rFonts w:hint="eastAsia" w:ascii="宋体" w:hAnsi="宋体" w:eastAsia="宋体" w:cs="宋体"/>
          <w:color w:val="000000" w:themeColor="text1"/>
          <w:spacing w:val="0"/>
          <w:sz w:val="24"/>
          <w:szCs w:val="24"/>
          <w:highlight w:val="none"/>
          <w14:textFill>
            <w14:solidFill>
              <w14:schemeClr w14:val="tx1"/>
            </w14:solidFill>
          </w14:textFill>
        </w:rPr>
        <w:t>根据有关法律、法规的相关规定，结合本招标项目资金来源和规模特点，本次招标采用</w:t>
      </w:r>
      <w:r>
        <w:rPr>
          <w:rFonts w:hint="eastAsia" w:ascii="宋体" w:hAnsi="宋体" w:eastAsia="宋体" w:cs="宋体"/>
          <w:b/>
          <w:bCs/>
          <w:color w:val="000000" w:themeColor="text1"/>
          <w:spacing w:val="0"/>
          <w:sz w:val="24"/>
          <w:szCs w:val="24"/>
          <w:highlight w:val="none"/>
          <w:u w:val="single"/>
          <w14:textFill>
            <w14:solidFill>
              <w14:schemeClr w14:val="tx1"/>
            </w14:solidFill>
          </w14:textFill>
        </w:rPr>
        <w:t xml:space="preserve"> 综合评估法 </w:t>
      </w:r>
      <w:r>
        <w:rPr>
          <w:rFonts w:hint="eastAsia" w:ascii="宋体" w:hAnsi="宋体" w:eastAsia="宋体" w:cs="宋体"/>
          <w:color w:val="000000" w:themeColor="text1"/>
          <w:spacing w:val="0"/>
          <w:sz w:val="24"/>
          <w:szCs w:val="24"/>
          <w:highlight w:val="none"/>
          <w:u w:val="singl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评标方法名称）进行评标。</w:t>
      </w:r>
    </w:p>
    <w:p w14:paraId="444FBDD2">
      <w:pPr>
        <w:keepNext w:val="0"/>
        <w:keepLines w:val="0"/>
        <w:pageBreakBefore w:val="0"/>
        <w:wordWrap w:val="0"/>
        <w:overflowPunct/>
        <w:topLinePunct w:val="0"/>
        <w:bidi w:val="0"/>
        <w:spacing w:before="154" w:line="269" w:lineRule="auto"/>
        <w:ind w:left="220" w:right="33" w:firstLine="496"/>
        <w:rPr>
          <w:rFonts w:hint="eastAsia" w:ascii="宋体" w:hAnsi="宋体" w:eastAsia="宋体" w:cs="宋体"/>
          <w:color w:val="000000" w:themeColor="text1"/>
          <w:spacing w:val="0"/>
          <w:sz w:val="25"/>
          <w:szCs w:val="25"/>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15.3  </w:t>
      </w:r>
      <w:r>
        <w:rPr>
          <w:rFonts w:hint="eastAsia" w:ascii="宋体" w:hAnsi="宋体" w:eastAsia="宋体" w:cs="宋体"/>
          <w:color w:val="000000" w:themeColor="text1"/>
          <w:spacing w:val="0"/>
          <w:sz w:val="24"/>
          <w:szCs w:val="24"/>
          <w:highlight w:val="none"/>
          <w14:textFill>
            <w14:solidFill>
              <w14:schemeClr w14:val="tx1"/>
            </w14:solidFill>
          </w14:textFill>
        </w:rPr>
        <w:t>评审范围：评标委员会应对所有投标人的投标文件进行评审。</w:t>
      </w:r>
    </w:p>
    <w:p w14:paraId="0A158934">
      <w:pPr>
        <w:keepNext w:val="0"/>
        <w:keepLines w:val="0"/>
        <w:pageBreakBefore w:val="0"/>
        <w:wordWrap w:val="0"/>
        <w:overflowPunct/>
        <w:topLinePunct w:val="0"/>
        <w:bidi w:val="0"/>
        <w:spacing w:before="153" w:line="220" w:lineRule="auto"/>
        <w:ind w:left="71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15.4  </w:t>
      </w:r>
      <w:r>
        <w:rPr>
          <w:rFonts w:hint="eastAsia" w:ascii="宋体" w:hAnsi="宋体" w:eastAsia="宋体" w:cs="宋体"/>
          <w:color w:val="000000" w:themeColor="text1"/>
          <w:spacing w:val="0"/>
          <w:sz w:val="24"/>
          <w:szCs w:val="24"/>
          <w:highlight w:val="none"/>
          <w14:textFill>
            <w14:solidFill>
              <w14:schemeClr w14:val="tx1"/>
            </w14:solidFill>
          </w14:textFill>
        </w:rPr>
        <w:t>初步评审阶段</w:t>
      </w:r>
    </w:p>
    <w:p w14:paraId="0814EC29">
      <w:pPr>
        <w:keepNext w:val="0"/>
        <w:keepLines w:val="0"/>
        <w:pageBreakBefore w:val="0"/>
        <w:wordWrap w:val="0"/>
        <w:overflowPunct/>
        <w:topLinePunct w:val="0"/>
        <w:bidi w:val="0"/>
        <w:spacing w:before="153" w:line="220" w:lineRule="auto"/>
        <w:ind w:left="70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初步评审阶段分为资格评审、形式评审和响应性评审三个环节。</w:t>
      </w:r>
    </w:p>
    <w:p w14:paraId="58B00498">
      <w:pPr>
        <w:keepNext w:val="0"/>
        <w:keepLines w:val="0"/>
        <w:pageBreakBefore w:val="0"/>
        <w:tabs>
          <w:tab w:val="left" w:pos="3360"/>
        </w:tabs>
        <w:wordWrap w:val="0"/>
        <w:overflowPunct/>
        <w:topLinePunct w:val="0"/>
        <w:bidi w:val="0"/>
        <w:spacing w:before="155" w:line="279" w:lineRule="auto"/>
        <w:ind w:left="719" w:right="6040" w:rightChars="0" w:hanging="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15.4.1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资格评审环节 资格评审事项</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包括</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18695609">
      <w:pPr>
        <w:keepNext w:val="0"/>
        <w:keepLines w:val="0"/>
        <w:pageBreakBefore w:val="0"/>
        <w:wordWrap w:val="0"/>
        <w:overflowPunct/>
        <w:topLinePunct w:val="0"/>
        <w:bidi w:val="0"/>
        <w:spacing w:before="152" w:line="315" w:lineRule="auto"/>
        <w:ind w:left="23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（1）投标人是否符合本章第三节第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2.4 </w:t>
      </w:r>
      <w:r>
        <w:rPr>
          <w:rFonts w:hint="eastAsia" w:ascii="宋体" w:hAnsi="宋体" w:eastAsia="宋体" w:cs="宋体"/>
          <w:color w:val="000000" w:themeColor="text1"/>
          <w:spacing w:val="0"/>
          <w:sz w:val="24"/>
          <w:szCs w:val="24"/>
          <w:highlight w:val="none"/>
          <w14:textFill>
            <w14:solidFill>
              <w14:schemeClr w14:val="tx1"/>
            </w14:solidFill>
          </w14:textFill>
        </w:rPr>
        <w:t>条“禁止投标条款 ”规定。如果“禁止投标条款 ”包括失信惩戒的，投标人信用信息的获取采用现场实时查询的方式实施。由</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评标委员会</w:t>
      </w:r>
      <w:r>
        <w:rPr>
          <w:rFonts w:hint="eastAsia" w:ascii="宋体" w:hAnsi="宋体" w:eastAsia="宋体" w:cs="宋体"/>
          <w:color w:val="000000" w:themeColor="text1"/>
          <w:spacing w:val="0"/>
          <w:sz w:val="24"/>
          <w:szCs w:val="24"/>
          <w:highlight w:val="none"/>
          <w14:textFill>
            <w14:solidFill>
              <w14:schemeClr w14:val="tx1"/>
            </w14:solidFill>
          </w14:textFill>
        </w:rPr>
        <w:t xml:space="preserve">登录信用中国网站（https://www.creditchina.gov.cn），在企业查询界面下载和打印《法人和非法人组织公共信用信息报告》。 </w:t>
      </w:r>
    </w:p>
    <w:p w14:paraId="375F7385">
      <w:pPr>
        <w:keepNext w:val="0"/>
        <w:keepLines w:val="0"/>
        <w:pageBreakBefore w:val="0"/>
        <w:wordWrap w:val="0"/>
        <w:overflowPunct/>
        <w:topLinePunct w:val="0"/>
        <w:bidi w:val="0"/>
        <w:spacing w:before="155" w:line="219" w:lineRule="auto"/>
        <w:ind w:left="72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（2）投标人名称是否与营业执照、资质证书、安全生产许可证一致。</w:t>
      </w:r>
    </w:p>
    <w:p w14:paraId="164D7887">
      <w:pPr>
        <w:keepNext w:val="0"/>
        <w:keepLines w:val="0"/>
        <w:pageBreakBefore w:val="0"/>
        <w:widowControl/>
        <w:kinsoku w:val="0"/>
        <w:wordWrap w:val="0"/>
        <w:overflowPunct/>
        <w:topLinePunct w:val="0"/>
        <w:autoSpaceDE w:val="0"/>
        <w:autoSpaceDN w:val="0"/>
        <w:bidi w:val="0"/>
        <w:adjustRightInd w:val="0"/>
        <w:snapToGrid w:val="0"/>
        <w:spacing w:before="155" w:line="286" w:lineRule="auto"/>
        <w:ind w:left="232" w:right="96" w:firstLine="488"/>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（3）投标人的资质是否符合招标文件规定；其营业执照、资质证书、安全生产许可证（含实时网页查询页，可参考网址 https://zlaq.mohurd.gov.cn/fwmh/bjxcjgl/fwm</w:t>
      </w:r>
      <w:bookmarkStart w:id="91" w:name="bookmark126"/>
      <w:bookmarkEnd w:id="91"/>
      <w:r>
        <w:rPr>
          <w:rFonts w:hint="eastAsia" w:ascii="宋体" w:hAnsi="宋体" w:eastAsia="宋体" w:cs="宋体"/>
          <w:color w:val="000000" w:themeColor="text1"/>
          <w:spacing w:val="0"/>
          <w:position w:val="3"/>
          <w:sz w:val="24"/>
          <w:szCs w:val="24"/>
          <w:highlight w:val="none"/>
          <w14:textFill>
            <w14:solidFill>
              <w14:schemeClr w14:val="tx1"/>
            </w14:solidFill>
          </w14:textFill>
        </w:rPr>
        <w:t>h/pages/construction_safety/qyaqscxkz/qyaqscxkz）是否合法、有效、准确。</w:t>
      </w:r>
    </w:p>
    <w:p w14:paraId="540CBBB1">
      <w:pPr>
        <w:keepNext w:val="0"/>
        <w:keepLines w:val="0"/>
        <w:pageBreakBefore w:val="0"/>
        <w:wordWrap w:val="0"/>
        <w:overflowPunct/>
        <w:topLinePunct w:val="0"/>
        <w:bidi w:val="0"/>
        <w:spacing w:before="144" w:line="219"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（4）《项目经理简历表》中拟派项目经理是否与《开标一览表》一致。</w:t>
      </w:r>
    </w:p>
    <w:p w14:paraId="6B9B0D89">
      <w:pPr>
        <w:keepNext w:val="0"/>
        <w:keepLines w:val="0"/>
        <w:pageBreakBefore w:val="0"/>
        <w:wordWrap w:val="0"/>
        <w:overflowPunct/>
        <w:topLinePunct w:val="0"/>
        <w:bidi w:val="0"/>
        <w:spacing w:before="151" w:line="315" w:lineRule="auto"/>
        <w:ind w:left="11"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拟派项目经理、项目技术负责人、专职安全员的条件是否符合招标文件规定；拟派的项目经理是否在投标文件《项目经理简历表》中签字确认；项目技术负责人是否在投标文件《项目技术负责人简历表》中签字确认；项目管理机构组成人员的各类证书、证件、证明是否合法、有效、准确；是否擅自修改、遗漏《项目经理任职声明》的实质性内容。</w:t>
      </w:r>
    </w:p>
    <w:p w14:paraId="33FF0F7A">
      <w:pPr>
        <w:keepNext w:val="0"/>
        <w:keepLines w:val="0"/>
        <w:pageBreakBefore w:val="0"/>
        <w:wordWrap w:val="0"/>
        <w:overflowPunct/>
        <w:topLinePunct w:val="0"/>
        <w:bidi w:val="0"/>
        <w:spacing w:before="156" w:line="298" w:lineRule="auto"/>
        <w:ind w:left="9"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联合体投标的，是否提交《联合体协议书》；是否擅自修改、遗漏《联合体协议书》的实质性内容；联合体成员的数量、资质是否符合招标文件规定；联合体成员是否以自己名义单独或者参加其他联合体参与本招标项目投标。</w:t>
      </w:r>
    </w:p>
    <w:p w14:paraId="12F54F61">
      <w:pPr>
        <w:keepNext w:val="0"/>
        <w:keepLines w:val="0"/>
        <w:pageBreakBefore w:val="0"/>
        <w:wordWrap w:val="0"/>
        <w:overflowPunct/>
        <w:topLinePunct w:val="0"/>
        <w:bidi w:val="0"/>
        <w:spacing w:before="155" w:line="360" w:lineRule="auto"/>
        <w:ind w:left="8" w:right="2" w:firstLine="49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（7）投标人为外省建筑企业的，是否按规定在“进粤企业和人员诚信信息登记平台 ”录入企业及其拟派人员有关信息并通过数据规范检查。</w:t>
      </w:r>
    </w:p>
    <w:p w14:paraId="27E19AD3">
      <w:pPr>
        <w:keepNext w:val="0"/>
        <w:keepLines w:val="0"/>
        <w:pageBreakBefore w:val="0"/>
        <w:wordWrap w:val="0"/>
        <w:overflowPunct/>
        <w:topLinePunct w:val="0"/>
        <w:bidi w:val="0"/>
        <w:spacing w:before="15" w:line="360" w:lineRule="auto"/>
        <w:ind w:right="2" w:firstLine="482" w:firstLineChars="200"/>
        <w:jc w:val="both"/>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92" w:name="_Toc22778"/>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15.4.2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形式评审环节</w:t>
      </w:r>
    </w:p>
    <w:p w14:paraId="72253524">
      <w:pPr>
        <w:keepNext w:val="0"/>
        <w:keepLines w:val="0"/>
        <w:pageBreakBefore w:val="0"/>
        <w:wordWrap w:val="0"/>
        <w:overflowPunct/>
        <w:topLinePunct w:val="0"/>
        <w:bidi w:val="0"/>
        <w:spacing w:before="15" w:line="360" w:lineRule="auto"/>
        <w:ind w:right="2" w:firstLine="480" w:firstLineChars="200"/>
        <w:jc w:val="both"/>
        <w:outlineLvl w:val="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形式评审事</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项包括</w:t>
      </w:r>
      <w:bookmarkEnd w:id="92"/>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p>
    <w:p w14:paraId="4EA57E30">
      <w:pPr>
        <w:keepNext w:val="0"/>
        <w:keepLines w:val="0"/>
        <w:pageBreakBefore w:val="0"/>
        <w:wordWrap w:val="0"/>
        <w:overflowPunct/>
        <w:topLinePunct w:val="0"/>
        <w:bidi w:val="0"/>
        <w:spacing w:before="40" w:line="360" w:lineRule="auto"/>
        <w:ind w:left="501"/>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93" w:name="_Toc23632"/>
      <w:bookmarkStart w:id="94" w:name="_Toc13304"/>
      <w:bookmarkStart w:id="95" w:name="_Toc20481"/>
      <w:bookmarkStart w:id="96" w:name="_Toc4914"/>
      <w:r>
        <w:rPr>
          <w:rFonts w:hint="eastAsia" w:ascii="宋体" w:hAnsi="宋体" w:eastAsia="宋体" w:cs="宋体"/>
          <w:color w:val="000000" w:themeColor="text1"/>
          <w:spacing w:val="0"/>
          <w:sz w:val="24"/>
          <w:szCs w:val="24"/>
          <w:highlight w:val="none"/>
          <w14:textFill>
            <w14:solidFill>
              <w14:schemeClr w14:val="tx1"/>
            </w14:solidFill>
          </w14:textFill>
        </w:rPr>
        <w:t>（1）各分册是否按招标文件规定加盖电子印章。</w:t>
      </w:r>
      <w:bookmarkEnd w:id="93"/>
      <w:bookmarkEnd w:id="94"/>
      <w:bookmarkEnd w:id="95"/>
      <w:bookmarkEnd w:id="96"/>
    </w:p>
    <w:p w14:paraId="1B27A302">
      <w:pPr>
        <w:keepNext w:val="0"/>
        <w:keepLines w:val="0"/>
        <w:pageBreakBefore w:val="0"/>
        <w:wordWrap w:val="0"/>
        <w:overflowPunct/>
        <w:topLinePunct w:val="0"/>
        <w:bidi w:val="0"/>
        <w:spacing w:before="15" w:line="360" w:lineRule="auto"/>
        <w:ind w:firstLine="480" w:firstLineChars="200"/>
        <w:outlineLvl w:val="9"/>
        <w:rPr>
          <w:rFonts w:hint="eastAsia" w:ascii="宋体" w:hAnsi="宋体" w:eastAsia="宋体" w:cs="宋体"/>
          <w:color w:val="000000" w:themeColor="text1"/>
          <w:spacing w:val="0"/>
          <w:sz w:val="24"/>
          <w:szCs w:val="24"/>
          <w:highlight w:val="none"/>
          <w:lang w:eastAsia="zh-CN"/>
          <w14:textFill>
            <w14:solidFill>
              <w14:schemeClr w14:val="tx1"/>
            </w14:solidFill>
          </w14:textFill>
        </w:rPr>
      </w:pPr>
      <w:bookmarkStart w:id="97" w:name="_Toc27432"/>
      <w:bookmarkStart w:id="98" w:name="_Toc10806"/>
      <w:bookmarkStart w:id="99" w:name="_Toc28409"/>
      <w:bookmarkStart w:id="100" w:name="_Toc12756"/>
      <w:r>
        <w:rPr>
          <w:rFonts w:hint="eastAsia" w:ascii="宋体" w:hAnsi="宋体" w:eastAsia="宋体" w:cs="宋体"/>
          <w:color w:val="000000" w:themeColor="text1"/>
          <w:spacing w:val="0"/>
          <w:sz w:val="24"/>
          <w:szCs w:val="24"/>
          <w:highlight w:val="none"/>
          <w14:textFill>
            <w14:solidFill>
              <w14:schemeClr w14:val="tx1"/>
            </w14:solidFill>
          </w14:textFill>
        </w:rPr>
        <w:t>（2）本节第</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10.2.2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目、第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10.3.2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目、第</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10.4.3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目中规定的“所有投标人均应提</w:t>
      </w:r>
      <w:bookmarkEnd w:id="97"/>
      <w:bookmarkEnd w:id="98"/>
      <w:bookmarkEnd w:id="99"/>
      <w:r>
        <w:rPr>
          <w:rFonts w:hint="eastAsia" w:ascii="宋体" w:hAnsi="宋体" w:eastAsia="宋体" w:cs="宋体"/>
          <w:color w:val="000000" w:themeColor="text1"/>
          <w:spacing w:val="0"/>
          <w:sz w:val="24"/>
          <w:szCs w:val="24"/>
          <w:highlight w:val="none"/>
          <w14:textFill>
            <w14:solidFill>
              <w14:schemeClr w14:val="tx1"/>
            </w14:solidFill>
          </w14:textFill>
        </w:rPr>
        <w:t>供 ”的组成内容（包括该组成内容的所附资料）是否完整、齐全</w:t>
      </w:r>
      <w:bookmarkEnd w:id="100"/>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p>
    <w:p w14:paraId="15AF52E2">
      <w:pPr>
        <w:keepNext w:val="0"/>
        <w:keepLines w:val="0"/>
        <w:pageBreakBefore w:val="0"/>
        <w:wordWrap w:val="0"/>
        <w:overflowPunct/>
        <w:topLinePunct w:val="0"/>
        <w:bidi w:val="0"/>
        <w:spacing w:before="15" w:line="360" w:lineRule="auto"/>
        <w:ind w:right="2" w:firstLine="480" w:firstLineChars="200"/>
        <w:jc w:val="both"/>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101" w:name="_Toc17918"/>
      <w:bookmarkStart w:id="102" w:name="_Toc15678"/>
      <w:bookmarkStart w:id="103" w:name="_Toc9581"/>
      <w:bookmarkStart w:id="104" w:name="_Toc22691"/>
      <w:r>
        <w:rPr>
          <w:rFonts w:hint="eastAsia" w:ascii="宋体" w:hAnsi="宋体" w:eastAsia="宋体" w:cs="宋体"/>
          <w:color w:val="000000" w:themeColor="text1"/>
          <w:spacing w:val="0"/>
          <w:sz w:val="24"/>
          <w:szCs w:val="24"/>
          <w:highlight w:val="none"/>
          <w:lang w:eastAsia="zh-CN"/>
          <w14:textFill>
            <w14:solidFill>
              <w14:schemeClr w14:val="tx1"/>
            </w14:solidFill>
          </w14:textFill>
        </w:rPr>
        <w:t>（3）</w:t>
      </w:r>
      <w:r>
        <w:rPr>
          <w:rFonts w:hint="eastAsia" w:ascii="宋体" w:hAnsi="宋体" w:eastAsia="宋体" w:cs="宋体"/>
          <w:color w:val="000000" w:themeColor="text1"/>
          <w:spacing w:val="0"/>
          <w:sz w:val="24"/>
          <w:szCs w:val="24"/>
          <w:highlight w:val="none"/>
          <w14:textFill>
            <w14:solidFill>
              <w14:schemeClr w14:val="tx1"/>
            </w14:solidFill>
          </w14:textFill>
        </w:rPr>
        <w:t>施工组织设计采用“暗标 ”方式进行评审的，施工组织设计的规格颜色、文字排版、正文篇幅（若有）是否符合规定；其任何部位是否出现手写以及涂改、行间插字或删除痕迹；其任何部位是否出现投标人的名称和其它可识别投标人身份的字符、徽标、人员名称以及其他特殊标记。</w:t>
      </w:r>
      <w:bookmarkEnd w:id="101"/>
      <w:bookmarkEnd w:id="102"/>
      <w:bookmarkEnd w:id="103"/>
      <w:bookmarkEnd w:id="104"/>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（本次招标项目不适用）</w:t>
      </w:r>
    </w:p>
    <w:p w14:paraId="5B0B29C4">
      <w:pPr>
        <w:keepNext w:val="0"/>
        <w:keepLines w:val="0"/>
        <w:pageBreakBefore w:val="0"/>
        <w:wordWrap w:val="0"/>
        <w:overflowPunct/>
        <w:topLinePunct w:val="0"/>
        <w:bidi w:val="0"/>
        <w:spacing w:before="15" w:line="360" w:lineRule="auto"/>
        <w:ind w:right="2" w:firstLine="482" w:firstLineChars="200"/>
        <w:jc w:val="both"/>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105" w:name="_Toc14202"/>
      <w:bookmarkStart w:id="106" w:name="_Toc16645"/>
      <w:bookmarkStart w:id="107" w:name="_Toc22562"/>
      <w:bookmarkStart w:id="108" w:name="_Toc22642"/>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15.4.3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响应性评审环节 </w:t>
      </w:r>
    </w:p>
    <w:p w14:paraId="69F5E200">
      <w:pPr>
        <w:keepNext w:val="0"/>
        <w:keepLines w:val="0"/>
        <w:pageBreakBefore w:val="0"/>
        <w:wordWrap w:val="0"/>
        <w:overflowPunct/>
        <w:topLinePunct w:val="0"/>
        <w:bidi w:val="0"/>
        <w:spacing w:before="15" w:line="360" w:lineRule="auto"/>
        <w:ind w:right="2" w:firstLine="480" w:firstLineChars="200"/>
        <w:jc w:val="both"/>
        <w:outlineLvl w:val="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响应性评审事</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项</w:t>
      </w:r>
      <w:r>
        <w:rPr>
          <w:rFonts w:hint="eastAsia" w:ascii="宋体" w:hAnsi="宋体" w:eastAsia="宋体" w:cs="宋体"/>
          <w:color w:val="000000" w:themeColor="text1"/>
          <w:spacing w:val="0"/>
          <w:sz w:val="24"/>
          <w:szCs w:val="24"/>
          <w:highlight w:val="none"/>
          <w14:textFill>
            <w14:solidFill>
              <w14:schemeClr w14:val="tx1"/>
            </w14:solidFill>
          </w14:textFill>
        </w:rPr>
        <w:t>包括：</w:t>
      </w:r>
      <w:bookmarkEnd w:id="105"/>
      <w:bookmarkEnd w:id="106"/>
      <w:bookmarkEnd w:id="107"/>
      <w:bookmarkEnd w:id="108"/>
    </w:p>
    <w:p w14:paraId="0A2173BC">
      <w:pPr>
        <w:keepNext w:val="0"/>
        <w:keepLines w:val="0"/>
        <w:pageBreakBefore w:val="0"/>
        <w:wordWrap w:val="0"/>
        <w:overflowPunct/>
        <w:topLinePunct w:val="0"/>
        <w:bidi w:val="0"/>
        <w:spacing w:before="155" w:line="360" w:lineRule="auto"/>
        <w:ind w:left="9"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（1）投标有效期、质量标准、工期等是否响应招标文件实质性要求；是否擅自修改、遗漏《投标函》《各项承诺一览表》的实质性内容。</w:t>
      </w:r>
    </w:p>
    <w:p w14:paraId="5225B394">
      <w:pPr>
        <w:keepNext w:val="0"/>
        <w:keepLines w:val="0"/>
        <w:pageBreakBefore w:val="0"/>
        <w:wordWrap w:val="0"/>
        <w:overflowPunct/>
        <w:topLinePunct w:val="0"/>
        <w:bidi w:val="0"/>
        <w:spacing w:before="152" w:line="36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（2）编制《投标总价》的造价工程师，其注册证书是否合法、有效。</w:t>
      </w:r>
    </w:p>
    <w:p w14:paraId="407B50B8">
      <w:pPr>
        <w:keepNext w:val="0"/>
        <w:keepLines w:val="0"/>
        <w:pageBreakBefore w:val="0"/>
        <w:wordWrap w:val="0"/>
        <w:overflowPunct/>
        <w:topLinePunct w:val="0"/>
        <w:bidi w:val="0"/>
        <w:spacing w:before="158" w:line="360" w:lineRule="auto"/>
        <w:ind w:left="21" w:right="2" w:firstLine="4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（3）投标人委托造价咨询单位编制《投标总价》的，是否在《投标总价扉页》“投标人”栏目加盖造价咨询人公章；是否提供造价咨询人的营业执照副本彩色扫描件；</w:t>
      </w:r>
    </w:p>
    <w:p w14:paraId="33F4A496">
      <w:pPr>
        <w:keepNext w:val="0"/>
        <w:keepLines w:val="0"/>
        <w:pageBreakBefore w:val="0"/>
        <w:wordWrap w:val="0"/>
        <w:overflowPunct/>
        <w:topLinePunct w:val="0"/>
        <w:bidi w:val="0"/>
        <w:spacing w:before="158" w:line="328" w:lineRule="auto"/>
        <w:ind w:left="9" w:firstLine="491"/>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（4）投标总价是否唯一；投标总价是否超出</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color w:val="000000" w:themeColor="text1"/>
          <w:spacing w:val="0"/>
          <w:sz w:val="24"/>
          <w:szCs w:val="24"/>
          <w:highlight w:val="none"/>
          <w14:textFill>
            <w14:solidFill>
              <w14:schemeClr w14:val="tx1"/>
            </w14:solidFill>
          </w14:textFill>
        </w:rPr>
        <w:t>是否达到最低要求；暂列金额、暂估价是否按照招标工程量清单统一报价；投标人是否以低于成本的价格竞标。</w:t>
      </w:r>
    </w:p>
    <w:p w14:paraId="0FEFD797">
      <w:pPr>
        <w:keepNext w:val="0"/>
        <w:keepLines w:val="0"/>
        <w:pageBreakBefore w:val="0"/>
        <w:wordWrap w:val="0"/>
        <w:overflowPunct/>
        <w:topLinePunct w:val="0"/>
        <w:bidi w:val="0"/>
        <w:spacing w:before="38" w:line="360" w:lineRule="auto"/>
        <w:ind w:right="2" w:firstLine="482" w:firstLineChars="200"/>
        <w:jc w:val="both"/>
        <w:rPr>
          <w:rFonts w:hint="eastAsia" w:ascii="宋体" w:hAnsi="宋体" w:eastAsia="宋体" w:cs="宋体"/>
          <w:color w:val="000000" w:themeColor="text1"/>
          <w:spacing w:val="0"/>
          <w:position w:val="-8"/>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注：如果某投标人的投标总价下浮率超过</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15% ，又未提供相应书面说明和佐证</w:t>
      </w:r>
      <w:bookmarkStart w:id="109" w:name="bookmark127"/>
      <w:bookmarkEnd w:id="109"/>
      <w:r>
        <w:rPr>
          <w:rFonts w:hint="eastAsia" w:ascii="宋体" w:hAnsi="宋体" w:eastAsia="宋体" w:cs="宋体"/>
          <w:b/>
          <w:bCs/>
          <w:color w:val="000000" w:themeColor="text1"/>
          <w:spacing w:val="0"/>
          <w:sz w:val="24"/>
          <w:szCs w:val="24"/>
          <w:highlight w:val="none"/>
          <w14:textFill>
            <w14:solidFill>
              <w14:schemeClr w14:val="tx1"/>
            </w14:solidFill>
          </w14:textFill>
        </w:rPr>
        <w:t>材料或提供的书面说明和佐证材料不能令人信服的，评标委员会应认定其以低于成本的价格竞标，并否决其投标。评标委员会接受该投标人的投标总价而未否决其投标的，应在评标报告中说明判断理由。投标总价下浮率＝（1－投标总价÷</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b/>
          <w:bCs/>
          <w:color w:val="000000" w:themeColor="text1"/>
          <w:spacing w:val="0"/>
          <w:sz w:val="24"/>
          <w:szCs w:val="24"/>
          <w:highlight w:val="none"/>
          <w14:textFill>
            <w14:solidFill>
              <w14:schemeClr w14:val="tx1"/>
            </w14:solidFill>
          </w14:textFill>
        </w:rPr>
        <w:t>）×100% 。</w:t>
      </w:r>
    </w:p>
    <w:p w14:paraId="2485C4DD">
      <w:pPr>
        <w:keepNext w:val="0"/>
        <w:keepLines w:val="0"/>
        <w:pageBreakBefore w:val="0"/>
        <w:wordWrap w:val="0"/>
        <w:overflowPunct/>
        <w:topLinePunct w:val="0"/>
        <w:bidi w:val="0"/>
        <w:spacing w:before="157" w:line="360" w:lineRule="auto"/>
        <w:ind w:left="11" w:right="114" w:firstLine="501" w:firstLineChars="209"/>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（5）施工组织设计的质量、进度保障措施是否符合国家和省市现行有关规范、规定、标准，是否能实现工程质量、进度管理目标。</w:t>
      </w:r>
    </w:p>
    <w:p w14:paraId="27A6EA2D">
      <w:pPr>
        <w:keepNext w:val="0"/>
        <w:keepLines w:val="0"/>
        <w:pageBreakBefore w:val="0"/>
        <w:wordWrap w:val="0"/>
        <w:overflowPunct/>
        <w:topLinePunct w:val="0"/>
        <w:bidi w:val="0"/>
        <w:spacing w:before="82" w:line="211" w:lineRule="auto"/>
        <w:ind w:left="580"/>
        <w:outlineLvl w:val="9"/>
        <w:rPr>
          <w:rFonts w:hint="eastAsia" w:ascii="宋体" w:hAnsi="宋体" w:eastAsia="宋体" w:cs="宋体"/>
          <w:color w:val="000000" w:themeColor="text1"/>
          <w:spacing w:val="0"/>
          <w:sz w:val="25"/>
          <w:szCs w:val="25"/>
          <w:highlight w:val="none"/>
          <w14:textFill>
            <w14:solidFill>
              <w14:schemeClr w14:val="tx1"/>
            </w14:solidFill>
          </w14:textFill>
        </w:rPr>
      </w:pPr>
      <w:bookmarkStart w:id="110" w:name="_Toc15367"/>
      <w:bookmarkStart w:id="111" w:name="_Toc32114"/>
      <w:bookmarkStart w:id="112" w:name="_Toc18204"/>
      <w:bookmarkStart w:id="113" w:name="_Toc19814"/>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15.4.4  </w:t>
      </w:r>
      <w:r>
        <w:rPr>
          <w:rFonts w:hint="eastAsia" w:ascii="宋体" w:hAnsi="宋体" w:eastAsia="宋体" w:cs="宋体"/>
          <w:color w:val="000000" w:themeColor="text1"/>
          <w:spacing w:val="0"/>
          <w:sz w:val="24"/>
          <w:szCs w:val="24"/>
          <w:highlight w:val="none"/>
          <w14:textFill>
            <w14:solidFill>
              <w14:schemeClr w14:val="tx1"/>
            </w14:solidFill>
          </w14:textFill>
        </w:rPr>
        <w:t>否决投标说明</w:t>
      </w:r>
      <w:bookmarkEnd w:id="110"/>
      <w:bookmarkEnd w:id="111"/>
      <w:bookmarkEnd w:id="112"/>
      <w:bookmarkEnd w:id="113"/>
    </w:p>
    <w:p w14:paraId="71D5DBDC">
      <w:pPr>
        <w:keepNext w:val="0"/>
        <w:keepLines w:val="0"/>
        <w:pageBreakBefore w:val="0"/>
        <w:wordWrap w:val="0"/>
        <w:overflowPunct/>
        <w:topLinePunct w:val="0"/>
        <w:bidi w:val="0"/>
        <w:spacing w:before="152" w:line="333" w:lineRule="auto"/>
        <w:ind w:left="11" w:right="175" w:firstLine="561"/>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初步评审阶段各个环节否决投标的全部条件，在本章第四节“否决投标条件 ”第</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条至第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 </w:t>
      </w:r>
      <w:r>
        <w:rPr>
          <w:rFonts w:hint="eastAsia" w:ascii="宋体" w:hAnsi="宋体" w:eastAsia="宋体" w:cs="宋体"/>
          <w:color w:val="000000" w:themeColor="text1"/>
          <w:spacing w:val="0"/>
          <w:sz w:val="24"/>
          <w:szCs w:val="24"/>
          <w:highlight w:val="none"/>
          <w14:textFill>
            <w14:solidFill>
              <w14:schemeClr w14:val="tx1"/>
            </w14:solidFill>
          </w14:textFill>
        </w:rPr>
        <w:t>条中集中列示。投标人有其中所列任何一种情形的，由评标委员会否决其投标。在初步评审阶段任何环节被否决的投标人，不进入下一环节（或阶段）评审。在初步评审阶段任何环节</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评标委员会经评审，认为所有投标都不符合招标文件要求的，可否决所有投标，项目的所有投标被否决的，招标人应依法重新组织招标。</w:t>
      </w:r>
    </w:p>
    <w:p w14:paraId="132A65C3">
      <w:pPr>
        <w:keepNext w:val="0"/>
        <w:keepLines w:val="0"/>
        <w:pageBreakBefore w:val="0"/>
        <w:wordWrap w:val="0"/>
        <w:overflowPunct/>
        <w:topLinePunct w:val="0"/>
        <w:bidi w:val="0"/>
        <w:spacing w:before="78" w:line="221" w:lineRule="auto"/>
        <w:ind w:left="5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drawing>
          <wp:anchor distT="0" distB="0" distL="114300" distR="114300" simplePos="0" relativeHeight="251663360" behindDoc="1" locked="0" layoutInCell="1" allowOverlap="1">
            <wp:simplePos x="0" y="0"/>
            <wp:positionH relativeFrom="column">
              <wp:posOffset>4789170</wp:posOffset>
            </wp:positionH>
            <wp:positionV relativeFrom="paragraph">
              <wp:posOffset>236220</wp:posOffset>
            </wp:positionV>
            <wp:extent cx="6350" cy="279400"/>
            <wp:effectExtent l="0" t="0" r="0" b="0"/>
            <wp:wrapNone/>
            <wp:docPr id="31" name="IM 46"/>
            <wp:cNvGraphicFramePr/>
            <a:graphic xmlns:a="http://schemas.openxmlformats.org/drawingml/2006/main">
              <a:graphicData uri="http://schemas.openxmlformats.org/drawingml/2006/picture">
                <pic:pic xmlns:pic="http://schemas.openxmlformats.org/drawingml/2006/picture">
                  <pic:nvPicPr>
                    <pic:cNvPr id="31" name="IM 46"/>
                    <pic:cNvPicPr/>
                  </pic:nvPicPr>
                  <pic:blipFill>
                    <a:blip r:embed="rId30"/>
                    <a:stretch>
                      <a:fillRect/>
                    </a:stretch>
                  </pic:blipFill>
                  <pic:spPr>
                    <a:xfrm>
                      <a:off x="0" y="0"/>
                      <a:ext cx="6350" cy="279400"/>
                    </a:xfrm>
                    <a:prstGeom prst="rect">
                      <a:avLst/>
                    </a:prstGeom>
                    <a:noFill/>
                    <a:ln>
                      <a:noFill/>
                    </a:ln>
                  </pic:spPr>
                </pic:pic>
              </a:graphicData>
            </a:graphic>
          </wp:anchor>
        </w:drawing>
      </w:r>
      <w:bookmarkStart w:id="114" w:name="bookmark128"/>
      <w:bookmarkEnd w:id="114"/>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15.5  </w:t>
      </w:r>
      <w:r>
        <w:rPr>
          <w:rFonts w:hint="eastAsia" w:ascii="宋体" w:hAnsi="宋体" w:eastAsia="宋体" w:cs="宋体"/>
          <w:color w:val="000000" w:themeColor="text1"/>
          <w:spacing w:val="0"/>
          <w:sz w:val="24"/>
          <w:szCs w:val="24"/>
          <w:highlight w:val="none"/>
          <w14:textFill>
            <w14:solidFill>
              <w14:schemeClr w14:val="tx1"/>
            </w14:solidFill>
          </w14:textFill>
        </w:rPr>
        <w:t>详细评审阶段</w:t>
      </w:r>
    </w:p>
    <w:p w14:paraId="60660A02">
      <w:pPr>
        <w:keepNext w:val="0"/>
        <w:keepLines w:val="0"/>
        <w:pageBreakBefore w:val="0"/>
        <w:wordWrap w:val="0"/>
        <w:overflowPunct/>
        <w:topLinePunct w:val="0"/>
        <w:bidi w:val="0"/>
        <w:spacing w:before="81" w:line="211" w:lineRule="auto"/>
        <w:ind w:left="498"/>
        <w:outlineLvl w:val="9"/>
        <w:rPr>
          <w:rFonts w:hint="eastAsia" w:ascii="宋体" w:hAnsi="宋体" w:eastAsia="宋体" w:cs="宋体"/>
          <w:color w:val="000000" w:themeColor="text1"/>
          <w:spacing w:val="0"/>
          <w:sz w:val="25"/>
          <w:szCs w:val="25"/>
          <w:highlight w:val="none"/>
          <w14:textFill>
            <w14:solidFill>
              <w14:schemeClr w14:val="tx1"/>
            </w14:solidFill>
          </w14:textFill>
        </w:rPr>
      </w:pPr>
      <w:bookmarkStart w:id="115" w:name="_Toc10503"/>
      <w:bookmarkStart w:id="116" w:name="_Toc28572"/>
      <w:bookmarkStart w:id="117" w:name="_Toc14991"/>
      <w:bookmarkStart w:id="118" w:name="_Toc4119"/>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15.5.1  </w:t>
      </w:r>
      <w:r>
        <w:rPr>
          <w:rFonts w:hint="eastAsia" w:ascii="宋体" w:hAnsi="宋体" w:eastAsia="宋体" w:cs="宋体"/>
          <w:color w:val="000000" w:themeColor="text1"/>
          <w:spacing w:val="0"/>
          <w:sz w:val="24"/>
          <w:szCs w:val="24"/>
          <w:highlight w:val="none"/>
          <w14:textFill>
            <w14:solidFill>
              <w14:schemeClr w14:val="tx1"/>
            </w14:solidFill>
          </w14:textFill>
        </w:rPr>
        <w:t>“综合评估法 ”评审程序</w:t>
      </w:r>
      <w:bookmarkEnd w:id="115"/>
      <w:bookmarkEnd w:id="116"/>
      <w:bookmarkEnd w:id="117"/>
      <w:bookmarkEnd w:id="118"/>
    </w:p>
    <w:p w14:paraId="1C11D96B">
      <w:pPr>
        <w:keepNext w:val="0"/>
        <w:keepLines w:val="0"/>
        <w:pageBreakBefore w:val="0"/>
        <w:wordWrap w:val="0"/>
        <w:overflowPunct/>
        <w:topLinePunct w:val="0"/>
        <w:bidi w:val="0"/>
        <w:spacing w:before="152" w:line="329" w:lineRule="auto"/>
        <w:ind w:left="14" w:right="81"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评审内容分为商务技术和投标报价两大部分。其中，商务技术合计满分</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100</w:t>
      </w:r>
      <w:r>
        <w:rPr>
          <w:rFonts w:hint="eastAsia" w:ascii="宋体" w:hAnsi="宋体" w:eastAsia="宋体" w:cs="宋体"/>
          <w:color w:val="000000" w:themeColor="text1"/>
          <w:spacing w:val="0"/>
          <w:sz w:val="24"/>
          <w:szCs w:val="24"/>
          <w:highlight w:val="none"/>
          <w14:textFill>
            <w14:solidFill>
              <w14:schemeClr w14:val="tx1"/>
            </w14:solidFill>
          </w14:textFill>
        </w:rPr>
        <w:t>分，权重为</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40</w:t>
      </w:r>
      <w:r>
        <w:rPr>
          <w:rFonts w:hint="eastAsia" w:ascii="宋体" w:hAnsi="宋体" w:eastAsia="宋体" w:cs="宋体"/>
          <w:color w:val="000000" w:themeColor="text1"/>
          <w:spacing w:val="0"/>
          <w:sz w:val="24"/>
          <w:szCs w:val="24"/>
          <w:highlight w:val="none"/>
          <w14:textFill>
            <w14:solidFill>
              <w14:schemeClr w14:val="tx1"/>
            </w14:solidFill>
          </w14:textFill>
        </w:rPr>
        <w:t>%；投标报价满分 100 分，权重为</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60</w:t>
      </w:r>
      <w:r>
        <w:rPr>
          <w:rFonts w:hint="eastAsia" w:ascii="宋体" w:hAnsi="宋体" w:eastAsia="宋体" w:cs="宋体"/>
          <w:color w:val="000000" w:themeColor="text1"/>
          <w:spacing w:val="0"/>
          <w:sz w:val="24"/>
          <w:szCs w:val="24"/>
          <w:highlight w:val="none"/>
          <w14:textFill>
            <w14:solidFill>
              <w14:schemeClr w14:val="tx1"/>
            </w14:solidFill>
          </w14:textFill>
        </w:rPr>
        <w:t>% 。两大部分权重之和应为 100%。</w:t>
      </w:r>
    </w:p>
    <w:p w14:paraId="3ABDDFFD">
      <w:pPr>
        <w:keepNext w:val="0"/>
        <w:keepLines w:val="0"/>
        <w:pageBreakBefore w:val="0"/>
        <w:wordWrap w:val="0"/>
        <w:overflowPunct/>
        <w:topLinePunct w:val="0"/>
        <w:bidi w:val="0"/>
        <w:spacing w:before="153" w:line="324" w:lineRule="auto"/>
        <w:ind w:left="14" w:right="81"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除特别注明外，综合得分以及商务技术得分、投标报价得分的中间过程计算值和最终值，均按“ 四舍五入 ”原则精确到两位小数。</w:t>
      </w:r>
    </w:p>
    <w:p w14:paraId="11F14EEB">
      <w:pPr>
        <w:keepNext w:val="0"/>
        <w:keepLines w:val="0"/>
        <w:pageBreakBefore w:val="0"/>
        <w:wordWrap w:val="0"/>
        <w:overflowPunct/>
        <w:topLinePunct w:val="0"/>
        <w:bidi w:val="0"/>
        <w:spacing w:before="38" w:line="220" w:lineRule="auto"/>
        <w:ind w:left="503"/>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119" w:name="_Toc17510"/>
      <w:bookmarkStart w:id="120" w:name="_Toc22949"/>
      <w:bookmarkStart w:id="121" w:name="_Toc10398"/>
      <w:bookmarkStart w:id="122" w:name="_Toc18029"/>
      <w:r>
        <w:rPr>
          <w:rFonts w:hint="eastAsia" w:ascii="宋体" w:hAnsi="宋体" w:eastAsia="宋体" w:cs="宋体"/>
          <w:color w:val="000000" w:themeColor="text1"/>
          <w:spacing w:val="0"/>
          <w:sz w:val="24"/>
          <w:szCs w:val="24"/>
          <w:highlight w:val="none"/>
          <w14:textFill>
            <w14:solidFill>
              <w14:schemeClr w14:val="tx1"/>
            </w14:solidFill>
          </w14:textFill>
        </w:rPr>
        <w:t>（1）商务技术得分 M</w:t>
      </w:r>
      <w:bookmarkEnd w:id="119"/>
      <w:bookmarkEnd w:id="120"/>
      <w:bookmarkEnd w:id="121"/>
      <w:bookmarkEnd w:id="122"/>
    </w:p>
    <w:p w14:paraId="7F4E18BB">
      <w:pPr>
        <w:keepNext w:val="0"/>
        <w:keepLines w:val="0"/>
        <w:pageBreakBefore w:val="0"/>
        <w:wordWrap w:val="0"/>
        <w:overflowPunct/>
        <w:topLinePunct w:val="0"/>
        <w:bidi w:val="0"/>
        <w:spacing w:before="153" w:line="279" w:lineRule="auto"/>
        <w:ind w:left="15" w:right="81"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a </w:t>
      </w:r>
      <w:r>
        <w:rPr>
          <w:rFonts w:hint="eastAsia" w:ascii="宋体" w:hAnsi="宋体" w:eastAsia="宋体" w:cs="宋体"/>
          <w:color w:val="000000" w:themeColor="text1"/>
          <w:spacing w:val="0"/>
          <w:sz w:val="24"/>
          <w:szCs w:val="24"/>
          <w:highlight w:val="none"/>
          <w14:textFill>
            <w14:solidFill>
              <w14:schemeClr w14:val="tx1"/>
            </w14:solidFill>
          </w14:textFill>
        </w:rPr>
        <w:t>．评标委员会按照《综合评分表》商务部分指定的评分标准对各评分因素进行打分。各评分因素得分之和即为某投标人的商务得分 M</w:t>
      </w:r>
      <w:r>
        <w:rPr>
          <w:rFonts w:hint="eastAsia" w:ascii="宋体" w:hAnsi="宋体" w:eastAsia="宋体" w:cs="宋体"/>
          <w:color w:val="000000" w:themeColor="text1"/>
          <w:spacing w:val="0"/>
          <w:position w:val="-1"/>
          <w:sz w:val="15"/>
          <w:szCs w:val="15"/>
          <w:highlight w:val="none"/>
          <w14:textFill>
            <w14:solidFill>
              <w14:schemeClr w14:val="tx1"/>
            </w14:solidFill>
          </w14:textFill>
        </w:rPr>
        <w:t>1</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20931295">
      <w:pPr>
        <w:keepNext w:val="0"/>
        <w:keepLines w:val="0"/>
        <w:pageBreakBefore w:val="0"/>
        <w:wordWrap w:val="0"/>
        <w:overflowPunct/>
        <w:topLinePunct w:val="0"/>
        <w:bidi w:val="0"/>
        <w:spacing w:before="154" w:line="299" w:lineRule="auto"/>
        <w:ind w:left="12" w:right="81" w:firstLine="47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b </w:t>
      </w:r>
      <w:r>
        <w:rPr>
          <w:rFonts w:hint="eastAsia" w:ascii="宋体" w:hAnsi="宋体" w:eastAsia="宋体" w:cs="宋体"/>
          <w:color w:val="000000" w:themeColor="text1"/>
          <w:spacing w:val="0"/>
          <w:sz w:val="24"/>
          <w:szCs w:val="24"/>
          <w:highlight w:val="none"/>
          <w14:textFill>
            <w14:solidFill>
              <w14:schemeClr w14:val="tx1"/>
            </w14:solidFill>
          </w14:textFill>
        </w:rPr>
        <w:t>．评标委员会各成员独立按照《综合评分表》技术部分（施工组织设计）指定的评分标准对各评分因素进行打分，累加后得出技术评分。将评标委员会所有成员的技术评分去掉最高分和最低分后，取算术平均值，即为某投标人的技术得分 M</w:t>
      </w:r>
      <w:r>
        <w:rPr>
          <w:rFonts w:hint="eastAsia" w:ascii="宋体" w:hAnsi="宋体" w:eastAsia="宋体" w:cs="宋体"/>
          <w:color w:val="000000" w:themeColor="text1"/>
          <w:spacing w:val="0"/>
          <w:position w:val="-1"/>
          <w:sz w:val="15"/>
          <w:szCs w:val="15"/>
          <w:highlight w:val="none"/>
          <w14:textFill>
            <w14:solidFill>
              <w14:schemeClr w14:val="tx1"/>
            </w14:solidFill>
          </w14:textFill>
        </w:rPr>
        <w:t>2</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0C018EDE">
      <w:pPr>
        <w:keepNext w:val="0"/>
        <w:keepLines w:val="0"/>
        <w:pageBreakBefore w:val="0"/>
        <w:wordWrap w:val="0"/>
        <w:overflowPunct/>
        <w:topLinePunct w:val="0"/>
        <w:bidi w:val="0"/>
        <w:spacing w:before="155" w:line="231" w:lineRule="auto"/>
        <w:ind w:left="491"/>
        <w:rPr>
          <w:rFonts w:hint="eastAsia" w:ascii="宋体" w:hAnsi="宋体" w:eastAsia="宋体" w:cs="宋体"/>
          <w:color w:val="000000" w:themeColor="text1"/>
          <w:spacing w:val="0"/>
          <w:sz w:val="15"/>
          <w:szCs w:val="15"/>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c </w:t>
      </w:r>
      <w:r>
        <w:rPr>
          <w:rFonts w:hint="eastAsia" w:ascii="宋体" w:hAnsi="宋体" w:eastAsia="宋体" w:cs="宋体"/>
          <w:color w:val="000000" w:themeColor="text1"/>
          <w:spacing w:val="0"/>
          <w:sz w:val="24"/>
          <w:szCs w:val="24"/>
          <w:highlight w:val="none"/>
          <w14:textFill>
            <w14:solidFill>
              <w14:schemeClr w14:val="tx1"/>
            </w14:solidFill>
          </w14:textFill>
        </w:rPr>
        <w:t>．M ＝M</w:t>
      </w:r>
      <w:r>
        <w:rPr>
          <w:rFonts w:hint="eastAsia" w:ascii="宋体" w:hAnsi="宋体" w:eastAsia="宋体" w:cs="宋体"/>
          <w:color w:val="000000" w:themeColor="text1"/>
          <w:spacing w:val="0"/>
          <w:position w:val="-1"/>
          <w:sz w:val="15"/>
          <w:szCs w:val="15"/>
          <w:highlight w:val="none"/>
          <w14:textFill>
            <w14:solidFill>
              <w14:schemeClr w14:val="tx1"/>
            </w14:solidFill>
          </w14:textFill>
        </w:rPr>
        <w:t>1</w:t>
      </w:r>
      <w:r>
        <w:rPr>
          <w:rFonts w:hint="eastAsia" w:ascii="宋体" w:hAnsi="宋体" w:eastAsia="宋体" w:cs="宋体"/>
          <w:color w:val="000000" w:themeColor="text1"/>
          <w:spacing w:val="0"/>
          <w:sz w:val="24"/>
          <w:szCs w:val="24"/>
          <w:highlight w:val="none"/>
          <w14:textFill>
            <w14:solidFill>
              <w14:schemeClr w14:val="tx1"/>
            </w14:solidFill>
          </w14:textFill>
        </w:rPr>
        <w:t>＋M</w:t>
      </w:r>
      <w:r>
        <w:rPr>
          <w:rFonts w:hint="eastAsia" w:ascii="宋体" w:hAnsi="宋体" w:eastAsia="宋体" w:cs="宋体"/>
          <w:color w:val="000000" w:themeColor="text1"/>
          <w:spacing w:val="0"/>
          <w:position w:val="-1"/>
          <w:sz w:val="15"/>
          <w:szCs w:val="15"/>
          <w:highlight w:val="none"/>
          <w14:textFill>
            <w14:solidFill>
              <w14:schemeClr w14:val="tx1"/>
            </w14:solidFill>
          </w14:textFill>
        </w:rPr>
        <w:t>2</w:t>
      </w:r>
    </w:p>
    <w:p w14:paraId="277B94CD">
      <w:pPr>
        <w:keepNext w:val="0"/>
        <w:keepLines w:val="0"/>
        <w:pageBreakBefore w:val="0"/>
        <w:wordWrap w:val="0"/>
        <w:overflowPunct/>
        <w:topLinePunct w:val="0"/>
        <w:bidi w:val="0"/>
        <w:spacing w:before="139" w:line="220"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式中：M</w:t>
      </w:r>
      <w:r>
        <w:rPr>
          <w:rFonts w:hint="eastAsia" w:ascii="宋体" w:hAnsi="宋体" w:eastAsia="宋体" w:cs="宋体"/>
          <w:color w:val="000000" w:themeColor="text1"/>
          <w:spacing w:val="0"/>
          <w:position w:val="-1"/>
          <w:sz w:val="15"/>
          <w:szCs w:val="15"/>
          <w:highlight w:val="none"/>
          <w14:textFill>
            <w14:solidFill>
              <w14:schemeClr w14:val="tx1"/>
            </w14:solidFill>
          </w14:textFill>
        </w:rPr>
        <w:t>1</w:t>
      </w:r>
      <w:r>
        <w:rPr>
          <w:rFonts w:hint="eastAsia" w:ascii="宋体" w:hAnsi="宋体" w:eastAsia="宋体" w:cs="宋体"/>
          <w:color w:val="000000" w:themeColor="text1"/>
          <w:spacing w:val="0"/>
          <w:w w:val="101"/>
          <w:position w:val="-1"/>
          <w:sz w:val="15"/>
          <w:szCs w:val="15"/>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为某投标人的商务得分，M</w:t>
      </w:r>
      <w:r>
        <w:rPr>
          <w:rFonts w:hint="eastAsia" w:ascii="宋体" w:hAnsi="宋体" w:eastAsia="宋体" w:cs="宋体"/>
          <w:color w:val="000000" w:themeColor="text1"/>
          <w:spacing w:val="0"/>
          <w:position w:val="-1"/>
          <w:sz w:val="15"/>
          <w:szCs w:val="15"/>
          <w:highlight w:val="none"/>
          <w14:textFill>
            <w14:solidFill>
              <w14:schemeClr w14:val="tx1"/>
            </w14:solidFill>
          </w14:textFill>
        </w:rPr>
        <w:t xml:space="preserve">2 </w:t>
      </w:r>
      <w:r>
        <w:rPr>
          <w:rFonts w:hint="eastAsia" w:ascii="宋体" w:hAnsi="宋体" w:eastAsia="宋体" w:cs="宋体"/>
          <w:color w:val="000000" w:themeColor="text1"/>
          <w:spacing w:val="0"/>
          <w:sz w:val="24"/>
          <w:szCs w:val="24"/>
          <w:highlight w:val="none"/>
          <w14:textFill>
            <w14:solidFill>
              <w14:schemeClr w14:val="tx1"/>
            </w14:solidFill>
          </w14:textFill>
        </w:rPr>
        <w:t>为某投标人的技术得分。</w:t>
      </w:r>
    </w:p>
    <w:p w14:paraId="6B037580">
      <w:pPr>
        <w:keepNext w:val="0"/>
        <w:keepLines w:val="0"/>
        <w:pageBreakBefore w:val="0"/>
        <w:wordWrap w:val="0"/>
        <w:overflowPunct/>
        <w:topLinePunct w:val="0"/>
        <w:bidi w:val="0"/>
        <w:spacing w:before="153" w:line="219" w:lineRule="auto"/>
        <w:ind w:left="503"/>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123" w:name="_Toc16136"/>
      <w:bookmarkStart w:id="124" w:name="_Toc27609"/>
      <w:bookmarkStart w:id="125" w:name="_Toc14059"/>
      <w:bookmarkStart w:id="126" w:name="_Toc3958"/>
      <w:r>
        <w:rPr>
          <w:rFonts w:hint="eastAsia" w:ascii="宋体" w:hAnsi="宋体" w:eastAsia="宋体" w:cs="宋体"/>
          <w:color w:val="000000" w:themeColor="text1"/>
          <w:spacing w:val="0"/>
          <w:sz w:val="24"/>
          <w:szCs w:val="24"/>
          <w:highlight w:val="none"/>
          <w14:textFill>
            <w14:solidFill>
              <w14:schemeClr w14:val="tx1"/>
            </w14:solidFill>
          </w14:textFill>
        </w:rPr>
        <w:t>（2）投标报价得分 N</w:t>
      </w:r>
      <w:bookmarkEnd w:id="123"/>
      <w:bookmarkEnd w:id="124"/>
      <w:bookmarkEnd w:id="125"/>
      <w:bookmarkEnd w:id="126"/>
    </w:p>
    <w:p w14:paraId="1BB7535A">
      <w:pPr>
        <w:keepNext w:val="0"/>
        <w:keepLines w:val="0"/>
        <w:pageBreakBefore w:val="0"/>
        <w:wordWrap w:val="0"/>
        <w:overflowPunct/>
        <w:topLinePunct w:val="0"/>
        <w:bidi w:val="0"/>
        <w:spacing w:before="157" w:line="219" w:lineRule="auto"/>
        <w:ind w:firstLine="482" w:firstLineChars="20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a </w:t>
      </w:r>
      <w:r>
        <w:rPr>
          <w:rFonts w:hint="eastAsia" w:ascii="宋体" w:hAnsi="宋体" w:eastAsia="宋体" w:cs="宋体"/>
          <w:color w:val="000000" w:themeColor="text1"/>
          <w:spacing w:val="0"/>
          <w:sz w:val="24"/>
          <w:szCs w:val="24"/>
          <w:highlight w:val="none"/>
          <w14:textFill>
            <w14:solidFill>
              <w14:schemeClr w14:val="tx1"/>
            </w14:solidFill>
          </w14:textFill>
        </w:rPr>
        <w:t>．评标委员会按照《综合评分表》投标报价部分指定的方法计算评标基准价 D。</w:t>
      </w:r>
    </w:p>
    <w:p w14:paraId="58AA9DB6">
      <w:pPr>
        <w:keepNext w:val="0"/>
        <w:keepLines w:val="0"/>
        <w:pageBreakBefore w:val="0"/>
        <w:wordWrap w:val="0"/>
        <w:overflowPunct/>
        <w:topLinePunct w:val="0"/>
        <w:bidi w:val="0"/>
        <w:spacing w:before="155" w:line="299" w:lineRule="auto"/>
        <w:ind w:left="12" w:right="83" w:firstLine="47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b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．采用内插法计算某投标人的投标报价得分 N ，即当投标人的投标总价等于评标基准价时得 100 分，每高于评标基准价一个百分点扣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 分,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每低于评标基准价一个百分点扣 </w:t>
      </w:r>
      <w:r>
        <w:rPr>
          <w:rFonts w:hint="eastAsia" w:ascii="宋体" w:hAnsi="宋体" w:eastAsia="宋体" w:cs="宋体"/>
          <w:b/>
          <w:bCs/>
          <w:color w:val="000000" w:themeColor="text1"/>
          <w:spacing w:val="0"/>
          <w:sz w:val="24"/>
          <w:szCs w:val="24"/>
          <w:highlight w:val="none"/>
          <w14:textFill>
            <w14:solidFill>
              <w14:schemeClr w14:val="tx1"/>
            </w14:solidFill>
          </w14:textFill>
        </w:rPr>
        <w:t>0.5 分</w:t>
      </w:r>
      <w:r>
        <w:rPr>
          <w:rFonts w:hint="eastAsia" w:ascii="宋体" w:hAnsi="宋体" w:eastAsia="宋体" w:cs="宋体"/>
          <w:color w:val="000000" w:themeColor="text1"/>
          <w:spacing w:val="0"/>
          <w:sz w:val="24"/>
          <w:szCs w:val="24"/>
          <w:highlight w:val="none"/>
          <w14:textFill>
            <w14:solidFill>
              <w14:schemeClr w14:val="tx1"/>
            </w14:solidFill>
          </w14:textFill>
        </w:rPr>
        <w:t>，扣完为止。公式如下：</w:t>
      </w:r>
    </w:p>
    <w:p w14:paraId="232F1429">
      <w:pPr>
        <w:keepNext w:val="0"/>
        <w:keepLines w:val="0"/>
        <w:pageBreakBefore w:val="0"/>
        <w:wordWrap w:val="0"/>
        <w:overflowPunct/>
        <w:topLinePunct w:val="0"/>
        <w:bidi w:val="0"/>
        <w:spacing w:before="118" w:line="333" w:lineRule="exact"/>
        <w:ind w:left="241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position w:val="3"/>
          <w:sz w:val="24"/>
          <w:szCs w:val="24"/>
          <w:highlight w:val="none"/>
          <w14:textFill>
            <w14:solidFill>
              <w14:schemeClr w14:val="tx1"/>
            </w14:solidFill>
          </w14:textFill>
        </w:rPr>
        <w:t>N ＝100－（| Di－D | ÷D） × 100×E</w:t>
      </w:r>
    </w:p>
    <w:p w14:paraId="6B667673">
      <w:pPr>
        <w:keepNext w:val="0"/>
        <w:keepLines w:val="0"/>
        <w:pageBreakBefore w:val="0"/>
        <w:wordWrap w:val="0"/>
        <w:overflowPunct/>
        <w:topLinePunct w:val="0"/>
        <w:bidi w:val="0"/>
        <w:spacing w:before="106" w:line="316" w:lineRule="auto"/>
        <w:ind w:left="7" w:right="17"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式中：D 为评标基准价；Di为某投标人的投标总价；E 为扣分因子，当 Di＞D时，E ＝</w:t>
      </w:r>
      <w:r>
        <w:rPr>
          <w:rFonts w:hint="eastAsia" w:ascii="宋体" w:hAnsi="宋体" w:eastAsia="宋体" w:cs="宋体"/>
          <w:b/>
          <w:bCs/>
          <w:color w:val="000000" w:themeColor="text1"/>
          <w:spacing w:val="0"/>
          <w:sz w:val="24"/>
          <w:szCs w:val="24"/>
          <w:highlight w:val="none"/>
          <w14:textFill>
            <w14:solidFill>
              <w14:schemeClr w14:val="tx1"/>
            </w14:solidFill>
          </w14:textFill>
        </w:rPr>
        <w:t>1 ；</w:t>
      </w:r>
      <w:r>
        <w:rPr>
          <w:rFonts w:hint="eastAsia" w:ascii="宋体" w:hAnsi="宋体" w:eastAsia="宋体" w:cs="宋体"/>
          <w:color w:val="000000" w:themeColor="text1"/>
          <w:spacing w:val="0"/>
          <w:sz w:val="24"/>
          <w:szCs w:val="24"/>
          <w:highlight w:val="none"/>
          <w14:textFill>
            <w14:solidFill>
              <w14:schemeClr w14:val="tx1"/>
            </w14:solidFill>
          </w14:textFill>
        </w:rPr>
        <w:t>当 Di＜D</w:t>
      </w:r>
      <w:r>
        <w:rPr>
          <w:rFonts w:hint="eastAsia" w:ascii="宋体" w:hAnsi="宋体" w:eastAsia="宋体" w:cs="宋体"/>
          <w:color w:val="000000" w:themeColor="text1"/>
          <w:spacing w:val="0"/>
          <w:w w:val="101"/>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时，E </w:t>
      </w:r>
      <w:r>
        <w:rPr>
          <w:rFonts w:hint="eastAsia" w:ascii="宋体" w:hAnsi="宋体" w:eastAsia="宋体" w:cs="宋体"/>
          <w:b/>
          <w:bCs/>
          <w:color w:val="000000" w:themeColor="text1"/>
          <w:spacing w:val="0"/>
          <w:sz w:val="24"/>
          <w:szCs w:val="24"/>
          <w:highlight w:val="none"/>
          <w14:textFill>
            <w14:solidFill>
              <w14:schemeClr w14:val="tx1"/>
            </w14:solidFill>
          </w14:textFill>
        </w:rPr>
        <w:t>＝0.5</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w:t>
      </w:r>
    </w:p>
    <w:p w14:paraId="6F340CA9">
      <w:pPr>
        <w:keepNext w:val="0"/>
        <w:keepLines w:val="0"/>
        <w:pageBreakBefore w:val="0"/>
        <w:wordWrap w:val="0"/>
        <w:overflowPunct/>
        <w:topLinePunct w:val="0"/>
        <w:bidi w:val="0"/>
        <w:spacing w:before="95" w:line="220" w:lineRule="auto"/>
        <w:ind w:left="503"/>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127" w:name="_Toc3861"/>
      <w:bookmarkStart w:id="128" w:name="_Toc576"/>
      <w:bookmarkStart w:id="129" w:name="_Toc7915"/>
      <w:bookmarkStart w:id="130" w:name="_Toc4990"/>
      <w:r>
        <w:rPr>
          <w:rFonts w:hint="eastAsia" w:ascii="宋体" w:hAnsi="宋体" w:eastAsia="宋体" w:cs="宋体"/>
          <w:color w:val="000000" w:themeColor="text1"/>
          <w:spacing w:val="0"/>
          <w:sz w:val="24"/>
          <w:szCs w:val="24"/>
          <w:highlight w:val="none"/>
          <w14:textFill>
            <w14:solidFill>
              <w14:schemeClr w14:val="tx1"/>
            </w14:solidFill>
          </w14:textFill>
        </w:rPr>
        <w:t>（3）综合得分</w:t>
      </w:r>
      <w:bookmarkEnd w:id="127"/>
      <w:bookmarkEnd w:id="128"/>
      <w:bookmarkEnd w:id="129"/>
      <w:bookmarkEnd w:id="130"/>
    </w:p>
    <w:p w14:paraId="50217631">
      <w:pPr>
        <w:keepNext w:val="0"/>
        <w:keepLines w:val="0"/>
        <w:pageBreakBefore w:val="0"/>
        <w:wordWrap w:val="0"/>
        <w:overflowPunct/>
        <w:topLinePunct w:val="0"/>
        <w:bidi w:val="0"/>
        <w:spacing w:before="153" w:line="220" w:lineRule="auto"/>
        <w:ind w:left="49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综合得分换算为百分制，满分 100 分，公式如下：</w:t>
      </w:r>
    </w:p>
    <w:p w14:paraId="215CB6BC">
      <w:pPr>
        <w:keepNext w:val="0"/>
        <w:keepLines w:val="0"/>
        <w:pageBreakBefore w:val="0"/>
        <w:wordWrap w:val="0"/>
        <w:overflowPunct/>
        <w:topLinePunct w:val="0"/>
        <w:bidi w:val="0"/>
        <w:spacing w:before="155" w:line="324" w:lineRule="auto"/>
        <w:ind w:left="496" w:right="532" w:hanging="3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综合得分＝M÷商务技术合计满分×100×商务技术权重＋N×投标报价权重</w:t>
      </w:r>
    </w:p>
    <w:p w14:paraId="390CA99F">
      <w:pPr>
        <w:keepNext w:val="0"/>
        <w:keepLines w:val="0"/>
        <w:pageBreakBefore w:val="0"/>
        <w:wordWrap w:val="0"/>
        <w:overflowPunct/>
        <w:topLinePunct w:val="0"/>
        <w:bidi w:val="0"/>
        <w:spacing w:before="155" w:line="324" w:lineRule="auto"/>
        <w:ind w:left="496" w:right="532" w:hanging="3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式中：M 为商务技术得分，N 为投标报价得分。</w:t>
      </w:r>
    </w:p>
    <w:p w14:paraId="1C9D58A3">
      <w:pPr>
        <w:widowControl w:val="0"/>
        <w:kinsoku/>
        <w:wordWrap w:val="0"/>
        <w:autoSpaceDE/>
        <w:autoSpaceDN/>
        <w:adjustRightInd/>
        <w:snapToGrid/>
        <w:spacing w:line="400" w:lineRule="exact"/>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bookmarkStart w:id="131" w:name="_Toc17375"/>
      <w:bookmarkStart w:id="132" w:name="_Toc3020"/>
      <w:bookmarkStart w:id="133" w:name="_Toc16801"/>
      <w:r>
        <w:rPr>
          <w:rFonts w:ascii="宋体" w:hAnsi="宋体" w:eastAsia="宋体" w:cs="宋体"/>
          <w:color w:val="000000" w:themeColor="text1"/>
          <w:sz w:val="24"/>
          <w:szCs w:val="24"/>
          <w:highlight w:val="none"/>
          <w:lang w:eastAsia="zh-CN"/>
          <w14:textFill>
            <w14:solidFill>
              <w14:schemeClr w14:val="tx1"/>
            </w14:solidFill>
          </w14:textFill>
        </w:rPr>
        <w:t>（4）</w:t>
      </w:r>
      <w:r>
        <w:rPr>
          <w:rFonts w:hint="eastAsia" w:ascii="宋体" w:hAnsi="宋体" w:eastAsia="宋体" w:cs="宋体"/>
          <w:color w:val="000000" w:themeColor="text1"/>
          <w:sz w:val="24"/>
          <w:szCs w:val="24"/>
          <w:highlight w:val="none"/>
          <w:lang w:eastAsia="zh-CN"/>
          <w14:textFill>
            <w14:solidFill>
              <w14:schemeClr w14:val="tx1"/>
            </w14:solidFill>
          </w14:textFill>
        </w:rPr>
        <w:t>评标委员会根据招标文件规定的评分细则，对招标文件中的各评审因素进行评审、比较、打分，将</w:t>
      </w:r>
      <w:r>
        <w:rPr>
          <w:rFonts w:hint="eastAsia" w:ascii="宋体" w:hAnsi="宋体" w:eastAsia="宋体" w:cs="宋体"/>
          <w:b/>
          <w:bCs/>
          <w:color w:val="000000" w:themeColor="text1"/>
          <w:sz w:val="24"/>
          <w:szCs w:val="24"/>
          <w:highlight w:val="none"/>
          <w:lang w:eastAsia="zh-CN"/>
          <w14:textFill>
            <w14:solidFill>
              <w14:schemeClr w14:val="tx1"/>
            </w14:solidFill>
          </w14:textFill>
        </w:rPr>
        <w:t>得分前5名不排序（按企业统一社会信用代码后 4 位大小排位）</w:t>
      </w:r>
      <w:r>
        <w:rPr>
          <w:rFonts w:hint="eastAsia" w:ascii="宋体" w:hAnsi="宋体" w:eastAsia="宋体" w:cs="宋体"/>
          <w:color w:val="000000" w:themeColor="text1"/>
          <w:sz w:val="24"/>
          <w:szCs w:val="24"/>
          <w:highlight w:val="none"/>
          <w:lang w:eastAsia="zh-CN"/>
          <w14:textFill>
            <w14:solidFill>
              <w14:schemeClr w14:val="tx1"/>
            </w14:solidFill>
          </w14:textFill>
        </w:rPr>
        <w:t>的投标人作为定标候选人推荐给招标人，并对每个</w:t>
      </w:r>
      <w:r>
        <w:rPr>
          <w:rFonts w:hint="eastAsia" w:ascii="宋体" w:hAnsi="宋体" w:eastAsia="宋体" w:cs="宋体"/>
          <w:b/>
          <w:bCs/>
          <w:color w:val="000000" w:themeColor="text1"/>
          <w:sz w:val="24"/>
          <w:szCs w:val="24"/>
          <w:highlight w:val="none"/>
          <w:lang w:eastAsia="zh-CN"/>
          <w14:textFill>
            <w14:solidFill>
              <w14:schemeClr w14:val="tx1"/>
            </w14:solidFill>
          </w14:textFill>
        </w:rPr>
        <w:t>定标候选人的优势、风险</w:t>
      </w:r>
      <w:r>
        <w:rPr>
          <w:rFonts w:hint="eastAsia" w:ascii="宋体" w:hAnsi="宋体" w:eastAsia="宋体" w:cs="宋体"/>
          <w:color w:val="000000" w:themeColor="text1"/>
          <w:sz w:val="24"/>
          <w:szCs w:val="24"/>
          <w:highlight w:val="none"/>
          <w:lang w:eastAsia="zh-CN"/>
          <w14:textFill>
            <w14:solidFill>
              <w14:schemeClr w14:val="tx1"/>
            </w14:solidFill>
          </w14:textFill>
        </w:rPr>
        <w:t>等评审情况进行说明。定标候选人得分只作为评标委员会的推荐依据，不作为定标委员会对中标候选人排序的依据。当有效投标人数量不足5名但满足法定要求时，所有通过评审的有效投标人均应作为定标候选人。</w:t>
      </w:r>
    </w:p>
    <w:p w14:paraId="547FF5C7">
      <w:pPr>
        <w:outlineLvl w:val="9"/>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pPr>
    </w:p>
    <w:p w14:paraId="56979A84">
      <w:pPr>
        <w:keepNext w:val="0"/>
        <w:keepLines w:val="0"/>
        <w:pageBreakBefore w:val="0"/>
        <w:wordWrap w:val="0"/>
        <w:overflowPunct/>
        <w:topLinePunct w:val="0"/>
        <w:bidi w:val="0"/>
        <w:spacing w:line="360" w:lineRule="auto"/>
        <w:rPr>
          <w:rFonts w:hint="eastAsia" w:ascii="宋体" w:hAnsi="宋体" w:eastAsia="宋体" w:cs="宋体"/>
          <w:b/>
          <w:bCs/>
          <w:color w:val="000000" w:themeColor="text1"/>
          <w:sz w:val="22"/>
          <w:szCs w:val="22"/>
          <w:highlight w:val="none"/>
          <w:lang w:val="en-US" w:eastAsia="zh-CN"/>
          <w14:textFill>
            <w14:solidFill>
              <w14:schemeClr w14:val="tx1"/>
            </w14:solidFill>
          </w14:textFill>
        </w:rPr>
      </w:pPr>
      <w:r>
        <w:rPr>
          <w:rFonts w:hint="eastAsia" w:ascii="宋体" w:hAnsi="宋体" w:eastAsia="宋体" w:cs="宋体"/>
          <w:b/>
          <w:bCs/>
          <w:color w:val="000000" w:themeColor="text1"/>
          <w:sz w:val="22"/>
          <w:szCs w:val="22"/>
          <w:highlight w:val="none"/>
          <w:lang w:val="en-US" w:eastAsia="zh-CN"/>
          <w14:textFill>
            <w14:solidFill>
              <w14:schemeClr w14:val="tx1"/>
            </w14:solidFill>
          </w14:textFill>
        </w:rPr>
        <w:t>注：编写评标报告时，定标候选人不排序，按企业统一社会信用代码（联合体投标的按牵头人的企业统一社会信用代码）后4位大小排位，如统一社会信用代码后4位出现字母情况的，字母以“0”进行代替大小排位，如出现后4位大小一致的，则随机排位。</w:t>
      </w:r>
    </w:p>
    <w:p w14:paraId="22C172D9">
      <w:pPr>
        <w:keepNext w:val="0"/>
        <w:keepLines w:val="0"/>
        <w:pageBreakBefore w:val="0"/>
        <w:wordWrap w:val="0"/>
        <w:overflowPunct/>
        <w:topLinePunct w:val="0"/>
        <w:bidi w:val="0"/>
        <w:rPr>
          <w:rFonts w:hint="eastAsia" w:ascii="宋体" w:hAnsi="宋体" w:eastAsia="宋体" w:cs="宋体"/>
          <w:b/>
          <w:bCs/>
          <w:color w:val="000000" w:themeColor="text1"/>
          <w:spacing w:val="0"/>
          <w:sz w:val="30"/>
          <w:szCs w:val="30"/>
          <w:highlight w:val="none"/>
          <w14:textFill>
            <w14:solidFill>
              <w14:schemeClr w14:val="tx1"/>
            </w14:solidFill>
          </w14:textFill>
        </w:rPr>
      </w:pPr>
      <w:r>
        <w:rPr>
          <w:rFonts w:hint="eastAsia" w:ascii="宋体" w:hAnsi="宋体" w:eastAsia="宋体" w:cs="宋体"/>
          <w:b/>
          <w:bCs/>
          <w:color w:val="000000" w:themeColor="text1"/>
          <w:spacing w:val="0"/>
          <w:sz w:val="30"/>
          <w:szCs w:val="30"/>
          <w:highlight w:val="none"/>
          <w14:textFill>
            <w14:solidFill>
              <w14:schemeClr w14:val="tx1"/>
            </w14:solidFill>
          </w14:textFill>
        </w:rPr>
        <w:br w:type="page"/>
      </w:r>
    </w:p>
    <w:p w14:paraId="042A8A28">
      <w:pPr>
        <w:keepNext w:val="0"/>
        <w:keepLines w:val="0"/>
        <w:pageBreakBefore w:val="0"/>
        <w:wordWrap w:val="0"/>
        <w:overflowPunct/>
        <w:topLinePunct w:val="0"/>
        <w:bidi w:val="0"/>
        <w:spacing w:before="98" w:line="221" w:lineRule="auto"/>
        <w:ind w:left="4248"/>
        <w:outlineLvl w:val="9"/>
        <w:rPr>
          <w:rFonts w:hint="eastAsia" w:ascii="宋体" w:hAnsi="宋体" w:eastAsia="宋体" w:cs="宋体"/>
          <w:b/>
          <w:bCs/>
          <w:color w:val="000000" w:themeColor="text1"/>
          <w:spacing w:val="0"/>
          <w:sz w:val="30"/>
          <w:szCs w:val="30"/>
          <w:highlight w:val="none"/>
          <w14:textFill>
            <w14:solidFill>
              <w14:schemeClr w14:val="tx1"/>
            </w14:solidFill>
          </w14:textFill>
        </w:rPr>
      </w:pPr>
      <w:r>
        <w:rPr>
          <w:rFonts w:hint="eastAsia" w:ascii="宋体" w:hAnsi="宋体" w:eastAsia="宋体" w:cs="宋体"/>
          <w:b/>
          <w:bCs/>
          <w:color w:val="000000" w:themeColor="text1"/>
          <w:spacing w:val="0"/>
          <w:sz w:val="30"/>
          <w:szCs w:val="30"/>
          <w:highlight w:val="none"/>
          <w14:textFill>
            <w14:solidFill>
              <w14:schemeClr w14:val="tx1"/>
            </w14:solidFill>
          </w14:textFill>
        </w:rPr>
        <w:t>综合评分表</w:t>
      </w:r>
      <w:bookmarkEnd w:id="131"/>
      <w:bookmarkEnd w:id="132"/>
      <w:bookmarkEnd w:id="133"/>
    </w:p>
    <w:tbl>
      <w:tblPr>
        <w:tblStyle w:val="14"/>
        <w:tblW w:w="10307" w:type="dxa"/>
        <w:jc w:val="center"/>
        <w:tblLayout w:type="fixed"/>
        <w:tblCellMar>
          <w:top w:w="0" w:type="dxa"/>
          <w:left w:w="108" w:type="dxa"/>
          <w:bottom w:w="0" w:type="dxa"/>
          <w:right w:w="108" w:type="dxa"/>
        </w:tblCellMar>
      </w:tblPr>
      <w:tblGrid>
        <w:gridCol w:w="1216"/>
        <w:gridCol w:w="3733"/>
        <w:gridCol w:w="5358"/>
      </w:tblGrid>
      <w:tr w14:paraId="496476D5">
        <w:tblPrEx>
          <w:tblCellMar>
            <w:top w:w="0" w:type="dxa"/>
            <w:left w:w="108" w:type="dxa"/>
            <w:bottom w:w="0" w:type="dxa"/>
            <w:right w:w="108" w:type="dxa"/>
          </w:tblCellMar>
        </w:tblPrEx>
        <w:trPr>
          <w:trHeight w:val="522" w:hRule="exact"/>
          <w:jc w:val="center"/>
        </w:trPr>
        <w:tc>
          <w:tcPr>
            <w:tcW w:w="10307" w:type="dxa"/>
            <w:gridSpan w:val="3"/>
            <w:tcBorders>
              <w:top w:val="single" w:color="auto" w:sz="4" w:space="0"/>
              <w:left w:val="single" w:color="auto" w:sz="4" w:space="0"/>
              <w:bottom w:val="single" w:color="auto" w:sz="4" w:space="0"/>
              <w:right w:val="single" w:color="auto" w:sz="4" w:space="0"/>
            </w:tcBorders>
            <w:shd w:val="clear" w:color="auto" w:fill="D7D7D7"/>
            <w:noWrap w:val="0"/>
            <w:vAlign w:val="center"/>
          </w:tcPr>
          <w:p w14:paraId="4B82839E">
            <w:pPr>
              <w:widowControl w:val="0"/>
              <w:tabs>
                <w:tab w:val="left" w:pos="1354"/>
                <w:tab w:val="left" w:pos="1459"/>
                <w:tab w:val="center" w:pos="3902"/>
                <w:tab w:val="right" w:pos="7805"/>
              </w:tabs>
              <w:wordWrap w:val="0"/>
              <w:spacing w:after="0" w:line="240" w:lineRule="auto"/>
              <w:jc w:val="both"/>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lang w:val="en-US" w:eastAsia="zh-CN" w:bidi="ar-SA"/>
                <w14:textFill>
                  <w14:solidFill>
                    <w14:schemeClr w14:val="tx1"/>
                  </w14:solidFill>
                </w14:textFill>
              </w:rPr>
              <w:t>商务部分，满分：</w:t>
            </w:r>
            <w:r>
              <w:rPr>
                <w:rFonts w:hint="eastAsia" w:ascii="宋体" w:hAnsi="宋体" w:eastAsia="宋体" w:cs="宋体"/>
                <w:b/>
                <w:bCs/>
                <w:snapToGrid w:val="0"/>
                <w:color w:val="000000" w:themeColor="text1"/>
                <w:kern w:val="0"/>
                <w:sz w:val="24"/>
                <w:szCs w:val="24"/>
                <w:highlight w:val="none"/>
                <w:u w:val="single"/>
                <w:lang w:val="en-US" w:eastAsia="zh-CN" w:bidi="ar-SA"/>
                <w14:textFill>
                  <w14:solidFill>
                    <w14:schemeClr w14:val="tx1"/>
                  </w14:solidFill>
                </w14:textFill>
              </w:rPr>
              <w:t xml:space="preserve">  80  </w:t>
            </w:r>
            <w:r>
              <w:rPr>
                <w:rFonts w:hint="eastAsia" w:ascii="宋体" w:hAnsi="宋体" w:eastAsia="宋体" w:cs="宋体"/>
                <w:b/>
                <w:bCs/>
                <w:snapToGrid w:val="0"/>
                <w:color w:val="000000" w:themeColor="text1"/>
                <w:kern w:val="0"/>
                <w:sz w:val="24"/>
                <w:szCs w:val="24"/>
                <w:highlight w:val="none"/>
                <w:lang w:val="en-US" w:eastAsia="zh-CN" w:bidi="ar-SA"/>
                <w14:textFill>
                  <w14:solidFill>
                    <w14:schemeClr w14:val="tx1"/>
                  </w14:solidFill>
                </w14:textFill>
              </w:rPr>
              <w:t>分。</w:t>
            </w:r>
          </w:p>
        </w:tc>
      </w:tr>
      <w:tr w14:paraId="7FEA8820">
        <w:tblPrEx>
          <w:tblCellMar>
            <w:top w:w="0" w:type="dxa"/>
            <w:left w:w="108" w:type="dxa"/>
            <w:bottom w:w="0" w:type="dxa"/>
            <w:right w:w="108" w:type="dxa"/>
          </w:tblCellMar>
        </w:tblPrEx>
        <w:trPr>
          <w:trHeight w:val="518" w:hRule="exac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1CA743F0">
            <w:pPr>
              <w:widowControl w:val="0"/>
              <w:tabs>
                <w:tab w:val="left" w:pos="1354"/>
                <w:tab w:val="left" w:pos="1459"/>
                <w:tab w:val="center" w:pos="3902"/>
                <w:tab w:val="right" w:pos="7805"/>
              </w:tabs>
              <w:wordWrap w:val="0"/>
              <w:adjustRightInd w:val="0"/>
              <w:spacing w:after="0" w:line="240" w:lineRule="auto"/>
              <w:jc w:val="cente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评分因素</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7858857E">
            <w:pPr>
              <w:widowControl w:val="0"/>
              <w:tabs>
                <w:tab w:val="left" w:pos="1354"/>
                <w:tab w:val="left" w:pos="1459"/>
                <w:tab w:val="center" w:pos="3902"/>
                <w:tab w:val="right" w:pos="7805"/>
              </w:tabs>
              <w:wordWrap w:val="0"/>
              <w:adjustRightInd w:val="0"/>
              <w:spacing w:after="0" w:line="240" w:lineRule="auto"/>
              <w:jc w:val="cente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评分标准</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3918AC3D">
            <w:pPr>
              <w:widowControl w:val="0"/>
              <w:tabs>
                <w:tab w:val="left" w:pos="1354"/>
                <w:tab w:val="left" w:pos="1459"/>
                <w:tab w:val="center" w:pos="3902"/>
                <w:tab w:val="right" w:pos="7805"/>
              </w:tabs>
              <w:wordWrap w:val="0"/>
              <w:adjustRightInd w:val="0"/>
              <w:spacing w:after="0" w:line="240" w:lineRule="auto"/>
              <w:jc w:val="cente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备注</w:t>
            </w:r>
          </w:p>
        </w:tc>
      </w:tr>
      <w:tr w14:paraId="5E057B61">
        <w:tblPrEx>
          <w:tblCellMar>
            <w:top w:w="0" w:type="dxa"/>
            <w:left w:w="108" w:type="dxa"/>
            <w:bottom w:w="0" w:type="dxa"/>
            <w:right w:w="108" w:type="dxa"/>
          </w:tblCellMar>
        </w:tblPrEx>
        <w:trPr>
          <w:trHeight w:val="7514"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0EE99718">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企业奖项</w:t>
            </w:r>
          </w:p>
          <w:p w14:paraId="6257824B">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（1</w:t>
            </w: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5</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03697864">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企业近</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u w:val="single"/>
                <w:lang w:val="en-US" w:eastAsia="zh-CN"/>
                <w14:textFill>
                  <w14:solidFill>
                    <w14:schemeClr w14:val="tx1"/>
                  </w14:solidFill>
                </w14:textFill>
              </w:rPr>
              <w:t>5</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年来（202</w:t>
            </w: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1</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年1月1日至今）获得</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市政</w:t>
            </w:r>
            <w:r>
              <w:rPr>
                <w:rFonts w:hint="eastAsia" w:ascii="宋体" w:hAnsi="宋体" w:eastAsia="宋体" w:cs="宋体"/>
                <w:snapToGrid w:val="0"/>
                <w:color w:val="000000" w:themeColor="text1"/>
                <w:kern w:val="0"/>
                <w:sz w:val="21"/>
                <w:szCs w:val="21"/>
                <w:highlight w:val="none"/>
                <w:u w:val="single"/>
                <w:lang w:val="en-US" w:eastAsia="zh-CN"/>
                <w14:textFill>
                  <w14:solidFill>
                    <w14:schemeClr w14:val="tx1"/>
                  </w14:solidFill>
                </w14:textFill>
              </w:rPr>
              <w:t>公用工程</w:t>
            </w:r>
            <w:r>
              <w:rPr>
                <w:rFonts w:hint="eastAsia" w:ascii="宋体" w:hAnsi="宋体" w:eastAsia="宋体" w:cs="宋体"/>
                <w:snapToGrid w:val="0"/>
                <w:color w:val="000000" w:themeColor="text1"/>
                <w:kern w:val="0"/>
                <w:sz w:val="21"/>
                <w:szCs w:val="21"/>
                <w:highlight w:val="none"/>
                <w:u w:val="none"/>
                <w:lang w:val="en-US" w:eastAsia="zh-CN"/>
                <w14:textFill>
                  <w14:solidFill>
                    <w14:schemeClr w14:val="tx1"/>
                  </w14:solidFill>
                </w14:textFill>
              </w:rPr>
              <w:t>类</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奖项情况：</w:t>
            </w:r>
          </w:p>
          <w:p w14:paraId="7F9089E6">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1．获得国家级奖项的，每个得</w:t>
            </w:r>
            <w:r>
              <w:rPr>
                <w:rFonts w:hint="eastAsia" w:ascii="宋体" w:hAnsi="宋体" w:eastAsia="宋体" w:cs="宋体"/>
                <w:snapToGrid w:val="0"/>
                <w:color w:val="000000" w:themeColor="text1"/>
                <w:kern w:val="0"/>
                <w:sz w:val="21"/>
                <w:szCs w:val="21"/>
                <w:highlight w:val="none"/>
                <w:u w:val="single"/>
                <w:lang w:val="en-US" w:eastAsia="zh-CN"/>
                <w14:textFill>
                  <w14:solidFill>
                    <w14:schemeClr w14:val="tx1"/>
                  </w14:solidFill>
                </w14:textFill>
              </w:rPr>
              <w:t>10</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分。</w:t>
            </w:r>
          </w:p>
          <w:p w14:paraId="3E683BFA">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2．获得省级奖项的，每个得</w:t>
            </w:r>
            <w:r>
              <w:rPr>
                <w:rFonts w:hint="eastAsia" w:ascii="宋体" w:hAnsi="宋体" w:eastAsia="宋体" w:cs="宋体"/>
                <w:snapToGrid w:val="0"/>
                <w:color w:val="000000" w:themeColor="text1"/>
                <w:kern w:val="0"/>
                <w:sz w:val="21"/>
                <w:szCs w:val="21"/>
                <w:highlight w:val="none"/>
                <w:u w:val="single"/>
                <w:lang w:val="en-US" w:eastAsia="zh-CN"/>
                <w14:textFill>
                  <w14:solidFill>
                    <w14:schemeClr w14:val="tx1"/>
                  </w14:solidFill>
                </w14:textFill>
              </w:rPr>
              <w:t>8</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分。</w:t>
            </w:r>
          </w:p>
          <w:p w14:paraId="3F5EF6E5">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3．获得地市级奖项的，每个得</w:t>
            </w:r>
            <w:r>
              <w:rPr>
                <w:rFonts w:hint="eastAsia" w:ascii="宋体" w:hAnsi="宋体" w:eastAsia="宋体" w:cs="宋体"/>
                <w:snapToGrid w:val="0"/>
                <w:color w:val="000000" w:themeColor="text1"/>
                <w:kern w:val="0"/>
                <w:sz w:val="21"/>
                <w:szCs w:val="21"/>
                <w:highlight w:val="none"/>
                <w:u w:val="single"/>
                <w:lang w:val="en-US" w:eastAsia="zh-CN"/>
                <w14:textFill>
                  <w14:solidFill>
                    <w14:schemeClr w14:val="tx1"/>
                  </w14:solidFill>
                </w14:textFill>
              </w:rPr>
              <w:t>5</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分。</w:t>
            </w:r>
          </w:p>
          <w:p w14:paraId="4C9D96CB">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4．以上奖项均未获得的，不予计分。</w:t>
            </w:r>
          </w:p>
          <w:p w14:paraId="1CE4A1B0">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5．本项最高得1</w:t>
            </w: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5</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分。</w:t>
            </w:r>
          </w:p>
        </w:tc>
        <w:tc>
          <w:tcPr>
            <w:tcW w:w="5358" w:type="dxa"/>
            <w:tcBorders>
              <w:top w:val="single" w:color="auto" w:sz="4" w:space="0"/>
              <w:left w:val="single" w:color="auto" w:sz="4" w:space="0"/>
              <w:bottom w:val="single" w:color="auto" w:sz="4" w:space="0"/>
              <w:right w:val="single" w:color="auto" w:sz="4" w:space="0"/>
            </w:tcBorders>
            <w:noWrap w:val="0"/>
            <w:vAlign w:val="top"/>
          </w:tcPr>
          <w:p w14:paraId="6E72DBCB">
            <w:pPr>
              <w:keepNext w:val="0"/>
              <w:keepLines w:val="0"/>
              <w:pageBreakBefore w:val="0"/>
              <w:widowControl w:val="0"/>
              <w:kinsoku/>
              <w:wordWrap w:val="0"/>
              <w:overflowPunct/>
              <w:topLinePunct w:val="0"/>
              <w:autoSpaceDE/>
              <w:autoSpaceDN/>
              <w:bidi w:val="0"/>
              <w:adjustRightInd w:val="0"/>
              <w:snapToGrid w:val="0"/>
              <w:spacing w:line="336" w:lineRule="auto"/>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1．允许投标人提交多个业绩，但同一业绩只按最高级别奖项计分一次。</w:t>
            </w:r>
          </w:p>
          <w:p w14:paraId="758591B7">
            <w:pPr>
              <w:keepNext w:val="0"/>
              <w:keepLines w:val="0"/>
              <w:pageBreakBefore w:val="0"/>
              <w:widowControl w:val="0"/>
              <w:kinsoku/>
              <w:wordWrap w:val="0"/>
              <w:overflowPunct/>
              <w:topLinePunct w:val="0"/>
              <w:autoSpaceDE/>
              <w:autoSpaceDN/>
              <w:bidi w:val="0"/>
              <w:adjustRightInd w:val="0"/>
              <w:snapToGrid w:val="0"/>
              <w:spacing w:line="336" w:lineRule="auto"/>
              <w:jc w:val="both"/>
              <w:textAlignment w:val="auto"/>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w:t>
            </w: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需附有关奖项证明或网上公示证明发文材料复印件（或打印件或扫描件)。</w:t>
            </w:r>
          </w:p>
          <w:p w14:paraId="7685F405">
            <w:pPr>
              <w:keepNext w:val="0"/>
              <w:keepLines w:val="0"/>
              <w:pageBreakBefore w:val="0"/>
              <w:widowControl w:val="0"/>
              <w:kinsoku/>
              <w:wordWrap w:val="0"/>
              <w:overflowPunct/>
              <w:topLinePunct w:val="0"/>
              <w:autoSpaceDE/>
              <w:autoSpaceDN/>
              <w:bidi w:val="0"/>
              <w:adjustRightInd w:val="0"/>
              <w:snapToGrid w:val="0"/>
              <w:spacing w:line="336" w:lineRule="auto"/>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3．颁发机构限定以下范围：</w:t>
            </w:r>
          </w:p>
          <w:p w14:paraId="03DF09F5">
            <w:pPr>
              <w:keepNext w:val="0"/>
              <w:keepLines w:val="0"/>
              <w:pageBreakBefore w:val="0"/>
              <w:widowControl/>
              <w:overflowPunct/>
              <w:topLinePunct w:val="0"/>
              <w:bidi w:val="0"/>
              <w:adjustRightInd w:val="0"/>
              <w:snapToGrid w:val="0"/>
              <w:spacing w:line="336" w:lineRule="auto"/>
              <w:jc w:val="both"/>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①国家级奖项：</w:t>
            </w:r>
            <w:r>
              <w:rPr>
                <w:rFonts w:hint="eastAsia" w:ascii="宋体" w:hAnsi="宋体" w:eastAsia="宋体" w:cs="宋体"/>
                <w:color w:val="000000" w:themeColor="text1"/>
                <w:kern w:val="2"/>
                <w:sz w:val="21"/>
                <w:szCs w:val="21"/>
                <w:highlight w:val="none"/>
                <w:u w:val="single"/>
                <w:lang w:val="en-US" w:eastAsia="zh-CN" w:bidi="ar-SA"/>
                <w14:textFill>
                  <w14:solidFill>
                    <w14:schemeClr w14:val="tx1"/>
                  </w14:solidFill>
                </w14:textFill>
              </w:rPr>
              <w:t>国务院、住建部、国家级相关行业协会；</w:t>
            </w:r>
            <w: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t>（相关协会需经民政部门备案）</w:t>
            </w:r>
          </w:p>
          <w:p w14:paraId="304D7F29">
            <w:pPr>
              <w:keepNext w:val="0"/>
              <w:keepLines w:val="0"/>
              <w:pageBreakBefore w:val="0"/>
              <w:widowControl/>
              <w:overflowPunct/>
              <w:topLinePunct w:val="0"/>
              <w:bidi w:val="0"/>
              <w:adjustRightInd w:val="0"/>
              <w:snapToGrid w:val="0"/>
              <w:spacing w:line="336" w:lineRule="auto"/>
              <w:jc w:val="both"/>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②省级奖项：</w:t>
            </w:r>
            <w:r>
              <w:rPr>
                <w:rFonts w:hint="eastAsia" w:ascii="宋体" w:hAnsi="宋体" w:eastAsia="宋体" w:cs="宋体"/>
                <w:color w:val="000000" w:themeColor="text1"/>
                <w:kern w:val="2"/>
                <w:sz w:val="21"/>
                <w:szCs w:val="21"/>
                <w:highlight w:val="none"/>
                <w:u w:val="single"/>
                <w:lang w:val="en-US" w:eastAsia="zh-CN" w:bidi="ar-SA"/>
                <w14:textFill>
                  <w14:solidFill>
                    <w14:schemeClr w14:val="tx1"/>
                  </w14:solidFill>
                </w14:textFill>
              </w:rPr>
              <w:t>省级人民政府、省级住建部门、省级相关行业协会；</w:t>
            </w:r>
            <w: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t>（相关协会需经民政部门备案）</w:t>
            </w:r>
          </w:p>
          <w:p w14:paraId="3CFA3789">
            <w:pPr>
              <w:keepNext w:val="0"/>
              <w:keepLines w:val="0"/>
              <w:pageBreakBefore w:val="0"/>
              <w:widowControl w:val="0"/>
              <w:kinsoku/>
              <w:wordWrap w:val="0"/>
              <w:overflowPunct/>
              <w:topLinePunct w:val="0"/>
              <w:autoSpaceDE/>
              <w:autoSpaceDN/>
              <w:bidi w:val="0"/>
              <w:adjustRightInd w:val="0"/>
              <w:snapToGrid w:val="0"/>
              <w:spacing w:line="336" w:lineRule="auto"/>
              <w:jc w:val="both"/>
              <w:textAlignment w:val="auto"/>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③地市级奖项：</w:t>
            </w:r>
            <w:r>
              <w:rPr>
                <w:rFonts w:hint="eastAsia" w:ascii="宋体" w:hAnsi="宋体" w:eastAsia="宋体" w:cs="宋体"/>
                <w:snapToGrid/>
                <w:color w:val="000000" w:themeColor="text1"/>
                <w:kern w:val="0"/>
                <w:sz w:val="21"/>
                <w:szCs w:val="21"/>
                <w:highlight w:val="none"/>
                <w:u w:val="single"/>
                <w:lang w:eastAsia="zh-CN"/>
                <w14:textFill>
                  <w14:solidFill>
                    <w14:schemeClr w14:val="tx1"/>
                  </w14:solidFill>
                </w14:textFill>
              </w:rPr>
              <w:t>地市级人民政府、地市级住建部门、</w:t>
            </w:r>
            <w:r>
              <w:rPr>
                <w:rFonts w:hint="eastAsia" w:ascii="宋体" w:hAnsi="宋体" w:eastAsia="宋体" w:cs="宋体"/>
                <w:snapToGrid/>
                <w:color w:val="000000" w:themeColor="text1"/>
                <w:kern w:val="0"/>
                <w:sz w:val="21"/>
                <w:szCs w:val="21"/>
                <w:highlight w:val="none"/>
                <w:u w:val="single"/>
                <w:lang w:val="en-US" w:eastAsia="zh-CN"/>
                <w14:textFill>
                  <w14:solidFill>
                    <w14:schemeClr w14:val="tx1"/>
                  </w14:solidFill>
                </w14:textFill>
              </w:rPr>
              <w:t>地</w:t>
            </w:r>
            <w:r>
              <w:rPr>
                <w:rFonts w:hint="eastAsia" w:ascii="宋体" w:hAnsi="宋体" w:eastAsia="宋体" w:cs="宋体"/>
                <w:snapToGrid/>
                <w:color w:val="000000" w:themeColor="text1"/>
                <w:kern w:val="0"/>
                <w:sz w:val="21"/>
                <w:szCs w:val="21"/>
                <w:highlight w:val="none"/>
                <w:u w:val="single"/>
                <w:lang w:eastAsia="zh-CN"/>
                <w14:textFill>
                  <w14:solidFill>
                    <w14:schemeClr w14:val="tx1"/>
                  </w14:solidFill>
                </w14:textFill>
              </w:rPr>
              <w:t>市级相关行业协会。</w:t>
            </w:r>
            <w:r>
              <w:rPr>
                <w:rFonts w:hint="eastAsia" w:ascii="宋体" w:hAnsi="宋体" w:eastAsia="宋体" w:cs="宋体"/>
                <w:b/>
                <w:bCs/>
                <w:snapToGrid/>
                <w:color w:val="000000" w:themeColor="text1"/>
                <w:kern w:val="0"/>
                <w:sz w:val="21"/>
                <w:szCs w:val="21"/>
                <w:highlight w:val="none"/>
                <w:lang w:eastAsia="zh-CN"/>
                <w14:textFill>
                  <w14:solidFill>
                    <w14:schemeClr w14:val="tx1"/>
                  </w14:solidFill>
                </w14:textFill>
              </w:rPr>
              <w:t>（相关协会需经民政部门备案）</w:t>
            </w:r>
          </w:p>
          <w:p w14:paraId="1A85A8EB">
            <w:pPr>
              <w:keepNext w:val="0"/>
              <w:keepLines w:val="0"/>
              <w:pageBreakBefore w:val="0"/>
              <w:widowControl w:val="0"/>
              <w:kinsoku/>
              <w:wordWrap w:val="0"/>
              <w:overflowPunct/>
              <w:topLinePunct w:val="0"/>
              <w:autoSpaceDE/>
              <w:autoSpaceDN/>
              <w:bidi w:val="0"/>
              <w:adjustRightInd w:val="0"/>
              <w:snapToGrid w:val="0"/>
              <w:spacing w:line="336" w:lineRule="auto"/>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4．获奖时间以奖项证明的落款日期为准。</w:t>
            </w:r>
          </w:p>
          <w:p w14:paraId="105AC442">
            <w:pPr>
              <w:keepNext w:val="0"/>
              <w:keepLines w:val="0"/>
              <w:pageBreakBefore w:val="0"/>
              <w:widowControl w:val="0"/>
              <w:kinsoku/>
              <w:wordWrap w:val="0"/>
              <w:overflowPunct/>
              <w:topLinePunct w:val="0"/>
              <w:autoSpaceDE/>
              <w:autoSpaceDN/>
              <w:bidi w:val="0"/>
              <w:adjustRightInd w:val="0"/>
              <w:snapToGrid w:val="0"/>
              <w:spacing w:line="336" w:lineRule="auto"/>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5．任一奖项有以下情形之一的，该奖项视为无效，不予计分：</w:t>
            </w:r>
          </w:p>
          <w:p w14:paraId="72068150">
            <w:pPr>
              <w:keepNext w:val="0"/>
              <w:keepLines w:val="0"/>
              <w:pageBreakBefore w:val="0"/>
              <w:widowControl w:val="0"/>
              <w:kinsoku/>
              <w:wordWrap w:val="0"/>
              <w:overflowPunct/>
              <w:topLinePunct w:val="0"/>
              <w:autoSpaceDE/>
              <w:autoSpaceDN/>
              <w:bidi w:val="0"/>
              <w:adjustRightInd w:val="0"/>
              <w:snapToGrid w:val="0"/>
              <w:spacing w:line="336" w:lineRule="auto"/>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①奖项不属于指定类别的；</w:t>
            </w:r>
          </w:p>
          <w:p w14:paraId="72615D82">
            <w:pPr>
              <w:keepNext w:val="0"/>
              <w:keepLines w:val="0"/>
              <w:pageBreakBefore w:val="0"/>
              <w:widowControl w:val="0"/>
              <w:kinsoku/>
              <w:wordWrap w:val="0"/>
              <w:overflowPunct/>
              <w:topLinePunct w:val="0"/>
              <w:autoSpaceDE/>
              <w:autoSpaceDN/>
              <w:bidi w:val="0"/>
              <w:adjustRightInd w:val="0"/>
              <w:snapToGrid w:val="0"/>
              <w:spacing w:line="336" w:lineRule="auto"/>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②颁发机构不符合要求的；</w:t>
            </w:r>
          </w:p>
          <w:p w14:paraId="50671278">
            <w:pPr>
              <w:keepNext w:val="0"/>
              <w:keepLines w:val="0"/>
              <w:pageBreakBefore w:val="0"/>
              <w:widowControl w:val="0"/>
              <w:kinsoku/>
              <w:wordWrap w:val="0"/>
              <w:overflowPunct/>
              <w:topLinePunct w:val="0"/>
              <w:autoSpaceDE/>
              <w:autoSpaceDN/>
              <w:bidi w:val="0"/>
              <w:adjustRightInd w:val="0"/>
              <w:snapToGrid w:val="0"/>
              <w:spacing w:line="336" w:lineRule="auto"/>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③获奖时间不符合要求的。</w:t>
            </w:r>
          </w:p>
          <w:p w14:paraId="724F0499">
            <w:pPr>
              <w:keepNext w:val="0"/>
              <w:keepLines w:val="0"/>
              <w:pageBreakBefore w:val="0"/>
              <w:widowControl w:val="0"/>
              <w:kinsoku/>
              <w:wordWrap w:val="0"/>
              <w:overflowPunct/>
              <w:topLinePunct w:val="0"/>
              <w:autoSpaceDE/>
              <w:autoSpaceDN/>
              <w:bidi w:val="0"/>
              <w:adjustRightInd w:val="0"/>
              <w:snapToGrid w:val="0"/>
              <w:spacing w:line="336" w:lineRule="auto"/>
              <w:jc w:val="both"/>
              <w:textAlignment w:val="auto"/>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6</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组成联合体时，由联合体任意一方提供以上资料。</w:t>
            </w:r>
          </w:p>
          <w:p w14:paraId="2EA52FCC">
            <w:pPr>
              <w:keepNext w:val="0"/>
              <w:keepLines w:val="0"/>
              <w:pageBreakBefore w:val="0"/>
              <w:widowControl w:val="0"/>
              <w:kinsoku/>
              <w:wordWrap w:val="0"/>
              <w:overflowPunct/>
              <w:topLinePunct w:val="0"/>
              <w:autoSpaceDE/>
              <w:autoSpaceDN/>
              <w:bidi w:val="0"/>
              <w:adjustRightInd w:val="0"/>
              <w:snapToGrid w:val="0"/>
              <w:spacing w:line="336" w:lineRule="auto"/>
              <w:jc w:val="both"/>
              <w:textAlignment w:val="auto"/>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说明：以上所称“要求”均指本表评分标准及备注的要求，下同。</w:t>
            </w:r>
          </w:p>
        </w:tc>
      </w:tr>
      <w:tr w14:paraId="6FAFD7C7">
        <w:tblPrEx>
          <w:tblCellMar>
            <w:top w:w="0" w:type="dxa"/>
            <w:left w:w="108" w:type="dxa"/>
            <w:bottom w:w="0" w:type="dxa"/>
            <w:right w:w="108" w:type="dxa"/>
          </w:tblCellMar>
        </w:tblPrEx>
        <w:trPr>
          <w:trHeight w:val="4643"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689596E4">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企业业绩</w:t>
            </w:r>
          </w:p>
          <w:p w14:paraId="25290D1E">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15</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2B99F5A0">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企业近</w:t>
            </w:r>
            <w:r>
              <w:rPr>
                <w:rFonts w:hint="eastAsia" w:ascii="宋体" w:hAnsi="宋体" w:eastAsia="宋体" w:cs="宋体"/>
                <w:snapToGrid w:val="0"/>
                <w:color w:val="000000" w:themeColor="text1"/>
                <w:kern w:val="0"/>
                <w:sz w:val="21"/>
                <w:szCs w:val="21"/>
                <w:highlight w:val="none"/>
                <w:u w:val="single"/>
                <w:lang w:val="en-US" w:eastAsia="zh-CN"/>
                <w14:textFill>
                  <w14:solidFill>
                    <w14:schemeClr w14:val="tx1"/>
                  </w14:solidFill>
                </w14:textFill>
              </w:rPr>
              <w:t>5</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年来（202</w:t>
            </w: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1</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年1月1日至今）业绩情况：</w:t>
            </w:r>
          </w:p>
          <w:p w14:paraId="4C6EBC64">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承接</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过类似工程的，每个得</w:t>
            </w:r>
            <w:r>
              <w:rPr>
                <w:rFonts w:hint="eastAsia" w:ascii="宋体" w:hAnsi="宋体" w:eastAsia="宋体" w:cs="宋体"/>
                <w:snapToGrid w:val="0"/>
                <w:color w:val="000000" w:themeColor="text1"/>
                <w:kern w:val="0"/>
                <w:sz w:val="21"/>
                <w:szCs w:val="21"/>
                <w:highlight w:val="none"/>
                <w:u w:val="single"/>
                <w:lang w:val="en-US" w:eastAsia="zh-CN"/>
                <w14:textFill>
                  <w14:solidFill>
                    <w14:schemeClr w14:val="tx1"/>
                  </w14:solidFill>
                </w14:textFill>
              </w:rPr>
              <w:t>7.5</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分。</w:t>
            </w:r>
          </w:p>
          <w:p w14:paraId="4A340033">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2．未</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承接</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过类似工程的，不予计分。</w:t>
            </w:r>
          </w:p>
          <w:p w14:paraId="4B2097C1">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3．本项最高得1</w:t>
            </w: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5</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 xml:space="preserve">分。 </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7038D892">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1．类似工程指：</w:t>
            </w:r>
            <w:r>
              <w:rPr>
                <w:rFonts w:hint="eastAsia" w:ascii="宋体" w:hAnsi="宋体" w:eastAsia="宋体" w:cs="宋体"/>
                <w:snapToGrid w:val="0"/>
                <w:color w:val="000000" w:themeColor="text1"/>
                <w:kern w:val="0"/>
                <w:sz w:val="21"/>
                <w:szCs w:val="21"/>
                <w:highlight w:val="none"/>
                <w:u w:val="single"/>
                <w:lang w:val="en-US" w:eastAsia="zh-CN"/>
                <w14:textFill>
                  <w14:solidFill>
                    <w14:schemeClr w14:val="tx1"/>
                  </w14:solidFill>
                </w14:textFill>
              </w:rPr>
              <w:t>建安工程费</w:t>
            </w:r>
            <w:r>
              <w:rPr>
                <w:rFonts w:hint="eastAsia" w:ascii="宋体" w:hAnsi="宋体" w:eastAsia="宋体" w:cs="宋体"/>
                <w:snapToGrid/>
                <w:color w:val="000000" w:themeColor="text1"/>
                <w:kern w:val="2"/>
                <w:sz w:val="21"/>
                <w:szCs w:val="21"/>
                <w:highlight w:val="none"/>
                <w:u w:val="single"/>
                <w:lang w:eastAsia="zh-CN"/>
                <w14:textFill>
                  <w14:solidFill>
                    <w14:schemeClr w14:val="tx1"/>
                  </w14:solidFill>
                </w14:textFill>
              </w:rPr>
              <w:t>≥</w:t>
            </w:r>
            <w:r>
              <w:rPr>
                <w:rFonts w:hint="eastAsia" w:ascii="宋体" w:hAnsi="宋体" w:eastAsia="宋体" w:cs="宋体"/>
                <w:snapToGrid/>
                <w:color w:val="000000" w:themeColor="text1"/>
                <w:kern w:val="2"/>
                <w:sz w:val="21"/>
                <w:szCs w:val="21"/>
                <w:highlight w:val="none"/>
                <w:u w:val="single"/>
                <w:lang w:val="en-US" w:eastAsia="zh-CN"/>
                <w14:textFill>
                  <w14:solidFill>
                    <w14:schemeClr w14:val="tx1"/>
                  </w14:solidFill>
                </w14:textFill>
              </w:rPr>
              <w:t>5</w:t>
            </w:r>
            <w:r>
              <w:rPr>
                <w:rFonts w:hint="eastAsia" w:ascii="宋体" w:hAnsi="宋体" w:eastAsia="宋体" w:cs="宋体"/>
                <w:snapToGrid/>
                <w:color w:val="000000" w:themeColor="text1"/>
                <w:kern w:val="2"/>
                <w:sz w:val="21"/>
                <w:szCs w:val="21"/>
                <w:highlight w:val="none"/>
                <w:u w:val="single"/>
                <w:lang w:eastAsia="zh-CN"/>
                <w14:textFill>
                  <w14:solidFill>
                    <w14:schemeClr w14:val="tx1"/>
                  </w14:solidFill>
                </w14:textFill>
              </w:rPr>
              <w:t>00万元的市政公用工程类</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w:t>
            </w:r>
          </w:p>
          <w:p w14:paraId="3CAF5EDD">
            <w:pPr>
              <w:widowControl w:val="0"/>
              <w:kinsoku/>
              <w:wordWrap w:val="0"/>
              <w:autoSpaceDE/>
              <w:autoSpaceDN/>
              <w:adjustRightInd w:val="0"/>
              <w:snapToGrid w:val="0"/>
              <w:spacing w:line="400" w:lineRule="exact"/>
              <w:jc w:val="both"/>
              <w:textAlignment w:val="auto"/>
              <w:rPr>
                <w:rFonts w:hint="eastAsia" w:ascii="宋体" w:hAnsi="宋体" w:eastAsia="宋体" w:cs="宋体"/>
                <w:i/>
                <w:iCs/>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2．需附有关业绩（仅限于以施工</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总承包单位</w:t>
            </w:r>
            <w:r>
              <w:rPr>
                <w:rFonts w:hint="eastAsia" w:ascii="宋体" w:hAnsi="宋体" w:eastAsia="宋体" w:cs="宋体"/>
                <w:snapToGrid w:val="0"/>
                <w:color w:val="000000" w:themeColor="text1"/>
                <w:kern w:val="0"/>
                <w:sz w:val="21"/>
                <w:szCs w:val="21"/>
                <w:highlight w:val="none"/>
                <w:u w:val="single"/>
                <w:lang w:val="en-US" w:eastAsia="zh-CN"/>
                <w14:textFill>
                  <w14:solidFill>
                    <w14:schemeClr w14:val="tx1"/>
                  </w14:solidFill>
                </w14:textFill>
              </w:rPr>
              <w:t>或</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专业承包单位</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身份参建的项目）</w:t>
            </w: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合同协议书的复印件（或打印件或扫描件)</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w:t>
            </w:r>
          </w:p>
          <w:p w14:paraId="28407062">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3．业绩时间以合同协议书日期为准。</w:t>
            </w:r>
          </w:p>
          <w:p w14:paraId="02E3CF2B">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4．任一业绩有以下情形之一的，该业绩视为无效，不予计分：</w:t>
            </w:r>
          </w:p>
          <w:p w14:paraId="4A635C72">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①业绩不属于类似工程的；</w:t>
            </w:r>
          </w:p>
          <w:p w14:paraId="48160777">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②不是以指定身份参建的；</w:t>
            </w:r>
          </w:p>
          <w:p w14:paraId="520511B4">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③业绩时间不符合要求的。</w:t>
            </w:r>
          </w:p>
          <w:p w14:paraId="7D80E4B9">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5</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组成联合体时，由联合体任意一方提供以上资料。</w:t>
            </w:r>
          </w:p>
        </w:tc>
      </w:tr>
      <w:tr w14:paraId="0294D982">
        <w:tblPrEx>
          <w:tblCellMar>
            <w:top w:w="0" w:type="dxa"/>
            <w:left w:w="108" w:type="dxa"/>
            <w:bottom w:w="0" w:type="dxa"/>
            <w:right w:w="108" w:type="dxa"/>
          </w:tblCellMar>
        </w:tblPrEx>
        <w:trPr>
          <w:trHeight w:val="4832"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51D89816">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企业银行</w:t>
            </w:r>
          </w:p>
          <w:p w14:paraId="791DFC8D">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资信评级</w:t>
            </w:r>
          </w:p>
          <w:p w14:paraId="5F4752D2">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（10分）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028DEC35">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1．连续6年及以上获得银行资信评级AAA的，得10分；</w:t>
            </w:r>
          </w:p>
          <w:p w14:paraId="6D6AB4CF">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2．连续3年-5年获得银行资信评级AAA的，得6分；</w:t>
            </w:r>
          </w:p>
          <w:p w14:paraId="65A57DC9">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3．连续1年-3年获得银行资信评级AAA的，得2分。</w:t>
            </w:r>
          </w:p>
          <w:p w14:paraId="02FDD371">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4．未获得过以上评级的，或评级证书无效的，不予计分。</w:t>
            </w:r>
          </w:p>
          <w:p w14:paraId="360005DD">
            <w:pPr>
              <w:widowControl w:val="0"/>
              <w:kinsoku/>
              <w:wordWrap w:val="0"/>
              <w:autoSpaceDE/>
              <w:autoSpaceDN/>
              <w:adjustRightInd w:val="0"/>
              <w:snapToGrid w:val="0"/>
              <w:spacing w:line="400" w:lineRule="exact"/>
              <w:jc w:val="both"/>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5．本项最高得10分。</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148A556E">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1．需附在有效期内的资信评级证书（证明）复印件（或打印件或扫描件)。</w:t>
            </w:r>
          </w:p>
          <w:p w14:paraId="06714EA6">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2．评级证书（证明）须由</w:t>
            </w:r>
            <w:r>
              <w:rPr>
                <w:rFonts w:hint="eastAsia" w:ascii="宋体" w:hAnsi="宋体" w:eastAsia="宋体" w:cs="宋体"/>
                <w:snapToGrid w:val="0"/>
                <w:color w:val="000000" w:themeColor="text1"/>
                <w:kern w:val="0"/>
                <w:sz w:val="21"/>
                <w:szCs w:val="21"/>
                <w:highlight w:val="none"/>
                <w:u w:val="single"/>
                <w:lang w:val="en-US" w:eastAsia="zh-CN"/>
                <w14:textFill>
                  <w14:solidFill>
                    <w14:schemeClr w14:val="tx1"/>
                  </w14:solidFill>
                </w14:textFill>
              </w:rPr>
              <w:t>企业基本账户开户银行或其上级银行</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出具。</w:t>
            </w:r>
          </w:p>
          <w:p w14:paraId="3D047784">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3．评级证书（证明）有以下情形的，视为无效：</w:t>
            </w:r>
          </w:p>
          <w:p w14:paraId="7E4937E8">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出具机构不符合要求的。</w:t>
            </w:r>
          </w:p>
          <w:p w14:paraId="792F461C">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4</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组成联合体时，由联合体任意一方提供以上资料。</w:t>
            </w:r>
          </w:p>
        </w:tc>
      </w:tr>
      <w:tr w14:paraId="7A88D8D9">
        <w:tblPrEx>
          <w:tblCellMar>
            <w:top w:w="0" w:type="dxa"/>
            <w:left w:w="108" w:type="dxa"/>
            <w:bottom w:w="0" w:type="dxa"/>
            <w:right w:w="108" w:type="dxa"/>
          </w:tblCellMar>
        </w:tblPrEx>
        <w:trPr>
          <w:trHeight w:val="3461"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29793BD6">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企业管理</w:t>
            </w:r>
          </w:p>
          <w:p w14:paraId="01C5AE92">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体系认证</w:t>
            </w:r>
          </w:p>
          <w:p w14:paraId="04EB8FD0">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9</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0EF7A55A">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1．质量管理体系认证、职业健康安全管理体系认证、环境管理体系认证中，每获得1项认证得</w:t>
            </w:r>
            <w:r>
              <w:rPr>
                <w:rFonts w:hint="eastAsia" w:ascii="宋体" w:hAnsi="宋体" w:eastAsia="宋体" w:cs="宋体"/>
                <w:snapToGrid w:val="0"/>
                <w:color w:val="000000" w:themeColor="text1"/>
                <w:kern w:val="0"/>
                <w:sz w:val="21"/>
                <w:szCs w:val="21"/>
                <w:highlight w:val="none"/>
                <w:u w:val="single"/>
                <w:lang w:val="en-US" w:eastAsia="zh-CN"/>
                <w14:textFill>
                  <w14:solidFill>
                    <w14:schemeClr w14:val="tx1"/>
                  </w14:solidFill>
                </w14:textFill>
              </w:rPr>
              <w:t>3</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分，最高得</w:t>
            </w:r>
            <w:r>
              <w:rPr>
                <w:rFonts w:hint="eastAsia" w:ascii="宋体" w:hAnsi="宋体" w:eastAsia="宋体" w:cs="宋体"/>
                <w:snapToGrid w:val="0"/>
                <w:color w:val="000000" w:themeColor="text1"/>
                <w:kern w:val="0"/>
                <w:sz w:val="21"/>
                <w:szCs w:val="21"/>
                <w:highlight w:val="none"/>
                <w:u w:val="single"/>
                <w:lang w:val="en-US" w:eastAsia="zh-CN"/>
                <w14:textFill>
                  <w14:solidFill>
                    <w14:schemeClr w14:val="tx1"/>
                  </w14:solidFill>
                </w14:textFill>
              </w:rPr>
              <w:t>9</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分。</w:t>
            </w:r>
          </w:p>
          <w:p w14:paraId="4E514843">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2．未获得以上认证的，不予计分。</w:t>
            </w:r>
          </w:p>
          <w:p w14:paraId="2E912C04">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3．本项最高得</w:t>
            </w: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9</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分。</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1408C75C">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1．需附在有效期内的认证证书复印件（或打印件或扫描件)，</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同时需提供国家认证认可监督管理委员会官网（http://www.cnca.gov.cn/)证书有效性查询截图，否则不得分。</w:t>
            </w:r>
          </w:p>
          <w:p w14:paraId="129A02EF">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2．任一认证证书有以下情形的，该认证证书视为无效，不予计分：</w:t>
            </w:r>
          </w:p>
          <w:p w14:paraId="1F3A44BF">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认证证书不在有效期内的。</w:t>
            </w:r>
          </w:p>
          <w:p w14:paraId="0E2438ED">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3</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组成联合体时，由联合体任意一方提供以上资料。</w:t>
            </w:r>
          </w:p>
        </w:tc>
      </w:tr>
      <w:tr w14:paraId="76E9045D">
        <w:tblPrEx>
          <w:tblCellMar>
            <w:top w:w="0" w:type="dxa"/>
            <w:left w:w="108" w:type="dxa"/>
            <w:bottom w:w="0" w:type="dxa"/>
            <w:right w:w="108" w:type="dxa"/>
          </w:tblCellMar>
        </w:tblPrEx>
        <w:trPr>
          <w:trHeight w:val="5122"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62AC0755">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企业</w:t>
            </w:r>
          </w:p>
          <w:p w14:paraId="070265BC">
            <w:pPr>
              <w:widowControl w:val="0"/>
              <w:kinsoku/>
              <w:wordWrap w:val="0"/>
              <w:autoSpaceDE/>
              <w:autoSpaceDN/>
              <w:adjustRightInd w:val="0"/>
              <w:snapToGrid w:val="0"/>
              <w:spacing w:line="400" w:lineRule="exact"/>
              <w:jc w:val="center"/>
              <w:textAlignment w:val="auto"/>
              <w:rPr>
                <w:rFonts w:hint="eastAsia" w:ascii="宋体" w:hAnsi="宋体" w:eastAsia="宋体" w:cs="宋体"/>
                <w:strike/>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财务状况</w:t>
            </w:r>
          </w:p>
          <w:p w14:paraId="1C7F05B0">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6</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273623E1">
            <w:pPr>
              <w:widowControl w:val="0"/>
              <w:kinsoku/>
              <w:wordWrap w:val="0"/>
              <w:autoSpaceDE/>
              <w:autoSpaceDN/>
              <w:adjustRightInd w:val="0"/>
              <w:snapToGrid w:val="0"/>
              <w:spacing w:line="400" w:lineRule="exact"/>
              <w:jc w:val="left"/>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1．提供不少于</w:t>
            </w:r>
            <w:r>
              <w:rPr>
                <w:rFonts w:hint="eastAsia" w:ascii="宋体" w:hAnsi="宋体" w:eastAsia="宋体" w:cs="宋体"/>
                <w:snapToGrid w:val="0"/>
                <w:color w:val="000000" w:themeColor="text1"/>
                <w:kern w:val="0"/>
                <w:sz w:val="21"/>
                <w:szCs w:val="21"/>
                <w:highlight w:val="none"/>
                <w:u w:val="single"/>
                <w:lang w:val="en-US" w:eastAsia="zh-CN"/>
                <w14:textFill>
                  <w14:solidFill>
                    <w14:schemeClr w14:val="tx1"/>
                  </w14:solidFill>
                </w14:textFill>
              </w:rPr>
              <w:t>1</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00</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万元银行授信</w:t>
            </w: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（或融资）</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证明的，得</w:t>
            </w: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2</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分。</w:t>
            </w:r>
          </w:p>
          <w:p w14:paraId="35F3386A">
            <w:pPr>
              <w:widowControl w:val="0"/>
              <w:kinsoku/>
              <w:wordWrap w:val="0"/>
              <w:autoSpaceDE/>
              <w:autoSpaceDN/>
              <w:adjustRightInd w:val="0"/>
              <w:snapToGrid w:val="0"/>
              <w:spacing w:line="400" w:lineRule="exact"/>
              <w:jc w:val="left"/>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2．提供投标人基本账户在本项目招标公告发布之日起至投标截止时间期间出现过至少连续3日不少于</w:t>
            </w:r>
            <w:r>
              <w:rPr>
                <w:rFonts w:hint="eastAsia" w:ascii="宋体" w:hAnsi="宋体" w:eastAsia="宋体" w:cs="宋体"/>
                <w:snapToGrid w:val="0"/>
                <w:color w:val="000000" w:themeColor="text1"/>
                <w:kern w:val="0"/>
                <w:sz w:val="21"/>
                <w:szCs w:val="21"/>
                <w:highlight w:val="none"/>
                <w:u w:val="single"/>
                <w:lang w:val="en-US" w:eastAsia="zh-CN"/>
                <w14:textFill>
                  <w14:solidFill>
                    <w14:schemeClr w14:val="tx1"/>
                  </w14:solidFill>
                </w14:textFill>
              </w:rPr>
              <w:t>1</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00</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万元存款余额资金流水证明的，得</w:t>
            </w: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4</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分。</w:t>
            </w:r>
          </w:p>
          <w:p w14:paraId="6A8EE5B0">
            <w:pPr>
              <w:widowControl w:val="0"/>
              <w:kinsoku/>
              <w:wordWrap w:val="0"/>
              <w:autoSpaceDE/>
              <w:autoSpaceDN/>
              <w:adjustRightInd w:val="0"/>
              <w:snapToGrid w:val="0"/>
              <w:spacing w:line="400" w:lineRule="exact"/>
              <w:jc w:val="left"/>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3．本项最高得</w:t>
            </w: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6</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分。</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6EAA81D3">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1．需附在有效期内的有关证明复印件（或打印件或扫描件)。</w:t>
            </w:r>
          </w:p>
          <w:p w14:paraId="5332C1BA">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2．银行授信</w:t>
            </w: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（或融资）</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证明有以下情形之一的，视为无效，不予计分：</w:t>
            </w:r>
          </w:p>
          <w:p w14:paraId="5A9991AD">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①授信证明</w:t>
            </w: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（或融资）</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不在有效期内的；</w:t>
            </w:r>
          </w:p>
          <w:p w14:paraId="21438D2D">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②授信</w:t>
            </w: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（或融资）</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额度不符合要求的；</w:t>
            </w:r>
          </w:p>
          <w:p w14:paraId="6435AAD7">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3．存款余额资金流水证明有以下情形之一的，视为无效，不予计分：</w:t>
            </w:r>
          </w:p>
          <w:p w14:paraId="250000A5">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①存款账户不是基本账户的；</w:t>
            </w:r>
          </w:p>
          <w:p w14:paraId="23FC785F">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②存款时间不符合要求的；</w:t>
            </w:r>
          </w:p>
          <w:p w14:paraId="4AB54F1D">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③存款额度不符合要求的。</w:t>
            </w:r>
          </w:p>
          <w:p w14:paraId="43D24B87">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4</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组成联合体时，由联合体任意一方提供以上资料。</w:t>
            </w:r>
          </w:p>
        </w:tc>
      </w:tr>
      <w:tr w14:paraId="4D302595">
        <w:tblPrEx>
          <w:tblCellMar>
            <w:top w:w="0" w:type="dxa"/>
            <w:left w:w="108" w:type="dxa"/>
            <w:bottom w:w="0" w:type="dxa"/>
            <w:right w:w="108" w:type="dxa"/>
          </w:tblCellMar>
        </w:tblPrEx>
        <w:trPr>
          <w:trHeight w:val="2675" w:hRule="atLeast"/>
          <w:jc w:val="center"/>
        </w:trPr>
        <w:tc>
          <w:tcPr>
            <w:tcW w:w="1216" w:type="dxa"/>
            <w:vMerge w:val="restart"/>
            <w:tcBorders>
              <w:top w:val="single" w:color="auto" w:sz="4" w:space="0"/>
              <w:left w:val="single" w:color="auto" w:sz="4" w:space="0"/>
              <w:bottom w:val="single" w:color="auto" w:sz="4" w:space="0"/>
              <w:right w:val="single" w:color="auto" w:sz="4" w:space="0"/>
            </w:tcBorders>
            <w:noWrap w:val="0"/>
            <w:vAlign w:val="center"/>
          </w:tcPr>
          <w:p w14:paraId="0E136D80">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招标人</w:t>
            </w:r>
          </w:p>
          <w:p w14:paraId="137E0ADC">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自选项</w:t>
            </w:r>
          </w:p>
          <w:p w14:paraId="024D3943">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（2</w:t>
            </w: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5</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0776ABF9">
            <w:pPr>
              <w:widowControl w:val="0"/>
              <w:kinsoku/>
              <w:wordWrap w:val="0"/>
              <w:autoSpaceDE/>
              <w:autoSpaceDN/>
              <w:adjustRightInd w:val="0"/>
              <w:snapToGrid w:val="0"/>
              <w:spacing w:line="360" w:lineRule="auto"/>
              <w:jc w:val="left"/>
              <w:textAlignment w:val="auto"/>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企业获得纳税信用A级状况：</w:t>
            </w:r>
          </w:p>
          <w:p w14:paraId="780411B8">
            <w:pPr>
              <w:widowControl w:val="0"/>
              <w:kinsoku/>
              <w:wordWrap w:val="0"/>
              <w:autoSpaceDE/>
              <w:autoSpaceDN/>
              <w:adjustRightInd w:val="0"/>
              <w:snapToGrid w:val="0"/>
              <w:spacing w:line="360" w:lineRule="auto"/>
              <w:jc w:val="left"/>
              <w:textAlignment w:val="auto"/>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1.连续7个年度或以上获得纳税信用A级的得10分；</w:t>
            </w: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（其中必须有2025年度）</w:t>
            </w:r>
          </w:p>
          <w:p w14:paraId="45BD94E8">
            <w:pPr>
              <w:widowControl w:val="0"/>
              <w:kinsoku/>
              <w:wordWrap w:val="0"/>
              <w:autoSpaceDE/>
              <w:autoSpaceDN/>
              <w:adjustRightInd w:val="0"/>
              <w:snapToGrid w:val="0"/>
              <w:spacing w:line="360" w:lineRule="auto"/>
              <w:jc w:val="left"/>
              <w:textAlignment w:val="auto"/>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2.连续4-6个年度获得纳税信用A级的得6分；</w:t>
            </w: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（其中必须有2025年度）</w:t>
            </w:r>
          </w:p>
          <w:p w14:paraId="163179F6">
            <w:pPr>
              <w:widowControl w:val="0"/>
              <w:kinsoku/>
              <w:wordWrap w:val="0"/>
              <w:autoSpaceDE/>
              <w:autoSpaceDN/>
              <w:adjustRightInd w:val="0"/>
              <w:snapToGrid w:val="0"/>
              <w:spacing w:line="360" w:lineRule="auto"/>
              <w:jc w:val="left"/>
              <w:textAlignment w:val="auto"/>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3.连续1-3个年度获得纳税信用A级的得2分；</w:t>
            </w: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（其中必须有2025年度）</w:t>
            </w:r>
          </w:p>
          <w:p w14:paraId="64DE194C">
            <w:pPr>
              <w:widowControl w:val="0"/>
              <w:kinsoku/>
              <w:wordWrap w:val="0"/>
              <w:autoSpaceDE/>
              <w:autoSpaceDN/>
              <w:adjustRightInd w:val="0"/>
              <w:snapToGrid w:val="0"/>
              <w:spacing w:line="360" w:lineRule="auto"/>
              <w:jc w:val="left"/>
              <w:textAlignment w:val="auto"/>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4.其他情形的，不予计分。</w:t>
            </w:r>
          </w:p>
          <w:p w14:paraId="43806EF2">
            <w:pPr>
              <w:widowControl w:val="0"/>
              <w:kinsoku/>
              <w:wordWrap w:val="0"/>
              <w:autoSpaceDE/>
              <w:autoSpaceDN/>
              <w:adjustRightInd w:val="0"/>
              <w:snapToGrid w:val="0"/>
              <w:spacing w:line="360" w:lineRule="auto"/>
              <w:jc w:val="left"/>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说明：本项最高得10分。</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4D348C5A">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1.必须提供企业纳税信用A级纳税人证明材料（或证书）复印件（或打印件或扫描件)及国家税务总局网上查询截图，否则不得分。</w:t>
            </w:r>
          </w:p>
          <w:p w14:paraId="4755D87B">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2.只计算投标人自身（不计算投标人的分公司、子公司及分支机构）。</w:t>
            </w:r>
          </w:p>
          <w:p w14:paraId="4DEA0841">
            <w:pPr>
              <w:widowControl w:val="0"/>
              <w:kinsoku/>
              <w:wordWrap w:val="0"/>
              <w:autoSpaceDE/>
              <w:autoSpaceDN/>
              <w:adjustRightInd w:val="0"/>
              <w:snapToGrid w:val="0"/>
              <w:spacing w:line="400" w:lineRule="exact"/>
              <w:jc w:val="both"/>
              <w:textAlignment w:val="auto"/>
              <w:rPr>
                <w:rFonts w:hint="default"/>
                <w:color w:val="000000" w:themeColor="text1"/>
                <w:highlight w:val="none"/>
                <w:lang w:val="en-US"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3.组成联合体时，由联合体任意一方提</w:t>
            </w:r>
            <w:r>
              <w:rPr>
                <w:rFonts w:hint="eastAsia" w:ascii="宋体" w:hAnsi="宋体" w:eastAsia="宋体" w:cs="宋体"/>
                <w:b/>
                <w:bCs/>
                <w:snapToGrid w:val="0"/>
                <w:color w:val="000000" w:themeColor="text1"/>
                <w:kern w:val="0"/>
                <w:sz w:val="21"/>
                <w:szCs w:val="21"/>
                <w:highlight w:val="none"/>
                <w:lang w:val="en-US" w:eastAsia="zh-CN" w:bidi="ar-SA"/>
                <w14:textFill>
                  <w14:solidFill>
                    <w14:schemeClr w14:val="tx1"/>
                  </w14:solidFill>
                </w14:textFill>
              </w:rPr>
              <w:t>供以上资料。</w:t>
            </w:r>
          </w:p>
        </w:tc>
      </w:tr>
      <w:tr w14:paraId="7197C9CC">
        <w:tblPrEx>
          <w:tblCellMar>
            <w:top w:w="0" w:type="dxa"/>
            <w:left w:w="108" w:type="dxa"/>
            <w:bottom w:w="0" w:type="dxa"/>
            <w:right w:w="108" w:type="dxa"/>
          </w:tblCellMar>
        </w:tblPrEx>
        <w:trPr>
          <w:trHeight w:val="2036" w:hRule="atLeast"/>
          <w:jc w:val="center"/>
        </w:trPr>
        <w:tc>
          <w:tcPr>
            <w:tcW w:w="1216" w:type="dxa"/>
            <w:vMerge w:val="continue"/>
            <w:tcBorders>
              <w:left w:val="single" w:color="auto" w:sz="4" w:space="0"/>
              <w:right w:val="single" w:color="auto" w:sz="4" w:space="0"/>
            </w:tcBorders>
            <w:noWrap w:val="0"/>
            <w:vAlign w:val="center"/>
          </w:tcPr>
          <w:p w14:paraId="797D7CE5">
            <w:pPr>
              <w:widowControl w:val="0"/>
              <w:kinsoku/>
              <w:wordWrap w:val="0"/>
              <w:autoSpaceDE/>
              <w:autoSpaceDN/>
              <w:adjustRightInd w:val="0"/>
              <w:snapToGrid w:val="0"/>
              <w:spacing w:line="400" w:lineRule="exact"/>
              <w:jc w:val="center"/>
              <w:textAlignment w:val="auto"/>
              <w:rPr>
                <w:rFonts w:hint="eastAsia" w:ascii="宋体" w:hAnsi="宋体" w:eastAsia="宋体" w:cs="宋体"/>
                <w:b/>
                <w:bCs/>
                <w:snapToGrid/>
                <w:color w:val="000000" w:themeColor="text1"/>
                <w:kern w:val="0"/>
                <w:sz w:val="21"/>
                <w:szCs w:val="21"/>
                <w:highlight w:val="none"/>
                <w:lang w:eastAsia="zh-CN" w:bidi="ar"/>
                <w14:textFill>
                  <w14:solidFill>
                    <w14:schemeClr w14:val="tx1"/>
                  </w14:solidFill>
                </w14:textFill>
              </w:rPr>
            </w:pPr>
          </w:p>
        </w:tc>
        <w:tc>
          <w:tcPr>
            <w:tcW w:w="3733" w:type="dxa"/>
            <w:tcBorders>
              <w:top w:val="single" w:color="auto" w:sz="4" w:space="0"/>
              <w:left w:val="single" w:color="auto" w:sz="4" w:space="0"/>
              <w:bottom w:val="single" w:color="auto" w:sz="4" w:space="0"/>
              <w:right w:val="single" w:color="auto" w:sz="4" w:space="0"/>
            </w:tcBorders>
            <w:noWrap w:val="0"/>
            <w:vAlign w:val="center"/>
          </w:tcPr>
          <w:p w14:paraId="6544E843">
            <w:pPr>
              <w:keepNext w:val="0"/>
              <w:keepLines w:val="0"/>
              <w:pageBreakBefore w:val="0"/>
              <w:widowControl/>
              <w:kinsoku/>
              <w:wordWrap/>
              <w:overflowPunct/>
              <w:topLinePunct w:val="0"/>
              <w:autoSpaceDE/>
              <w:autoSpaceDN/>
              <w:bidi w:val="0"/>
              <w:adjustRightInd/>
              <w:snapToGrid w:val="0"/>
              <w:spacing w:line="336" w:lineRule="auto"/>
              <w:textAlignment w:val="baseline"/>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1.企业近3年度获得</w:t>
            </w:r>
            <w:r>
              <w:rPr>
                <w:rFonts w:hint="eastAsia" w:ascii="宋体" w:hAnsi="宋体" w:eastAsia="宋体" w:cs="宋体"/>
                <w:i w:val="0"/>
                <w:iCs w:val="0"/>
                <w:caps w:val="0"/>
                <w:color w:val="auto"/>
                <w:spacing w:val="0"/>
                <w:kern w:val="2"/>
                <w:sz w:val="22"/>
                <w:szCs w:val="22"/>
                <w:highlight w:val="none"/>
              </w:rPr>
              <w:t>过</w:t>
            </w:r>
            <w:r>
              <w:rPr>
                <w:rFonts w:hint="eastAsia" w:ascii="宋体" w:hAnsi="宋体" w:eastAsia="宋体" w:cs="宋体"/>
                <w:i w:val="0"/>
                <w:iCs w:val="0"/>
                <w:caps w:val="0"/>
                <w:color w:val="auto"/>
                <w:spacing w:val="0"/>
                <w:kern w:val="2"/>
                <w:sz w:val="22"/>
                <w:szCs w:val="22"/>
                <w:highlight w:val="none"/>
                <w:lang w:val="en-US" w:eastAsia="zh-CN"/>
              </w:rPr>
              <w:t>县级或以上</w:t>
            </w:r>
            <w:r>
              <w:rPr>
                <w:rFonts w:hint="eastAsia" w:ascii="宋体" w:hAnsi="宋体" w:eastAsia="宋体" w:cs="宋体"/>
                <w:color w:val="auto"/>
                <w:kern w:val="2"/>
                <w:sz w:val="22"/>
                <w:szCs w:val="22"/>
                <w:highlight w:val="none"/>
                <w:lang w:val="en-US" w:eastAsia="zh-CN" w:bidi="ar-SA"/>
              </w:rPr>
              <w:t xml:space="preserve">人民武装部颁发的“支持国防建设模范单位”证书的得10分； </w:t>
            </w:r>
          </w:p>
          <w:p w14:paraId="0622A6E9">
            <w:pPr>
              <w:keepNext w:val="0"/>
              <w:keepLines w:val="0"/>
              <w:pageBreakBefore w:val="0"/>
              <w:widowControl/>
              <w:kinsoku/>
              <w:wordWrap/>
              <w:overflowPunct/>
              <w:topLinePunct w:val="0"/>
              <w:autoSpaceDE/>
              <w:autoSpaceDN/>
              <w:bidi w:val="0"/>
              <w:adjustRightInd/>
              <w:snapToGrid w:val="0"/>
              <w:spacing w:line="336" w:lineRule="auto"/>
              <w:textAlignment w:val="baseline"/>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 xml:space="preserve">2.其他情形的，不予计分。 </w:t>
            </w:r>
          </w:p>
          <w:p w14:paraId="1B083F73">
            <w:pPr>
              <w:keepNext w:val="0"/>
              <w:keepLines w:val="0"/>
              <w:pageBreakBefore w:val="0"/>
              <w:widowControl/>
              <w:numPr>
                <w:ilvl w:val="0"/>
                <w:numId w:val="0"/>
              </w:numPr>
              <w:kinsoku/>
              <w:wordWrap/>
              <w:overflowPunct/>
              <w:topLinePunct w:val="0"/>
              <w:autoSpaceDE/>
              <w:autoSpaceDN/>
              <w:bidi w:val="0"/>
              <w:adjustRightInd/>
              <w:snapToGrid w:val="0"/>
              <w:spacing w:line="336" w:lineRule="auto"/>
              <w:textAlignment w:val="baseline"/>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color w:val="auto"/>
                <w:kern w:val="2"/>
                <w:sz w:val="22"/>
                <w:szCs w:val="22"/>
                <w:highlight w:val="none"/>
                <w:lang w:val="en-US" w:eastAsia="zh-CN" w:bidi="ar-SA"/>
              </w:rPr>
              <w:t>说明：本项最高得10分</w:t>
            </w:r>
            <w:r>
              <w:rPr>
                <w:rFonts w:hint="eastAsia" w:ascii="宋体" w:hAnsi="宋体" w:eastAsia="宋体" w:cs="宋体"/>
                <w:b/>
                <w:bCs/>
                <w:strike w:val="0"/>
                <w:dstrike w:val="0"/>
                <w:color w:val="auto"/>
                <w:kern w:val="2"/>
                <w:sz w:val="22"/>
                <w:szCs w:val="22"/>
                <w:highlight w:val="none"/>
                <w:lang w:val="en-US" w:eastAsia="zh-CN" w:bidi="ar-SA"/>
              </w:rPr>
              <w:t>。</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77B451D8">
            <w:pPr>
              <w:keepNext w:val="0"/>
              <w:keepLines w:val="0"/>
              <w:pageBreakBefore w:val="0"/>
              <w:widowControl/>
              <w:numPr>
                <w:ilvl w:val="0"/>
                <w:numId w:val="0"/>
              </w:numPr>
              <w:kinsoku/>
              <w:wordWrap/>
              <w:overflowPunct/>
              <w:topLinePunct w:val="0"/>
              <w:autoSpaceDE/>
              <w:autoSpaceDN/>
              <w:bidi w:val="0"/>
              <w:adjustRightInd/>
              <w:snapToGrid w:val="0"/>
              <w:spacing w:line="360" w:lineRule="auto"/>
              <w:textAlignment w:val="baseline"/>
              <w:rPr>
                <w:rFonts w:hint="eastAsia" w:ascii="宋体" w:hAnsi="宋体" w:eastAsia="宋体" w:cs="宋体"/>
                <w:strike w:val="0"/>
                <w:dstrike w:val="0"/>
                <w:color w:val="auto"/>
                <w:kern w:val="2"/>
                <w:sz w:val="22"/>
                <w:szCs w:val="22"/>
                <w:highlight w:val="none"/>
                <w:lang w:val="en-US" w:eastAsia="zh-CN" w:bidi="ar-SA"/>
              </w:rPr>
            </w:pPr>
            <w:r>
              <w:rPr>
                <w:rFonts w:hint="eastAsia" w:ascii="宋体" w:hAnsi="宋体" w:eastAsia="宋体" w:cs="宋体"/>
                <w:strike w:val="0"/>
                <w:dstrike w:val="0"/>
                <w:color w:val="auto"/>
                <w:kern w:val="2"/>
                <w:sz w:val="22"/>
                <w:szCs w:val="22"/>
                <w:highlight w:val="none"/>
                <w:lang w:val="en-US" w:eastAsia="zh-CN" w:bidi="ar-SA"/>
              </w:rPr>
              <w:t>1.需提供证书复印件（或打印件或扫描件)。</w:t>
            </w:r>
          </w:p>
          <w:p w14:paraId="59743871">
            <w:pPr>
              <w:pStyle w:val="54"/>
              <w:spacing w:line="360" w:lineRule="auto"/>
              <w:rPr>
                <w:rFonts w:hint="eastAsia" w:ascii="宋体" w:hAnsi="宋体" w:eastAsia="宋体" w:cs="宋体"/>
                <w:strike w:val="0"/>
                <w:dstrike w:val="0"/>
                <w:color w:val="auto"/>
                <w:kern w:val="2"/>
                <w:sz w:val="22"/>
                <w:szCs w:val="22"/>
                <w:highlight w:val="none"/>
                <w:lang w:val="en-US" w:eastAsia="zh-CN" w:bidi="ar-SA"/>
              </w:rPr>
            </w:pPr>
            <w:r>
              <w:rPr>
                <w:rFonts w:hint="eastAsia" w:ascii="宋体" w:hAnsi="宋体" w:eastAsia="宋体" w:cs="宋体"/>
                <w:strike w:val="0"/>
                <w:dstrike w:val="0"/>
                <w:color w:val="auto"/>
                <w:kern w:val="2"/>
                <w:sz w:val="22"/>
                <w:szCs w:val="22"/>
                <w:highlight w:val="none"/>
                <w:lang w:val="en-US" w:eastAsia="zh-CN" w:bidi="ar-SA"/>
              </w:rPr>
              <w:t>2.颁发机构不符合要求的，按第2项标准处理。</w:t>
            </w:r>
          </w:p>
          <w:p w14:paraId="3CEEAE2C">
            <w:pPr>
              <w:pStyle w:val="54"/>
              <w:spacing w:line="360" w:lineRule="auto"/>
              <w:rPr>
                <w:rFonts w:hint="eastAsia" w:ascii="宋体" w:hAnsi="宋体" w:eastAsia="宋体" w:cs="宋体"/>
                <w:strike w:val="0"/>
                <w:dstrike w:val="0"/>
                <w:color w:val="auto"/>
                <w:kern w:val="2"/>
                <w:sz w:val="22"/>
                <w:szCs w:val="22"/>
                <w:highlight w:val="none"/>
                <w:lang w:val="en-US" w:eastAsia="zh-CN" w:bidi="ar-SA"/>
              </w:rPr>
            </w:pP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3.组成联合体时，由联合体任意一方提</w:t>
            </w:r>
            <w:r>
              <w:rPr>
                <w:rFonts w:hint="eastAsia" w:ascii="宋体" w:hAnsi="宋体" w:eastAsia="宋体" w:cs="宋体"/>
                <w:b/>
                <w:bCs/>
                <w:snapToGrid w:val="0"/>
                <w:color w:val="000000" w:themeColor="text1"/>
                <w:kern w:val="0"/>
                <w:sz w:val="21"/>
                <w:szCs w:val="21"/>
                <w:highlight w:val="none"/>
                <w:lang w:val="en-US" w:eastAsia="zh-CN" w:bidi="ar-SA"/>
                <w14:textFill>
                  <w14:solidFill>
                    <w14:schemeClr w14:val="tx1"/>
                  </w14:solidFill>
                </w14:textFill>
              </w:rPr>
              <w:t>供以上资料。</w:t>
            </w:r>
          </w:p>
        </w:tc>
      </w:tr>
      <w:tr w14:paraId="3932FD63">
        <w:tblPrEx>
          <w:tblCellMar>
            <w:top w:w="0" w:type="dxa"/>
            <w:left w:w="108" w:type="dxa"/>
            <w:bottom w:w="0" w:type="dxa"/>
            <w:right w:w="108" w:type="dxa"/>
          </w:tblCellMar>
        </w:tblPrEx>
        <w:trPr>
          <w:trHeight w:val="3482" w:hRule="atLeast"/>
          <w:jc w:val="center"/>
        </w:trPr>
        <w:tc>
          <w:tcPr>
            <w:tcW w:w="1216" w:type="dxa"/>
            <w:vMerge w:val="continue"/>
            <w:tcBorders>
              <w:left w:val="single" w:color="auto" w:sz="4" w:space="0"/>
              <w:right w:val="single" w:color="auto" w:sz="4" w:space="0"/>
            </w:tcBorders>
            <w:noWrap w:val="0"/>
            <w:vAlign w:val="center"/>
          </w:tcPr>
          <w:p w14:paraId="3F97E49D">
            <w:pPr>
              <w:widowControl w:val="0"/>
              <w:kinsoku/>
              <w:wordWrap w:val="0"/>
              <w:autoSpaceDE/>
              <w:autoSpaceDN/>
              <w:adjustRightInd w:val="0"/>
              <w:snapToGrid w:val="0"/>
              <w:spacing w:line="400" w:lineRule="exact"/>
              <w:jc w:val="center"/>
              <w:textAlignment w:val="auto"/>
              <w:rPr>
                <w:rFonts w:hint="eastAsia" w:ascii="宋体" w:hAnsi="宋体" w:eastAsia="宋体" w:cs="宋体"/>
                <w:b/>
                <w:bCs/>
                <w:snapToGrid/>
                <w:color w:val="000000" w:themeColor="text1"/>
                <w:kern w:val="0"/>
                <w:sz w:val="21"/>
                <w:szCs w:val="21"/>
                <w:highlight w:val="none"/>
                <w:lang w:eastAsia="zh-CN" w:bidi="ar"/>
                <w14:textFill>
                  <w14:solidFill>
                    <w14:schemeClr w14:val="tx1"/>
                  </w14:solidFill>
                </w14:textFill>
              </w:rPr>
            </w:pPr>
          </w:p>
        </w:tc>
        <w:tc>
          <w:tcPr>
            <w:tcW w:w="3733" w:type="dxa"/>
            <w:tcBorders>
              <w:top w:val="single" w:color="auto" w:sz="4" w:space="0"/>
              <w:left w:val="single" w:color="auto" w:sz="4" w:space="0"/>
              <w:bottom w:val="single" w:color="auto" w:sz="4" w:space="0"/>
              <w:right w:val="single" w:color="auto" w:sz="4" w:space="0"/>
            </w:tcBorders>
            <w:noWrap w:val="0"/>
            <w:vAlign w:val="center"/>
          </w:tcPr>
          <w:p w14:paraId="64D3CCF0">
            <w:pPr>
              <w:widowControl w:val="0"/>
              <w:kinsoku/>
              <w:wordWrap w:val="0"/>
              <w:autoSpaceDE/>
              <w:autoSpaceDN/>
              <w:adjustRightInd w:val="0"/>
              <w:snapToGrid w:val="0"/>
              <w:spacing w:line="360" w:lineRule="auto"/>
              <w:jc w:val="left"/>
              <w:textAlignment w:val="auto"/>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1.企业近5年来（2021年1月1日至今）获得过省级或以上企业联合会和企业家协会同时颁发的诚信兴商证书的，得2分，连续获得2年或以上的，得5分。</w:t>
            </w:r>
          </w:p>
          <w:p w14:paraId="1657690C">
            <w:pPr>
              <w:widowControl w:val="0"/>
              <w:kinsoku/>
              <w:wordWrap w:val="0"/>
              <w:autoSpaceDE/>
              <w:autoSpaceDN/>
              <w:adjustRightInd w:val="0"/>
              <w:snapToGrid w:val="0"/>
              <w:spacing w:line="360" w:lineRule="auto"/>
              <w:jc w:val="left"/>
              <w:textAlignment w:val="auto"/>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2.其他情形的，不予计分。</w:t>
            </w:r>
          </w:p>
          <w:p w14:paraId="25D5D53D">
            <w:pPr>
              <w:widowControl w:val="0"/>
              <w:kinsoku/>
              <w:wordWrap w:val="0"/>
              <w:autoSpaceDE/>
              <w:autoSpaceDN/>
              <w:adjustRightInd w:val="0"/>
              <w:snapToGrid w:val="0"/>
              <w:spacing w:line="360" w:lineRule="auto"/>
              <w:jc w:val="left"/>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说明：本项最高得5分。</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116A8BFB">
            <w:pPr>
              <w:keepNext w:val="0"/>
              <w:keepLines w:val="0"/>
              <w:pageBreakBefore w:val="0"/>
              <w:widowControl w:val="0"/>
              <w:kinsoku/>
              <w:wordWrap w:val="0"/>
              <w:overflowPunct/>
              <w:topLinePunct w:val="0"/>
              <w:autoSpaceDE/>
              <w:autoSpaceDN/>
              <w:bidi w:val="0"/>
              <w:adjustRightInd w:val="0"/>
              <w:snapToGrid w:val="0"/>
              <w:spacing w:after="120" w:line="336" w:lineRule="auto"/>
              <w:jc w:val="both"/>
              <w:textAlignment w:val="auto"/>
              <w:rPr>
                <w:rFonts w:hint="eastAsia" w:ascii="宋体" w:hAnsi="宋体" w:eastAsia="宋体" w:cs="宋体"/>
                <w:strike w:val="0"/>
                <w:dstrike w:val="0"/>
                <w:snapToGrid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strike w:val="0"/>
                <w:dstrike w:val="0"/>
                <w:snapToGrid w:val="0"/>
                <w:color w:val="000000" w:themeColor="text1"/>
                <w:kern w:val="0"/>
                <w:sz w:val="21"/>
                <w:szCs w:val="21"/>
                <w:highlight w:val="none"/>
                <w:lang w:val="en-US" w:eastAsia="zh-CN"/>
                <w14:textFill>
                  <w14:solidFill>
                    <w14:schemeClr w14:val="tx1"/>
                  </w14:solidFill>
                </w14:textFill>
              </w:rPr>
              <w:t>1.需提供证书复印件（或打印件或扫描件)。</w:t>
            </w:r>
          </w:p>
          <w:p w14:paraId="51606724">
            <w:pPr>
              <w:keepNext w:val="0"/>
              <w:keepLines w:val="0"/>
              <w:pageBreakBefore w:val="0"/>
              <w:widowControl w:val="0"/>
              <w:kinsoku/>
              <w:wordWrap w:val="0"/>
              <w:overflowPunct/>
              <w:topLinePunct w:val="0"/>
              <w:autoSpaceDE/>
              <w:autoSpaceDN/>
              <w:bidi w:val="0"/>
              <w:adjustRightInd w:val="0"/>
              <w:snapToGrid w:val="0"/>
              <w:spacing w:after="120" w:line="336" w:lineRule="auto"/>
              <w:jc w:val="both"/>
              <w:textAlignment w:val="auto"/>
              <w:rPr>
                <w:rFonts w:hint="eastAsia" w:ascii="宋体" w:hAnsi="宋体" w:eastAsia="宋体" w:cs="宋体"/>
                <w:b w:val="0"/>
                <w:bCs w:val="0"/>
                <w:snapToGrid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kern w:val="0"/>
                <w:sz w:val="21"/>
                <w:szCs w:val="21"/>
                <w:highlight w:val="none"/>
                <w:lang w:val="en-US" w:eastAsia="zh-CN"/>
                <w14:textFill>
                  <w14:solidFill>
                    <w14:schemeClr w14:val="tx1"/>
                  </w14:solidFill>
                </w14:textFill>
              </w:rPr>
              <w:t>2.证书须由省级或以上企业联合会和企业家协会</w:t>
            </w: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（需经民政部门备案)</w:t>
            </w:r>
            <w:r>
              <w:rPr>
                <w:rFonts w:hint="eastAsia" w:ascii="宋体" w:hAnsi="宋体" w:eastAsia="宋体" w:cs="宋体"/>
                <w:b w:val="0"/>
                <w:bCs w:val="0"/>
                <w:snapToGrid w:val="0"/>
                <w:color w:val="000000" w:themeColor="text1"/>
                <w:kern w:val="0"/>
                <w:sz w:val="21"/>
                <w:szCs w:val="21"/>
                <w:highlight w:val="none"/>
                <w:lang w:val="en-US" w:eastAsia="zh-CN"/>
                <w14:textFill>
                  <w14:solidFill>
                    <w14:schemeClr w14:val="tx1"/>
                  </w14:solidFill>
                </w14:textFill>
              </w:rPr>
              <w:t>同时颁发。</w:t>
            </w:r>
          </w:p>
          <w:p w14:paraId="70745076">
            <w:pPr>
              <w:keepNext w:val="0"/>
              <w:keepLines w:val="0"/>
              <w:pageBreakBefore w:val="0"/>
              <w:widowControl w:val="0"/>
              <w:kinsoku/>
              <w:wordWrap w:val="0"/>
              <w:overflowPunct/>
              <w:topLinePunct w:val="0"/>
              <w:autoSpaceDE/>
              <w:autoSpaceDN/>
              <w:bidi w:val="0"/>
              <w:adjustRightInd w:val="0"/>
              <w:snapToGrid w:val="0"/>
              <w:spacing w:after="120" w:line="336" w:lineRule="auto"/>
              <w:jc w:val="both"/>
              <w:textAlignment w:val="auto"/>
              <w:rPr>
                <w:rFonts w:hint="eastAsia" w:ascii="宋体" w:hAnsi="宋体" w:eastAsia="宋体" w:cs="宋体"/>
                <w:b w:val="0"/>
                <w:bCs w:val="0"/>
                <w:snapToGrid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kern w:val="0"/>
                <w:sz w:val="21"/>
                <w:szCs w:val="21"/>
                <w:highlight w:val="none"/>
                <w:lang w:val="en-US" w:eastAsia="zh-CN"/>
                <w14:textFill>
                  <w14:solidFill>
                    <w14:schemeClr w14:val="tx1"/>
                  </w14:solidFill>
                </w14:textFill>
              </w:rPr>
              <w:t>3.获取时间以证书日期为准。</w:t>
            </w:r>
          </w:p>
          <w:p w14:paraId="245C2679">
            <w:pPr>
              <w:keepNext w:val="0"/>
              <w:keepLines w:val="0"/>
              <w:pageBreakBefore w:val="0"/>
              <w:widowControl w:val="0"/>
              <w:kinsoku/>
              <w:wordWrap w:val="0"/>
              <w:overflowPunct/>
              <w:topLinePunct w:val="0"/>
              <w:autoSpaceDE/>
              <w:autoSpaceDN/>
              <w:bidi w:val="0"/>
              <w:adjustRightInd w:val="0"/>
              <w:snapToGrid w:val="0"/>
              <w:spacing w:after="120" w:line="336" w:lineRule="auto"/>
              <w:jc w:val="both"/>
              <w:textAlignment w:val="auto"/>
              <w:rPr>
                <w:rFonts w:hint="eastAsia" w:ascii="宋体" w:hAnsi="宋体" w:eastAsia="宋体" w:cs="宋体"/>
                <w:b w:val="0"/>
                <w:bCs w:val="0"/>
                <w:snapToGrid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kern w:val="0"/>
                <w:sz w:val="21"/>
                <w:szCs w:val="21"/>
                <w:highlight w:val="none"/>
                <w:lang w:val="en-US" w:eastAsia="zh-CN"/>
                <w14:textFill>
                  <w14:solidFill>
                    <w14:schemeClr w14:val="tx1"/>
                  </w14:solidFill>
                </w14:textFill>
              </w:rPr>
              <w:t>4.颁发机构、获奖时间不符合评分标准和备注规定的，不予得分。</w:t>
            </w:r>
          </w:p>
          <w:p w14:paraId="0F4BAE17">
            <w:pPr>
              <w:keepNext w:val="0"/>
              <w:keepLines w:val="0"/>
              <w:pageBreakBefore w:val="0"/>
              <w:widowControl w:val="0"/>
              <w:kinsoku/>
              <w:wordWrap w:val="0"/>
              <w:overflowPunct/>
              <w:topLinePunct w:val="0"/>
              <w:autoSpaceDE/>
              <w:autoSpaceDN/>
              <w:bidi w:val="0"/>
              <w:adjustRightInd w:val="0"/>
              <w:snapToGrid w:val="0"/>
              <w:spacing w:after="120" w:line="336" w:lineRule="auto"/>
              <w:jc w:val="both"/>
              <w:textAlignment w:val="auto"/>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5.组成联合体时，由联合体任意一方提供以上资料。</w:t>
            </w:r>
          </w:p>
        </w:tc>
      </w:tr>
      <w:tr w14:paraId="1373BDDF">
        <w:tblPrEx>
          <w:tblCellMar>
            <w:top w:w="0" w:type="dxa"/>
            <w:left w:w="108" w:type="dxa"/>
            <w:bottom w:w="0" w:type="dxa"/>
            <w:right w:w="108" w:type="dxa"/>
          </w:tblCellMar>
        </w:tblPrEx>
        <w:trPr>
          <w:trHeight w:val="482" w:hRule="exact"/>
          <w:jc w:val="center"/>
        </w:trPr>
        <w:tc>
          <w:tcPr>
            <w:tcW w:w="10307" w:type="dxa"/>
            <w:gridSpan w:val="3"/>
            <w:tcBorders>
              <w:top w:val="single" w:color="auto" w:sz="4" w:space="0"/>
              <w:left w:val="single" w:color="auto" w:sz="4" w:space="0"/>
              <w:bottom w:val="single" w:color="auto" w:sz="4" w:space="0"/>
              <w:right w:val="single" w:color="auto" w:sz="4" w:space="0"/>
            </w:tcBorders>
            <w:shd w:val="clear" w:color="auto" w:fill="D9D9D9"/>
            <w:noWrap w:val="0"/>
            <w:vAlign w:val="center"/>
          </w:tcPr>
          <w:p w14:paraId="5BF7B2B0">
            <w:pPr>
              <w:widowControl w:val="0"/>
              <w:wordWrap w:val="0"/>
              <w:adjustRightInd w:val="0"/>
              <w:snapToGrid w:val="0"/>
              <w:spacing w:after="0" w:line="440" w:lineRule="exact"/>
              <w:jc w:val="left"/>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kern w:val="0"/>
                <w:sz w:val="24"/>
                <w:szCs w:val="24"/>
                <w:highlight w:val="none"/>
                <w:lang w:val="en-US" w:eastAsia="zh-CN" w:bidi="ar-SA"/>
                <w14:textFill>
                  <w14:solidFill>
                    <w14:schemeClr w14:val="tx1"/>
                  </w14:solidFill>
                </w14:textFill>
              </w:rPr>
              <w:t>技术部分（施工组织设计），满分：</w:t>
            </w:r>
            <w:r>
              <w:rPr>
                <w:rFonts w:hint="eastAsia" w:ascii="宋体" w:hAnsi="宋体" w:eastAsia="宋体" w:cs="宋体"/>
                <w:b/>
                <w:bCs/>
                <w:color w:val="000000" w:themeColor="text1"/>
                <w:kern w:val="0"/>
                <w:sz w:val="24"/>
                <w:szCs w:val="24"/>
                <w:highlight w:val="none"/>
                <w:u w:val="single"/>
                <w:lang w:val="en-US" w:eastAsia="zh-CN" w:bidi="ar-SA"/>
                <w14:textFill>
                  <w14:solidFill>
                    <w14:schemeClr w14:val="tx1"/>
                  </w14:solidFill>
                </w14:textFill>
              </w:rPr>
              <w:t xml:space="preserve">  20  </w:t>
            </w:r>
            <w:r>
              <w:rPr>
                <w:rFonts w:hint="eastAsia" w:ascii="宋体" w:hAnsi="宋体" w:eastAsia="宋体" w:cs="宋体"/>
                <w:b/>
                <w:bCs/>
                <w:color w:val="000000" w:themeColor="text1"/>
                <w:kern w:val="0"/>
                <w:sz w:val="24"/>
                <w:szCs w:val="24"/>
                <w:highlight w:val="none"/>
                <w:lang w:val="en-US" w:eastAsia="zh-CN" w:bidi="ar-SA"/>
                <w14:textFill>
                  <w14:solidFill>
                    <w14:schemeClr w14:val="tx1"/>
                  </w14:solidFill>
                </w14:textFill>
              </w:rPr>
              <w:t>分。</w:t>
            </w:r>
          </w:p>
        </w:tc>
      </w:tr>
      <w:tr w14:paraId="4D8B763D">
        <w:tblPrEx>
          <w:tblCellMar>
            <w:top w:w="0" w:type="dxa"/>
            <w:left w:w="108" w:type="dxa"/>
            <w:bottom w:w="0" w:type="dxa"/>
            <w:right w:w="108" w:type="dxa"/>
          </w:tblCellMar>
        </w:tblPrEx>
        <w:trPr>
          <w:trHeight w:val="540" w:hRule="exac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57F2ED4B">
            <w:pPr>
              <w:widowControl w:val="0"/>
              <w:wordWrap w:val="0"/>
              <w:adjustRightInd w:val="0"/>
              <w:snapToGrid w:val="0"/>
              <w:spacing w:after="0" w:line="440" w:lineRule="exact"/>
              <w:jc w:val="cente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评分因素</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5C971C01">
            <w:pPr>
              <w:widowControl w:val="0"/>
              <w:wordWrap w:val="0"/>
              <w:adjustRightInd w:val="0"/>
              <w:snapToGrid w:val="0"/>
              <w:spacing w:after="0" w:line="440" w:lineRule="exact"/>
              <w:jc w:val="cente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评分标准</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127EB220">
            <w:pPr>
              <w:widowControl w:val="0"/>
              <w:wordWrap w:val="0"/>
              <w:adjustRightInd w:val="0"/>
              <w:snapToGrid w:val="0"/>
              <w:spacing w:after="0" w:line="440" w:lineRule="exact"/>
              <w:jc w:val="cente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备注</w:t>
            </w:r>
          </w:p>
        </w:tc>
      </w:tr>
      <w:tr w14:paraId="254B77A9">
        <w:tblPrEx>
          <w:tblCellMar>
            <w:top w:w="0" w:type="dxa"/>
            <w:left w:w="108" w:type="dxa"/>
            <w:bottom w:w="0" w:type="dxa"/>
            <w:right w:w="108" w:type="dxa"/>
          </w:tblCellMar>
        </w:tblPrEx>
        <w:trPr>
          <w:trHeight w:val="457"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43B1E54F">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 xml:space="preserve"> 总体概述</w:t>
            </w:r>
          </w:p>
          <w:p w14:paraId="088794EA">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snapToGrid w:val="0"/>
                <w:color w:val="000000" w:themeColor="text1"/>
                <w:kern w:val="0"/>
                <w:sz w:val="21"/>
                <w:szCs w:val="21"/>
                <w:highlight w:val="none"/>
                <w:u w:val="single"/>
                <w:lang w:eastAsia="zh-CN"/>
                <w14:textFill>
                  <w14:solidFill>
                    <w14:schemeClr w14:val="tx1"/>
                  </w14:solidFill>
                </w14:textFill>
              </w:rPr>
              <w:t xml:space="preserve"> 3 </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597CF9C8">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【优】得该项评分因素分值的90%～100%（含90%）。</w:t>
            </w:r>
          </w:p>
          <w:p w14:paraId="03F68CB2">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【良】得该项评分因素分值的80%～90%（含80%）。</w:t>
            </w:r>
          </w:p>
          <w:p w14:paraId="7DC3967D">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【中】得该项评分因素分值的70%～80%（含70%）。</w:t>
            </w:r>
          </w:p>
          <w:p w14:paraId="4783AE55">
            <w:pPr>
              <w:widowControl w:val="0"/>
              <w:kinsoku/>
              <w:wordWrap w:val="0"/>
              <w:autoSpaceDE/>
              <w:autoSpaceDN/>
              <w:adjustRightInd w:val="0"/>
              <w:snapToGrid w:val="0"/>
              <w:spacing w:line="400" w:lineRule="exact"/>
              <w:jc w:val="left"/>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【差】得该项评分因素分值的60～70%（含60%）。</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0827108E">
            <w:pPr>
              <w:widowControl w:val="0"/>
              <w:kinsoku/>
              <w:wordWrap w:val="0"/>
              <w:autoSpaceDE/>
              <w:autoSpaceDN/>
              <w:adjustRightInd w:val="0"/>
              <w:snapToGrid w:val="0"/>
              <w:spacing w:line="400" w:lineRule="exact"/>
              <w:jc w:val="left"/>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【优】对项目总体有深刻认识，表述清晰、完整、严谨、合理，措施先进、具体、有效、成熟，采用了新技术、新工艺、新材料、新设备；施工段划分呼应总体表述，划分清晰、合理，符合规范要求。</w:t>
            </w:r>
          </w:p>
          <w:p w14:paraId="19D45C64">
            <w:pPr>
              <w:widowControl w:val="0"/>
              <w:kinsoku/>
              <w:wordWrap w:val="0"/>
              <w:autoSpaceDE/>
              <w:autoSpaceDN/>
              <w:adjustRightInd w:val="0"/>
              <w:snapToGrid w:val="0"/>
              <w:spacing w:line="400" w:lineRule="exact"/>
              <w:jc w:val="left"/>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【良】对项目总体有一定认识，表述清晰、完整，措施具体有效；施工段划分呼应总体表述，划分清晰，符合规范要求。</w:t>
            </w:r>
          </w:p>
          <w:p w14:paraId="5A1C5E10">
            <w:pPr>
              <w:widowControl w:val="0"/>
              <w:kinsoku/>
              <w:wordWrap w:val="0"/>
              <w:autoSpaceDE/>
              <w:autoSpaceDN/>
              <w:adjustRightInd w:val="0"/>
              <w:snapToGrid w:val="0"/>
              <w:spacing w:line="400" w:lineRule="exact"/>
              <w:jc w:val="left"/>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【中】对项目总体有认识，有一定的措施但部分不具体；施工段划分较合理，符合规范要求。</w:t>
            </w:r>
          </w:p>
          <w:p w14:paraId="708E3266">
            <w:pPr>
              <w:widowControl w:val="0"/>
              <w:kinsoku/>
              <w:wordWrap w:val="0"/>
              <w:autoSpaceDE/>
              <w:autoSpaceDN/>
              <w:adjustRightInd w:val="0"/>
              <w:snapToGrid w:val="0"/>
              <w:spacing w:line="400" w:lineRule="exact"/>
              <w:jc w:val="left"/>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【差】对项目认识不足，表述不清晰，措施不具体；施工段划分不合理。</w:t>
            </w:r>
          </w:p>
        </w:tc>
      </w:tr>
      <w:tr w14:paraId="00970BFE">
        <w:tblPrEx>
          <w:tblCellMar>
            <w:top w:w="0" w:type="dxa"/>
            <w:left w:w="108" w:type="dxa"/>
            <w:bottom w:w="0" w:type="dxa"/>
            <w:right w:w="108" w:type="dxa"/>
          </w:tblCellMar>
        </w:tblPrEx>
        <w:trPr>
          <w:trHeight w:val="457"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2C1A0008">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施工总进</w:t>
            </w:r>
          </w:p>
          <w:p w14:paraId="3E59FFDA">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度计划及</w:t>
            </w:r>
          </w:p>
          <w:p w14:paraId="3C7F83AE">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保证措施</w:t>
            </w:r>
          </w:p>
          <w:p w14:paraId="7029405C">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snapToGrid w:val="0"/>
                <w:color w:val="000000" w:themeColor="text1"/>
                <w:kern w:val="0"/>
                <w:sz w:val="21"/>
                <w:szCs w:val="21"/>
                <w:highlight w:val="none"/>
                <w:u w:val="single"/>
                <w:lang w:eastAsia="zh-CN"/>
                <w14:textFill>
                  <w14:solidFill>
                    <w14:schemeClr w14:val="tx1"/>
                  </w14:solidFill>
                </w14:textFill>
              </w:rPr>
              <w:t xml:space="preserve">3 </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1469ECFC">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【优】得该项评分因素分值的90%～100%（含90%）。</w:t>
            </w:r>
          </w:p>
          <w:p w14:paraId="508E4D70">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【良】得该项评分因素分值的80%～90%（含80%）。</w:t>
            </w:r>
          </w:p>
          <w:p w14:paraId="0909FCC0">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【中】得该项评分因素分值的70%～80%（含70%）。</w:t>
            </w:r>
          </w:p>
          <w:p w14:paraId="5762B805">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【差】得该项评分因素分值的60～70%（含60%）。</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7AF6F6C8">
            <w:pPr>
              <w:widowControl w:val="0"/>
              <w:kinsoku/>
              <w:wordWrap w:val="0"/>
              <w:autoSpaceDE/>
              <w:autoSpaceDN/>
              <w:adjustRightInd w:val="0"/>
              <w:snapToGrid w:val="0"/>
              <w:spacing w:line="400" w:lineRule="exact"/>
              <w:jc w:val="both"/>
              <w:textAlignment w:val="auto"/>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优】关键线路清晰、准确、完整，计划编制合理、可行。关键节点的控制措施有力、合理、可行。人、材、机需求和进场计划与进度计划相呼应，较好满足施工需要，调配投入计划合理、准确。进度违约责任承诺具体，</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经济赔偿合理。</w:t>
            </w:r>
          </w:p>
          <w:p w14:paraId="509EEFE9">
            <w:pPr>
              <w:widowControl w:val="0"/>
              <w:kinsoku/>
              <w:wordWrap w:val="0"/>
              <w:autoSpaceDE/>
              <w:autoSpaceDN/>
              <w:adjustRightInd w:val="0"/>
              <w:snapToGrid w:val="0"/>
              <w:spacing w:line="400" w:lineRule="exact"/>
              <w:jc w:val="both"/>
              <w:textAlignment w:val="auto"/>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【良】关键线路清晰、准确、完整，计划编制可行。关键节点的控制措施合理、可行。人、材、机需求和进场计划与进度计划相呼应，基本满足施工需要，调配投入计划基本合理、准确。进度违约责任承诺具体，</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经济赔偿较合理。</w:t>
            </w:r>
          </w:p>
          <w:p w14:paraId="3C8D298F">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【中】关键线路基本准确，计划编制基本合理。关键节点的控制措施基本可行。人、材、机需求和进场计划与进度计划相呼应，基本满足施工需要，调配投入计划基本合理。进度违约责任承诺具体。</w:t>
            </w:r>
          </w:p>
          <w:p w14:paraId="63C0C58D">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【差】关键线路不准确，计划编制不合理。关键节点的控制不可行。人、材、机需求和进场计划与进度计划不相呼应，不能满足施工需要。没有违约责任承诺。</w:t>
            </w:r>
          </w:p>
        </w:tc>
      </w:tr>
      <w:tr w14:paraId="134D3E28">
        <w:tblPrEx>
          <w:tblCellMar>
            <w:top w:w="0" w:type="dxa"/>
            <w:left w:w="108" w:type="dxa"/>
            <w:bottom w:w="0" w:type="dxa"/>
            <w:right w:w="108" w:type="dxa"/>
          </w:tblCellMar>
        </w:tblPrEx>
        <w:trPr>
          <w:trHeight w:val="457"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21106622">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质量</w:t>
            </w:r>
          </w:p>
          <w:p w14:paraId="6C95406A">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保证措施</w:t>
            </w:r>
          </w:p>
          <w:p w14:paraId="6BF537AE">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（4</w:t>
            </w:r>
            <w:r>
              <w:rPr>
                <w:rFonts w:hint="eastAsia" w:ascii="宋体" w:hAnsi="宋体" w:eastAsia="宋体" w:cs="宋体"/>
                <w:b/>
                <w:bCs/>
                <w:snapToGrid w:val="0"/>
                <w:color w:val="000000" w:themeColor="text1"/>
                <w:kern w:val="0"/>
                <w:sz w:val="21"/>
                <w:szCs w:val="21"/>
                <w:highlight w:val="none"/>
                <w:u w:val="single"/>
                <w:lang w:eastAsia="zh-CN"/>
                <w14:textFill>
                  <w14:solidFill>
                    <w14:schemeClr w14:val="tx1"/>
                  </w14:solidFill>
                </w14:textFill>
              </w:rPr>
              <w:t xml:space="preserve"> </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07169F91">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【优】得该项评分因素分值的90%～100%（含90%）。</w:t>
            </w:r>
          </w:p>
          <w:p w14:paraId="38C8A5A5">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【良】得该项评分因素分值的80%～90%（含80%）。</w:t>
            </w:r>
          </w:p>
          <w:p w14:paraId="57A32068">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【中】得该项评分因素分值的70%～80%（含70%）。</w:t>
            </w:r>
          </w:p>
          <w:p w14:paraId="41682A57">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【差】得该项评分因素分值的60～70%（含60%）。</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2A0D5B2F">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【优】应用新技术、新工艺、新材料、新设备，针对项目实际提出先进、可行、具体的保证措施。超过招标文件的质量要求。</w:t>
            </w:r>
          </w:p>
          <w:p w14:paraId="7A1C7711">
            <w:pPr>
              <w:widowControl w:val="0"/>
              <w:kinsoku/>
              <w:wordWrap w:val="0"/>
              <w:autoSpaceDE/>
              <w:autoSpaceDN/>
              <w:adjustRightInd w:val="0"/>
              <w:snapToGrid w:val="0"/>
              <w:spacing w:line="400" w:lineRule="exact"/>
              <w:jc w:val="both"/>
              <w:textAlignment w:val="auto"/>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【良】针对项目实际提出先进、可行、具体的保证措施。满足招标文件的质量要求。</w:t>
            </w:r>
          </w:p>
          <w:p w14:paraId="04E3373D">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【中】具体措施可行。满足招标文件的质量要求。</w:t>
            </w:r>
          </w:p>
          <w:p w14:paraId="504D8A29">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【差】措施不可行，没有质量违约责任承诺。</w:t>
            </w:r>
          </w:p>
        </w:tc>
      </w:tr>
      <w:tr w14:paraId="618E4605">
        <w:tblPrEx>
          <w:tblCellMar>
            <w:top w:w="0" w:type="dxa"/>
            <w:left w:w="108" w:type="dxa"/>
            <w:bottom w:w="0" w:type="dxa"/>
            <w:right w:w="108" w:type="dxa"/>
          </w:tblCellMar>
        </w:tblPrEx>
        <w:trPr>
          <w:trHeight w:val="457"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11775B00">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施工</w:t>
            </w:r>
          </w:p>
          <w:p w14:paraId="0CB53CAC">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技术措施</w:t>
            </w:r>
          </w:p>
          <w:p w14:paraId="43A7C23D">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snapToGrid w:val="0"/>
                <w:color w:val="000000" w:themeColor="text1"/>
                <w:kern w:val="0"/>
                <w:sz w:val="21"/>
                <w:szCs w:val="21"/>
                <w:highlight w:val="none"/>
                <w:u w:val="single"/>
                <w:lang w:eastAsia="zh-CN"/>
                <w14:textFill>
                  <w14:solidFill>
                    <w14:schemeClr w14:val="tx1"/>
                  </w14:solidFill>
                </w14:textFill>
              </w:rPr>
              <w:t xml:space="preserve"> 2 </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10FC0C54">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【优】得该项评分因素分值的90%～100%（含90%）。</w:t>
            </w:r>
          </w:p>
          <w:p w14:paraId="5CCDB2E3">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【良】得该项评分因素分值的80%～90%（含80%）。</w:t>
            </w:r>
          </w:p>
          <w:p w14:paraId="7218A4ED">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【中】得该项评分因素分值的70%～80%（含70%）。</w:t>
            </w:r>
          </w:p>
          <w:p w14:paraId="47240866">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【差】得该项评分因素分值的60～70%（含60%）。</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0C30740D">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优】对项目关键技术、工艺有深入的表述，对重点、难点有先进、合理的建议，解决方案完整、经济、安全、切实可行，措施得力。针对项目实际，提出采用新技术的具体措施。新技术的验证材料可靠，对节约投资和工期的保证措施得力、具体、严谨。对采用新技术可能产生的风险有充分的预见，违约承诺具体，</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经济赔偿合理。</w:t>
            </w:r>
          </w:p>
          <w:p w14:paraId="5C0895CE">
            <w:pPr>
              <w:widowControl w:val="0"/>
              <w:kinsoku/>
              <w:wordWrap w:val="0"/>
              <w:autoSpaceDE/>
              <w:autoSpaceDN/>
              <w:adjustRightInd w:val="0"/>
              <w:snapToGrid w:val="0"/>
              <w:spacing w:line="400" w:lineRule="exact"/>
              <w:jc w:val="both"/>
              <w:textAlignment w:val="auto"/>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良】对项目关键技术、工艺有深入的表述，对重点、难点有合理的建议，解决方案经济、安全、基本可行。针对项目实际，提出采用新技术的具体措施。新技术的验证材料可靠，对节约投资和工期有保证措施。对采用新技术可能产生的风险有一定的预见，违约责任承诺具体，</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经济赔偿较合理。</w:t>
            </w:r>
          </w:p>
          <w:p w14:paraId="66BB7E97">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中】对项目关键技术有一定了解，对重点、难点有建议，解决方案基本可行。有新技术措施，但验证材料不充分，对节约投资和工期可能有一定收益，但对采用的新技术可能产生的风险预见不足。有违约责任承诺。</w:t>
            </w:r>
          </w:p>
          <w:p w14:paraId="092C2A10">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【差】对项目关键技术有表述，对重点、难点有建议，解决方案不可行。采用的新技术针对性不强或验证材料不可靠，对节约投资、工期没有具体收益。无违约责任承诺。</w:t>
            </w:r>
          </w:p>
        </w:tc>
      </w:tr>
      <w:tr w14:paraId="154EA3CC">
        <w:tblPrEx>
          <w:tblCellMar>
            <w:top w:w="0" w:type="dxa"/>
            <w:left w:w="108" w:type="dxa"/>
            <w:bottom w:w="0" w:type="dxa"/>
            <w:right w:w="108" w:type="dxa"/>
          </w:tblCellMar>
        </w:tblPrEx>
        <w:trPr>
          <w:trHeight w:val="457"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53E44D64">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绿色施工、</w:t>
            </w:r>
          </w:p>
          <w:p w14:paraId="7110EDD6">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安全防护、</w:t>
            </w:r>
          </w:p>
          <w:p w14:paraId="586C62BC">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文明施工</w:t>
            </w:r>
          </w:p>
          <w:p w14:paraId="14073F30">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措施计划</w:t>
            </w:r>
          </w:p>
          <w:p w14:paraId="3DBD69A7">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snapToGrid w:val="0"/>
                <w:color w:val="000000" w:themeColor="text1"/>
                <w:kern w:val="0"/>
                <w:sz w:val="21"/>
                <w:szCs w:val="21"/>
                <w:highlight w:val="none"/>
                <w:u w:val="single"/>
                <w:lang w:eastAsia="zh-CN"/>
                <w14:textFill>
                  <w14:solidFill>
                    <w14:schemeClr w14:val="tx1"/>
                  </w14:solidFill>
                </w14:textFill>
              </w:rPr>
              <w:t xml:space="preserve"> 3 </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5CEA35BF">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【优】得该项评分因素分值的90%～100%（含90%）。</w:t>
            </w:r>
          </w:p>
          <w:p w14:paraId="157FAAC3">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【良】得该项评分因素分值的80%～90%（含80%）。</w:t>
            </w:r>
          </w:p>
          <w:p w14:paraId="099AAF3D">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【中】得该项评分因素分值的70%～80%（含70%）。</w:t>
            </w:r>
          </w:p>
          <w:p w14:paraId="00B72AB7">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【差】得该项评分因素分值的60～70%（含60%）。</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3E4E48FA">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【优】针对项目实际情况，有先进、具体、完整、可行的措施，采用规范准确、清晰。</w:t>
            </w:r>
          </w:p>
          <w:p w14:paraId="495EF453">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【良】针对项目实际情况，有合理的措施且具体、完整，采用规范准确。</w:t>
            </w:r>
          </w:p>
          <w:p w14:paraId="237D7185">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【中】有基本合理的措施，采用规范准确。</w:t>
            </w:r>
          </w:p>
          <w:p w14:paraId="78199B66">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【差】措施不力，采用规范不正确。</w:t>
            </w:r>
          </w:p>
        </w:tc>
      </w:tr>
      <w:tr w14:paraId="537D05BE">
        <w:tblPrEx>
          <w:tblCellMar>
            <w:top w:w="0" w:type="dxa"/>
            <w:left w:w="108" w:type="dxa"/>
            <w:bottom w:w="0" w:type="dxa"/>
            <w:right w:w="108" w:type="dxa"/>
          </w:tblCellMar>
        </w:tblPrEx>
        <w:trPr>
          <w:trHeight w:val="457"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356D2FFB">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施工平面</w:t>
            </w:r>
          </w:p>
          <w:p w14:paraId="038DB08F">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布置和临时设施布置</w:t>
            </w:r>
          </w:p>
          <w:p w14:paraId="5688C07A">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snapToGrid w:val="0"/>
                <w:color w:val="000000" w:themeColor="text1"/>
                <w:kern w:val="0"/>
                <w:sz w:val="21"/>
                <w:szCs w:val="21"/>
                <w:highlight w:val="none"/>
                <w:u w:val="single"/>
                <w:lang w:eastAsia="zh-CN"/>
                <w14:textFill>
                  <w14:solidFill>
                    <w14:schemeClr w14:val="tx1"/>
                  </w14:solidFill>
                </w14:textFill>
              </w:rPr>
              <w:t xml:space="preserve"> 2 </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305194D3">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【优】得该项评分因素分值的90%～100%（含90%）。</w:t>
            </w:r>
          </w:p>
          <w:p w14:paraId="357DB794">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【良】得该项评分因素分值的80%～90%（含80%）。</w:t>
            </w:r>
          </w:p>
          <w:p w14:paraId="117BD8F5">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【中】得该项评分因素分值的70%～80%（含70%）。</w:t>
            </w:r>
          </w:p>
          <w:p w14:paraId="01552BF3">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【差】得该项评分因素分值的60～70%（含60%）。</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06A06450">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【优】总体布置有针对性、合理，较好满足施工需要，符合绿色施工、安全防护、文明施工要求。</w:t>
            </w:r>
          </w:p>
          <w:p w14:paraId="630BFE19">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【良】总体布置合理，能满足施工需要，基本符合绿色施工、安全防护、文明施工要求。</w:t>
            </w:r>
          </w:p>
          <w:p w14:paraId="4A3FC7AF">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【中】总体布置基本合理，基本满足施工需要。</w:t>
            </w:r>
          </w:p>
          <w:p w14:paraId="2F762F12">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【差】总体布置不合理，不符合绿色施工、安全防护、文明施工要求。</w:t>
            </w:r>
          </w:p>
        </w:tc>
      </w:tr>
      <w:tr w14:paraId="6CCE15C8">
        <w:tblPrEx>
          <w:tblCellMar>
            <w:top w:w="0" w:type="dxa"/>
            <w:left w:w="108" w:type="dxa"/>
            <w:bottom w:w="0" w:type="dxa"/>
            <w:right w:w="108" w:type="dxa"/>
          </w:tblCellMar>
        </w:tblPrEx>
        <w:trPr>
          <w:trHeight w:val="457"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45DCDF0F">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项目</w:t>
            </w:r>
          </w:p>
          <w:p w14:paraId="085BF837">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管理机构</w:t>
            </w:r>
          </w:p>
          <w:p w14:paraId="4DC794F1">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snapToGrid w:val="0"/>
                <w:color w:val="000000" w:themeColor="text1"/>
                <w:kern w:val="0"/>
                <w:sz w:val="21"/>
                <w:szCs w:val="21"/>
                <w:highlight w:val="none"/>
                <w:u w:val="single"/>
                <w:lang w:eastAsia="zh-CN"/>
                <w14:textFill>
                  <w14:solidFill>
                    <w14:schemeClr w14:val="tx1"/>
                  </w14:solidFill>
                </w14:textFill>
              </w:rPr>
              <w:t xml:space="preserve"> 3 </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583D101E">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【优】得该项评分因素分值的90%～100%（含90%）。</w:t>
            </w:r>
          </w:p>
          <w:p w14:paraId="6D04A045">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【良】得该项评分因素分值的80%～90%（含80%）。</w:t>
            </w:r>
          </w:p>
          <w:p w14:paraId="582308FB">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【中】得该项评分因素分值的70%～80%（含70%）。</w:t>
            </w:r>
          </w:p>
          <w:p w14:paraId="3546E812">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【差】得该项评分因素分值的60～70%（含60%）。</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515DF475">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【优】组织机构形式合理，有完善的指挥系统，生产及质量、绿色施工、安全、文明施工、创优达标监控系统、联络协调系统，项目管理人员内高级职称人员20%（含20%）以上、中级职称人员</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及以上职称</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60%（含60%）以上。</w:t>
            </w:r>
          </w:p>
          <w:p w14:paraId="2D39ECFD">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【良】组织机构形式合理，指挥系统，生产及质量、绿色施工、安全、文明施工、创优达标监控系统、联络协调系统齐全，项目管理人员内高级职称人员15%～20%（含15%）、中级职称</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及以上职称</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人员50%～60%（含50%）。</w:t>
            </w:r>
          </w:p>
          <w:p w14:paraId="7EFCA87E">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【中】组织机构形式基本合理，有指挥系统，生产及质量、绿色施工、安全、文明施工、创优达标监控系统、联络协调系统，项目管理人员内高级职称人员10%～15%（含10%）、中级职称人员</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及以上职称</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40%～50%（含40%）。</w:t>
            </w:r>
          </w:p>
          <w:p w14:paraId="52DCAA1C">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【差】组织机构形式合理，指挥系统，生产及质量、绿色施工、安全、文明施工、创优达标监控系统、联络协调系统不齐全，项目管理人员内高级职称人员10%以下、中级职称人员</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及以上职称</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40%以下。</w:t>
            </w:r>
          </w:p>
        </w:tc>
      </w:tr>
      <w:tr w14:paraId="3C85E566">
        <w:tblPrEx>
          <w:tblCellMar>
            <w:top w:w="0" w:type="dxa"/>
            <w:left w:w="108" w:type="dxa"/>
            <w:bottom w:w="0" w:type="dxa"/>
            <w:right w:w="108" w:type="dxa"/>
          </w:tblCellMar>
        </w:tblPrEx>
        <w:trPr>
          <w:trHeight w:val="554" w:hRule="exact"/>
          <w:jc w:val="center"/>
        </w:trPr>
        <w:tc>
          <w:tcPr>
            <w:tcW w:w="10307" w:type="dxa"/>
            <w:gridSpan w:val="3"/>
            <w:tcBorders>
              <w:top w:val="single" w:color="auto" w:sz="4" w:space="0"/>
              <w:left w:val="single" w:color="auto" w:sz="4" w:space="0"/>
              <w:bottom w:val="single" w:color="auto" w:sz="4" w:space="0"/>
              <w:right w:val="single" w:color="auto" w:sz="4" w:space="0"/>
            </w:tcBorders>
            <w:shd w:val="clear" w:color="auto" w:fill="D9D9D9"/>
            <w:noWrap w:val="0"/>
            <w:vAlign w:val="center"/>
          </w:tcPr>
          <w:p w14:paraId="30EB054F">
            <w:pPr>
              <w:widowControl w:val="0"/>
              <w:wordWrap w:val="0"/>
              <w:adjustRightInd w:val="0"/>
              <w:snapToGrid w:val="0"/>
              <w:spacing w:line="400" w:lineRule="exact"/>
              <w:jc w:val="both"/>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lang w:val="en-US" w:eastAsia="zh-CN" w:bidi="ar-SA"/>
                <w14:textFill>
                  <w14:solidFill>
                    <w14:schemeClr w14:val="tx1"/>
                  </w14:solidFill>
                </w14:textFill>
              </w:rPr>
              <w:t>投标报价部分，满分：100分。</w:t>
            </w:r>
          </w:p>
        </w:tc>
      </w:tr>
      <w:tr w14:paraId="2DE83E06">
        <w:tblPrEx>
          <w:tblCellMar>
            <w:top w:w="0" w:type="dxa"/>
            <w:left w:w="108" w:type="dxa"/>
            <w:bottom w:w="0" w:type="dxa"/>
            <w:right w:w="108" w:type="dxa"/>
          </w:tblCellMar>
        </w:tblPrEx>
        <w:trPr>
          <w:trHeight w:val="451" w:hRule="exac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675F86B2">
            <w:pPr>
              <w:widowControl w:val="0"/>
              <w:kinsoku/>
              <w:autoSpaceDE/>
              <w:autoSpaceDN/>
              <w:adjustRightInd w:val="0"/>
              <w:snapToGrid/>
              <w:spacing w:line="360" w:lineRule="atLeast"/>
              <w:jc w:val="center"/>
              <w:textAlignment w:val="baseline"/>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评分事项</w:t>
            </w:r>
          </w:p>
        </w:tc>
        <w:tc>
          <w:tcPr>
            <w:tcW w:w="9091" w:type="dxa"/>
            <w:gridSpan w:val="2"/>
            <w:tcBorders>
              <w:top w:val="single" w:color="auto" w:sz="4" w:space="0"/>
              <w:left w:val="single" w:color="auto" w:sz="4" w:space="0"/>
              <w:bottom w:val="single" w:color="auto" w:sz="4" w:space="0"/>
              <w:right w:val="single" w:color="auto" w:sz="4" w:space="0"/>
            </w:tcBorders>
            <w:noWrap w:val="0"/>
            <w:vAlign w:val="center"/>
          </w:tcPr>
          <w:p w14:paraId="1C0A2435">
            <w:pPr>
              <w:widowControl w:val="0"/>
              <w:kinsoku/>
              <w:autoSpaceDE/>
              <w:autoSpaceDN/>
              <w:adjustRightInd w:val="0"/>
              <w:snapToGrid/>
              <w:spacing w:line="360" w:lineRule="atLeast"/>
              <w:jc w:val="center"/>
              <w:textAlignment w:val="baseline"/>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评分方法</w:t>
            </w:r>
          </w:p>
        </w:tc>
      </w:tr>
      <w:tr w14:paraId="4571F65B">
        <w:tblPrEx>
          <w:tblCellMar>
            <w:top w:w="0" w:type="dxa"/>
            <w:left w:w="108" w:type="dxa"/>
            <w:bottom w:w="0" w:type="dxa"/>
            <w:right w:w="108" w:type="dxa"/>
          </w:tblCellMar>
        </w:tblPrEx>
        <w:trPr>
          <w:trHeight w:val="632"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119A8768">
            <w:pPr>
              <w:widowControl w:val="0"/>
              <w:kinsoku/>
              <w:autoSpaceDE/>
              <w:autoSpaceDN/>
              <w:adjustRightInd w:val="0"/>
              <w:snapToGrid/>
              <w:spacing w:line="360" w:lineRule="atLeast"/>
              <w:jc w:val="center"/>
              <w:textAlignment w:val="baseline"/>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评标基准价D</w:t>
            </w:r>
          </w:p>
        </w:tc>
        <w:tc>
          <w:tcPr>
            <w:tcW w:w="9091" w:type="dxa"/>
            <w:gridSpan w:val="2"/>
            <w:tcBorders>
              <w:top w:val="single" w:color="auto" w:sz="4" w:space="0"/>
              <w:left w:val="single" w:color="auto" w:sz="4" w:space="0"/>
              <w:bottom w:val="single" w:color="auto" w:sz="4" w:space="0"/>
              <w:right w:val="single" w:color="auto" w:sz="4" w:space="0"/>
            </w:tcBorders>
            <w:noWrap w:val="0"/>
            <w:vAlign w:val="center"/>
          </w:tcPr>
          <w:p w14:paraId="4BD546C9">
            <w:pPr>
              <w:widowControl w:val="0"/>
              <w:kinsoku/>
              <w:autoSpaceDE/>
              <w:autoSpaceDN/>
              <w:adjustRightInd w:val="0"/>
              <w:snapToGrid/>
              <w:spacing w:line="360" w:lineRule="atLeast"/>
              <w:jc w:val="left"/>
              <w:textAlignment w:val="baseline"/>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（1）确定</w:t>
            </w:r>
            <w:r>
              <w:rPr>
                <w:rFonts w:hint="eastAsia" w:ascii="宋体" w:hAnsi="宋体" w:eastAsia="宋体" w:cs="宋体"/>
                <w:snapToGrid/>
                <w:color w:val="000000" w:themeColor="text1"/>
                <w:kern w:val="0"/>
                <w:sz w:val="21"/>
                <w:szCs w:val="21"/>
                <w:highlight w:val="none"/>
                <w:lang w:val="en-US" w:eastAsia="zh-CN"/>
                <w14:textFill>
                  <w14:solidFill>
                    <w14:schemeClr w14:val="tx1"/>
                  </w14:solidFill>
                </w14:textFill>
              </w:rPr>
              <w:t>最高投标限价</w:t>
            </w: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下浮系数n：用1～21号球分别代表一个下浮系数，由评委代表从这21个号码中随机抽取 3 次，每次抽取1个号码，抽出的号球不参与下次抽取。所抽取的3个号码对应下浮系数的算术平均值作为</w:t>
            </w:r>
            <w:r>
              <w:rPr>
                <w:rFonts w:hint="eastAsia" w:ascii="宋体" w:hAnsi="宋体" w:eastAsia="宋体" w:cs="宋体"/>
                <w:snapToGrid/>
                <w:color w:val="000000" w:themeColor="text1"/>
                <w:kern w:val="0"/>
                <w:sz w:val="21"/>
                <w:szCs w:val="21"/>
                <w:highlight w:val="none"/>
                <w:lang w:val="en-US" w:eastAsia="zh-CN"/>
                <w14:textFill>
                  <w14:solidFill>
                    <w14:schemeClr w14:val="tx1"/>
                  </w14:solidFill>
                </w14:textFill>
              </w:rPr>
              <w:t>最高投标限价</w:t>
            </w: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下浮系数n。具体号码对应的下浮系数见下表。</w:t>
            </w:r>
          </w:p>
          <w:tbl>
            <w:tblPr>
              <w:tblStyle w:val="14"/>
              <w:tblW w:w="0" w:type="auto"/>
              <w:tblInd w:w="113" w:type="dxa"/>
              <w:tblLayout w:type="fixed"/>
              <w:tblCellMar>
                <w:top w:w="0" w:type="dxa"/>
                <w:left w:w="108" w:type="dxa"/>
                <w:bottom w:w="0" w:type="dxa"/>
                <w:right w:w="108" w:type="dxa"/>
              </w:tblCellMar>
            </w:tblPr>
            <w:tblGrid>
              <w:gridCol w:w="1731"/>
              <w:gridCol w:w="938"/>
              <w:gridCol w:w="1100"/>
              <w:gridCol w:w="1050"/>
              <w:gridCol w:w="987"/>
              <w:gridCol w:w="1038"/>
              <w:gridCol w:w="925"/>
              <w:gridCol w:w="850"/>
            </w:tblGrid>
            <w:tr w14:paraId="1663BA35">
              <w:tblPrEx>
                <w:tblCellMar>
                  <w:top w:w="0" w:type="dxa"/>
                  <w:left w:w="108" w:type="dxa"/>
                  <w:bottom w:w="0" w:type="dxa"/>
                  <w:right w:w="108" w:type="dxa"/>
                </w:tblCellMar>
              </w:tblPrEx>
              <w:trPr>
                <w:trHeight w:val="446" w:hRule="atLeast"/>
              </w:trPr>
              <w:tc>
                <w:tcPr>
                  <w:tcW w:w="1731" w:type="dxa"/>
                  <w:tcBorders>
                    <w:top w:val="single" w:color="000000" w:sz="4" w:space="0"/>
                    <w:left w:val="single" w:color="000000" w:sz="4" w:space="0"/>
                    <w:bottom w:val="single" w:color="000000" w:sz="4" w:space="0"/>
                    <w:right w:val="single" w:color="000000" w:sz="4" w:space="0"/>
                  </w:tcBorders>
                  <w:noWrap w:val="0"/>
                  <w:vAlign w:val="center"/>
                </w:tcPr>
                <w:p w14:paraId="74B596E1">
                  <w:pPr>
                    <w:widowControl w:val="0"/>
                    <w:kinsoku/>
                    <w:autoSpaceDE/>
                    <w:autoSpaceDN/>
                    <w:adjustRightInd w:val="0"/>
                    <w:snapToGrid/>
                    <w:spacing w:line="360" w:lineRule="atLeast"/>
                    <w:jc w:val="center"/>
                    <w:textAlignment w:val="baseline"/>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号球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F17B70C">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2B27ADAA">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700CD213">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3</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4B89A54A">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4</w:t>
                  </w:r>
                </w:p>
              </w:tc>
              <w:tc>
                <w:tcPr>
                  <w:tcW w:w="1038" w:type="dxa"/>
                  <w:tcBorders>
                    <w:top w:val="single" w:color="000000" w:sz="4" w:space="0"/>
                    <w:left w:val="single" w:color="000000" w:sz="4" w:space="0"/>
                    <w:bottom w:val="single" w:color="000000" w:sz="4" w:space="0"/>
                    <w:right w:val="single" w:color="000000" w:sz="4" w:space="0"/>
                  </w:tcBorders>
                  <w:noWrap w:val="0"/>
                  <w:vAlign w:val="center"/>
                </w:tcPr>
                <w:p w14:paraId="2324A9DE">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5</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2E94A0EE">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6</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5792023A">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7</w:t>
                  </w:r>
                </w:p>
              </w:tc>
            </w:tr>
            <w:tr w14:paraId="4B63ADF1">
              <w:tblPrEx>
                <w:tblCellMar>
                  <w:top w:w="0" w:type="dxa"/>
                  <w:left w:w="108" w:type="dxa"/>
                  <w:bottom w:w="0" w:type="dxa"/>
                  <w:right w:w="108" w:type="dxa"/>
                </w:tblCellMar>
              </w:tblPrEx>
              <w:trPr>
                <w:trHeight w:val="637" w:hRule="atLeast"/>
              </w:trPr>
              <w:tc>
                <w:tcPr>
                  <w:tcW w:w="1731" w:type="dxa"/>
                  <w:tcBorders>
                    <w:top w:val="single" w:color="000000" w:sz="4" w:space="0"/>
                    <w:left w:val="single" w:color="000000" w:sz="4" w:space="0"/>
                    <w:bottom w:val="single" w:color="000000" w:sz="4" w:space="0"/>
                    <w:right w:val="single" w:color="000000" w:sz="4" w:space="0"/>
                  </w:tcBorders>
                  <w:noWrap w:val="0"/>
                  <w:vAlign w:val="center"/>
                </w:tcPr>
                <w:p w14:paraId="7FD2203B">
                  <w:pPr>
                    <w:widowControl w:val="0"/>
                    <w:kinsoku/>
                    <w:autoSpaceDE/>
                    <w:autoSpaceDN/>
                    <w:adjustRightInd w:val="0"/>
                    <w:snapToGrid/>
                    <w:spacing w:line="360" w:lineRule="atLeast"/>
                    <w:jc w:val="center"/>
                    <w:textAlignment w:val="baseline"/>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下浮系数（%）</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87F0FF6">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1.0</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1969A8EC">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01212E4">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1.2</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6607D721">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1.3</w:t>
                  </w:r>
                </w:p>
              </w:tc>
              <w:tc>
                <w:tcPr>
                  <w:tcW w:w="1038" w:type="dxa"/>
                  <w:tcBorders>
                    <w:top w:val="single" w:color="000000" w:sz="4" w:space="0"/>
                    <w:left w:val="single" w:color="000000" w:sz="4" w:space="0"/>
                    <w:bottom w:val="single" w:color="000000" w:sz="4" w:space="0"/>
                    <w:right w:val="single" w:color="000000" w:sz="4" w:space="0"/>
                  </w:tcBorders>
                  <w:noWrap w:val="0"/>
                  <w:vAlign w:val="center"/>
                </w:tcPr>
                <w:p w14:paraId="66652926">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1.4</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7A7EAE6C">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1.5</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BDDD000">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1.6</w:t>
                  </w:r>
                </w:p>
              </w:tc>
            </w:tr>
            <w:tr w14:paraId="1B4F4DBA">
              <w:tblPrEx>
                <w:tblCellMar>
                  <w:top w:w="0" w:type="dxa"/>
                  <w:left w:w="108" w:type="dxa"/>
                  <w:bottom w:w="0" w:type="dxa"/>
                  <w:right w:w="108" w:type="dxa"/>
                </w:tblCellMar>
              </w:tblPrEx>
              <w:trPr>
                <w:trHeight w:val="571" w:hRule="atLeast"/>
              </w:trPr>
              <w:tc>
                <w:tcPr>
                  <w:tcW w:w="1731" w:type="dxa"/>
                  <w:tcBorders>
                    <w:top w:val="single" w:color="000000" w:sz="4" w:space="0"/>
                    <w:left w:val="single" w:color="000000" w:sz="4" w:space="0"/>
                    <w:bottom w:val="single" w:color="000000" w:sz="4" w:space="0"/>
                    <w:right w:val="single" w:color="000000" w:sz="4" w:space="0"/>
                  </w:tcBorders>
                  <w:noWrap w:val="0"/>
                  <w:vAlign w:val="center"/>
                </w:tcPr>
                <w:p w14:paraId="4CC38C0A">
                  <w:pPr>
                    <w:widowControl w:val="0"/>
                    <w:kinsoku/>
                    <w:autoSpaceDE/>
                    <w:autoSpaceDN/>
                    <w:adjustRightInd w:val="0"/>
                    <w:snapToGrid/>
                    <w:spacing w:line="360" w:lineRule="atLeast"/>
                    <w:jc w:val="center"/>
                    <w:textAlignment w:val="baseline"/>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号球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30D5CA7">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8</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522A1336">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9</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3357DF4">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10</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5606BDD0">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11</w:t>
                  </w:r>
                </w:p>
              </w:tc>
              <w:tc>
                <w:tcPr>
                  <w:tcW w:w="1038" w:type="dxa"/>
                  <w:tcBorders>
                    <w:top w:val="single" w:color="000000" w:sz="4" w:space="0"/>
                    <w:left w:val="single" w:color="000000" w:sz="4" w:space="0"/>
                    <w:bottom w:val="single" w:color="000000" w:sz="4" w:space="0"/>
                    <w:right w:val="single" w:color="000000" w:sz="4" w:space="0"/>
                  </w:tcBorders>
                  <w:noWrap w:val="0"/>
                  <w:vAlign w:val="center"/>
                </w:tcPr>
                <w:p w14:paraId="32DFD773">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12</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304BE3E8">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13</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503A78FC">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14</w:t>
                  </w:r>
                </w:p>
              </w:tc>
            </w:tr>
            <w:tr w14:paraId="084BC913">
              <w:tblPrEx>
                <w:tblCellMar>
                  <w:top w:w="0" w:type="dxa"/>
                  <w:left w:w="108" w:type="dxa"/>
                  <w:bottom w:w="0" w:type="dxa"/>
                  <w:right w:w="108" w:type="dxa"/>
                </w:tblCellMar>
              </w:tblPrEx>
              <w:trPr>
                <w:trHeight w:val="571" w:hRule="atLeast"/>
              </w:trPr>
              <w:tc>
                <w:tcPr>
                  <w:tcW w:w="1731" w:type="dxa"/>
                  <w:tcBorders>
                    <w:top w:val="single" w:color="000000" w:sz="4" w:space="0"/>
                    <w:left w:val="single" w:color="000000" w:sz="4" w:space="0"/>
                    <w:bottom w:val="single" w:color="000000" w:sz="4" w:space="0"/>
                    <w:right w:val="single" w:color="000000" w:sz="4" w:space="0"/>
                  </w:tcBorders>
                  <w:noWrap w:val="0"/>
                  <w:vAlign w:val="center"/>
                </w:tcPr>
                <w:p w14:paraId="16A5160E">
                  <w:pPr>
                    <w:widowControl w:val="0"/>
                    <w:kinsoku/>
                    <w:autoSpaceDE/>
                    <w:autoSpaceDN/>
                    <w:adjustRightInd w:val="0"/>
                    <w:snapToGrid/>
                    <w:spacing w:line="360" w:lineRule="atLeast"/>
                    <w:jc w:val="center"/>
                    <w:textAlignment w:val="baseline"/>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下浮系数（%）</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F0C871D">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1.7</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090CFBCB">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1.8</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3445A01">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1.9</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4918B4DB">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2.0</w:t>
                  </w:r>
                </w:p>
              </w:tc>
              <w:tc>
                <w:tcPr>
                  <w:tcW w:w="1038" w:type="dxa"/>
                  <w:tcBorders>
                    <w:top w:val="single" w:color="000000" w:sz="4" w:space="0"/>
                    <w:left w:val="single" w:color="000000" w:sz="4" w:space="0"/>
                    <w:bottom w:val="single" w:color="000000" w:sz="4" w:space="0"/>
                    <w:right w:val="single" w:color="000000" w:sz="4" w:space="0"/>
                  </w:tcBorders>
                  <w:noWrap w:val="0"/>
                  <w:vAlign w:val="center"/>
                </w:tcPr>
                <w:p w14:paraId="51309048">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2.1</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234683A1">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2.2</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723C874">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2.3</w:t>
                  </w:r>
                </w:p>
              </w:tc>
            </w:tr>
            <w:tr w14:paraId="2CEB3C5E">
              <w:tblPrEx>
                <w:tblCellMar>
                  <w:top w:w="0" w:type="dxa"/>
                  <w:left w:w="108" w:type="dxa"/>
                  <w:bottom w:w="0" w:type="dxa"/>
                  <w:right w:w="108" w:type="dxa"/>
                </w:tblCellMar>
              </w:tblPrEx>
              <w:trPr>
                <w:trHeight w:val="522" w:hRule="atLeast"/>
              </w:trPr>
              <w:tc>
                <w:tcPr>
                  <w:tcW w:w="1731" w:type="dxa"/>
                  <w:tcBorders>
                    <w:top w:val="single" w:color="000000" w:sz="4" w:space="0"/>
                    <w:left w:val="single" w:color="000000" w:sz="4" w:space="0"/>
                    <w:bottom w:val="single" w:color="000000" w:sz="4" w:space="0"/>
                    <w:right w:val="single" w:color="000000" w:sz="4" w:space="0"/>
                  </w:tcBorders>
                  <w:noWrap w:val="0"/>
                  <w:vAlign w:val="center"/>
                </w:tcPr>
                <w:p w14:paraId="75CCD3EC">
                  <w:pPr>
                    <w:widowControl w:val="0"/>
                    <w:kinsoku/>
                    <w:autoSpaceDE/>
                    <w:autoSpaceDN/>
                    <w:adjustRightInd w:val="0"/>
                    <w:snapToGrid/>
                    <w:spacing w:line="360" w:lineRule="atLeast"/>
                    <w:jc w:val="center"/>
                    <w:textAlignment w:val="baseline"/>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号球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C604E59">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15</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0E66E502">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16</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8B96DE2">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17</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2BC245B0">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18</w:t>
                  </w:r>
                </w:p>
              </w:tc>
              <w:tc>
                <w:tcPr>
                  <w:tcW w:w="1038" w:type="dxa"/>
                  <w:tcBorders>
                    <w:top w:val="single" w:color="000000" w:sz="4" w:space="0"/>
                    <w:left w:val="single" w:color="000000" w:sz="4" w:space="0"/>
                    <w:bottom w:val="single" w:color="000000" w:sz="4" w:space="0"/>
                    <w:right w:val="single" w:color="000000" w:sz="4" w:space="0"/>
                  </w:tcBorders>
                  <w:noWrap w:val="0"/>
                  <w:vAlign w:val="center"/>
                </w:tcPr>
                <w:p w14:paraId="12ECC96E">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19</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6B8368F4">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20</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2727E09B">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21</w:t>
                  </w:r>
                </w:p>
              </w:tc>
            </w:tr>
            <w:tr w14:paraId="14A4B290">
              <w:tblPrEx>
                <w:tblCellMar>
                  <w:top w:w="0" w:type="dxa"/>
                  <w:left w:w="108" w:type="dxa"/>
                  <w:bottom w:w="0" w:type="dxa"/>
                  <w:right w:w="108" w:type="dxa"/>
                </w:tblCellMar>
              </w:tblPrEx>
              <w:trPr>
                <w:trHeight w:val="675" w:hRule="atLeast"/>
              </w:trPr>
              <w:tc>
                <w:tcPr>
                  <w:tcW w:w="1731" w:type="dxa"/>
                  <w:tcBorders>
                    <w:top w:val="single" w:color="000000" w:sz="4" w:space="0"/>
                    <w:left w:val="single" w:color="000000" w:sz="4" w:space="0"/>
                    <w:bottom w:val="single" w:color="000000" w:sz="4" w:space="0"/>
                    <w:right w:val="single" w:color="000000" w:sz="4" w:space="0"/>
                  </w:tcBorders>
                  <w:noWrap w:val="0"/>
                  <w:vAlign w:val="center"/>
                </w:tcPr>
                <w:p w14:paraId="74A763EB">
                  <w:pPr>
                    <w:widowControl w:val="0"/>
                    <w:kinsoku/>
                    <w:autoSpaceDE/>
                    <w:autoSpaceDN/>
                    <w:adjustRightInd w:val="0"/>
                    <w:snapToGrid/>
                    <w:spacing w:line="360" w:lineRule="atLeast"/>
                    <w:jc w:val="center"/>
                    <w:textAlignment w:val="baseline"/>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下浮系数（%）</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308F7C8">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2.4</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59131F78">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C83D669">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2.6</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36186FAE">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2.7</w:t>
                  </w:r>
                </w:p>
              </w:tc>
              <w:tc>
                <w:tcPr>
                  <w:tcW w:w="1038" w:type="dxa"/>
                  <w:tcBorders>
                    <w:top w:val="single" w:color="000000" w:sz="4" w:space="0"/>
                    <w:left w:val="single" w:color="000000" w:sz="4" w:space="0"/>
                    <w:bottom w:val="single" w:color="000000" w:sz="4" w:space="0"/>
                    <w:right w:val="single" w:color="000000" w:sz="4" w:space="0"/>
                  </w:tcBorders>
                  <w:noWrap w:val="0"/>
                  <w:vAlign w:val="center"/>
                </w:tcPr>
                <w:p w14:paraId="5F38AFA1">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2.8</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4AC89635">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2.9</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B775015">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3.0</w:t>
                  </w:r>
                </w:p>
              </w:tc>
            </w:tr>
          </w:tbl>
          <w:p w14:paraId="70556D9F">
            <w:pPr>
              <w:widowControl w:val="0"/>
              <w:kinsoku/>
              <w:autoSpaceDE/>
              <w:autoSpaceDN/>
              <w:adjustRightInd w:val="0"/>
              <w:snapToGrid/>
              <w:spacing w:line="360" w:lineRule="atLeast"/>
              <w:jc w:val="left"/>
              <w:textAlignment w:val="baseline"/>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（2）评标基准价D＝</w:t>
            </w:r>
            <w:r>
              <w:rPr>
                <w:rFonts w:hint="eastAsia" w:ascii="宋体" w:hAnsi="宋体" w:eastAsia="宋体" w:cs="宋体"/>
                <w:snapToGrid/>
                <w:color w:val="000000" w:themeColor="text1"/>
                <w:kern w:val="0"/>
                <w:sz w:val="21"/>
                <w:szCs w:val="21"/>
                <w:highlight w:val="none"/>
                <w:lang w:val="en-US" w:eastAsia="zh-CN"/>
                <w14:textFill>
                  <w14:solidFill>
                    <w14:schemeClr w14:val="tx1"/>
                  </w14:solidFill>
                </w14:textFill>
              </w:rPr>
              <w:t>最高投标限价</w:t>
            </w: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×（1－n）</w:t>
            </w:r>
          </w:p>
        </w:tc>
      </w:tr>
      <w:tr w14:paraId="3B7507FA">
        <w:tblPrEx>
          <w:tblCellMar>
            <w:top w:w="0" w:type="dxa"/>
            <w:left w:w="108" w:type="dxa"/>
            <w:bottom w:w="0" w:type="dxa"/>
            <w:right w:w="108" w:type="dxa"/>
          </w:tblCellMar>
        </w:tblPrEx>
        <w:trPr>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1BB2A350">
            <w:pPr>
              <w:widowControl w:val="0"/>
              <w:kinsoku/>
              <w:autoSpaceDE/>
              <w:autoSpaceDN/>
              <w:adjustRightInd w:val="0"/>
              <w:snapToGrid/>
              <w:spacing w:line="360" w:lineRule="atLeast"/>
              <w:jc w:val="center"/>
              <w:textAlignment w:val="baseline"/>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投标报价</w:t>
            </w:r>
          </w:p>
          <w:p w14:paraId="6EB4E84E">
            <w:pPr>
              <w:widowControl w:val="0"/>
              <w:kinsoku/>
              <w:autoSpaceDE/>
              <w:autoSpaceDN/>
              <w:adjustRightInd w:val="0"/>
              <w:snapToGrid/>
              <w:spacing w:line="360" w:lineRule="atLeast"/>
              <w:jc w:val="center"/>
              <w:textAlignment w:val="baseline"/>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得分N</w:t>
            </w:r>
          </w:p>
        </w:tc>
        <w:tc>
          <w:tcPr>
            <w:tcW w:w="9091" w:type="dxa"/>
            <w:gridSpan w:val="2"/>
            <w:tcBorders>
              <w:top w:val="single" w:color="auto" w:sz="4" w:space="0"/>
              <w:left w:val="single" w:color="auto" w:sz="4" w:space="0"/>
              <w:bottom w:val="single" w:color="auto" w:sz="4" w:space="0"/>
              <w:right w:val="single" w:color="auto" w:sz="4" w:space="0"/>
            </w:tcBorders>
            <w:noWrap w:val="0"/>
            <w:vAlign w:val="center"/>
          </w:tcPr>
          <w:p w14:paraId="3374F709">
            <w:pPr>
              <w:widowControl w:val="0"/>
              <w:kinsoku/>
              <w:autoSpaceDE/>
              <w:autoSpaceDN/>
              <w:adjustRightInd w:val="0"/>
              <w:snapToGrid/>
              <w:spacing w:line="360" w:lineRule="atLeast"/>
              <w:jc w:val="left"/>
              <w:textAlignment w:val="baseline"/>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采用内插法计算某投标人的投标报价得分N，即当投标人的投标总价等于评标基准价时得100分，每高于评标基准价一个百分点扣</w:t>
            </w:r>
            <w:r>
              <w:rPr>
                <w:rFonts w:hint="eastAsia" w:ascii="宋体" w:hAnsi="宋体" w:eastAsia="宋体" w:cs="宋体"/>
                <w:b/>
                <w:bCs/>
                <w:snapToGrid/>
                <w:color w:val="000000" w:themeColor="text1"/>
                <w:kern w:val="0"/>
                <w:sz w:val="21"/>
                <w:szCs w:val="21"/>
                <w:highlight w:val="none"/>
                <w:lang w:eastAsia="zh-CN"/>
                <w14:textFill>
                  <w14:solidFill>
                    <w14:schemeClr w14:val="tx1"/>
                  </w14:solidFill>
                </w14:textFill>
              </w:rPr>
              <w:t>1分</w:t>
            </w: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 每低于评标基准价一个百分点扣</w:t>
            </w:r>
            <w:r>
              <w:rPr>
                <w:rFonts w:hint="eastAsia" w:ascii="宋体" w:hAnsi="宋体" w:eastAsia="宋体" w:cs="宋体"/>
                <w:b/>
                <w:bCs/>
                <w:snapToGrid/>
                <w:color w:val="000000" w:themeColor="text1"/>
                <w:kern w:val="0"/>
                <w:sz w:val="21"/>
                <w:szCs w:val="21"/>
                <w:highlight w:val="none"/>
                <w:lang w:eastAsia="zh-CN"/>
                <w14:textFill>
                  <w14:solidFill>
                    <w14:schemeClr w14:val="tx1"/>
                  </w14:solidFill>
                </w14:textFill>
              </w:rPr>
              <w:t>0.5分</w:t>
            </w: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，扣完为止。公式如下：</w:t>
            </w:r>
          </w:p>
          <w:p w14:paraId="1C7D5612">
            <w:pPr>
              <w:widowControl w:val="0"/>
              <w:kinsoku/>
              <w:autoSpaceDE/>
              <w:autoSpaceDN/>
              <w:adjustRightInd w:val="0"/>
              <w:snapToGrid/>
              <w:spacing w:line="360" w:lineRule="atLeast"/>
              <w:jc w:val="left"/>
              <w:textAlignment w:val="baseline"/>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N＝100－（| Di－D | ÷D）×100×E</w:t>
            </w:r>
          </w:p>
          <w:p w14:paraId="44C3E3A3">
            <w:pPr>
              <w:widowControl w:val="0"/>
              <w:kinsoku/>
              <w:autoSpaceDE/>
              <w:autoSpaceDN/>
              <w:adjustRightInd w:val="0"/>
              <w:snapToGrid/>
              <w:spacing w:line="360" w:lineRule="atLeast"/>
              <w:jc w:val="left"/>
              <w:textAlignment w:val="baseline"/>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式中：D为评标基准价；Di为某投标人的投标总价；E为扣分因子，当Di＞D时，E＝</w:t>
            </w:r>
            <w:r>
              <w:rPr>
                <w:rFonts w:hint="eastAsia" w:ascii="宋体" w:hAnsi="宋体" w:eastAsia="宋体" w:cs="宋体"/>
                <w:b/>
                <w:bCs/>
                <w:snapToGrid/>
                <w:color w:val="000000" w:themeColor="text1"/>
                <w:kern w:val="0"/>
                <w:sz w:val="21"/>
                <w:szCs w:val="21"/>
                <w:highlight w:val="none"/>
                <w:lang w:eastAsia="zh-CN"/>
                <w14:textFill>
                  <w14:solidFill>
                    <w14:schemeClr w14:val="tx1"/>
                  </w14:solidFill>
                </w14:textFill>
              </w:rPr>
              <w:t>1</w:t>
            </w: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 xml:space="preserve"> ；当Di＜D时，E＝</w:t>
            </w:r>
            <w:r>
              <w:rPr>
                <w:rFonts w:hint="eastAsia" w:ascii="宋体" w:hAnsi="宋体" w:eastAsia="宋体" w:cs="宋体"/>
                <w:b/>
                <w:bCs/>
                <w:snapToGrid/>
                <w:color w:val="000000" w:themeColor="text1"/>
                <w:kern w:val="0"/>
                <w:sz w:val="21"/>
                <w:szCs w:val="21"/>
                <w:highlight w:val="none"/>
                <w:lang w:eastAsia="zh-CN"/>
                <w14:textFill>
                  <w14:solidFill>
                    <w14:schemeClr w14:val="tx1"/>
                  </w14:solidFill>
                </w14:textFill>
              </w:rPr>
              <w:t>0.5</w:t>
            </w: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w:t>
            </w:r>
          </w:p>
        </w:tc>
      </w:tr>
    </w:tbl>
    <w:p w14:paraId="15ED6772">
      <w:pPr>
        <w:pStyle w:val="24"/>
        <w:jc w:val="both"/>
        <w:rPr>
          <w:rFonts w:hint="eastAsia" w:ascii="宋体" w:hAnsi="宋体" w:eastAsia="宋体" w:cs="宋体"/>
          <w:color w:val="000000" w:themeColor="text1"/>
          <w:highlight w:val="none"/>
          <w14:textFill>
            <w14:solidFill>
              <w14:schemeClr w14:val="tx1"/>
            </w14:solidFill>
          </w14:textFill>
        </w:rPr>
      </w:pPr>
    </w:p>
    <w:p w14:paraId="4572AFAF">
      <w:pPr>
        <w:keepNext w:val="0"/>
        <w:keepLines w:val="0"/>
        <w:pageBreakBefore w:val="0"/>
        <w:wordWrap w:val="0"/>
        <w:overflowPunct/>
        <w:topLinePunct w:val="0"/>
        <w:bidi w:val="0"/>
        <w:spacing w:before="98" w:line="221" w:lineRule="auto"/>
        <w:ind w:left="4248"/>
        <w:outlineLvl w:val="9"/>
        <w:rPr>
          <w:rFonts w:hint="eastAsia" w:ascii="宋体" w:hAnsi="宋体" w:eastAsia="宋体" w:cs="宋体"/>
          <w:color w:val="000000" w:themeColor="text1"/>
          <w:spacing w:val="0"/>
          <w:sz w:val="30"/>
          <w:szCs w:val="30"/>
          <w:highlight w:val="none"/>
          <w14:textFill>
            <w14:solidFill>
              <w14:schemeClr w14:val="tx1"/>
            </w14:solidFill>
          </w14:textFill>
        </w:rPr>
      </w:pPr>
    </w:p>
    <w:p w14:paraId="17330DDD">
      <w:pPr>
        <w:keepNext w:val="0"/>
        <w:keepLines w:val="0"/>
        <w:pageBreakBefore w:val="0"/>
        <w:wordWrap w:val="0"/>
        <w:overflowPunct/>
        <w:topLinePunct w:val="0"/>
        <w:bidi w:val="0"/>
        <w:spacing w:before="5"/>
        <w:rPr>
          <w:rFonts w:hint="eastAsia" w:ascii="宋体" w:hAnsi="宋体" w:eastAsia="宋体" w:cs="宋体"/>
          <w:color w:val="000000" w:themeColor="text1"/>
          <w:spacing w:val="0"/>
          <w:highlight w:val="none"/>
          <w14:textFill>
            <w14:solidFill>
              <w14:schemeClr w14:val="tx1"/>
            </w14:solidFill>
          </w14:textFill>
        </w:rPr>
      </w:pPr>
    </w:p>
    <w:p w14:paraId="4A7BEF82">
      <w:pPr>
        <w:keepNext w:val="0"/>
        <w:keepLines w:val="0"/>
        <w:pageBreakBefore w:val="0"/>
        <w:wordWrap w:val="0"/>
        <w:overflowPunct/>
        <w:topLinePunct w:val="0"/>
        <w:bidi w:val="0"/>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134" w:name="_Toc5769"/>
      <w:bookmarkStart w:id="135" w:name="_Toc17436"/>
      <w:bookmarkStart w:id="136" w:name="_Toc9725"/>
      <w:bookmarkStart w:id="137" w:name="_Toc31744"/>
      <w:r>
        <w:rPr>
          <w:rFonts w:hint="eastAsia" w:ascii="宋体" w:hAnsi="宋体" w:eastAsia="宋体" w:cs="宋体"/>
          <w:b/>
          <w:bCs/>
          <w:color w:val="000000" w:themeColor="text1"/>
          <w:spacing w:val="0"/>
          <w:sz w:val="24"/>
          <w:szCs w:val="24"/>
          <w:highlight w:val="none"/>
          <w14:textFill>
            <w14:solidFill>
              <w14:schemeClr w14:val="tx1"/>
            </w14:solidFill>
          </w14:textFill>
        </w:rPr>
        <w:br w:type="page"/>
      </w:r>
    </w:p>
    <w:p w14:paraId="3E3DF6AC">
      <w:pPr>
        <w:keepNext w:val="0"/>
        <w:keepLines w:val="0"/>
        <w:pageBreakBefore w:val="0"/>
        <w:wordWrap w:val="0"/>
        <w:overflowPunct/>
        <w:topLinePunct w:val="0"/>
        <w:bidi w:val="0"/>
        <w:spacing w:before="155" w:line="211" w:lineRule="auto"/>
        <w:ind w:firstLine="482" w:firstLineChars="200"/>
        <w:outlineLvl w:val="9"/>
        <w:rPr>
          <w:rFonts w:hint="eastAsia" w:ascii="宋体" w:hAnsi="宋体" w:eastAsia="宋体" w:cs="宋体"/>
          <w:color w:val="000000" w:themeColor="text1"/>
          <w:spacing w:val="0"/>
          <w:sz w:val="25"/>
          <w:szCs w:val="25"/>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15.5.2  </w:t>
      </w:r>
      <w:r>
        <w:rPr>
          <w:rFonts w:hint="eastAsia" w:ascii="宋体" w:hAnsi="宋体" w:eastAsia="宋体" w:cs="宋体"/>
          <w:color w:val="000000" w:themeColor="text1"/>
          <w:spacing w:val="0"/>
          <w:sz w:val="24"/>
          <w:szCs w:val="24"/>
          <w:highlight w:val="none"/>
          <w14:textFill>
            <w14:solidFill>
              <w14:schemeClr w14:val="tx1"/>
            </w14:solidFill>
          </w14:textFill>
        </w:rPr>
        <w:t>否决投标说明</w:t>
      </w:r>
      <w:bookmarkEnd w:id="134"/>
      <w:bookmarkEnd w:id="135"/>
      <w:bookmarkEnd w:id="136"/>
      <w:bookmarkEnd w:id="137"/>
    </w:p>
    <w:p w14:paraId="7A2EE53E">
      <w:pPr>
        <w:keepNext w:val="0"/>
        <w:keepLines w:val="0"/>
        <w:pageBreakBefore w:val="0"/>
        <w:wordWrap w:val="0"/>
        <w:overflowPunct/>
        <w:topLinePunct w:val="0"/>
        <w:bidi w:val="0"/>
        <w:spacing w:before="150" w:line="332" w:lineRule="auto"/>
        <w:ind w:left="10" w:right="195" w:firstLine="56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详细评审阶段否决投标的全部条件，在本章第四节“否决投标条件 ”第 4 条中集中列示。投标人有其中所列任何一种情形的，由评标委员会否决其投标。评标委员会经评审，认为所有投标都不符合招标文件要求的，可否决所有投标，项目的所有投标被否决的，招标人应依法重新组织招标。</w:t>
      </w:r>
    </w:p>
    <w:p w14:paraId="3E787E43">
      <w:pPr>
        <w:keepNext w:val="0"/>
        <w:keepLines w:val="0"/>
        <w:pageBreakBefore w:val="0"/>
        <w:wordWrap w:val="0"/>
        <w:overflowPunct/>
        <w:topLinePunct w:val="0"/>
        <w:bidi w:val="0"/>
        <w:spacing w:before="59" w:line="330" w:lineRule="auto"/>
        <w:ind w:left="10" w:right="195" w:firstLine="48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温馨提示</w:t>
      </w:r>
      <w:r>
        <w:rPr>
          <w:rFonts w:hint="eastAsia" w:ascii="宋体" w:hAnsi="宋体" w:eastAsia="宋体" w:cs="宋体"/>
          <w:b/>
          <w:bCs/>
          <w:color w:val="000000" w:themeColor="text1"/>
          <w:spacing w:val="0"/>
          <w:sz w:val="24"/>
          <w:szCs w:val="24"/>
          <w:highlight w:val="none"/>
          <w14:textFill>
            <w14:solidFill>
              <w14:schemeClr w14:val="tx1"/>
            </w14:solidFill>
          </w14:textFill>
        </w:rPr>
        <w:t>：投标人在详细评审阶段根据评分方法提供的佐证材料，其合法性、有效性和准确性不符合要求的，有关量化因素（或评分因素）的折算、调整（或评分）按相应量化标准（或评分标准）处理，但不否决投标。</w:t>
      </w:r>
    </w:p>
    <w:p w14:paraId="354AC629">
      <w:pPr>
        <w:wordWrap w:val="0"/>
        <w:spacing w:before="78" w:line="220" w:lineRule="auto"/>
        <w:ind w:left="496"/>
        <w:outlineLvl w:val="2"/>
        <w:rPr>
          <w:rFonts w:hint="eastAsia" w:ascii="宋体" w:hAnsi="宋体" w:eastAsia="宋体" w:cs="宋体"/>
          <w:color w:val="000000" w:themeColor="text1"/>
          <w:sz w:val="24"/>
          <w:szCs w:val="24"/>
          <w:highlight w:val="none"/>
          <w:lang w:eastAsia="zh-CN"/>
          <w14:textFill>
            <w14:solidFill>
              <w14:schemeClr w14:val="tx1"/>
            </w14:solidFill>
          </w14:textFill>
        </w:rPr>
      </w:pPr>
      <w:bookmarkStart w:id="138" w:name="bookmark137"/>
      <w:bookmarkEnd w:id="138"/>
      <w:bookmarkStart w:id="139" w:name="_Toc16384"/>
      <w:bookmarkStart w:id="140" w:name="_Toc17694"/>
      <w:bookmarkStart w:id="141" w:name="_Toc18006"/>
      <w:bookmarkStart w:id="142" w:name="_Toc13265"/>
      <w:r>
        <w:rPr>
          <w:rFonts w:hint="eastAsia" w:ascii="宋体" w:hAnsi="宋体" w:eastAsia="宋体" w:cs="宋体"/>
          <w:b/>
          <w:bCs/>
          <w:color w:val="000000" w:themeColor="text1"/>
          <w:sz w:val="24"/>
          <w:szCs w:val="24"/>
          <w:highlight w:val="none"/>
          <w:lang w:eastAsia="zh-CN"/>
          <w14:textFill>
            <w14:solidFill>
              <w14:schemeClr w14:val="tx1"/>
            </w14:solidFill>
          </w14:textFill>
        </w:rPr>
        <w:t>16 ．</w:t>
      </w:r>
      <w:bookmarkEnd w:id="139"/>
      <w:r>
        <w:rPr>
          <w:rFonts w:hint="eastAsia" w:ascii="宋体" w:hAnsi="宋体" w:eastAsia="宋体" w:cs="宋体"/>
          <w:b/>
          <w:bCs/>
          <w:color w:val="000000" w:themeColor="text1"/>
          <w:sz w:val="24"/>
          <w:szCs w:val="24"/>
          <w:highlight w:val="none"/>
          <w:lang w:eastAsia="zh-CN"/>
          <w14:textFill>
            <w14:solidFill>
              <w14:schemeClr w14:val="tx1"/>
            </w14:solidFill>
          </w14:textFill>
        </w:rPr>
        <w:t>评标结果公示</w:t>
      </w:r>
      <w:bookmarkEnd w:id="140"/>
      <w:bookmarkEnd w:id="141"/>
      <w:bookmarkEnd w:id="142"/>
    </w:p>
    <w:p w14:paraId="0018E5A6">
      <w:pPr>
        <w:wordWrap w:val="0"/>
        <w:spacing w:before="135" w:line="360" w:lineRule="auto"/>
        <w:ind w:left="2" w:right="105" w:firstLine="494"/>
        <w:jc w:val="both"/>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 xml:space="preserve">16.1  </w:t>
      </w:r>
      <w:r>
        <w:rPr>
          <w:rFonts w:hint="eastAsia" w:ascii="宋体" w:hAnsi="宋体" w:eastAsia="宋体" w:cs="宋体"/>
          <w:color w:val="000000" w:themeColor="text1"/>
          <w:sz w:val="24"/>
          <w:szCs w:val="24"/>
          <w:highlight w:val="none"/>
          <w:lang w:eastAsia="zh-CN"/>
          <w14:textFill>
            <w14:solidFill>
              <w14:schemeClr w14:val="tx1"/>
            </w14:solidFill>
          </w14:textFill>
        </w:rPr>
        <w:t>招标人应当自收到评标报告之日起3个日历天内，在广东省招标投标监管网和全国公共资源交易平台（广东省·韶关市）上对定标候选人、评标情况予以公示，公示期不少于3个日历天。公示主要内容包括：</w:t>
      </w:r>
    </w:p>
    <w:p w14:paraId="6E8417CC">
      <w:pPr>
        <w:wordWrap w:val="0"/>
        <w:spacing w:before="135" w:line="360" w:lineRule="auto"/>
        <w:ind w:left="2" w:right="105" w:firstLine="494"/>
        <w:jc w:val="both"/>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（1）定标候选人名称、投标报价、业绩、质量、工期、拟派驻招标项目管理机构人员信息等；</w:t>
      </w:r>
    </w:p>
    <w:p w14:paraId="1B3C16F2">
      <w:pPr>
        <w:wordWrap w:val="0"/>
        <w:spacing w:before="135" w:line="360" w:lineRule="auto"/>
        <w:ind w:left="479" w:leftChars="228" w:right="105"/>
        <w:jc w:val="both"/>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（2）定标候选人按照招标文件要求承诺的项目负责人姓名及相关证书名称和编号；（3）响应招标文件要求的资格能力条件；</w:t>
      </w:r>
    </w:p>
    <w:p w14:paraId="40845CAE">
      <w:pPr>
        <w:wordWrap w:val="0"/>
        <w:spacing w:before="135" w:line="360" w:lineRule="auto"/>
        <w:ind w:left="479" w:leftChars="228" w:right="105"/>
        <w:jc w:val="both"/>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（4）提出异议的渠道和方式；</w:t>
      </w:r>
    </w:p>
    <w:p w14:paraId="7E202C44">
      <w:pPr>
        <w:wordWrap w:val="0"/>
        <w:spacing w:before="135" w:line="360" w:lineRule="auto"/>
        <w:ind w:right="105" w:firstLine="480" w:firstLineChars="200"/>
        <w:jc w:val="both"/>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（5）评标专家代码（评标专家姓名可用代码进行标示，如专家一、专家二等）及其对应的具体评标意见（含对否决投标人相关意见等）以及评标报告；</w:t>
      </w:r>
    </w:p>
    <w:p w14:paraId="430CA5E9">
      <w:pPr>
        <w:wordWrap w:val="0"/>
        <w:spacing w:before="135" w:line="360" w:lineRule="auto"/>
        <w:ind w:left="479" w:leftChars="228" w:right="105"/>
        <w:jc w:val="both"/>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（6）投标文件；</w:t>
      </w:r>
    </w:p>
    <w:p w14:paraId="031C9164">
      <w:pPr>
        <w:wordWrap w:val="0"/>
        <w:spacing w:before="135" w:line="360" w:lineRule="auto"/>
        <w:ind w:left="479" w:leftChars="228" w:right="105"/>
        <w:jc w:val="both"/>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（7）招标文件确认公示的其他内容。</w:t>
      </w:r>
    </w:p>
    <w:p w14:paraId="525B6BC8">
      <w:pPr>
        <w:keepNext w:val="0"/>
        <w:keepLines w:val="0"/>
        <w:pageBreakBefore w:val="0"/>
        <w:wordWrap w:val="0"/>
        <w:overflowPunct/>
        <w:topLinePunct w:val="0"/>
        <w:bidi w:val="0"/>
        <w:spacing w:before="135" w:line="316" w:lineRule="auto"/>
        <w:ind w:left="2" w:right="105" w:firstLine="494"/>
        <w:jc w:val="both"/>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16.2</w:t>
      </w:r>
      <w:r>
        <w:rPr>
          <w:rFonts w:hint="eastAsia" w:ascii="宋体" w:hAnsi="宋体" w:eastAsia="宋体" w:cs="宋体"/>
          <w:color w:val="000000" w:themeColor="text1"/>
          <w:sz w:val="24"/>
          <w:szCs w:val="24"/>
          <w:highlight w:val="none"/>
          <w:lang w:eastAsia="zh-CN"/>
          <w14:textFill>
            <w14:solidFill>
              <w14:schemeClr w14:val="tx1"/>
            </w14:solidFill>
          </w14:textFill>
        </w:rPr>
        <w:t xml:space="preserve"> 投标人或其他利害关系人对定标候选人有异议的，应当在公示期内提出。异议及投诉处理，严格按照招标投标有关法律法规及《韶关市工程建设项目招标投标活动异议和投诉处理办法》的规定执行。招标人及其评标委员会发现招标投标活动存在违反法律法规规定的，由招标人向有关监管部门投诉。</w:t>
      </w:r>
    </w:p>
    <w:p w14:paraId="4AA593BC">
      <w:pPr>
        <w:keepNext w:val="0"/>
        <w:keepLines w:val="0"/>
        <w:pageBreakBefore w:val="0"/>
        <w:wordWrap w:val="0"/>
        <w:overflowPunct/>
        <w:topLinePunct w:val="0"/>
        <w:bidi w:val="0"/>
        <w:spacing w:before="135" w:line="316" w:lineRule="auto"/>
        <w:ind w:left="2" w:right="105" w:firstLine="494"/>
        <w:jc w:val="both"/>
        <w:rPr>
          <w:rFonts w:hint="eastAsia" w:ascii="宋体" w:hAnsi="宋体" w:eastAsia="宋体" w:cs="宋体"/>
          <w:color w:val="000000" w:themeColor="text1"/>
          <w:sz w:val="24"/>
          <w:szCs w:val="24"/>
          <w:highlight w:val="none"/>
          <w:lang w:eastAsia="zh-CN"/>
          <w14:textFill>
            <w14:solidFill>
              <w14:schemeClr w14:val="tx1"/>
            </w14:solidFill>
          </w14:textFill>
        </w:rPr>
      </w:pPr>
    </w:p>
    <w:p w14:paraId="0F1389C7">
      <w:pPr>
        <w:keepNext w:val="0"/>
        <w:keepLines w:val="0"/>
        <w:pageBreakBefore w:val="0"/>
        <w:wordWrap w:val="0"/>
        <w:overflowPunct/>
        <w:topLinePunct w:val="0"/>
        <w:bidi w:val="0"/>
        <w:spacing w:line="309" w:lineRule="auto"/>
        <w:rPr>
          <w:rFonts w:hint="eastAsia" w:ascii="宋体" w:hAnsi="宋体" w:eastAsia="宋体" w:cs="宋体"/>
          <w:color w:val="000000" w:themeColor="text1"/>
          <w:spacing w:val="0"/>
          <w:sz w:val="24"/>
          <w:szCs w:val="24"/>
          <w:highlight w:val="none"/>
          <w14:textFill>
            <w14:solidFill>
              <w14:schemeClr w14:val="tx1"/>
            </w14:solidFill>
          </w14:textFill>
        </w:rPr>
        <w:sectPr>
          <w:headerReference r:id="rId9" w:type="default"/>
          <w:footerReference r:id="rId10" w:type="default"/>
          <w:pgSz w:w="11906" w:h="16839"/>
          <w:pgMar w:top="1440" w:right="1253" w:bottom="1440" w:left="1253" w:header="0" w:footer="1020" w:gutter="0"/>
          <w:pgBorders>
            <w:top w:val="none" w:sz="0" w:space="0"/>
            <w:left w:val="none" w:sz="0" w:space="0"/>
            <w:bottom w:val="none" w:sz="0" w:space="0"/>
            <w:right w:val="none" w:sz="0" w:space="0"/>
          </w:pgBorders>
          <w:pgNumType w:fmt="decimal"/>
          <w:cols w:space="720" w:num="1"/>
          <w:rtlGutter w:val="0"/>
          <w:docGrid w:linePitch="0" w:charSpace="0"/>
        </w:sectPr>
      </w:pPr>
    </w:p>
    <w:p w14:paraId="4598D3DD">
      <w:pPr>
        <w:keepNext w:val="0"/>
        <w:keepLines w:val="0"/>
        <w:pageBreakBefore w:val="0"/>
        <w:wordWrap w:val="0"/>
        <w:overflowPunct/>
        <w:topLinePunct w:val="0"/>
        <w:bidi w:val="0"/>
        <w:spacing w:before="78" w:line="220" w:lineRule="auto"/>
        <w:ind w:left="9"/>
        <w:jc w:val="center"/>
        <w:outlineLvl w:val="1"/>
        <w:rPr>
          <w:rFonts w:hint="eastAsia" w:ascii="宋体" w:hAnsi="宋体" w:eastAsia="宋体" w:cs="宋体"/>
          <w:color w:val="000000" w:themeColor="text1"/>
          <w:spacing w:val="0"/>
          <w:sz w:val="24"/>
          <w:szCs w:val="24"/>
          <w:highlight w:val="none"/>
          <w14:textFill>
            <w14:solidFill>
              <w14:schemeClr w14:val="tx1"/>
            </w14:solidFill>
          </w14:textFill>
        </w:rPr>
      </w:pPr>
      <w:bookmarkStart w:id="143" w:name="bookmark138"/>
      <w:bookmarkEnd w:id="143"/>
      <w:bookmarkStart w:id="144" w:name="_Toc16450"/>
      <w:r>
        <w:rPr>
          <w:rFonts w:hint="eastAsia" w:ascii="宋体" w:hAnsi="宋体" w:eastAsia="宋体" w:cs="宋体"/>
          <w:b/>
          <w:bCs/>
          <w:color w:val="000000" w:themeColor="text1"/>
          <w:spacing w:val="0"/>
          <w:sz w:val="24"/>
          <w:szCs w:val="24"/>
          <w:highlight w:val="none"/>
          <w14:textFill>
            <w14:solidFill>
              <w14:schemeClr w14:val="tx1"/>
            </w14:solidFill>
          </w14:textFill>
        </w:rPr>
        <w:t>第四节</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否决投标条件</w:t>
      </w:r>
      <w:bookmarkEnd w:id="144"/>
    </w:p>
    <w:p w14:paraId="46F7EEA7">
      <w:pPr>
        <w:pStyle w:val="5"/>
        <w:keepNext w:val="0"/>
        <w:keepLines w:val="0"/>
        <w:pageBreakBefore w:val="0"/>
        <w:wordWrap w:val="0"/>
        <w:overflowPunct/>
        <w:topLinePunct w:val="0"/>
        <w:bidi w:val="0"/>
        <w:spacing w:line="256" w:lineRule="auto"/>
        <w:rPr>
          <w:rFonts w:hint="eastAsia" w:ascii="宋体" w:hAnsi="宋体" w:eastAsia="宋体" w:cs="宋体"/>
          <w:color w:val="000000" w:themeColor="text1"/>
          <w:spacing w:val="0"/>
          <w:highlight w:val="none"/>
          <w14:textFill>
            <w14:solidFill>
              <w14:schemeClr w14:val="tx1"/>
            </w14:solidFill>
          </w14:textFill>
        </w:rPr>
      </w:pPr>
    </w:p>
    <w:p w14:paraId="602D2B7C">
      <w:pPr>
        <w:keepNext w:val="0"/>
        <w:keepLines w:val="0"/>
        <w:pageBreakBefore w:val="0"/>
        <w:wordWrap w:val="0"/>
        <w:overflowPunct/>
        <w:topLinePunct w:val="0"/>
        <w:bidi w:val="0"/>
        <w:spacing w:before="78" w:line="330" w:lineRule="auto"/>
        <w:ind w:left="10" w:right="65" w:firstLine="4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本节所集中列示的否决投标条件，是本章第三节“投标人须知正文 ”的组成部分，是对本章第三节所规定的否决投标条件的总结和补充。</w:t>
      </w:r>
      <w:r>
        <w:rPr>
          <w:rFonts w:hint="eastAsia" w:ascii="宋体" w:hAnsi="宋体" w:eastAsia="宋体" w:cs="宋体"/>
          <w:b/>
          <w:bCs/>
          <w:color w:val="000000" w:themeColor="text1"/>
          <w:spacing w:val="0"/>
          <w:sz w:val="24"/>
          <w:szCs w:val="24"/>
          <w:highlight w:val="none"/>
          <w14:textFill>
            <w14:solidFill>
              <w14:schemeClr w14:val="tx1"/>
            </w14:solidFill>
          </w14:textFill>
        </w:rPr>
        <w:t>投标人未有列入本节情形的，评标时一律不得否决其投标。</w:t>
      </w:r>
      <w:r>
        <w:rPr>
          <w:rFonts w:hint="eastAsia" w:ascii="宋体" w:hAnsi="宋体" w:eastAsia="宋体" w:cs="宋体"/>
          <w:color w:val="000000" w:themeColor="text1"/>
          <w:spacing w:val="0"/>
          <w:sz w:val="24"/>
          <w:szCs w:val="24"/>
          <w:highlight w:val="none"/>
          <w14:textFill>
            <w14:solidFill>
              <w14:schemeClr w14:val="tx1"/>
            </w14:solidFill>
          </w14:textFill>
        </w:rPr>
        <w:t>本节所称“规定 ”均指招标文件的规定。</w:t>
      </w:r>
    </w:p>
    <w:p w14:paraId="112C2E94">
      <w:pPr>
        <w:keepNext w:val="0"/>
        <w:keepLines w:val="0"/>
        <w:pageBreakBefore w:val="0"/>
        <w:wordWrap w:val="0"/>
        <w:overflowPunct/>
        <w:topLinePunct w:val="0"/>
        <w:bidi w:val="0"/>
        <w:spacing w:before="34" w:line="220" w:lineRule="auto"/>
        <w:ind w:left="495"/>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45" w:name="_Toc20652"/>
      <w:r>
        <w:rPr>
          <w:rFonts w:hint="eastAsia" w:ascii="宋体" w:hAnsi="宋体" w:eastAsia="宋体" w:cs="宋体"/>
          <w:b/>
          <w:bCs/>
          <w:color w:val="000000" w:themeColor="text1"/>
          <w:spacing w:val="0"/>
          <w:sz w:val="24"/>
          <w:szCs w:val="24"/>
          <w:highlight w:val="none"/>
          <w14:textFill>
            <w14:solidFill>
              <w14:schemeClr w14:val="tx1"/>
            </w14:solidFill>
          </w14:textFill>
        </w:rPr>
        <w:t>1 ．资格评审环节</w:t>
      </w:r>
      <w:bookmarkEnd w:id="145"/>
    </w:p>
    <w:p w14:paraId="74FEF03C">
      <w:pPr>
        <w:keepNext w:val="0"/>
        <w:keepLines w:val="0"/>
        <w:pageBreakBefore w:val="0"/>
        <w:wordWrap w:val="0"/>
        <w:overflowPunct/>
        <w:topLinePunct w:val="0"/>
        <w:bidi w:val="0"/>
        <w:spacing w:before="152" w:line="327" w:lineRule="auto"/>
        <w:ind w:left="13" w:right="65" w:firstLine="47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投标人有下列情形之一的，评标委员会应否决其投标。被否决的投标人，不进入形式评审环节。</w:t>
      </w:r>
    </w:p>
    <w:p w14:paraId="45FE5554">
      <w:pPr>
        <w:keepNext w:val="0"/>
        <w:keepLines w:val="0"/>
        <w:pageBreakBefore w:val="0"/>
        <w:wordWrap w:val="0"/>
        <w:overflowPunct/>
        <w:topLinePunct w:val="0"/>
        <w:bidi w:val="0"/>
        <w:spacing w:before="32" w:line="219" w:lineRule="auto"/>
        <w:ind w:left="5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（1）有本章第三节第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2.4 </w:t>
      </w:r>
      <w:r>
        <w:rPr>
          <w:rFonts w:hint="eastAsia" w:ascii="宋体" w:hAnsi="宋体" w:eastAsia="宋体" w:cs="宋体"/>
          <w:color w:val="000000" w:themeColor="text1"/>
          <w:spacing w:val="0"/>
          <w:sz w:val="24"/>
          <w:szCs w:val="24"/>
          <w:highlight w:val="none"/>
          <w14:textFill>
            <w14:solidFill>
              <w14:schemeClr w14:val="tx1"/>
            </w14:solidFill>
          </w14:textFill>
        </w:rPr>
        <w:t>条“禁止投标条款 ”规定的任何一种情形；</w:t>
      </w:r>
    </w:p>
    <w:p w14:paraId="03414978">
      <w:pPr>
        <w:keepNext w:val="0"/>
        <w:keepLines w:val="0"/>
        <w:pageBreakBefore w:val="0"/>
        <w:wordWrap w:val="0"/>
        <w:overflowPunct/>
        <w:topLinePunct w:val="0"/>
        <w:bidi w:val="0"/>
        <w:spacing w:before="154" w:line="220" w:lineRule="auto"/>
        <w:ind w:left="5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（2）投标人资质不符合规定的；</w:t>
      </w:r>
    </w:p>
    <w:p w14:paraId="32EED32B">
      <w:pPr>
        <w:keepNext w:val="0"/>
        <w:keepLines w:val="0"/>
        <w:pageBreakBefore w:val="0"/>
        <w:wordWrap w:val="0"/>
        <w:overflowPunct/>
        <w:topLinePunct w:val="0"/>
        <w:bidi w:val="0"/>
        <w:spacing w:before="153" w:line="315" w:lineRule="auto"/>
        <w:ind w:right="57" w:firstLine="5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投标人名称与营业执照、资质证书、安全生产许可证上的企业名称相互不一致的；其资质证书、安全生产许可证不是由住房城乡建设主管部门颁发的；营业执照、资质证书、安全生产许可证（含实时网页查询页，可参考网址 https://zlaq.mohurd.gov.cn/fwmh/bjxcjgl/fwmh/pages/construction_safety/qyaqscxkz/qyaqscxkz）被吊销、暂扣或不在有效期内的；</w:t>
      </w:r>
    </w:p>
    <w:p w14:paraId="0F2A74BC">
      <w:pPr>
        <w:keepNext w:val="0"/>
        <w:keepLines w:val="0"/>
        <w:pageBreakBefore w:val="0"/>
        <w:wordWrap w:val="0"/>
        <w:overflowPunct/>
        <w:topLinePunct w:val="0"/>
        <w:bidi w:val="0"/>
        <w:spacing w:before="153" w:line="330" w:lineRule="auto"/>
        <w:ind w:left="9" w:right="66" w:firstLine="48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14:paraId="43462506">
      <w:pPr>
        <w:keepNext w:val="0"/>
        <w:keepLines w:val="0"/>
        <w:pageBreakBefore w:val="0"/>
        <w:wordWrap w:val="0"/>
        <w:overflowPunct/>
        <w:topLinePunct w:val="0"/>
        <w:bidi w:val="0"/>
        <w:spacing w:before="32" w:line="325" w:lineRule="auto"/>
        <w:ind w:left="10" w:right="65" w:firstLine="490"/>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（4）拟派项目经理、项目技术负责人、专职安全员的条件不符合规定的；拟派专职安全员数量不符合规定的；项目技术负责人未在投标文件《项目技术负责人简历表》中签</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字确认。</w:t>
      </w:r>
    </w:p>
    <w:p w14:paraId="1444556B">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温馨提示：建造师打印电子证书后，应在个人签名处手写本人签名，未手写签名或与签名图像笔迹不一致的，该电子证书无效。</w:t>
      </w:r>
    </w:p>
    <w:p w14:paraId="4C6FF416">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项目经理简历表》中拟派项目经理与《开标一览表》不一致的；拟派的项目经理未在投标文件《项目经理简历表》中签字确认；一级建造师的注册证书不是国家住建部颁发的；二级建造师的电子注册证书不是省级住建厅颁发的；建造师的注册单位与投标人不一致的；项目管理班子组成人员的各类证书、证件、证明不在有效期内的（</w:t>
      </w:r>
      <w:r>
        <w:rPr>
          <w:rFonts w:hint="eastAsia" w:ascii="宋体" w:hAnsi="宋体" w:eastAsia="宋体" w:cs="宋体"/>
          <w:b/>
          <w:bCs/>
          <w:color w:val="000000" w:themeColor="text1"/>
          <w:spacing w:val="0"/>
          <w:sz w:val="24"/>
          <w:szCs w:val="24"/>
          <w:highlight w:val="none"/>
          <w14:textFill>
            <w14:solidFill>
              <w14:schemeClr w14:val="tx1"/>
            </w14:solidFill>
          </w14:textFill>
        </w:rPr>
        <w:t>建造师注册证书不在使用有效期内的</w:t>
      </w:r>
      <w:r>
        <w:rPr>
          <w:rFonts w:hint="eastAsia" w:ascii="宋体" w:hAnsi="宋体" w:eastAsia="宋体" w:cs="宋体"/>
          <w:color w:val="000000" w:themeColor="text1"/>
          <w:spacing w:val="0"/>
          <w:sz w:val="24"/>
          <w:szCs w:val="24"/>
          <w:highlight w:val="none"/>
          <w14:textFill>
            <w14:solidFill>
              <w14:schemeClr w14:val="tx1"/>
            </w14:solidFill>
          </w14:textFill>
        </w:rPr>
        <w:t>）；擅自修改、遗漏《项目经理任职声明》实质性内容的；</w:t>
      </w:r>
    </w:p>
    <w:p w14:paraId="798C8207">
      <w:pPr>
        <w:keepNext w:val="0"/>
        <w:keepLines w:val="0"/>
        <w:pageBreakBefore w:val="0"/>
        <w:wordWrap w:val="0"/>
        <w:overflowPunct/>
        <w:topLinePunct w:val="0"/>
        <w:bidi w:val="0"/>
        <w:spacing w:before="1" w:line="293" w:lineRule="auto"/>
        <w:ind w:left="28" w:right="66" w:firstLine="46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注：投标人已经工商变更，但其员工执业资格注册证书的注册单位名称未完成变更的，不得否决其投标。</w:t>
      </w:r>
    </w:p>
    <w:p w14:paraId="4F7B3592">
      <w:pPr>
        <w:keepNext w:val="0"/>
        <w:keepLines w:val="0"/>
        <w:pageBreakBefore w:val="0"/>
        <w:wordWrap w:val="0"/>
        <w:overflowPunct/>
        <w:topLinePunct w:val="0"/>
        <w:bidi w:val="0"/>
        <w:spacing w:before="153" w:line="330" w:lineRule="auto"/>
        <w:ind w:left="9" w:right="66" w:firstLine="480"/>
        <w:jc w:val="both"/>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146" w:name="OLE_LINK27"/>
      <w:r>
        <w:rPr>
          <w:rFonts w:hint="eastAsia" w:ascii="宋体" w:hAnsi="宋体" w:eastAsia="宋体" w:cs="宋体"/>
          <w:b/>
          <w:bCs/>
          <w:color w:val="000000" w:themeColor="text1"/>
          <w:spacing w:val="0"/>
          <w:sz w:val="24"/>
          <w:szCs w:val="24"/>
          <w:highlight w:val="none"/>
          <w14:textFill>
            <w14:solidFill>
              <w14:schemeClr w14:val="tx1"/>
            </w14:solidFill>
          </w14:textFill>
        </w:rPr>
        <w:t>鉴于目前继续教育开展的实际情况，建筑和市政工程施工现场专业人员（例如：施</w:t>
      </w:r>
      <w:bookmarkStart w:id="147" w:name="bookmark139"/>
      <w:bookmarkEnd w:id="147"/>
      <w:r>
        <w:rPr>
          <w:rFonts w:hint="eastAsia" w:ascii="宋体" w:hAnsi="宋体" w:eastAsia="宋体" w:cs="宋体"/>
          <w:b/>
          <w:bCs/>
          <w:color w:val="000000" w:themeColor="text1"/>
          <w:spacing w:val="0"/>
          <w:sz w:val="24"/>
          <w:szCs w:val="24"/>
          <w:highlight w:val="none"/>
          <w14:textFill>
            <w14:solidFill>
              <w14:schemeClr w14:val="tx1"/>
            </w14:solidFill>
          </w14:textFill>
        </w:rPr>
        <w:t>工员、质量员、材料员、资料员）的岗位证书或培训证书不审查其证书的有效期。</w:t>
      </w:r>
      <w:bookmarkEnd w:id="146"/>
    </w:p>
    <w:p w14:paraId="0F791476">
      <w:pPr>
        <w:keepNext w:val="0"/>
        <w:keepLines w:val="0"/>
        <w:pageBreakBefore w:val="0"/>
        <w:wordWrap w:val="0"/>
        <w:overflowPunct/>
        <w:topLinePunct w:val="0"/>
        <w:bidi w:val="0"/>
        <w:spacing w:before="146" w:line="220" w:lineRule="auto"/>
        <w:ind w:left="49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（6）招标文件规定不接受联合体投标，但以联合体投标的；</w:t>
      </w:r>
    </w:p>
    <w:p w14:paraId="2C69257C">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（7）联合体投标，未提交《联合体协议书》的；擅自修改、遗漏《联合体协议书》实质性内容的；联合体成员的数量、资质不符合规定的；联合体成员同时以自己名义单独投标或者参加其他联合体投标的；</w:t>
      </w:r>
    </w:p>
    <w:p w14:paraId="50011199">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pacing w:val="0"/>
          <w:sz w:val="24"/>
          <w:szCs w:val="24"/>
          <w:highlight w:val="none"/>
          <w14:textFill>
            <w14:solidFill>
              <w14:schemeClr w14:val="tx1"/>
            </w14:solidFill>
          </w14:textFill>
        </w:rPr>
        <w:t>）投标人为外省建筑企业，但未提供“进粤企业和人员诚信信息登记平台 ”企业和拟派人员信息情况打印页或网页截图的。</w:t>
      </w:r>
    </w:p>
    <w:p w14:paraId="4A7BFED6">
      <w:pPr>
        <w:keepNext w:val="0"/>
        <w:keepLines w:val="0"/>
        <w:pageBreakBefore w:val="0"/>
        <w:wordWrap w:val="0"/>
        <w:overflowPunct/>
        <w:topLinePunct w:val="0"/>
        <w:bidi w:val="0"/>
        <w:spacing w:before="154" w:line="221" w:lineRule="auto"/>
        <w:ind w:left="477"/>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48" w:name="_Toc32536"/>
      <w:r>
        <w:rPr>
          <w:rFonts w:hint="eastAsia" w:ascii="宋体" w:hAnsi="宋体" w:eastAsia="宋体" w:cs="宋体"/>
          <w:b/>
          <w:bCs/>
          <w:color w:val="000000" w:themeColor="text1"/>
          <w:spacing w:val="0"/>
          <w:sz w:val="24"/>
          <w:szCs w:val="24"/>
          <w:highlight w:val="none"/>
          <w14:textFill>
            <w14:solidFill>
              <w14:schemeClr w14:val="tx1"/>
            </w14:solidFill>
          </w14:textFill>
        </w:rPr>
        <w:t>2 ．形式评审环节</w:t>
      </w:r>
      <w:bookmarkEnd w:id="148"/>
    </w:p>
    <w:p w14:paraId="33654F10">
      <w:pPr>
        <w:keepNext w:val="0"/>
        <w:keepLines w:val="0"/>
        <w:pageBreakBefore w:val="0"/>
        <w:wordWrap w:val="0"/>
        <w:overflowPunct/>
        <w:topLinePunct w:val="0"/>
        <w:bidi w:val="0"/>
        <w:spacing w:before="151" w:line="327" w:lineRule="auto"/>
        <w:ind w:right="200" w:firstLine="48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投标人有下列情形之一的，评标委员会应否决其投标。被否决的投标人，不进入响应性评审环节。</w:t>
      </w:r>
    </w:p>
    <w:p w14:paraId="4BAC9BEA">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（1）各分册没按招标文件规定加盖电子印章；</w:t>
      </w:r>
    </w:p>
    <w:p w14:paraId="6E2B21D1">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（2）本章第三节第 </w:t>
      </w:r>
      <w:r>
        <w:rPr>
          <w:rFonts w:hint="eastAsia" w:ascii="宋体" w:hAnsi="宋体" w:eastAsia="宋体" w:cs="宋体"/>
          <w:b/>
          <w:bCs/>
          <w:color w:val="000000" w:themeColor="text1"/>
          <w:spacing w:val="0"/>
          <w:sz w:val="24"/>
          <w:szCs w:val="24"/>
          <w:highlight w:val="none"/>
          <w14:textFill>
            <w14:solidFill>
              <w14:schemeClr w14:val="tx1"/>
            </w14:solidFill>
          </w14:textFill>
        </w:rPr>
        <w:t>10.2.2</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目、第 </w:t>
      </w:r>
      <w:r>
        <w:rPr>
          <w:rFonts w:hint="eastAsia" w:ascii="宋体" w:hAnsi="宋体" w:eastAsia="宋体" w:cs="宋体"/>
          <w:b/>
          <w:bCs/>
          <w:color w:val="000000" w:themeColor="text1"/>
          <w:spacing w:val="0"/>
          <w:sz w:val="24"/>
          <w:szCs w:val="24"/>
          <w:highlight w:val="none"/>
          <w14:textFill>
            <w14:solidFill>
              <w14:schemeClr w14:val="tx1"/>
            </w14:solidFill>
          </w14:textFill>
        </w:rPr>
        <w:t>10.3.2</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目、第 </w:t>
      </w:r>
      <w:r>
        <w:rPr>
          <w:rFonts w:hint="eastAsia" w:ascii="宋体" w:hAnsi="宋体" w:eastAsia="宋体" w:cs="宋体"/>
          <w:b/>
          <w:bCs/>
          <w:color w:val="000000" w:themeColor="text1"/>
          <w:spacing w:val="0"/>
          <w:sz w:val="24"/>
          <w:szCs w:val="24"/>
          <w:highlight w:val="none"/>
          <w14:textFill>
            <w14:solidFill>
              <w14:schemeClr w14:val="tx1"/>
            </w14:solidFill>
          </w14:textFill>
        </w:rPr>
        <w:t>10.4.3</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目中规定的“所有投标人均应提供 ”的组成内容（包括该组成内容的所附资料）中，任何一项有缺漏的；</w:t>
      </w:r>
    </w:p>
    <w:p w14:paraId="36D3CEC6">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关键字迹模糊、无法辨认，且该种过错将导致评标委员会无法判断投标文件是否响应招标文件实质性要求的；有涂改、行间插字或删除，但未加盖单位章或由投标人的法定代表人或其委托代理人签字确认的；</w:t>
      </w:r>
    </w:p>
    <w:p w14:paraId="5FFF89B9">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（4）投标文件未按规定签字、盖章的。</w:t>
      </w:r>
    </w:p>
    <w:p w14:paraId="707E04F7">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（5）招标文件规定施工组织设计采用“暗标 ”方式进行评审，但施工组织设计的规格颜色、文字排版、正文篇幅（若有）不符合规定的；其任何部位出现手写以及涂改、 行间插字或删除痕迹的；其任何部位出现投标人的名称和其它可识别投标人身份的字符、徽标、人员名称以及其他特殊标记的。</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（本次招标项目不适用）</w:t>
      </w:r>
    </w:p>
    <w:p w14:paraId="1C64F3A3">
      <w:pPr>
        <w:keepNext w:val="0"/>
        <w:keepLines w:val="0"/>
        <w:pageBreakBefore w:val="0"/>
        <w:wordWrap w:val="0"/>
        <w:overflowPunct/>
        <w:topLinePunct w:val="0"/>
        <w:bidi w:val="0"/>
        <w:spacing w:before="227" w:line="221" w:lineRule="auto"/>
        <w:ind w:left="475"/>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49" w:name="_Toc25928"/>
      <w:r>
        <w:rPr>
          <w:rFonts w:hint="eastAsia" w:ascii="宋体" w:hAnsi="宋体" w:eastAsia="宋体" w:cs="宋体"/>
          <w:b/>
          <w:bCs/>
          <w:color w:val="000000" w:themeColor="text1"/>
          <w:spacing w:val="0"/>
          <w:sz w:val="24"/>
          <w:szCs w:val="24"/>
          <w:highlight w:val="none"/>
          <w14:textFill>
            <w14:solidFill>
              <w14:schemeClr w14:val="tx1"/>
            </w14:solidFill>
          </w14:textFill>
        </w:rPr>
        <w:t>3 ．响应性评审环节</w:t>
      </w:r>
      <w:bookmarkEnd w:id="149"/>
    </w:p>
    <w:p w14:paraId="023371C4">
      <w:pPr>
        <w:keepNext w:val="0"/>
        <w:keepLines w:val="0"/>
        <w:pageBreakBefore w:val="0"/>
        <w:wordWrap w:val="0"/>
        <w:overflowPunct/>
        <w:topLinePunct w:val="0"/>
        <w:bidi w:val="0"/>
        <w:spacing w:before="151" w:line="327" w:lineRule="auto"/>
        <w:ind w:left="1" w:right="200" w:firstLine="48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投标人有下列情形之一的，评标委员会应否决其投标。被否决的投标人，不进入详细评审阶段。</w:t>
      </w:r>
    </w:p>
    <w:p w14:paraId="039432FC">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（1）承诺的投标有效期短于规定的；质量标准低于规定的；工期超出规定的；擅自修改、遗漏《投标函》《各项承诺一览表》实质性内容的；</w:t>
      </w:r>
    </w:p>
    <w:p w14:paraId="3A9ED79E">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（2）编制《投标总价》的造价工程师，其注册证书不是</w:t>
      </w:r>
      <w:r>
        <w:rPr>
          <w:rFonts w:hint="eastAsia" w:ascii="宋体" w:hAnsi="宋体" w:eastAsia="宋体" w:cs="宋体"/>
          <w:b/>
          <w:bCs/>
          <w:color w:val="000000" w:themeColor="text1"/>
          <w:spacing w:val="0"/>
          <w:sz w:val="24"/>
          <w:szCs w:val="24"/>
          <w:highlight w:val="none"/>
          <w14:textFill>
            <w14:solidFill>
              <w14:schemeClr w14:val="tx1"/>
            </w14:solidFill>
          </w14:textFill>
        </w:rPr>
        <w:t>住建部门</w:t>
      </w:r>
      <w:r>
        <w:rPr>
          <w:rFonts w:hint="eastAsia" w:ascii="宋体" w:hAnsi="宋体" w:eastAsia="宋体" w:cs="宋体"/>
          <w:color w:val="000000" w:themeColor="text1"/>
          <w:spacing w:val="0"/>
          <w:sz w:val="24"/>
          <w:szCs w:val="24"/>
          <w:highlight w:val="none"/>
          <w14:textFill>
            <w14:solidFill>
              <w14:schemeClr w14:val="tx1"/>
            </w14:solidFill>
          </w14:textFill>
        </w:rPr>
        <w:t>颁发的；其注册单位与投标人（或造价咨询人）不一致的；其注册证书不在有效期内的。</w:t>
      </w:r>
    </w:p>
    <w:p w14:paraId="7EBE7469">
      <w:pPr>
        <w:keepNext w:val="0"/>
        <w:keepLines w:val="0"/>
        <w:pageBreakBefore w:val="0"/>
        <w:wordWrap w:val="0"/>
        <w:overflowPunct/>
        <w:topLinePunct w:val="0"/>
        <w:bidi w:val="0"/>
        <w:spacing w:before="156" w:line="329" w:lineRule="auto"/>
        <w:ind w:right="200" w:firstLine="480"/>
        <w:jc w:val="both"/>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注：投标人（或造价咨询人）已经工商变更，但其员工的执业资格注册证书的注册单位名称未完成变更的，不得否决其投标。</w:t>
      </w:r>
    </w:p>
    <w:p w14:paraId="70E2ADFC">
      <w:pPr>
        <w:keepNext w:val="0"/>
        <w:keepLines w:val="0"/>
        <w:pageBreakBefore w:val="0"/>
        <w:wordWrap w:val="0"/>
        <w:overflowPunct/>
        <w:topLinePunct w:val="0"/>
        <w:bidi w:val="0"/>
        <w:spacing w:before="78" w:line="299" w:lineRule="auto"/>
        <w:ind w:left="2" w:right="81" w:firstLine="48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（3）投标人委托造价咨询单位编制《投标总价》，但未在《投标总价扉页》“投标人”栏目加盖造价咨询人公章的；未提供造价咨询人的营业执照副本彩色扫描件；</w:t>
      </w:r>
    </w:p>
    <w:p w14:paraId="05BC2C53">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（4）出现两个或两个以上投标总价的（同一个投标总价大、小写不一致的除外）；投标总价超出</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color w:val="000000" w:themeColor="text1"/>
          <w:spacing w:val="0"/>
          <w:sz w:val="24"/>
          <w:szCs w:val="24"/>
          <w:highlight w:val="none"/>
          <w14:textFill>
            <w14:solidFill>
              <w14:schemeClr w14:val="tx1"/>
            </w14:solidFill>
          </w14:textFill>
        </w:rPr>
        <w:t>的；</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color w:val="000000" w:themeColor="text1"/>
          <w:spacing w:val="0"/>
          <w:sz w:val="24"/>
          <w:szCs w:val="24"/>
          <w:highlight w:val="none"/>
          <w14:textFill>
            <w14:solidFill>
              <w14:schemeClr w14:val="tx1"/>
            </w14:solidFill>
          </w14:textFill>
        </w:rPr>
        <w:t>少于规定的；暂列金额、暂估价未按照招标工程量清单统一报价的；投标总价下浮率超过 15%，又未提供相应书面说明和佐证材料或提供的书面说明和佐证材料不能令人信服，被评标委员会认定以低于成本报价竞标的；擅自修改、增减招标工程量清单项目（包括措施项目）的；</w:t>
      </w:r>
    </w:p>
    <w:p w14:paraId="62906720">
      <w:pPr>
        <w:keepNext w:val="0"/>
        <w:keepLines w:val="0"/>
        <w:pageBreakBefore w:val="0"/>
        <w:wordWrap w:val="0"/>
        <w:overflowPunct/>
        <w:topLinePunct w:val="0"/>
        <w:bidi w:val="0"/>
        <w:spacing w:before="156" w:line="299" w:lineRule="auto"/>
        <w:ind w:right="8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（5）在施工组织设计评审中，评标委员会认定质量、进度保障措施与国家和省市现行有关规范、规定、标准有重大偏差，</w:t>
      </w:r>
      <w:r>
        <w:rPr>
          <w:rFonts w:hint="eastAsia" w:ascii="宋体" w:hAnsi="宋体" w:eastAsia="宋体" w:cs="宋体"/>
          <w:b/>
          <w:bCs/>
          <w:color w:val="000000" w:themeColor="text1"/>
          <w:spacing w:val="0"/>
          <w:sz w:val="24"/>
          <w:szCs w:val="24"/>
          <w:highlight w:val="none"/>
          <w14:textFill>
            <w14:solidFill>
              <w14:schemeClr w14:val="tx1"/>
            </w14:solidFill>
          </w14:textFill>
        </w:rPr>
        <w:t>且该种过错将导致工程质量、进度管理目标无法实现的</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0DBFDD7A">
      <w:pPr>
        <w:keepNext w:val="0"/>
        <w:keepLines w:val="0"/>
        <w:pageBreakBefore w:val="0"/>
        <w:wordWrap w:val="0"/>
        <w:overflowPunct/>
        <w:topLinePunct w:val="0"/>
        <w:bidi w:val="0"/>
        <w:spacing w:before="151" w:line="221" w:lineRule="auto"/>
        <w:ind w:left="476"/>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50" w:name="_Toc27917"/>
      <w:r>
        <w:rPr>
          <w:rFonts w:hint="eastAsia" w:ascii="宋体" w:hAnsi="宋体" w:eastAsia="宋体" w:cs="宋体"/>
          <w:b/>
          <w:bCs/>
          <w:color w:val="000000" w:themeColor="text1"/>
          <w:spacing w:val="0"/>
          <w:sz w:val="24"/>
          <w:szCs w:val="24"/>
          <w:highlight w:val="none"/>
          <w14:textFill>
            <w14:solidFill>
              <w14:schemeClr w14:val="tx1"/>
            </w14:solidFill>
          </w14:textFill>
        </w:rPr>
        <w:t>4 ．其他</w:t>
      </w:r>
      <w:bookmarkEnd w:id="150"/>
    </w:p>
    <w:p w14:paraId="1DB8C9BB">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在任何评标环节（或阶段），投标人有下列情形之一的，评标委员会应否决其投标。 被否决的投标人，不进入下一环节（或阶段）。</w:t>
      </w:r>
    </w:p>
    <w:p w14:paraId="0CA58726">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（1）不按评标委员会要求澄清、说明或补正的；</w:t>
      </w:r>
    </w:p>
    <w:p w14:paraId="0D1C3C0F">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（2）有下列情形之一，被评标委员会认定属于串通投标的：</w:t>
      </w:r>
    </w:p>
    <w:p w14:paraId="66C929C2">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①不同投标人的投标文件两处以上（含两处）错、漏一致；</w:t>
      </w:r>
    </w:p>
    <w:p w14:paraId="6D5FB77A">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②不同投标人的投标总价相近且各分项报价、综合单价分析表内容混乱不能相互对应、乱调乱压或乱抬的，而在询标时没有合理的解释或者不能提供计算依据和报价依据；</w:t>
      </w:r>
    </w:p>
    <w:p w14:paraId="22325080">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③不同投标人的投标各项报价存在异常一致或者呈规律性变化；</w:t>
      </w:r>
    </w:p>
    <w:p w14:paraId="36C4CB17">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④不同投标人的投标文件由同一单位或者同一个人编制；</w:t>
      </w:r>
    </w:p>
    <w:p w14:paraId="1A519F59">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⑤不同投标人的投标文件中投标资料（包括电子资料）相互混装或项目班子成员出现同一人；</w:t>
      </w:r>
    </w:p>
    <w:p w14:paraId="2D971149">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⑥不同投标人的投标文件由同一电脑编制或同一台附属设备打印，或投标报价用同一个预算编制软件密码锁制作或出自同一电子文档；</w:t>
      </w:r>
    </w:p>
    <w:p w14:paraId="3D4E49BC">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⑦不同投标人的投标保证由同一企业或同一账户资金缴纳；</w:t>
      </w:r>
    </w:p>
    <w:p w14:paraId="16BEF131">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⑧不同投标人委托同一个人或注册在同一家企业的注册人员或同一家企业为其投标提供投标咨询、商务报价、技术咨询（招标项目本身要求采用专有技术的除外）等服务。</w:t>
      </w:r>
    </w:p>
    <w:p w14:paraId="72728FDA">
      <w:pPr>
        <w:pStyle w:val="24"/>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451E5D4B">
      <w:pPr>
        <w:keepNext w:val="0"/>
        <w:keepLines w:val="0"/>
        <w:pageBreakBefore w:val="0"/>
        <w:wordWrap w:val="0"/>
        <w:overflowPunct/>
        <w:topLinePunct w:val="0"/>
        <w:bidi w:val="0"/>
        <w:spacing w:line="299" w:lineRule="auto"/>
        <w:rPr>
          <w:rFonts w:hint="eastAsia" w:ascii="宋体" w:hAnsi="宋体" w:eastAsia="宋体" w:cs="宋体"/>
          <w:color w:val="000000" w:themeColor="text1"/>
          <w:spacing w:val="0"/>
          <w:sz w:val="24"/>
          <w:szCs w:val="24"/>
          <w:highlight w:val="none"/>
          <w14:textFill>
            <w14:solidFill>
              <w14:schemeClr w14:val="tx1"/>
            </w14:solidFill>
          </w14:textFill>
        </w:rPr>
        <w:sectPr>
          <w:footerReference r:id="rId11"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7F20CA48">
      <w:pPr>
        <w:tabs>
          <w:tab w:val="left" w:pos="885"/>
        </w:tabs>
        <w:kinsoku/>
        <w:autoSpaceDE/>
        <w:autoSpaceDN/>
        <w:adjustRightInd/>
        <w:spacing w:line="360" w:lineRule="auto"/>
        <w:jc w:val="both"/>
        <w:outlineLvl w:val="1"/>
        <w:rPr>
          <w:rStyle w:val="26"/>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pPr>
      <w:bookmarkStart w:id="151" w:name="bookmark57"/>
      <w:bookmarkEnd w:id="151"/>
      <w:bookmarkStart w:id="152" w:name="_Toc15025"/>
      <w:bookmarkStart w:id="153" w:name="_Toc28716"/>
      <w:bookmarkStart w:id="154" w:name="_Toc366"/>
      <w:r>
        <w:rPr>
          <w:rStyle w:val="26"/>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第五节 定标规定及细则（本项目采用票决数量法定标）</w:t>
      </w:r>
      <w:bookmarkEnd w:id="152"/>
      <w:bookmarkEnd w:id="153"/>
      <w:bookmarkEnd w:id="154"/>
    </w:p>
    <w:p w14:paraId="140003FA">
      <w:pPr>
        <w:kinsoku/>
        <w:autoSpaceDE/>
        <w:autoSpaceDN/>
        <w:adjustRightInd/>
        <w:snapToGrid/>
        <w:spacing w:line="360" w:lineRule="auto"/>
        <w:ind w:firstLine="482" w:firstLineChars="200"/>
        <w:jc w:val="both"/>
        <w:rPr>
          <w:rStyle w:val="26"/>
          <w:rFonts w:hint="eastAsia" w:ascii="宋体" w:hAnsi="宋体" w:eastAsia="宋体" w:cs="宋体"/>
          <w:b/>
          <w:bCs/>
          <w:snapToGrid/>
          <w:color w:val="000000" w:themeColor="text1"/>
          <w:sz w:val="24"/>
          <w:szCs w:val="24"/>
          <w:highlight w:val="none"/>
          <w:lang w:eastAsia="zh-CN"/>
          <w14:textFill>
            <w14:solidFill>
              <w14:schemeClr w14:val="tx1"/>
            </w14:solidFill>
          </w14:textFill>
        </w:rPr>
      </w:pPr>
      <w:r>
        <w:rPr>
          <w:rStyle w:val="26"/>
          <w:rFonts w:hint="eastAsia" w:ascii="宋体" w:hAnsi="宋体" w:eastAsia="宋体" w:cs="宋体"/>
          <w:b/>
          <w:bCs/>
          <w:snapToGrid/>
          <w:color w:val="000000" w:themeColor="text1"/>
          <w:sz w:val="24"/>
          <w:szCs w:val="24"/>
          <w:highlight w:val="none"/>
          <w:lang w:eastAsia="zh-CN"/>
          <w14:textFill>
            <w14:solidFill>
              <w14:schemeClr w14:val="tx1"/>
            </w14:solidFill>
          </w14:textFill>
        </w:rPr>
        <w:t>1.确定定标会时间</w:t>
      </w:r>
    </w:p>
    <w:p w14:paraId="34D97AFA">
      <w:pPr>
        <w:kinsoku/>
        <w:autoSpaceDE/>
        <w:autoSpaceDN/>
        <w:adjustRightInd/>
        <w:snapToGrid/>
        <w:spacing w:line="360" w:lineRule="auto"/>
        <w:ind w:firstLine="480" w:firstLineChars="200"/>
        <w:jc w:val="both"/>
        <w:rPr>
          <w:rStyle w:val="26"/>
          <w:rFonts w:hint="eastAsia" w:ascii="宋体" w:hAnsi="宋体" w:eastAsia="宋体" w:cs="宋体"/>
          <w:snapToGrid/>
          <w:color w:val="000000" w:themeColor="text1"/>
          <w:sz w:val="24"/>
          <w:szCs w:val="24"/>
          <w:highlight w:val="none"/>
          <w:lang w:eastAsia="zh-CN"/>
          <w14:textFill>
            <w14:solidFill>
              <w14:schemeClr w14:val="tx1"/>
            </w14:solidFill>
          </w14:textFill>
        </w:rPr>
      </w:pPr>
      <w:r>
        <w:rPr>
          <w:rStyle w:val="26"/>
          <w:rFonts w:hint="eastAsia" w:ascii="宋体" w:hAnsi="宋体" w:eastAsia="宋体" w:cs="宋体"/>
          <w:snapToGrid/>
          <w:color w:val="000000" w:themeColor="text1"/>
          <w:sz w:val="24"/>
          <w:szCs w:val="24"/>
          <w:highlight w:val="none"/>
          <w:lang w:eastAsia="zh-CN"/>
          <w14:textFill>
            <w14:solidFill>
              <w14:schemeClr w14:val="tx1"/>
            </w14:solidFill>
          </w14:textFill>
        </w:rPr>
        <w:t>定标会由招标人组织，原则上应当在定标候选人公示结束后5个工作日内进入韶关市公共资源交易中心召开定标会议。定标会议全过程录音录像。不能按时定标的，应通过广东省招标投标监管网和全国公共资源交易平台（广东省·韶关市）公布延期原因和最终定标时间。若招标人需要对定标候选人或拟派项目负责人进行考察的，定标时间可以适当延迟，但延迟一般不超过 3 个工作日。</w:t>
      </w:r>
    </w:p>
    <w:p w14:paraId="7E570950">
      <w:pPr>
        <w:kinsoku/>
        <w:autoSpaceDE/>
        <w:autoSpaceDN/>
        <w:adjustRightInd/>
        <w:snapToGrid/>
        <w:spacing w:line="360" w:lineRule="auto"/>
        <w:ind w:firstLine="482" w:firstLineChars="200"/>
        <w:jc w:val="both"/>
        <w:rPr>
          <w:rStyle w:val="26"/>
          <w:rFonts w:hint="eastAsia" w:ascii="宋体" w:hAnsi="宋体" w:eastAsia="宋体" w:cs="宋体"/>
          <w:b/>
          <w:bCs/>
          <w:snapToGrid/>
          <w:color w:val="000000" w:themeColor="text1"/>
          <w:sz w:val="24"/>
          <w:szCs w:val="24"/>
          <w:highlight w:val="none"/>
          <w:lang w:eastAsia="zh-CN"/>
          <w14:textFill>
            <w14:solidFill>
              <w14:schemeClr w14:val="tx1"/>
            </w14:solidFill>
          </w14:textFill>
        </w:rPr>
      </w:pPr>
      <w:r>
        <w:rPr>
          <w:rStyle w:val="26"/>
          <w:rFonts w:hint="eastAsia" w:ascii="宋体" w:hAnsi="宋体" w:eastAsia="宋体" w:cs="宋体"/>
          <w:b/>
          <w:bCs/>
          <w:snapToGrid/>
          <w:color w:val="000000" w:themeColor="text1"/>
          <w:sz w:val="24"/>
          <w:szCs w:val="24"/>
          <w:highlight w:val="none"/>
          <w:lang w:eastAsia="zh-CN"/>
          <w14:textFill>
            <w14:solidFill>
              <w14:schemeClr w14:val="tx1"/>
            </w14:solidFill>
          </w14:textFill>
        </w:rPr>
        <w:t>2.定标委员会</w:t>
      </w:r>
    </w:p>
    <w:p w14:paraId="53C3C234">
      <w:pPr>
        <w:kinsoku/>
        <w:autoSpaceDE/>
        <w:autoSpaceDN/>
        <w:adjustRightInd/>
        <w:snapToGrid/>
        <w:spacing w:line="360" w:lineRule="auto"/>
        <w:ind w:firstLine="480" w:firstLineChars="200"/>
        <w:jc w:val="both"/>
        <w:rPr>
          <w:rStyle w:val="26"/>
          <w:rFonts w:ascii="宋体" w:hAnsi="宋体" w:eastAsia="宋体" w:cs="宋体"/>
          <w:snapToGrid/>
          <w:color w:val="000000" w:themeColor="text1"/>
          <w:sz w:val="24"/>
          <w:szCs w:val="24"/>
          <w:highlight w:val="none"/>
          <w:lang w:eastAsia="zh-CN"/>
          <w14:textFill>
            <w14:solidFill>
              <w14:schemeClr w14:val="tx1"/>
            </w14:solidFill>
          </w14:textFill>
        </w:rPr>
      </w:pPr>
      <w:r>
        <w:rPr>
          <w:rStyle w:val="26"/>
          <w:rFonts w:hint="eastAsia" w:ascii="宋体" w:hAnsi="宋体" w:eastAsia="宋体" w:cs="宋体"/>
          <w:snapToGrid/>
          <w:color w:val="000000" w:themeColor="text1"/>
          <w:sz w:val="24"/>
          <w:szCs w:val="24"/>
          <w:highlight w:val="none"/>
          <w:lang w:eastAsia="zh-CN"/>
          <w14:textFill>
            <w14:solidFill>
              <w14:schemeClr w14:val="tx1"/>
            </w14:solidFill>
          </w14:textFill>
        </w:rPr>
        <w:t>2.1</w:t>
      </w:r>
      <w:r>
        <w:rPr>
          <w:rStyle w:val="26"/>
          <w:rFonts w:hint="eastAsia" w:ascii="宋体" w:hAnsi="宋体" w:eastAsia="宋体" w:cs="宋体"/>
          <w:snapToGrid/>
          <w:color w:val="000000" w:themeColor="text1"/>
          <w:sz w:val="24"/>
          <w:szCs w:val="24"/>
          <w:highlight w:val="none"/>
          <w:lang w:val="en-US" w:eastAsia="zh-CN"/>
          <w14:textFill>
            <w14:solidFill>
              <w14:schemeClr w14:val="tx1"/>
            </w14:solidFill>
          </w14:textFill>
        </w:rPr>
        <w:t>定标委员会实行招标人负责制，由招标人的法定代表人或者主要负责人负责组建和管理。定标委员会的组成方式和人员由招标人自行确定，成员原则上从招标人、项目业主、代建管理机构或者使用单位的领导班子成员、经营管理人员，或具备中级及以上职称、具有注册职业资格证的工程技术（经济）人员中产生，以上人员难以满足时也可从广东省综合评标评审专家库抽取补足（从广东省综合评标评审专家库抽取补足的专家人数最多为2人），成员数量为7人以上单数，定标委员会成员数量在本投标人须知前附表中约定。定标委员会应当推荐定标组长，招标人（不含代理机构）的法定代表人或者主要负责人参加定标委员会的，由其直接担任定标委员会组长。定标委员会名单在中标结果公告前应当保密。</w:t>
      </w:r>
    </w:p>
    <w:p w14:paraId="74FF2747">
      <w:pPr>
        <w:kinsoku/>
        <w:autoSpaceDE/>
        <w:autoSpaceDN/>
        <w:adjustRightInd/>
        <w:snapToGrid/>
        <w:spacing w:line="360" w:lineRule="auto"/>
        <w:ind w:firstLine="480" w:firstLineChars="200"/>
        <w:jc w:val="both"/>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t>2.2定标委员会应当根据招标文件规定的定标方法和细则，对定标候选人进行系统地评审和比较。招标文件中没有规定的定标方法和细则不得作为定标的依据。定标委员会成员应依照招标文件规定的定标方法和细则，独立完成对定标候选人的评审，并对定标结果签字确认。定标委员会应依照招标文件规定的定标方法和细则，对各定标委员会成员的定标结果进行汇总。</w:t>
      </w:r>
    </w:p>
    <w:p w14:paraId="0E760EF2">
      <w:pPr>
        <w:kinsoku/>
        <w:autoSpaceDE/>
        <w:autoSpaceDN/>
        <w:adjustRightInd/>
        <w:snapToGrid/>
        <w:spacing w:line="360" w:lineRule="auto"/>
        <w:ind w:firstLine="480" w:firstLineChars="200"/>
        <w:jc w:val="both"/>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t>3定标委员会成员应客观、公正履职，在未公示中标结果前，对定标过程和结果严格保密，对所提出的定标意见承担个人责任。定标委员会成员与定标候选人有利害关系的，应回避。定标委员会成员不得征询招标人确定中标人意向；不得私下与任何定标候选人或者其他利害关系人接触。</w:t>
      </w:r>
    </w:p>
    <w:p w14:paraId="6E17EF85">
      <w:pPr>
        <w:kinsoku/>
        <w:autoSpaceDE/>
        <w:autoSpaceDN/>
        <w:adjustRightInd/>
        <w:snapToGrid/>
        <w:spacing w:line="360" w:lineRule="auto"/>
        <w:ind w:firstLine="482" w:firstLineChars="200"/>
        <w:jc w:val="both"/>
        <w:rPr>
          <w:rStyle w:val="26"/>
          <w:rFonts w:hint="eastAsia" w:ascii="宋体" w:hAnsi="宋体" w:eastAsia="宋体" w:cs="宋体"/>
          <w:b/>
          <w:bCs/>
          <w:snapToGrid/>
          <w:color w:val="000000" w:themeColor="text1"/>
          <w:sz w:val="24"/>
          <w:szCs w:val="24"/>
          <w:highlight w:val="none"/>
          <w:lang w:eastAsia="zh-CN"/>
          <w14:textFill>
            <w14:solidFill>
              <w14:schemeClr w14:val="tx1"/>
            </w14:solidFill>
          </w14:textFill>
        </w:rPr>
      </w:pPr>
      <w:r>
        <w:rPr>
          <w:rStyle w:val="26"/>
          <w:rFonts w:hint="eastAsia" w:ascii="宋体" w:hAnsi="宋体" w:eastAsia="宋体" w:cs="宋体"/>
          <w:b/>
          <w:bCs/>
          <w:snapToGrid/>
          <w:color w:val="000000" w:themeColor="text1"/>
          <w:sz w:val="24"/>
          <w:szCs w:val="24"/>
          <w:highlight w:val="none"/>
          <w:lang w:eastAsia="zh-CN"/>
          <w14:textFill>
            <w14:solidFill>
              <w14:schemeClr w14:val="tx1"/>
            </w14:solidFill>
          </w14:textFill>
        </w:rPr>
        <w:t>3.组建招标监督小组</w:t>
      </w:r>
    </w:p>
    <w:p w14:paraId="720AAF51">
      <w:pPr>
        <w:kinsoku/>
        <w:autoSpaceDE/>
        <w:autoSpaceDN/>
        <w:adjustRightInd/>
        <w:snapToGrid/>
        <w:spacing w:line="360" w:lineRule="auto"/>
        <w:ind w:firstLine="480" w:firstLineChars="200"/>
        <w:jc w:val="both"/>
        <w:rPr>
          <w:rStyle w:val="26"/>
          <w:rFonts w:hint="eastAsia" w:ascii="宋体" w:hAnsi="宋体" w:eastAsia="宋体" w:cs="宋体"/>
          <w:snapToGrid/>
          <w:color w:val="000000" w:themeColor="text1"/>
          <w:sz w:val="24"/>
          <w:szCs w:val="24"/>
          <w:highlight w:val="none"/>
          <w:lang w:eastAsia="zh-CN"/>
          <w14:textFill>
            <w14:solidFill>
              <w14:schemeClr w14:val="tx1"/>
            </w14:solidFill>
          </w14:textFill>
        </w:rPr>
      </w:pPr>
      <w:r>
        <w:rPr>
          <w:rStyle w:val="26"/>
          <w:rFonts w:hint="eastAsia" w:ascii="宋体" w:hAnsi="宋体" w:eastAsia="宋体" w:cs="宋体"/>
          <w:snapToGrid/>
          <w:color w:val="000000" w:themeColor="text1"/>
          <w:sz w:val="24"/>
          <w:szCs w:val="24"/>
          <w:highlight w:val="none"/>
          <w:lang w:eastAsia="zh-CN"/>
          <w14:textFill>
            <w14:solidFill>
              <w14:schemeClr w14:val="tx1"/>
            </w14:solidFill>
          </w14:textFill>
        </w:rPr>
        <w:t>招标人应及时组建招标监督小组，招标监督小组原则上由不少于3人组成，人员可由招标人直接委派，也可以从招标人的上级主管单位、项目业主单位、使用单位等补充委派，并确定一名组长负责统筹监督工作。同一人不得同时担任定标委员会成员和招标监督小组成员中的两个角色。招标监督小组的职责是对定标委员会的组建、定标过程及招标人在定标前的清标环节和对定标候选人的考察等进行全程监督，确保定标过程公正、公平。发现异常情况及时提醒、进行纠正，但不得就定标涉及的实质内容发表意见或者参与定标讨论。</w:t>
      </w:r>
    </w:p>
    <w:p w14:paraId="684CB560">
      <w:pPr>
        <w:kinsoku/>
        <w:autoSpaceDE/>
        <w:autoSpaceDN/>
        <w:adjustRightInd/>
        <w:snapToGrid/>
        <w:spacing w:line="360" w:lineRule="auto"/>
        <w:ind w:firstLine="482" w:firstLineChars="200"/>
        <w:rPr>
          <w:rStyle w:val="26"/>
          <w:rFonts w:hint="eastAsia" w:ascii="宋体" w:hAnsi="宋体" w:eastAsia="宋体" w:cs="宋体"/>
          <w:snapToGrid/>
          <w:color w:val="000000" w:themeColor="text1"/>
          <w:sz w:val="24"/>
          <w:szCs w:val="24"/>
          <w:highlight w:val="none"/>
          <w:lang w:eastAsia="zh-CN"/>
          <w14:textFill>
            <w14:solidFill>
              <w14:schemeClr w14:val="tx1"/>
            </w14:solidFill>
          </w14:textFill>
        </w:rPr>
      </w:pPr>
      <w:r>
        <w:rPr>
          <w:rStyle w:val="26"/>
          <w:rFonts w:hint="eastAsia" w:ascii="宋体" w:hAnsi="宋体" w:eastAsia="宋体" w:cs="宋体"/>
          <w:b/>
          <w:bCs/>
          <w:snapToGrid/>
          <w:color w:val="000000" w:themeColor="text1"/>
          <w:sz w:val="24"/>
          <w:szCs w:val="24"/>
          <w:highlight w:val="none"/>
          <w:lang w:eastAsia="zh-CN"/>
          <w14:textFill>
            <w14:solidFill>
              <w14:schemeClr w14:val="tx1"/>
            </w14:solidFill>
          </w14:textFill>
        </w:rPr>
        <w:t>4.定标办法</w:t>
      </w:r>
    </w:p>
    <w:p w14:paraId="3A8DFE5F">
      <w:pPr>
        <w:kinsoku/>
        <w:autoSpaceDE/>
        <w:autoSpaceDN/>
        <w:adjustRightInd/>
        <w:snapToGrid/>
        <w:spacing w:line="360" w:lineRule="auto"/>
        <w:ind w:firstLine="482" w:firstLineChars="200"/>
        <w:jc w:val="both"/>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bookmarkStart w:id="155" w:name="OLE_LINK3"/>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本项目</w:t>
      </w:r>
      <w:bookmarkEnd w:id="155"/>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采用票决数量法定标。</w:t>
      </w:r>
    </w:p>
    <w:p w14:paraId="5693A3B1">
      <w:pPr>
        <w:kinsoku/>
        <w:autoSpaceDE/>
        <w:autoSpaceDN/>
        <w:adjustRightInd/>
        <w:snapToGrid/>
        <w:spacing w:line="360" w:lineRule="auto"/>
        <w:ind w:firstLine="482" w:firstLineChars="200"/>
        <w:jc w:val="both"/>
        <w:rPr>
          <w:rStyle w:val="26"/>
          <w:rFonts w:hint="eastAsia" w:ascii="宋体" w:hAnsi="宋体" w:eastAsia="宋体" w:cs="宋体"/>
          <w:b/>
          <w:bCs/>
          <w:snapToGrid/>
          <w:color w:val="000000" w:themeColor="text1"/>
          <w:sz w:val="24"/>
          <w:szCs w:val="24"/>
          <w:highlight w:val="none"/>
          <w:lang w:eastAsia="zh-CN"/>
          <w14:textFill>
            <w14:solidFill>
              <w14:schemeClr w14:val="tx1"/>
            </w14:solidFill>
          </w14:textFill>
        </w:rPr>
      </w:pPr>
      <w:r>
        <w:rPr>
          <w:rStyle w:val="26"/>
          <w:rFonts w:hint="eastAsia" w:ascii="宋体" w:hAnsi="宋体" w:eastAsia="宋体" w:cs="宋体"/>
          <w:b/>
          <w:bCs/>
          <w:snapToGrid/>
          <w:color w:val="000000" w:themeColor="text1"/>
          <w:sz w:val="24"/>
          <w:szCs w:val="24"/>
          <w:highlight w:val="none"/>
          <w:lang w:eastAsia="zh-CN"/>
          <w14:textFill>
            <w14:solidFill>
              <w14:schemeClr w14:val="tx1"/>
            </w14:solidFill>
          </w14:textFill>
        </w:rPr>
        <w:t>5.定标细则</w:t>
      </w:r>
    </w:p>
    <w:p w14:paraId="345E502E">
      <w:pPr>
        <w:widowControl w:val="0"/>
        <w:kinsoku/>
        <w:autoSpaceDE/>
        <w:autoSpaceDN/>
        <w:adjustRightInd/>
        <w:snapToGrid/>
        <w:spacing w:line="400" w:lineRule="exact"/>
        <w:ind w:firstLine="482" w:firstLineChars="200"/>
        <w:jc w:val="both"/>
        <w:textAlignment w:val="auto"/>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5.1票决数量法程序</w:t>
      </w:r>
    </w:p>
    <w:p w14:paraId="704CC2EF">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定标委员会根据定标因素对定标候选人进行评审比较后，每名定标委员会成员</w:t>
      </w:r>
      <w:r>
        <w:rPr>
          <w:rFonts w:hint="eastAsia" w:ascii="宋体" w:hAnsi="宋体" w:eastAsia="宋体" w:cs="宋体"/>
          <w:snapToGrid/>
          <w:color w:val="000000" w:themeColor="text1"/>
          <w:kern w:val="2"/>
          <w:sz w:val="24"/>
          <w:szCs w:val="24"/>
          <w:highlight w:val="none"/>
          <w:shd w:val="clear" w:color="auto" w:fill="FFFFFF"/>
          <w:lang w:val="en-US" w:eastAsia="zh-CN"/>
          <w14:textFill>
            <w14:solidFill>
              <w14:schemeClr w14:val="tx1"/>
            </w14:solidFill>
          </w14:textFill>
        </w:rPr>
        <w:t>有且仅有投出1票的权利，1票只能投1名定标候选人，根据</w:t>
      </w: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票决</w:t>
      </w:r>
      <w:r>
        <w:rPr>
          <w:rFonts w:hint="eastAsia" w:ascii="宋体" w:hAnsi="宋体" w:eastAsia="宋体" w:cs="宋体"/>
          <w:snapToGrid/>
          <w:color w:val="000000" w:themeColor="text1"/>
          <w:kern w:val="2"/>
          <w:sz w:val="24"/>
          <w:szCs w:val="24"/>
          <w:highlight w:val="none"/>
          <w:shd w:val="clear" w:color="auto" w:fill="FFFFFF"/>
          <w:lang w:val="en-US" w:eastAsia="zh-CN"/>
          <w14:textFill>
            <w14:solidFill>
              <w14:schemeClr w14:val="tx1"/>
            </w14:solidFill>
          </w14:textFill>
        </w:rPr>
        <w:t>数量</w:t>
      </w: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排名确定中标候选人</w:t>
      </w:r>
      <w:r>
        <w:rPr>
          <w:rFonts w:hint="eastAsia" w:ascii="宋体" w:hAnsi="宋体" w:eastAsia="宋体" w:cs="宋体"/>
          <w:snapToGrid/>
          <w:color w:val="000000" w:themeColor="text1"/>
          <w:kern w:val="2"/>
          <w:sz w:val="24"/>
          <w:szCs w:val="24"/>
          <w:highlight w:val="none"/>
          <w:shd w:val="clear" w:color="auto" w:fill="FFFFFF"/>
          <w:lang w:val="en-US" w:eastAsia="zh-CN"/>
          <w14:textFill>
            <w14:solidFill>
              <w14:schemeClr w14:val="tx1"/>
            </w14:solidFill>
          </w14:textFill>
        </w:rPr>
        <w:t>的</w:t>
      </w: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排序。即各定标委员会成员对定标候选人进行投票，按得票高低排序的前三名</w:t>
      </w:r>
      <w:r>
        <w:rPr>
          <w:rFonts w:hint="eastAsia" w:ascii="宋体" w:hAnsi="宋体" w:eastAsia="宋体" w:cs="宋体"/>
          <w:snapToGrid/>
          <w:color w:val="000000" w:themeColor="text1"/>
          <w:kern w:val="2"/>
          <w:sz w:val="24"/>
          <w:szCs w:val="24"/>
          <w:highlight w:val="none"/>
          <w:shd w:val="clear" w:color="auto" w:fill="FFFFFF"/>
          <w:lang w:val="en-US" w:eastAsia="zh-CN"/>
          <w14:textFill>
            <w14:solidFill>
              <w14:schemeClr w14:val="tx1"/>
            </w14:solidFill>
          </w14:textFill>
        </w:rPr>
        <w:t>确定</w:t>
      </w: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中标候选人</w:t>
      </w:r>
      <w:r>
        <w:rPr>
          <w:rFonts w:hint="eastAsia" w:ascii="宋体" w:hAnsi="宋体" w:eastAsia="宋体" w:cs="宋体"/>
          <w:snapToGrid/>
          <w:color w:val="000000" w:themeColor="text1"/>
          <w:kern w:val="2"/>
          <w:sz w:val="24"/>
          <w:szCs w:val="24"/>
          <w:highlight w:val="none"/>
          <w:shd w:val="clear" w:color="auto" w:fill="FFFFFF"/>
          <w:lang w:val="en-US" w:eastAsia="zh-CN"/>
          <w14:textFill>
            <w14:solidFill>
              <w14:schemeClr w14:val="tx1"/>
            </w14:solidFill>
          </w14:textFill>
        </w:rPr>
        <w:t>的排序</w:t>
      </w: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w:t>
      </w:r>
      <w:r>
        <w:rPr>
          <w:rFonts w:hint="eastAsia" w:ascii="宋体" w:hAnsi="宋体" w:eastAsia="宋体" w:cs="宋体"/>
          <w:snapToGrid/>
          <w:color w:val="000000" w:themeColor="text1"/>
          <w:kern w:val="2"/>
          <w:sz w:val="24"/>
          <w:szCs w:val="24"/>
          <w:highlight w:val="none"/>
          <w:shd w:val="clear" w:color="auto" w:fill="FFFFFF"/>
          <w:lang w:val="en-US" w:eastAsia="zh-CN"/>
          <w14:textFill>
            <w14:solidFill>
              <w14:schemeClr w14:val="tx1"/>
            </w14:solidFill>
          </w14:textFill>
        </w:rPr>
        <w:t>若第一轮投票中有得票相同且影响中标候选人排序确定的，由定标委员会对总票数相同的单位进行再次票决确定排序,直至决出排序的前三名中标候选人。</w:t>
      </w:r>
    </w:p>
    <w:p w14:paraId="0440E13F">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票决采用</w:t>
      </w:r>
      <w:r>
        <w:rPr>
          <w:rFonts w:hint="eastAsia" w:ascii="宋体" w:hAnsi="宋体" w:eastAsia="宋体" w:cs="宋体"/>
          <w:b/>
          <w:bCs/>
          <w:snapToGrid/>
          <w:color w:val="000000" w:themeColor="text1"/>
          <w:kern w:val="2"/>
          <w:sz w:val="24"/>
          <w:szCs w:val="24"/>
          <w:highlight w:val="none"/>
          <w:shd w:val="clear" w:color="auto" w:fill="FFFFFF"/>
          <w:lang w:eastAsia="zh-CN"/>
          <w14:textFill>
            <w14:solidFill>
              <w14:schemeClr w14:val="tx1"/>
            </w14:solidFill>
          </w14:textFill>
        </w:rPr>
        <w:t>记名方式</w:t>
      </w: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并注明</w:t>
      </w:r>
      <w:r>
        <w:rPr>
          <w:rFonts w:hint="eastAsia" w:ascii="宋体" w:hAnsi="宋体" w:eastAsia="宋体" w:cs="宋体"/>
          <w:b/>
          <w:bCs/>
          <w:snapToGrid/>
          <w:color w:val="000000" w:themeColor="text1"/>
          <w:kern w:val="2"/>
          <w:sz w:val="24"/>
          <w:szCs w:val="24"/>
          <w:highlight w:val="none"/>
          <w:shd w:val="clear" w:color="auto" w:fill="FFFFFF"/>
          <w:lang w:eastAsia="zh-CN"/>
          <w14:textFill>
            <w14:solidFill>
              <w14:schemeClr w14:val="tx1"/>
            </w14:solidFill>
          </w14:textFill>
        </w:rPr>
        <w:t>投票理由</w:t>
      </w: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w:t>
      </w:r>
    </w:p>
    <w:p w14:paraId="69B9C108">
      <w:pPr>
        <w:widowControl w:val="0"/>
        <w:kinsoku/>
        <w:autoSpaceDE/>
        <w:autoSpaceDN/>
        <w:adjustRightInd/>
        <w:snapToGrid/>
        <w:spacing w:line="400" w:lineRule="exact"/>
        <w:ind w:firstLine="482" w:firstLineChars="200"/>
        <w:jc w:val="both"/>
        <w:textAlignment w:val="auto"/>
        <w:rPr>
          <w:rFonts w:hint="eastAsia" w:ascii="宋体" w:hAnsi="宋体" w:eastAsia="宋体" w:cs="宋体"/>
          <w:b/>
          <w:bCs/>
          <w:snapToGrid/>
          <w:color w:val="000000" w:themeColor="text1"/>
          <w:kern w:val="2"/>
          <w:sz w:val="24"/>
          <w:szCs w:val="24"/>
          <w:highlight w:val="none"/>
          <w:shd w:val="clear" w:color="auto" w:fill="FFFFFF"/>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5.1.1.</w:t>
      </w:r>
      <w:r>
        <w:rPr>
          <w:rFonts w:hint="eastAsia" w:ascii="宋体" w:hAnsi="宋体" w:eastAsia="宋体" w:cs="宋体"/>
          <w:b/>
          <w:bCs/>
          <w:snapToGrid/>
          <w:color w:val="000000" w:themeColor="text1"/>
          <w:kern w:val="2"/>
          <w:sz w:val="24"/>
          <w:szCs w:val="24"/>
          <w:highlight w:val="none"/>
          <w:shd w:val="clear" w:color="auto" w:fill="FFFFFF"/>
          <w:lang w:eastAsia="zh-CN"/>
          <w14:textFill>
            <w14:solidFill>
              <w14:schemeClr w14:val="tx1"/>
            </w14:solidFill>
          </w14:textFill>
        </w:rPr>
        <w:t>项目情况介绍</w:t>
      </w:r>
    </w:p>
    <w:p w14:paraId="500EA449">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招标人代表介绍项目的概况及招标要求，以及定标方法与定标工作规则，不得发表具有倾向性的言论。</w:t>
      </w:r>
    </w:p>
    <w:p w14:paraId="32132C59">
      <w:pPr>
        <w:widowControl w:val="0"/>
        <w:kinsoku/>
        <w:autoSpaceDE/>
        <w:autoSpaceDN/>
        <w:adjustRightInd/>
        <w:snapToGrid/>
        <w:spacing w:line="400" w:lineRule="exact"/>
        <w:ind w:firstLine="482" w:firstLineChars="200"/>
        <w:jc w:val="both"/>
        <w:textAlignment w:val="auto"/>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5.1.2.</w:t>
      </w:r>
      <w:r>
        <w:rPr>
          <w:rFonts w:hint="eastAsia" w:ascii="宋体" w:hAnsi="宋体" w:eastAsia="宋体" w:cs="宋体"/>
          <w:b/>
          <w:bCs/>
          <w:snapToGrid/>
          <w:color w:val="000000" w:themeColor="text1"/>
          <w:kern w:val="2"/>
          <w:sz w:val="24"/>
          <w:szCs w:val="24"/>
          <w:highlight w:val="none"/>
          <w:shd w:val="clear" w:color="auto" w:fill="FFFFFF"/>
          <w:lang w:eastAsia="zh-CN"/>
          <w14:textFill>
            <w14:solidFill>
              <w14:schemeClr w14:val="tx1"/>
            </w14:solidFill>
          </w14:textFill>
        </w:rPr>
        <w:t>审阅定标资料</w:t>
      </w:r>
    </w:p>
    <w:p w14:paraId="44EFA81D">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定标委员会成员对各定标候选人的投标文件进行审阅，审阅内容主要是定标工作规则所规定的定标因素，聚焦于项目需求与候选人能力的匹配度</w:t>
      </w: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w:t>
      </w:r>
    </w:p>
    <w:p w14:paraId="1B34CBBC">
      <w:pPr>
        <w:shd w:val="clear" w:color="auto" w:fill="FFFFFF"/>
        <w:kinsoku/>
        <w:autoSpaceDE/>
        <w:autoSpaceDN/>
        <w:adjustRightInd/>
        <w:snapToGrid/>
        <w:spacing w:line="360" w:lineRule="exact"/>
        <w:ind w:firstLine="482" w:firstLineChars="200"/>
        <w:jc w:val="both"/>
        <w:textAlignment w:val="auto"/>
        <w:rPr>
          <w:rFonts w:hint="eastAsia" w:ascii="宋体" w:hAnsi="宋体" w:eastAsia="宋体" w:cs="宋体"/>
          <w:b/>
          <w:bCs/>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5.1.3.</w:t>
      </w:r>
      <w:r>
        <w:rPr>
          <w:rFonts w:hint="eastAsia" w:ascii="宋体" w:hAnsi="宋体" w:eastAsia="宋体" w:cs="宋体"/>
          <w:b/>
          <w:bCs/>
          <w:color w:val="000000" w:themeColor="text1"/>
          <w:sz w:val="24"/>
          <w:szCs w:val="24"/>
          <w:highlight w:val="none"/>
          <w:shd w:val="clear" w:color="auto" w:fill="FFFFFF"/>
          <w:lang w:eastAsia="zh-CN"/>
          <w14:textFill>
            <w14:solidFill>
              <w14:schemeClr w14:val="tx1"/>
            </w14:solidFill>
          </w14:textFill>
        </w:rPr>
        <w:t>疑问澄清</w:t>
      </w:r>
    </w:p>
    <w:p w14:paraId="79AB07BE">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定标会议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6424A569">
      <w:pPr>
        <w:widowControl w:val="0"/>
        <w:kinsoku/>
        <w:autoSpaceDE/>
        <w:autoSpaceDN/>
        <w:adjustRightInd/>
        <w:snapToGrid/>
        <w:spacing w:line="400" w:lineRule="exact"/>
        <w:ind w:firstLine="482" w:firstLineChars="200"/>
        <w:jc w:val="both"/>
        <w:textAlignment w:val="auto"/>
        <w:rPr>
          <w:rFonts w:hint="eastAsia" w:ascii="宋体" w:hAnsi="宋体" w:eastAsia="宋体" w:cs="宋体"/>
          <w:b/>
          <w:bCs/>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b/>
          <w:bCs/>
          <w:snapToGrid/>
          <w:color w:val="000000" w:themeColor="text1"/>
          <w:sz w:val="24"/>
          <w:szCs w:val="24"/>
          <w:highlight w:val="none"/>
          <w:shd w:val="clear" w:color="auto" w:fill="FFFFFF"/>
          <w:lang w:eastAsia="zh-CN"/>
          <w14:textFill>
            <w14:solidFill>
              <w14:schemeClr w14:val="tx1"/>
            </w14:solidFill>
          </w14:textFill>
        </w:rPr>
        <w:t>5.1.4.投票，收票，点票和汇总</w:t>
      </w:r>
    </w:p>
    <w:p w14:paraId="38692718">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定标委员会成员按照</w:t>
      </w:r>
      <w:r>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t>票决数量法</w:t>
      </w: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定标</w:t>
      </w:r>
      <w:r>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t>办</w:t>
      </w: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法程序，根据公平、公正、择优原则，独立完成票决后，统一由定标工作人员收集、清点，并对票数进行汇总排名。得票相同且影响中标候选人排序确定的，可由定标委员会对总票数相同的单位进行再次票决确定排序。</w:t>
      </w:r>
    </w:p>
    <w:p w14:paraId="2FEF72FF">
      <w:pPr>
        <w:widowControl w:val="0"/>
        <w:kinsoku/>
        <w:autoSpaceDE/>
        <w:autoSpaceDN/>
        <w:adjustRightInd/>
        <w:snapToGrid/>
        <w:spacing w:line="400" w:lineRule="exact"/>
        <w:ind w:firstLine="482" w:firstLineChars="200"/>
        <w:jc w:val="both"/>
        <w:textAlignment w:val="auto"/>
        <w:rPr>
          <w:rFonts w:hint="eastAsia" w:ascii="宋体" w:hAnsi="宋体" w:eastAsia="宋体" w:cs="宋体"/>
          <w:bCs/>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sz w:val="24"/>
          <w:szCs w:val="24"/>
          <w:highlight w:val="none"/>
          <w:shd w:val="clear" w:color="auto" w:fill="FFFFFF"/>
          <w:lang w:eastAsia="zh-CN"/>
          <w14:textFill>
            <w14:solidFill>
              <w14:schemeClr w14:val="tx1"/>
            </w14:solidFill>
          </w14:textFill>
        </w:rPr>
        <w:t>5.1.5.公布结果和出具定标报告</w:t>
      </w:r>
    </w:p>
    <w:p w14:paraId="59162899">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Cs/>
          <w:snapToGrid/>
          <w:color w:val="000000" w:themeColor="text1"/>
          <w:kern w:val="2"/>
          <w:sz w:val="24"/>
          <w:szCs w:val="24"/>
          <w:highlight w:val="none"/>
          <w:lang w:eastAsia="zh-CN"/>
          <w14:textFill>
            <w14:solidFill>
              <w14:schemeClr w14:val="tx1"/>
            </w14:solidFill>
          </w14:textFill>
        </w:rPr>
        <w:t>点票工作完成后，定标委员会组长汇总定标结果，编制定标报告，确定中标候选人，全体成员签名。</w:t>
      </w:r>
    </w:p>
    <w:p w14:paraId="4155CD7C">
      <w:pPr>
        <w:shd w:val="clear" w:color="auto" w:fill="FFFFFF"/>
        <w:kinsoku/>
        <w:autoSpaceDE/>
        <w:autoSpaceDN/>
        <w:adjustRightInd/>
        <w:snapToGrid/>
        <w:spacing w:line="360" w:lineRule="exact"/>
        <w:ind w:left="420" w:leftChars="200"/>
        <w:jc w:val="both"/>
        <w:textAlignment w:val="auto"/>
        <w:rPr>
          <w:rFonts w:hint="eastAsia" w:ascii="宋体" w:hAnsi="宋体" w:eastAsia="宋体" w:cs="宋体"/>
          <w:b/>
          <w:bCs/>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5.1.6.</w:t>
      </w:r>
      <w:r>
        <w:rPr>
          <w:rFonts w:hint="eastAsia" w:ascii="宋体" w:hAnsi="宋体" w:eastAsia="宋体" w:cs="宋体"/>
          <w:b/>
          <w:bCs/>
          <w:color w:val="000000" w:themeColor="text1"/>
          <w:sz w:val="24"/>
          <w:szCs w:val="24"/>
          <w:highlight w:val="none"/>
          <w:shd w:val="clear" w:color="auto" w:fill="FFFFFF"/>
          <w:lang w:eastAsia="zh-CN"/>
          <w14:textFill>
            <w14:solidFill>
              <w14:schemeClr w14:val="tx1"/>
            </w14:solidFill>
          </w14:textFill>
        </w:rPr>
        <w:t>全程监督</w:t>
      </w:r>
    </w:p>
    <w:p w14:paraId="4F73540D">
      <w:pPr>
        <w:widowControl w:val="0"/>
        <w:kinsoku/>
        <w:autoSpaceDE/>
        <w:autoSpaceDN/>
        <w:adjustRightInd/>
        <w:snapToGrid/>
        <w:spacing w:line="400" w:lineRule="exact"/>
        <w:ind w:firstLine="480" w:firstLineChars="200"/>
        <w:jc w:val="both"/>
        <w:textAlignment w:val="auto"/>
        <w:rPr>
          <w:rFonts w:hint="eastAsia" w:ascii="宋体" w:hAnsi="宋体" w:eastAsia="宋体" w:cs="宋体"/>
          <w:bCs/>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Cs/>
          <w:snapToGrid/>
          <w:color w:val="000000" w:themeColor="text1"/>
          <w:kern w:val="2"/>
          <w:sz w:val="24"/>
          <w:szCs w:val="24"/>
          <w:highlight w:val="none"/>
          <w:lang w:eastAsia="zh-CN"/>
          <w14:textFill>
            <w14:solidFill>
              <w14:schemeClr w14:val="tx1"/>
            </w14:solidFill>
          </w14:textFill>
        </w:rPr>
        <w:t>招标监督小组对定标会议的全过程进行监督，确保程序合规、记录完整，结论形成过程公正、透明。</w:t>
      </w:r>
    </w:p>
    <w:p w14:paraId="157B35CE">
      <w:pPr>
        <w:widowControl w:val="0"/>
        <w:kinsoku/>
        <w:autoSpaceDE/>
        <w:autoSpaceDN/>
        <w:adjustRightInd/>
        <w:snapToGrid/>
        <w:spacing w:line="400" w:lineRule="exact"/>
        <w:ind w:firstLine="482" w:firstLineChars="200"/>
        <w:jc w:val="both"/>
        <w:textAlignment w:val="auto"/>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5.2定标因素</w:t>
      </w:r>
    </w:p>
    <w:p w14:paraId="72CF9F9A">
      <w:pPr>
        <w:widowControl w:val="0"/>
        <w:kinsoku/>
        <w:autoSpaceDE/>
        <w:autoSpaceDN/>
        <w:adjustRightInd/>
        <w:snapToGrid/>
        <w:spacing w:line="400" w:lineRule="exact"/>
        <w:ind w:firstLine="480" w:firstLineChars="200"/>
        <w:jc w:val="both"/>
        <w:textAlignment w:val="auto"/>
        <w:rPr>
          <w:rFonts w:hint="eastAsia" w:ascii="宋体" w:hAnsi="宋体" w:eastAsia="宋体" w:cs="宋体"/>
          <w:i/>
          <w:iCs/>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在同等条件下，择优的定标因素和相对标准有以下几个方面：</w:t>
      </w:r>
    </w:p>
    <w:p w14:paraId="4496004D">
      <w:pPr>
        <w:widowControl w:val="0"/>
        <w:kinsoku/>
        <w:autoSpaceDE/>
        <w:autoSpaceDN/>
        <w:adjustRightInd/>
        <w:snapToGrid/>
        <w:spacing w:line="400" w:lineRule="exact"/>
        <w:ind w:firstLine="482"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（1）拟派团队管理能力与水平（履约能力）</w:t>
      </w:r>
    </w:p>
    <w:p w14:paraId="66B68022">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相对标准：拟派团队管理能力与水平（履约能力）强的定标候选人优于拟派团队管理能力与水平（履约能力）一般的定标候选人。</w:t>
      </w:r>
    </w:p>
    <w:p w14:paraId="4A0B512F">
      <w:pPr>
        <w:widowControl w:val="0"/>
        <w:kinsoku/>
        <w:autoSpaceDE/>
        <w:autoSpaceDN/>
        <w:adjustRightInd/>
        <w:snapToGrid/>
        <w:spacing w:line="400" w:lineRule="exact"/>
        <w:ind w:firstLine="482"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（2）企业信誉</w:t>
      </w:r>
    </w:p>
    <w:p w14:paraId="7D6987F2">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相对标准：企业信誉评价好的定标候选人优于企业信誉评价一般的定标候选人。</w:t>
      </w:r>
    </w:p>
    <w:p w14:paraId="72003E28">
      <w:pPr>
        <w:widowControl w:val="0"/>
        <w:kinsoku/>
        <w:autoSpaceDE/>
        <w:autoSpaceDN/>
        <w:adjustRightInd/>
        <w:snapToGrid/>
        <w:spacing w:line="400" w:lineRule="exact"/>
        <w:ind w:firstLine="482" w:firstLineChars="200"/>
        <w:jc w:val="both"/>
        <w:textAlignment w:val="auto"/>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（3）企业实力</w:t>
      </w:r>
    </w:p>
    <w:p w14:paraId="7F5DD8C9">
      <w:pPr>
        <w:widowControl w:val="0"/>
        <w:kinsoku/>
        <w:autoSpaceDE/>
        <w:autoSpaceDN/>
        <w:adjustRightInd/>
        <w:snapToGrid/>
        <w:spacing w:line="400" w:lineRule="exact"/>
        <w:ind w:firstLine="480" w:firstLineChars="200"/>
        <w:jc w:val="both"/>
        <w:textAlignment w:val="auto"/>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相对标准：企业实力强的定标候选人优于企业实力弱的定标候选人（结合定标候选人提交的证明材料进行评审）。</w:t>
      </w:r>
    </w:p>
    <w:p w14:paraId="7B4A332C">
      <w:pPr>
        <w:widowControl w:val="0"/>
        <w:kinsoku/>
        <w:autoSpaceDE/>
        <w:autoSpaceDN/>
        <w:adjustRightInd/>
        <w:snapToGrid/>
        <w:spacing w:line="400" w:lineRule="exact"/>
        <w:ind w:firstLine="482" w:firstLineChars="200"/>
        <w:jc w:val="both"/>
        <w:textAlignment w:val="auto"/>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（4）评标报告</w:t>
      </w:r>
    </w:p>
    <w:p w14:paraId="0D2CE095">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相对标准：评标委员会评审意见为具有优势、风险低的定标候选人优于评标委员会评审意见为没有优势、风险高的定标候选人（综合考虑评标委员会的评审意见，对各定标候选人的优势、风险等评审情况进行评审比较）。</w:t>
      </w:r>
    </w:p>
    <w:p w14:paraId="0DCAD98F">
      <w:pPr>
        <w:widowControl w:val="0"/>
        <w:kinsoku/>
        <w:autoSpaceDE/>
        <w:autoSpaceDN/>
        <w:adjustRightInd/>
        <w:snapToGrid/>
        <w:spacing w:line="400" w:lineRule="exact"/>
        <w:ind w:firstLine="482"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（5）农民工工资保障情况</w:t>
      </w:r>
    </w:p>
    <w:p w14:paraId="70264F51">
      <w:pPr>
        <w:widowControl w:val="0"/>
        <w:kinsoku/>
        <w:autoSpaceDE/>
        <w:autoSpaceDN/>
        <w:adjustRightInd/>
        <w:snapToGrid/>
        <w:spacing w:line="400" w:lineRule="exact"/>
        <w:ind w:firstLine="480" w:firstLineChars="200"/>
        <w:jc w:val="both"/>
        <w:textAlignment w:val="auto"/>
        <w:rPr>
          <w:rFonts w:hint="eastAsia" w:ascii="宋体" w:hAnsi="宋体" w:eastAsia="宋体" w:cs="宋体"/>
          <w:b/>
          <w:bCs/>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相对标准：农民工工资保障情况好的定标候选人优于农民工工资保障情况差的定标候选人（结合</w:t>
      </w: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定标候选人提交的证明材料和招标人查询的材料进行评审）。</w:t>
      </w:r>
    </w:p>
    <w:p w14:paraId="57A215DA">
      <w:pPr>
        <w:widowControl w:val="0"/>
        <w:kinsoku/>
        <w:autoSpaceDE/>
        <w:autoSpaceDN/>
        <w:adjustRightInd/>
        <w:snapToGrid/>
        <w:spacing w:line="400" w:lineRule="exact"/>
        <w:ind w:firstLine="482" w:firstLineChars="200"/>
        <w:jc w:val="both"/>
        <w:textAlignment w:val="auto"/>
        <w:rPr>
          <w:rFonts w:hint="eastAsia" w:ascii="宋体" w:hAnsi="宋体" w:eastAsia="宋体" w:cs="宋体"/>
          <w:b/>
          <w:bCs/>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b/>
          <w:bCs/>
          <w:snapToGrid/>
          <w:color w:val="000000" w:themeColor="text1"/>
          <w:sz w:val="24"/>
          <w:szCs w:val="24"/>
          <w:highlight w:val="none"/>
          <w:shd w:val="clear" w:color="auto" w:fill="FFFFFF"/>
          <w:lang w:eastAsia="zh-CN"/>
          <w14:textFill>
            <w14:solidFill>
              <w14:schemeClr w14:val="tx1"/>
            </w14:solidFill>
          </w14:textFill>
        </w:rPr>
        <w:t>6.定标结果公示</w:t>
      </w:r>
    </w:p>
    <w:p w14:paraId="28860487">
      <w:pPr>
        <w:widowControl w:val="0"/>
        <w:kinsoku/>
        <w:autoSpaceDE/>
        <w:autoSpaceDN/>
        <w:adjustRightInd/>
        <w:snapToGrid/>
        <w:spacing w:line="400" w:lineRule="exact"/>
        <w:ind w:firstLine="480" w:firstLineChars="200"/>
        <w:jc w:val="both"/>
        <w:textAlignment w:val="auto"/>
        <w:rPr>
          <w:rStyle w:val="26"/>
          <w:rFonts w:hint="eastAsia" w:ascii="宋体" w:hAnsi="宋体" w:eastAsia="宋体" w:cs="宋体"/>
          <w:snapToGrid/>
          <w:color w:val="000000" w:themeColor="text1"/>
          <w:sz w:val="24"/>
          <w:szCs w:val="24"/>
          <w:highlight w:val="none"/>
          <w:lang w:eastAsia="zh-CN"/>
          <w14:textFill>
            <w14:solidFill>
              <w14:schemeClr w14:val="tx1"/>
            </w14:solidFill>
          </w14:textFill>
        </w:rPr>
      </w:pPr>
      <w:r>
        <w:rPr>
          <w:rStyle w:val="26"/>
          <w:rFonts w:hint="eastAsia" w:ascii="宋体" w:hAnsi="宋体" w:eastAsia="宋体" w:cs="宋体"/>
          <w:snapToGrid/>
          <w:color w:val="000000" w:themeColor="text1"/>
          <w:sz w:val="24"/>
          <w:szCs w:val="24"/>
          <w:highlight w:val="none"/>
          <w:lang w:eastAsia="zh-CN"/>
          <w14:textFill>
            <w14:solidFill>
              <w14:schemeClr w14:val="tx1"/>
            </w14:solidFill>
          </w14:textFill>
        </w:rPr>
        <w:t>招标人应当自收到定标报告之日起3个日历天内，在广东省招标投标监管网和全国公共资源交易平台（广东省·韶关市）上公示，公示时间不少于3个日历天，招标人及行政监督主管部门按照有关法律法规处理有关异议投诉。公示主要内容包括：定标报告（定标成员信息除外）、</w:t>
      </w:r>
      <w:r>
        <w:rPr>
          <w:rStyle w:val="26"/>
          <w:rFonts w:hint="eastAsia" w:ascii="宋体" w:hAnsi="宋体" w:eastAsia="宋体" w:cs="宋体"/>
          <w:snapToGrid/>
          <w:color w:val="000000" w:themeColor="text1"/>
          <w:sz w:val="24"/>
          <w:szCs w:val="24"/>
          <w:highlight w:val="none"/>
          <w:lang w:val="en-US" w:eastAsia="zh-CN"/>
          <w14:textFill>
            <w14:solidFill>
              <w14:schemeClr w14:val="tx1"/>
            </w14:solidFill>
          </w14:textFill>
        </w:rPr>
        <w:t>中标候选人名单</w:t>
      </w:r>
      <w:r>
        <w:rPr>
          <w:rStyle w:val="26"/>
          <w:rFonts w:hint="eastAsia" w:ascii="宋体" w:hAnsi="宋体" w:eastAsia="宋体" w:cs="宋体"/>
          <w:snapToGrid/>
          <w:color w:val="000000" w:themeColor="text1"/>
          <w:sz w:val="24"/>
          <w:szCs w:val="24"/>
          <w:highlight w:val="none"/>
          <w:lang w:eastAsia="zh-CN"/>
          <w14:textFill>
            <w14:solidFill>
              <w14:schemeClr w14:val="tx1"/>
            </w14:solidFill>
          </w14:textFill>
        </w:rPr>
        <w:t>、</w:t>
      </w:r>
      <w:r>
        <w:rPr>
          <w:rStyle w:val="26"/>
          <w:rFonts w:hint="eastAsia" w:ascii="宋体" w:hAnsi="宋体" w:eastAsia="宋体" w:cs="宋体"/>
          <w:snapToGrid/>
          <w:color w:val="000000" w:themeColor="text1"/>
          <w:sz w:val="24"/>
          <w:szCs w:val="24"/>
          <w:highlight w:val="none"/>
          <w:lang w:val="en-US" w:eastAsia="zh-CN"/>
          <w14:textFill>
            <w14:solidFill>
              <w14:schemeClr w14:val="tx1"/>
            </w14:solidFill>
          </w14:textFill>
        </w:rPr>
        <w:t>投标报</w:t>
      </w:r>
      <w:r>
        <w:rPr>
          <w:rStyle w:val="26"/>
          <w:rFonts w:hint="eastAsia" w:ascii="宋体" w:hAnsi="宋体" w:eastAsia="宋体" w:cs="宋体"/>
          <w:snapToGrid/>
          <w:color w:val="000000" w:themeColor="text1"/>
          <w:sz w:val="24"/>
          <w:szCs w:val="24"/>
          <w:highlight w:val="none"/>
          <w:lang w:eastAsia="zh-CN"/>
          <w14:textFill>
            <w14:solidFill>
              <w14:schemeClr w14:val="tx1"/>
            </w14:solidFill>
          </w14:textFill>
        </w:rPr>
        <w:t>价和拟投入本项目的项目负责人、技术负责人及各专业负责人（如有）等内容。</w:t>
      </w:r>
    </w:p>
    <w:p w14:paraId="0B89A205">
      <w:pPr>
        <w:tabs>
          <w:tab w:val="left" w:pos="885"/>
        </w:tabs>
        <w:kinsoku/>
        <w:autoSpaceDE/>
        <w:autoSpaceDN/>
        <w:adjustRightInd/>
        <w:spacing w:line="360" w:lineRule="auto"/>
        <w:jc w:val="both"/>
        <w:rPr>
          <w:rStyle w:val="26"/>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pPr>
      <w:bookmarkStart w:id="156" w:name="_Toc13023"/>
      <w:bookmarkStart w:id="157" w:name="_Toc209"/>
    </w:p>
    <w:p w14:paraId="522A5B12">
      <w:pPr>
        <w:tabs>
          <w:tab w:val="left" w:pos="885"/>
        </w:tabs>
        <w:kinsoku/>
        <w:autoSpaceDE/>
        <w:autoSpaceDN/>
        <w:adjustRightInd/>
        <w:spacing w:line="360" w:lineRule="auto"/>
        <w:jc w:val="both"/>
        <w:outlineLvl w:val="1"/>
        <w:rPr>
          <w:rStyle w:val="26"/>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pPr>
      <w:bookmarkStart w:id="158" w:name="_Toc10012"/>
      <w:bookmarkStart w:id="159" w:name="_Toc5550"/>
      <w:r>
        <w:rPr>
          <w:rStyle w:val="26"/>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第六节 中标确认</w:t>
      </w:r>
      <w:bookmarkEnd w:id="156"/>
      <w:bookmarkEnd w:id="157"/>
      <w:bookmarkEnd w:id="158"/>
      <w:bookmarkEnd w:id="159"/>
    </w:p>
    <w:p w14:paraId="1D3E4A27">
      <w:pPr>
        <w:widowControl w:val="0"/>
        <w:kinsoku/>
        <w:autoSpaceDE/>
        <w:autoSpaceDN/>
        <w:adjustRightInd/>
        <w:snapToGrid/>
        <w:spacing w:line="400" w:lineRule="exact"/>
        <w:ind w:firstLine="482" w:firstLineChars="200"/>
        <w:jc w:val="both"/>
        <w:textAlignment w:val="auto"/>
        <w:rPr>
          <w:rFonts w:hint="eastAsia" w:ascii="宋体" w:hAnsi="宋体" w:eastAsia="宋体" w:cs="宋体"/>
          <w:b/>
          <w:bCs/>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b/>
          <w:bCs/>
          <w:snapToGrid/>
          <w:color w:val="000000" w:themeColor="text1"/>
          <w:sz w:val="24"/>
          <w:szCs w:val="24"/>
          <w:highlight w:val="none"/>
          <w:shd w:val="clear" w:color="auto" w:fill="FFFFFF"/>
          <w:lang w:eastAsia="zh-CN"/>
          <w14:textFill>
            <w14:solidFill>
              <w14:schemeClr w14:val="tx1"/>
            </w14:solidFill>
          </w14:textFill>
        </w:rPr>
        <w:t>1.中标人确定</w:t>
      </w:r>
    </w:p>
    <w:p w14:paraId="33C89CE9">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 xml:space="preserve">1.1 </w:t>
      </w:r>
      <w:r>
        <w:rPr>
          <w:rFonts w:hint="eastAsia" w:ascii="宋体" w:hAnsi="宋体" w:eastAsia="宋体" w:cs="宋体"/>
          <w:snapToGrid/>
          <w:color w:val="000000" w:themeColor="text1"/>
          <w:sz w:val="24"/>
          <w:szCs w:val="24"/>
          <w:highlight w:val="none"/>
          <w:shd w:val="clear" w:color="auto" w:fill="FFFFFF"/>
          <w:lang w:val="en-US" w:eastAsia="zh-CN"/>
          <w14:textFill>
            <w14:solidFill>
              <w14:schemeClr w14:val="tx1"/>
            </w14:solidFill>
          </w14:textFill>
        </w:rPr>
        <w:t>中标人确定。定标结果公示期满无异议的，招标人确认排名第一的中标候选人为中标人，中标人的投标报价即为中标价。</w:t>
      </w:r>
    </w:p>
    <w:p w14:paraId="55B5EC46">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 xml:space="preserve">1.2 </w:t>
      </w:r>
      <w:r>
        <w:rPr>
          <w:rFonts w:hint="eastAsia" w:ascii="宋体" w:hAnsi="宋体" w:eastAsia="宋体" w:cs="宋体"/>
          <w:snapToGrid/>
          <w:color w:val="000000" w:themeColor="text1"/>
          <w:sz w:val="24"/>
          <w:szCs w:val="24"/>
          <w:highlight w:val="none"/>
          <w:shd w:val="clear" w:color="auto" w:fill="FFFFFF"/>
          <w:lang w:val="en-US" w:eastAsia="zh-CN"/>
          <w14:textFill>
            <w14:solidFill>
              <w14:schemeClr w14:val="tx1"/>
            </w14:solidFill>
          </w14:textFill>
        </w:rPr>
        <w:t>中标人确定后，招标人应当在中标人确定之日起七日内向中标人发出中标通知书并将中标结果通知其他投标人。</w:t>
      </w: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在中标通知书发出后</w:t>
      </w:r>
      <w:r>
        <w:rPr>
          <w:rFonts w:hint="eastAsia" w:ascii="宋体" w:hAnsi="宋体" w:eastAsia="宋体" w:cs="宋体"/>
          <w:snapToGrid/>
          <w:color w:val="000000" w:themeColor="text1"/>
          <w:sz w:val="24"/>
          <w:szCs w:val="24"/>
          <w:highlight w:val="none"/>
          <w:shd w:val="clear" w:color="auto" w:fill="FFFFFF"/>
          <w:lang w:val="en-US" w:eastAsia="zh-CN"/>
          <w14:textFill>
            <w14:solidFill>
              <w14:schemeClr w14:val="tx1"/>
            </w14:solidFill>
          </w14:textFill>
        </w:rPr>
        <w:t>五日</w:t>
      </w: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内，将投标保证金及银行同期存款利息退回中标候选人以外的投标人，在书面合同订立之日起五日内将投标保证金及银行同期存款利息退回中标人和其他中标候选人。</w:t>
      </w:r>
      <w:r>
        <w:rPr>
          <w:rFonts w:hint="eastAsia" w:ascii="宋体" w:hAnsi="宋体" w:eastAsia="宋体" w:cs="宋体"/>
          <w:b/>
          <w:bCs/>
          <w:snapToGrid/>
          <w:color w:val="000000" w:themeColor="text1"/>
          <w:sz w:val="24"/>
          <w:szCs w:val="24"/>
          <w:highlight w:val="none"/>
          <w:shd w:val="clear" w:color="auto" w:fill="FFFFFF"/>
          <w:lang w:eastAsia="zh-CN"/>
          <w14:textFill>
            <w14:solidFill>
              <w14:schemeClr w14:val="tx1"/>
            </w14:solidFill>
          </w14:textFill>
        </w:rPr>
        <w:t>（</w:t>
      </w:r>
      <w:r>
        <w:rPr>
          <w:rFonts w:hint="eastAsia" w:ascii="宋体" w:hAnsi="宋体" w:eastAsia="宋体" w:cs="宋体"/>
          <w:b/>
          <w:bCs/>
          <w:snapToGrid/>
          <w:color w:val="000000" w:themeColor="text1"/>
          <w:sz w:val="24"/>
          <w:szCs w:val="24"/>
          <w:highlight w:val="none"/>
          <w:shd w:val="clear" w:color="auto" w:fill="FFFFFF"/>
          <w:lang w:val="en-US" w:eastAsia="zh-CN"/>
          <w14:textFill>
            <w14:solidFill>
              <w14:schemeClr w14:val="tx1"/>
            </w14:solidFill>
          </w14:textFill>
        </w:rPr>
        <w:t>具体投标保证金退回按韶关市公共资源交易中心相应规定操作</w:t>
      </w:r>
      <w:r>
        <w:rPr>
          <w:rFonts w:hint="eastAsia" w:ascii="宋体" w:hAnsi="宋体" w:eastAsia="宋体" w:cs="宋体"/>
          <w:b/>
          <w:bCs/>
          <w:snapToGrid/>
          <w:color w:val="000000" w:themeColor="text1"/>
          <w:sz w:val="24"/>
          <w:szCs w:val="24"/>
          <w:highlight w:val="none"/>
          <w:shd w:val="clear" w:color="auto" w:fill="FFFFFF"/>
          <w:lang w:eastAsia="zh-CN"/>
          <w14:textFill>
            <w14:solidFill>
              <w14:schemeClr w14:val="tx1"/>
            </w14:solidFill>
          </w14:textFill>
        </w:rPr>
        <w:t>）</w:t>
      </w:r>
    </w:p>
    <w:p w14:paraId="4958ED93">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1.3 中标通知书发出后15日内，招标人应将中标结果在广东省招标投标监管网、全国公共资源交易平台（广东省·韶关市）进行公示。招标人应当自确定中标人之日起15日内，向有关招标管理部门提交招标投标情况的书面报告。</w:t>
      </w:r>
    </w:p>
    <w:p w14:paraId="11EE4655">
      <w:pPr>
        <w:widowControl w:val="0"/>
        <w:kinsoku/>
        <w:autoSpaceDE/>
        <w:autoSpaceDN/>
        <w:adjustRightInd/>
        <w:snapToGrid/>
        <w:spacing w:line="400" w:lineRule="exact"/>
        <w:ind w:firstLine="482" w:firstLineChars="200"/>
        <w:jc w:val="both"/>
        <w:textAlignment w:val="auto"/>
        <w:rPr>
          <w:rFonts w:hint="eastAsia" w:ascii="宋体" w:hAnsi="宋体" w:eastAsia="宋体" w:cs="宋体"/>
          <w:b/>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2.异议和投诉</w:t>
      </w:r>
    </w:p>
    <w:p w14:paraId="736BE44F">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2.1 投标人或者其他利害关系人对招标项目的评标和定标结果有异议的，应当在定标候选人和定标结果公示期间按规定向招标人提出，逾期提出的不予受理。招标人自收到异议之日起3日内作出答复；作出答复前，应当暂停招标投标活动。经招标人书面答复，异议人仍不满意的，可在法律规定的时限内向行政监督部门提出书面投诉。异议（投诉）提出、处理的具体办法和要求，按照《韶关市工程建设项目招标投标活动异议和投诉处理办法》（韶发改〔2021〕44号）执行。</w:t>
      </w:r>
    </w:p>
    <w:p w14:paraId="582E75B5">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2.2在定标候选人和定标结果公示期间有关评审结果的异议成立的，招标人原则上应当组织原评标委员会和原定标委员会对有关的问题予以纠正，问题纠正后再公示定标候选人和</w:t>
      </w:r>
      <w:r>
        <w:rPr>
          <w:rFonts w:hint="eastAsia" w:ascii="宋体" w:hAnsi="宋体" w:eastAsia="宋体" w:cs="宋体"/>
          <w:snapToGrid/>
          <w:color w:val="000000" w:themeColor="text1"/>
          <w:sz w:val="24"/>
          <w:szCs w:val="24"/>
          <w:highlight w:val="none"/>
          <w:shd w:val="clear" w:color="auto" w:fill="FFFFFF"/>
          <w:lang w:val="en-US" w:eastAsia="zh-CN"/>
          <w14:textFill>
            <w14:solidFill>
              <w14:schemeClr w14:val="tx1"/>
            </w14:solidFill>
          </w14:textFill>
        </w:rPr>
        <w:t>定标结果</w:t>
      </w: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w:t>
      </w:r>
    </w:p>
    <w:p w14:paraId="632F45B6">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2.3投标人或其他利害关系人认为招标投标活动不符合法律、行政法规规定的，可以自知道或者应当知道之日起10日内按规定向有关招标管理部门投诉。投诉应当有明确的请求和必要的证明材料。招标管理部门应当自收到投诉之日起30个工作日内作出书面处理决定。</w:t>
      </w:r>
    </w:p>
    <w:p w14:paraId="142EE43A">
      <w:pPr>
        <w:widowControl w:val="0"/>
        <w:kinsoku/>
        <w:adjustRightInd/>
        <w:snapToGrid/>
        <w:spacing w:line="340" w:lineRule="exact"/>
        <w:ind w:firstLine="482" w:firstLineChars="200"/>
        <w:jc w:val="both"/>
        <w:textAlignment w:val="auto"/>
        <w:rPr>
          <w:rFonts w:hint="eastAsia" w:ascii="宋体" w:hAnsi="宋体" w:eastAsia="宋体" w:cs="宋体"/>
          <w:b/>
          <w:bCs/>
          <w:i/>
          <w:color w:val="000000" w:themeColor="text1"/>
          <w:sz w:val="24"/>
          <w:szCs w:val="24"/>
          <w:highlight w:val="none"/>
          <w:lang w:eastAsia="zh-CN"/>
          <w14:textFill>
            <w14:solidFill>
              <w14:schemeClr w14:val="tx1"/>
            </w14:solidFill>
          </w14:textFill>
        </w:rPr>
      </w:pPr>
      <w:bookmarkStart w:id="160" w:name="_Toc236550039"/>
      <w:r>
        <w:rPr>
          <w:rStyle w:val="19"/>
          <w:rFonts w:hint="eastAsia" w:ascii="宋体" w:hAnsi="宋体" w:eastAsia="宋体" w:cs="宋体"/>
          <w:b/>
          <w:bCs/>
          <w:i w:val="0"/>
          <w:color w:val="000000" w:themeColor="text1"/>
          <w:kern w:val="2"/>
          <w:sz w:val="24"/>
          <w:szCs w:val="24"/>
          <w:highlight w:val="none"/>
          <w:lang w:eastAsia="zh-CN"/>
          <w14:textFill>
            <w14:solidFill>
              <w14:schemeClr w14:val="tx1"/>
            </w14:solidFill>
          </w14:textFill>
        </w:rPr>
        <w:t>3．废除授标</w:t>
      </w:r>
      <w:bookmarkEnd w:id="160"/>
      <w:r>
        <w:rPr>
          <w:rStyle w:val="19"/>
          <w:rFonts w:hint="eastAsia" w:ascii="宋体" w:hAnsi="宋体" w:eastAsia="宋体" w:cs="宋体"/>
          <w:b/>
          <w:bCs/>
          <w:i w:val="0"/>
          <w:color w:val="000000" w:themeColor="text1"/>
          <w:kern w:val="2"/>
          <w:sz w:val="24"/>
          <w:szCs w:val="24"/>
          <w:highlight w:val="none"/>
          <w:lang w:eastAsia="zh-CN"/>
          <w14:textFill>
            <w14:solidFill>
              <w14:schemeClr w14:val="tx1"/>
            </w14:solidFill>
          </w14:textFill>
        </w:rPr>
        <w:t>及授标</w:t>
      </w:r>
    </w:p>
    <w:p w14:paraId="46A85D10">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3.1评定标完成后，中标人有下列情形之一的，招标人应按规定取消中标人资格或废除授标：</w:t>
      </w:r>
    </w:p>
    <w:p w14:paraId="7B86979C">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（1）以他人名义投标或者以其他方式弄虚作假骗取中标的；</w:t>
      </w:r>
    </w:p>
    <w:p w14:paraId="7CD8292B">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（2）与其他投标人串通投标或以行贿的手段谋取中标的；</w:t>
      </w:r>
    </w:p>
    <w:p w14:paraId="6EC6EE2B">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（3）不是从本投标企业基本账户提交投标担保或以虚假方式提交投标保证金保函（保单）的；</w:t>
      </w:r>
    </w:p>
    <w:p w14:paraId="2C4E77D9">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（4）中标人于投标有效期终止之前撤回投标文件，或者放弃中标资格的；</w:t>
      </w:r>
    </w:p>
    <w:p w14:paraId="0B9C8FD8">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（5）因中标人过错而未能按照规定与招标人签订工程承包合同或中标人因不可抗力提出不能履行合同的；</w:t>
      </w:r>
    </w:p>
    <w:p w14:paraId="538352D2">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（6）因中标人过错而未能按照招标文件要求向招标人提交履约担保的；</w:t>
      </w:r>
    </w:p>
    <w:p w14:paraId="36D0E8E9">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（7）中标单位拟派的项目负责人从投标截止时间起在其他建设工程担任项目负责人；</w:t>
      </w:r>
    </w:p>
    <w:p w14:paraId="499CDD63">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（8）中标人被有关部门查实存在影响中标结果的违法行为，不符合中标条件的；</w:t>
      </w:r>
    </w:p>
    <w:p w14:paraId="6C763D5B">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（9）中标人在参加本项目投标时有本企业投标承诺书所列被依法限制或暂停承揽业务或停业的处罚的；</w:t>
      </w:r>
    </w:p>
    <w:p w14:paraId="155DAA55">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（10）招标文件明确规定可以废除授标的其他情形。</w:t>
      </w:r>
    </w:p>
    <w:p w14:paraId="06D3F036">
      <w:pPr>
        <w:widowControl w:val="0"/>
        <w:kinsoku/>
        <w:autoSpaceDE/>
        <w:autoSpaceDN/>
        <w:adjustRightInd/>
        <w:snapToGrid/>
        <w:spacing w:line="400" w:lineRule="exact"/>
        <w:ind w:firstLine="480" w:firstLineChars="200"/>
        <w:jc w:val="both"/>
        <w:textAlignment w:val="auto"/>
        <w:rPr>
          <w:rFonts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 xml:space="preserve">3.2 </w:t>
      </w:r>
      <w:r>
        <w:rPr>
          <w:rFonts w:hint="eastAsia" w:ascii="宋体" w:hAnsi="宋体" w:eastAsia="宋体" w:cs="宋体"/>
          <w:snapToGrid/>
          <w:color w:val="000000" w:themeColor="text1"/>
          <w:sz w:val="24"/>
          <w:szCs w:val="24"/>
          <w:highlight w:val="none"/>
          <w:shd w:val="clear" w:color="auto" w:fill="FFFFFF"/>
          <w:lang w:val="en-US" w:eastAsia="zh-CN"/>
          <w14:textFill>
            <w14:solidFill>
              <w14:schemeClr w14:val="tx1"/>
            </w14:solidFill>
          </w14:textFill>
        </w:rPr>
        <w:t>排名第一的中标候选人被取消中标候选人资格或废除授标，招标人可以按照定标委员会提出的中标候选人名单排序按规定依次确定其他中标候选人为中标人，并按规定实行中标结果公示；也可以按规定重新组织招标或报原项目审批、核准部门重新审批、核准招标方式。</w:t>
      </w:r>
    </w:p>
    <w:p w14:paraId="0CC023F3">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3.3 招标人有下列情形之一的，应依法承担相应的责任：</w:t>
      </w:r>
    </w:p>
    <w:p w14:paraId="22806163">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（1）无正当理由不发出中标通知书的；</w:t>
      </w:r>
    </w:p>
    <w:p w14:paraId="524FFCC1">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（2）招标人不按照规定确定中标人的；</w:t>
      </w:r>
    </w:p>
    <w:p w14:paraId="194C0673">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（3）中标通知书发出后无正当理由改变中标结果的；</w:t>
      </w:r>
    </w:p>
    <w:p w14:paraId="5152CF18">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（4）无正当理由不与中标人签订工程承包合同的；</w:t>
      </w:r>
    </w:p>
    <w:p w14:paraId="506DE973">
      <w:pPr>
        <w:keepNext w:val="0"/>
        <w:keepLines w:val="0"/>
        <w:pageBreakBefore w:val="0"/>
        <w:wordWrap w:val="0"/>
        <w:overflowPunct/>
        <w:topLinePunct w:val="0"/>
        <w:bidi w:val="0"/>
        <w:spacing w:before="78" w:line="219" w:lineRule="auto"/>
        <w:ind w:firstLine="480" w:firstLineChars="200"/>
        <w:outlineLvl w:val="9"/>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（5）在签订工程承包合同时向中标人提出附加条件或者更改合同实质性内容的。</w:t>
      </w:r>
    </w:p>
    <w:p w14:paraId="59129807">
      <w:pPr>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br w:type="page"/>
      </w:r>
    </w:p>
    <w:p w14:paraId="5FFFBA50">
      <w:pPr>
        <w:keepNext w:val="0"/>
        <w:keepLines w:val="0"/>
        <w:pageBreakBefore w:val="0"/>
        <w:wordWrap w:val="0"/>
        <w:overflowPunct/>
        <w:topLinePunct w:val="0"/>
        <w:bidi w:val="0"/>
        <w:spacing w:before="78" w:line="219" w:lineRule="auto"/>
        <w:ind w:left="3525"/>
        <w:outlineLvl w:val="0"/>
        <w:rPr>
          <w:rFonts w:hint="eastAsia" w:ascii="宋体" w:hAnsi="宋体" w:eastAsia="宋体" w:cs="宋体"/>
          <w:color w:val="000000" w:themeColor="text1"/>
          <w:spacing w:val="0"/>
          <w:sz w:val="24"/>
          <w:szCs w:val="24"/>
          <w:highlight w:val="none"/>
          <w14:textFill>
            <w14:solidFill>
              <w14:schemeClr w14:val="tx1"/>
            </w14:solidFill>
          </w14:textFill>
        </w:rPr>
      </w:pPr>
      <w:bookmarkStart w:id="161" w:name="_Toc5449"/>
      <w:r>
        <w:rPr>
          <w:rFonts w:hint="eastAsia" w:ascii="宋体" w:hAnsi="宋体" w:eastAsia="宋体" w:cs="宋体"/>
          <w:b/>
          <w:bCs/>
          <w:color w:val="000000" w:themeColor="text1"/>
          <w:spacing w:val="0"/>
          <w:sz w:val="24"/>
          <w:szCs w:val="24"/>
          <w:highlight w:val="none"/>
          <w14:textFill>
            <w14:solidFill>
              <w14:schemeClr w14:val="tx1"/>
            </w14:solidFill>
          </w14:textFill>
        </w:rPr>
        <w:t>第二章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中标人须知</w:t>
      </w:r>
      <w:bookmarkEnd w:id="161"/>
    </w:p>
    <w:p w14:paraId="3C63E460">
      <w:pPr>
        <w:keepNext w:val="0"/>
        <w:keepLines w:val="0"/>
        <w:pageBreakBefore w:val="0"/>
        <w:wordWrap w:val="0"/>
        <w:overflowPunct/>
        <w:topLinePunct w:val="0"/>
        <w:bidi w:val="0"/>
        <w:spacing w:before="78" w:line="219" w:lineRule="auto"/>
        <w:ind w:left="582"/>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62" w:name="_Toc22056"/>
      <w:r>
        <w:rPr>
          <w:rFonts w:hint="eastAsia" w:ascii="宋体" w:hAnsi="宋体" w:eastAsia="宋体" w:cs="宋体"/>
          <w:b/>
          <w:bCs/>
          <w:color w:val="000000" w:themeColor="text1"/>
          <w:spacing w:val="0"/>
          <w:sz w:val="24"/>
          <w:szCs w:val="24"/>
          <w:highlight w:val="none"/>
          <w14:textFill>
            <w14:solidFill>
              <w14:schemeClr w14:val="tx1"/>
            </w14:solidFill>
          </w14:textFill>
        </w:rPr>
        <w:t>1 ．中标通知书</w:t>
      </w:r>
      <w:bookmarkEnd w:id="162"/>
    </w:p>
    <w:p w14:paraId="33680385">
      <w:pPr>
        <w:keepNext w:val="0"/>
        <w:keepLines w:val="0"/>
        <w:pageBreakBefore w:val="0"/>
        <w:wordWrap w:val="0"/>
        <w:overflowPunct/>
        <w:topLinePunct w:val="0"/>
        <w:bidi w:val="0"/>
        <w:spacing w:before="152" w:line="332" w:lineRule="auto"/>
        <w:ind w:left="17" w:firstLine="559"/>
        <w:jc w:val="both"/>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招标人确定第一中标候选人为中标人，并在中标人确定之日起 7日内向中标人发出中标通知书，中标人必须按韶关市公共资源交易中心的规定办理相关手续后方可领取。中标通知书对招标人和中标人均具有法律约束力。中标通知书发出后，招标人改变中标结果和中标人放弃中标的，应当承担法律责任。</w:t>
      </w:r>
    </w:p>
    <w:p w14:paraId="0E2EC4A2">
      <w:pPr>
        <w:keepNext w:val="0"/>
        <w:keepLines w:val="0"/>
        <w:pageBreakBefore w:val="0"/>
        <w:wordWrap w:val="0"/>
        <w:overflowPunct/>
        <w:topLinePunct w:val="0"/>
        <w:bidi w:val="0"/>
        <w:spacing w:before="78" w:line="221" w:lineRule="auto"/>
        <w:ind w:left="572"/>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63" w:name="_Toc16454"/>
      <w:r>
        <w:rPr>
          <w:rFonts w:hint="eastAsia" w:ascii="宋体" w:hAnsi="宋体" w:eastAsia="宋体" w:cs="宋体"/>
          <w:b/>
          <w:bCs/>
          <w:color w:val="000000" w:themeColor="text1"/>
          <w:spacing w:val="0"/>
          <w:sz w:val="24"/>
          <w:szCs w:val="24"/>
          <w:highlight w:val="none"/>
          <w14:textFill>
            <w14:solidFill>
              <w14:schemeClr w14:val="tx1"/>
            </w14:solidFill>
          </w14:textFill>
        </w:rPr>
        <w:t>2 ．中标结果公示</w:t>
      </w:r>
      <w:bookmarkEnd w:id="163"/>
    </w:p>
    <w:p w14:paraId="6D402282">
      <w:pPr>
        <w:keepNext w:val="0"/>
        <w:keepLines w:val="0"/>
        <w:pageBreakBefore w:val="0"/>
        <w:wordWrap w:val="0"/>
        <w:overflowPunct/>
        <w:topLinePunct w:val="0"/>
        <w:bidi w:val="0"/>
        <w:spacing w:before="115" w:line="316" w:lineRule="auto"/>
        <w:ind w:left="2" w:right="203" w:firstLine="595"/>
        <w:jc w:val="both"/>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中标通知书发出后 15</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日内，招标人应将中标结果在广东省招标投标监管网（http://zbtb.gd.gov.cn）、全国公共资源交易平台（广东省 ·韶关市）（https://ygp.gdzwfw.gov.cn/ggzy-portal/#/440200/index）进行公示。</w:t>
      </w:r>
    </w:p>
    <w:p w14:paraId="2C95E54C">
      <w:pPr>
        <w:keepNext w:val="0"/>
        <w:keepLines w:val="0"/>
        <w:pageBreakBefore w:val="0"/>
        <w:wordWrap w:val="0"/>
        <w:overflowPunct/>
        <w:topLinePunct w:val="0"/>
        <w:bidi w:val="0"/>
        <w:spacing w:before="79" w:line="221" w:lineRule="auto"/>
        <w:ind w:left="570"/>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64" w:name="_Toc20203"/>
      <w:r>
        <w:rPr>
          <w:rFonts w:hint="eastAsia" w:ascii="宋体" w:hAnsi="宋体" w:eastAsia="宋体" w:cs="宋体"/>
          <w:b/>
          <w:bCs/>
          <w:color w:val="000000" w:themeColor="text1"/>
          <w:spacing w:val="0"/>
          <w:sz w:val="24"/>
          <w:szCs w:val="24"/>
          <w:highlight w:val="none"/>
          <w14:textFill>
            <w14:solidFill>
              <w14:schemeClr w14:val="tx1"/>
            </w14:solidFill>
          </w14:textFill>
        </w:rPr>
        <w:t>3 ．履约保证</w:t>
      </w:r>
      <w:bookmarkEnd w:id="164"/>
    </w:p>
    <w:p w14:paraId="677C4C26">
      <w:pPr>
        <w:keepNext w:val="0"/>
        <w:keepLines w:val="0"/>
        <w:pageBreakBefore w:val="0"/>
        <w:widowControl/>
        <w:kinsoku w:val="0"/>
        <w:wordWrap w:val="0"/>
        <w:overflowPunct/>
        <w:topLinePunct w:val="0"/>
        <w:autoSpaceDE w:val="0"/>
        <w:autoSpaceDN w:val="0"/>
        <w:bidi w:val="0"/>
        <w:adjustRightInd w:val="0"/>
        <w:snapToGrid w:val="0"/>
        <w:spacing w:before="153" w:line="312" w:lineRule="auto"/>
        <w:ind w:firstLine="482"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3.1  </w:t>
      </w:r>
      <w:r>
        <w:rPr>
          <w:rFonts w:hint="eastAsia" w:ascii="宋体" w:hAnsi="宋体" w:eastAsia="宋体" w:cs="宋体"/>
          <w:color w:val="000000" w:themeColor="text1"/>
          <w:spacing w:val="0"/>
          <w:sz w:val="24"/>
          <w:szCs w:val="24"/>
          <w:highlight w:val="none"/>
          <w14:textFill>
            <w14:solidFill>
              <w14:schemeClr w14:val="tx1"/>
            </w14:solidFill>
          </w14:textFill>
        </w:rPr>
        <w:t>中标人须在领取中标通知书之日起</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10 </w:t>
      </w:r>
      <w:r>
        <w:rPr>
          <w:rFonts w:hint="eastAsia" w:ascii="宋体" w:hAnsi="宋体" w:eastAsia="宋体" w:cs="宋体"/>
          <w:color w:val="000000" w:themeColor="text1"/>
          <w:spacing w:val="0"/>
          <w:sz w:val="24"/>
          <w:szCs w:val="24"/>
          <w:highlight w:val="none"/>
          <w14:textFill>
            <w14:solidFill>
              <w14:schemeClr w14:val="tx1"/>
            </w14:solidFill>
          </w14:textFill>
        </w:rPr>
        <w:t>个工作日内、签订合同前向招标人提交金额</w:t>
      </w:r>
      <w:r>
        <w:rPr>
          <w:rFonts w:hint="eastAsia" w:ascii="宋体" w:hAnsi="宋体" w:eastAsia="宋体" w:cs="宋体"/>
          <w:color w:val="000000" w:themeColor="text1"/>
          <w:spacing w:val="0"/>
          <w:position w:val="2"/>
          <w:sz w:val="24"/>
          <w:szCs w:val="24"/>
          <w:highlight w:val="none"/>
          <w14:textFill>
            <w14:solidFill>
              <w14:schemeClr w14:val="tx1"/>
            </w14:solidFill>
          </w14:textFill>
        </w:rPr>
        <w:t>为中标价</w:t>
      </w:r>
      <w:r>
        <w:rPr>
          <w:rFonts w:hint="eastAsia" w:ascii="宋体" w:hAnsi="宋体" w:eastAsia="宋体" w:cs="宋体"/>
          <w:color w:val="000000" w:themeColor="text1"/>
          <w:spacing w:val="0"/>
          <w:position w:val="2"/>
          <w:sz w:val="24"/>
          <w:szCs w:val="24"/>
          <w:highlight w:val="none"/>
          <w:u w:val="single"/>
          <w:lang w:val="en-US" w:eastAsia="zh-CN"/>
          <w14:textFill>
            <w14:solidFill>
              <w14:schemeClr w14:val="tx1"/>
            </w14:solidFill>
          </w14:textFill>
        </w:rPr>
        <w:t xml:space="preserve"> 5</w:t>
      </w:r>
      <w:r>
        <w:rPr>
          <w:rFonts w:hint="eastAsia" w:ascii="宋体" w:hAnsi="宋体" w:eastAsia="宋体" w:cs="宋体"/>
          <w:color w:val="000000" w:themeColor="text1"/>
          <w:spacing w:val="0"/>
          <w:position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position w:val="2"/>
          <w:sz w:val="24"/>
          <w:szCs w:val="24"/>
          <w:highlight w:val="none"/>
          <w14:textFill>
            <w14:solidFill>
              <w14:schemeClr w14:val="tx1"/>
            </w14:solidFill>
          </w14:textFill>
        </w:rPr>
        <w:t>的履约保证。联合体中标的，由联合体牵头人提交。</w:t>
      </w:r>
    </w:p>
    <w:p w14:paraId="49B5F994">
      <w:pPr>
        <w:keepNext w:val="0"/>
        <w:keepLines w:val="0"/>
        <w:pageBreakBefore w:val="0"/>
        <w:wordWrap w:val="0"/>
        <w:overflowPunct/>
        <w:topLinePunct w:val="0"/>
        <w:bidi w:val="0"/>
        <w:spacing w:before="89" w:line="286" w:lineRule="auto"/>
        <w:ind w:left="12" w:right="108" w:firstLine="47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3.2</w:t>
      </w:r>
      <w:r>
        <w:rPr>
          <w:rFonts w:hint="eastAsia" w:ascii="宋体" w:hAnsi="宋体" w:eastAsia="宋体" w:cs="宋体"/>
          <w:b/>
          <w:bCs/>
          <w:color w:val="000000" w:themeColor="text1"/>
          <w:spacing w:val="0"/>
          <w:w w:val="101"/>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position w:val="2"/>
          <w:sz w:val="24"/>
          <w:szCs w:val="24"/>
          <w:highlight w:val="none"/>
          <w14:textFill>
            <w14:solidFill>
              <w14:schemeClr w14:val="tx1"/>
            </w14:solidFill>
          </w14:textFill>
        </w:rPr>
        <w:t>中标人根据《关于统一在市公共资源交易一体化服务平台缴退工程建设项目履约保证金的通知》办理相关手续，履约保证的形式包括履约保证金、履约保证担保、履约保证保险三种，由中标人自主选择</w:t>
      </w:r>
      <w:r>
        <w:rPr>
          <w:rFonts w:hint="eastAsia" w:ascii="宋体" w:hAnsi="宋体" w:eastAsia="宋体" w:cs="宋体"/>
          <w:color w:val="000000" w:themeColor="text1"/>
          <w:spacing w:val="0"/>
          <w:sz w:val="24"/>
          <w:szCs w:val="24"/>
          <w:highlight w:val="none"/>
          <w14:textFill>
            <w14:solidFill>
              <w14:schemeClr w14:val="tx1"/>
            </w14:solidFill>
          </w14:textFill>
        </w:rPr>
        <w:t>。商业保函、银行保函或保险合同（或保险单）的有效期应当自合同生效之日起至项目通过竣工验收之日后 28 天止。</w:t>
      </w:r>
    </w:p>
    <w:p w14:paraId="0431B761">
      <w:pPr>
        <w:keepNext w:val="0"/>
        <w:keepLines w:val="0"/>
        <w:pageBreakBefore w:val="0"/>
        <w:wordWrap w:val="0"/>
        <w:overflowPunct/>
        <w:topLinePunct w:val="0"/>
        <w:bidi w:val="0"/>
        <w:spacing w:line="440" w:lineRule="exact"/>
        <w:ind w:firstLine="562"/>
        <w:rPr>
          <w:rFonts w:hint="eastAsia" w:ascii="宋体" w:hAnsi="宋体" w:eastAsia="宋体" w:cs="宋体"/>
          <w:color w:val="000000" w:themeColor="text1"/>
          <w:spacing w:val="0"/>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position w:val="2"/>
          <w:sz w:val="24"/>
          <w:szCs w:val="24"/>
          <w:highlight w:val="none"/>
          <w:lang w:eastAsia="zh-CN"/>
          <w14:textFill>
            <w14:solidFill>
              <w14:schemeClr w14:val="tx1"/>
            </w14:solidFill>
          </w14:textFill>
        </w:rPr>
        <w:t>注：中标通知书发出时，招标人发起收缴履约保证金并填写保证金金额、缴交时限和项目工期；由中标人在建设工程交易系统中自主选择一种进行缴交。项目竣工后，由招标人发起退保。）</w:t>
      </w:r>
    </w:p>
    <w:p w14:paraId="1AD60AEA">
      <w:pPr>
        <w:keepNext w:val="0"/>
        <w:keepLines w:val="0"/>
        <w:pageBreakBefore w:val="0"/>
        <w:wordWrap w:val="0"/>
        <w:overflowPunct/>
        <w:topLinePunct w:val="0"/>
        <w:bidi w:val="0"/>
        <w:spacing w:before="145" w:line="319" w:lineRule="auto"/>
        <w:ind w:left="12" w:right="108" w:firstLine="47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3.3  </w:t>
      </w:r>
      <w:r>
        <w:rPr>
          <w:rFonts w:hint="eastAsia" w:ascii="宋体" w:hAnsi="宋体" w:eastAsia="宋体" w:cs="宋体"/>
          <w:color w:val="000000" w:themeColor="text1"/>
          <w:spacing w:val="0"/>
          <w:sz w:val="24"/>
          <w:szCs w:val="24"/>
          <w:highlight w:val="none"/>
          <w14:textFill>
            <w14:solidFill>
              <w14:schemeClr w14:val="tx1"/>
            </w14:solidFill>
          </w14:textFill>
        </w:rPr>
        <w:t>中标人在领取中标通知书之日起 10 个工作日内仍未提交履约保证的，招标人发出第一次提醒函；在领取中标通知书之日起 15 个工作日内仍未提交的，招标人发出第二次提醒函；在领取中标通知书之日起 20个工作日内仍未提交的，视其放弃中标。并由招标人通报建设行政管理部门。如采用商业保函、银行保函或保险合同方式缴纳履约保证金，在保函或保险合同到期前一个月，中标人须主动办理续期手续或提交新的商业保函、银行保函或保险合同。</w:t>
      </w:r>
    </w:p>
    <w:p w14:paraId="439D8102">
      <w:pPr>
        <w:keepNext w:val="0"/>
        <w:keepLines w:val="0"/>
        <w:pageBreakBefore w:val="0"/>
        <w:wordWrap w:val="0"/>
        <w:overflowPunct/>
        <w:topLinePunct w:val="0"/>
        <w:bidi w:val="0"/>
        <w:spacing w:before="152" w:line="299" w:lineRule="auto"/>
        <w:ind w:left="12" w:right="108" w:firstLine="47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3.4  </w:t>
      </w:r>
      <w:r>
        <w:rPr>
          <w:rFonts w:hint="eastAsia" w:ascii="宋体" w:hAnsi="宋体" w:eastAsia="宋体" w:cs="宋体"/>
          <w:color w:val="000000" w:themeColor="text1"/>
          <w:spacing w:val="0"/>
          <w:sz w:val="24"/>
          <w:szCs w:val="24"/>
          <w:highlight w:val="none"/>
          <w14:textFill>
            <w14:solidFill>
              <w14:schemeClr w14:val="tx1"/>
            </w14:solidFill>
          </w14:textFill>
        </w:rPr>
        <w:t>在工程实施过程中，如果承包人（即招标阶段的中标人，下同）由于自身的资金、技术、质量、非不可抗力等原因给发包人（即招标阶段的招标人，下同）造成经济损失，发包人有权扣划相应金额的履约保证。</w:t>
      </w:r>
    </w:p>
    <w:p w14:paraId="05A3F90E">
      <w:pPr>
        <w:keepNext w:val="0"/>
        <w:keepLines w:val="0"/>
        <w:pageBreakBefore w:val="0"/>
        <w:wordWrap w:val="0"/>
        <w:overflowPunct/>
        <w:topLinePunct w:val="0"/>
        <w:bidi w:val="0"/>
        <w:spacing w:before="154" w:line="220" w:lineRule="auto"/>
        <w:ind w:left="486"/>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3.5  </w:t>
      </w:r>
      <w:r>
        <w:rPr>
          <w:rFonts w:hint="eastAsia" w:ascii="宋体" w:hAnsi="宋体" w:eastAsia="宋体" w:cs="宋体"/>
          <w:color w:val="000000" w:themeColor="text1"/>
          <w:spacing w:val="0"/>
          <w:sz w:val="24"/>
          <w:szCs w:val="24"/>
          <w:highlight w:val="none"/>
          <w14:textFill>
            <w14:solidFill>
              <w14:schemeClr w14:val="tx1"/>
            </w14:solidFill>
          </w14:textFill>
        </w:rPr>
        <w:t>项目通过竣工验收之日后 28 天内，发包人将履约保证退还给承包人。</w:t>
      </w:r>
    </w:p>
    <w:p w14:paraId="13852EBE">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52841E06">
      <w:pPr>
        <w:keepNext w:val="0"/>
        <w:keepLines w:val="0"/>
        <w:pageBreakBefore w:val="0"/>
        <w:wordWrap w:val="0"/>
        <w:overflowPunct/>
        <w:topLinePunct w:val="0"/>
        <w:bidi w:val="0"/>
        <w:spacing w:before="78" w:line="222" w:lineRule="auto"/>
        <w:ind w:left="488"/>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65" w:name="_Toc624"/>
      <w:r>
        <w:rPr>
          <w:rFonts w:hint="eastAsia" w:ascii="宋体" w:hAnsi="宋体" w:eastAsia="宋体" w:cs="宋体"/>
          <w:b/>
          <w:bCs/>
          <w:color w:val="000000" w:themeColor="text1"/>
          <w:spacing w:val="0"/>
          <w:sz w:val="24"/>
          <w:szCs w:val="24"/>
          <w:highlight w:val="none"/>
          <w14:textFill>
            <w14:solidFill>
              <w14:schemeClr w14:val="tx1"/>
            </w14:solidFill>
          </w14:textFill>
        </w:rPr>
        <w:t>4 ．合同订立</w:t>
      </w:r>
      <w:bookmarkEnd w:id="165"/>
    </w:p>
    <w:p w14:paraId="60A8639F">
      <w:pPr>
        <w:keepNext w:val="0"/>
        <w:keepLines w:val="0"/>
        <w:pageBreakBefore w:val="0"/>
        <w:widowControl/>
        <w:kinsoku w:val="0"/>
        <w:wordWrap w:val="0"/>
        <w:overflowPunct/>
        <w:topLinePunct w:val="0"/>
        <w:autoSpaceDE w:val="0"/>
        <w:autoSpaceDN w:val="0"/>
        <w:bidi w:val="0"/>
        <w:adjustRightInd w:val="0"/>
        <w:snapToGrid w:val="0"/>
        <w:spacing w:before="150" w:line="300" w:lineRule="auto"/>
        <w:ind w:left="11" w:right="108" w:firstLine="476"/>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4.1  </w:t>
      </w:r>
      <w:r>
        <w:rPr>
          <w:rFonts w:hint="eastAsia" w:ascii="宋体" w:hAnsi="宋体" w:eastAsia="宋体" w:cs="宋体"/>
          <w:color w:val="000000" w:themeColor="text1"/>
          <w:spacing w:val="0"/>
          <w:sz w:val="24"/>
          <w:szCs w:val="24"/>
          <w:highlight w:val="none"/>
          <w14:textFill>
            <w14:solidFill>
              <w14:schemeClr w14:val="tx1"/>
            </w14:solidFill>
          </w14:textFill>
        </w:rPr>
        <w:t>招标人应当自中标通知书发出之日起</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三十 </w:t>
      </w:r>
      <w:r>
        <w:rPr>
          <w:rFonts w:hint="eastAsia" w:ascii="宋体" w:hAnsi="宋体" w:eastAsia="宋体" w:cs="宋体"/>
          <w:color w:val="000000" w:themeColor="text1"/>
          <w:spacing w:val="0"/>
          <w:sz w:val="24"/>
          <w:szCs w:val="24"/>
          <w:highlight w:val="none"/>
          <w14:textFill>
            <w14:solidFill>
              <w14:schemeClr w14:val="tx1"/>
            </w14:solidFill>
          </w14:textFill>
        </w:rPr>
        <w:t>日内，按照招标文件、中标人的投标文件与中标人订立书面合同。</w:t>
      </w:r>
    </w:p>
    <w:p w14:paraId="44F9543E">
      <w:pPr>
        <w:keepNext w:val="0"/>
        <w:keepLines w:val="0"/>
        <w:pageBreakBefore w:val="0"/>
        <w:wordWrap w:val="0"/>
        <w:overflowPunct/>
        <w:topLinePunct w:val="0"/>
        <w:bidi w:val="0"/>
        <w:spacing w:before="156" w:line="219" w:lineRule="auto"/>
        <w:ind w:left="48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4.2  </w:t>
      </w:r>
      <w:r>
        <w:rPr>
          <w:rFonts w:hint="eastAsia" w:ascii="宋体" w:hAnsi="宋体" w:eastAsia="宋体" w:cs="宋体"/>
          <w:color w:val="000000" w:themeColor="text1"/>
          <w:spacing w:val="0"/>
          <w:sz w:val="24"/>
          <w:szCs w:val="24"/>
          <w:highlight w:val="none"/>
          <w14:textFill>
            <w14:solidFill>
              <w14:schemeClr w14:val="tx1"/>
            </w14:solidFill>
          </w14:textFill>
        </w:rPr>
        <w:t>不正常报价的梳理和确认</w:t>
      </w:r>
    </w:p>
    <w:p w14:paraId="416E0180">
      <w:pPr>
        <w:keepNext w:val="0"/>
        <w:keepLines w:val="0"/>
        <w:pageBreakBefore w:val="0"/>
        <w:wordWrap w:val="0"/>
        <w:overflowPunct/>
        <w:topLinePunct w:val="0"/>
        <w:bidi w:val="0"/>
        <w:spacing w:before="154" w:line="299" w:lineRule="auto"/>
        <w:ind w:left="14" w:right="64" w:firstLine="47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4.2.1 合同订立期间，在不改变中标人的投标总价的前提下，招标人应对中标人的投标报价进行全面分析和整理，从而发现并提取其中可能存在的算术性错误、错漏项、不平衡报价等不正常报价，并修正其中的算术性错误。</w:t>
      </w:r>
      <w:r>
        <w:rPr>
          <w:rFonts w:hint="eastAsia" w:ascii="宋体" w:hAnsi="宋体" w:eastAsia="宋体" w:cs="宋体"/>
          <w:color w:val="000000" w:themeColor="text1"/>
          <w:spacing w:val="0"/>
          <w:sz w:val="24"/>
          <w:szCs w:val="24"/>
          <w:highlight w:val="none"/>
          <w14:textFill>
            <w14:solidFill>
              <w14:schemeClr w14:val="tx1"/>
            </w14:solidFill>
          </w14:textFill>
        </w:rPr>
        <w:t>招标人不具备以上能力的，可授权编制本项目</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color w:val="000000" w:themeColor="text1"/>
          <w:spacing w:val="0"/>
          <w:sz w:val="24"/>
          <w:szCs w:val="24"/>
          <w:highlight w:val="none"/>
          <w14:textFill>
            <w14:solidFill>
              <w14:schemeClr w14:val="tx1"/>
            </w14:solidFill>
          </w14:textFill>
        </w:rPr>
        <w:t>的造价咨询单位实施。</w:t>
      </w:r>
    </w:p>
    <w:p w14:paraId="0BF121F6">
      <w:pPr>
        <w:keepNext w:val="0"/>
        <w:keepLines w:val="0"/>
        <w:pageBreakBefore w:val="0"/>
        <w:wordWrap w:val="0"/>
        <w:overflowPunct/>
        <w:topLinePunct w:val="0"/>
        <w:bidi w:val="0"/>
        <w:spacing w:before="121" w:line="309" w:lineRule="auto"/>
        <w:ind w:left="14" w:right="65" w:firstLine="47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4.2.2  </w:t>
      </w:r>
      <w:r>
        <w:rPr>
          <w:rFonts w:hint="eastAsia" w:ascii="宋体" w:hAnsi="宋体" w:eastAsia="宋体" w:cs="宋体"/>
          <w:color w:val="000000" w:themeColor="text1"/>
          <w:spacing w:val="0"/>
          <w:sz w:val="24"/>
          <w:szCs w:val="24"/>
          <w:highlight w:val="none"/>
          <w14:textFill>
            <w14:solidFill>
              <w14:schemeClr w14:val="tx1"/>
            </w14:solidFill>
          </w14:textFill>
        </w:rPr>
        <w:t>算术性错误的分析和修正。投标报价汇总表中，投标总价与各分项费用之和不一致的，以投标总价为准修正分项费用；投标报价汇总表的各分项费用与对应分项表中的费用不一致的，以投标报价汇总表中的分项费用为准修正对应分项表中的费用；各分项表中总价金额与依据单价计算出的结果不一致的，以总价为准修正单价。</w:t>
      </w:r>
    </w:p>
    <w:p w14:paraId="0D1041E0">
      <w:pPr>
        <w:keepNext w:val="0"/>
        <w:keepLines w:val="0"/>
        <w:pageBreakBefore w:val="0"/>
        <w:wordWrap w:val="0"/>
        <w:overflowPunct/>
        <w:topLinePunct w:val="0"/>
        <w:bidi w:val="0"/>
        <w:spacing w:before="157" w:line="279" w:lineRule="auto"/>
        <w:ind w:left="12" w:right="66"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4.2.3  </w:t>
      </w:r>
      <w:r>
        <w:rPr>
          <w:rFonts w:hint="eastAsia" w:ascii="宋体" w:hAnsi="宋体" w:eastAsia="宋体" w:cs="宋体"/>
          <w:color w:val="000000" w:themeColor="text1"/>
          <w:spacing w:val="0"/>
          <w:sz w:val="24"/>
          <w:szCs w:val="24"/>
          <w:highlight w:val="none"/>
          <w14:textFill>
            <w14:solidFill>
              <w14:schemeClr w14:val="tx1"/>
            </w14:solidFill>
          </w14:textFill>
        </w:rPr>
        <w:t>错漏项的认定。中标人已标价工程量清单中，任一清单项目未填报价格或价格为零的，视为错漏项。</w:t>
      </w:r>
    </w:p>
    <w:p w14:paraId="3A357F91">
      <w:pPr>
        <w:keepNext w:val="0"/>
        <w:keepLines w:val="0"/>
        <w:pageBreakBefore w:val="0"/>
        <w:wordWrap w:val="0"/>
        <w:overflowPunct/>
        <w:topLinePunct w:val="0"/>
        <w:bidi w:val="0"/>
        <w:spacing w:before="121" w:line="360" w:lineRule="auto"/>
        <w:ind w:firstLine="482"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4.2.4  </w:t>
      </w:r>
      <w:r>
        <w:rPr>
          <w:rFonts w:hint="eastAsia" w:ascii="宋体" w:hAnsi="宋体" w:eastAsia="宋体" w:cs="宋体"/>
          <w:color w:val="000000" w:themeColor="text1"/>
          <w:spacing w:val="0"/>
          <w:sz w:val="24"/>
          <w:szCs w:val="24"/>
          <w:highlight w:val="none"/>
          <w14:textFill>
            <w14:solidFill>
              <w14:schemeClr w14:val="tx1"/>
            </w14:solidFill>
          </w14:textFill>
        </w:rPr>
        <w:t>不平衡报价的认定。经修正算术性错误后的中标人已标价工程量清单中，</w:t>
      </w:r>
      <w:r>
        <w:rPr>
          <w:rFonts w:hint="eastAsia" w:ascii="宋体" w:hAnsi="宋体" w:eastAsia="宋体" w:cs="宋体"/>
          <w:color w:val="000000" w:themeColor="text1"/>
          <w:spacing w:val="0"/>
          <w:sz w:val="24"/>
          <w:szCs w:val="24"/>
          <w:highlight w:val="none"/>
          <w:u w:val="single"/>
          <w14:textFill>
            <w14:solidFill>
              <w14:schemeClr w14:val="tx1"/>
            </w14:solidFill>
          </w14:textFill>
        </w:rPr>
        <w:t>对于投标报价中综合单价相对</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最高投标限价</w:t>
      </w:r>
      <w:r>
        <w:rPr>
          <w:rFonts w:hint="eastAsia" w:ascii="宋体" w:hAnsi="宋体" w:eastAsia="宋体" w:cs="宋体"/>
          <w:color w:val="000000" w:themeColor="text1"/>
          <w:spacing w:val="0"/>
          <w:sz w:val="24"/>
          <w:szCs w:val="24"/>
          <w:highlight w:val="none"/>
          <w:u w:val="single"/>
          <w14:textFill>
            <w14:solidFill>
              <w14:schemeClr w14:val="tx1"/>
            </w14:solidFill>
          </w14:textFill>
        </w:rPr>
        <w:t>《</w:t>
      </w:r>
      <w:r>
        <w:rPr>
          <w:rFonts w:hint="eastAsia" w:ascii="宋体" w:hAnsi="宋体" w:eastAsia="宋体" w:cs="宋体"/>
          <w:color w:val="000000" w:themeColor="text1"/>
          <w:spacing w:val="0"/>
          <w:sz w:val="24"/>
          <w:szCs w:val="24"/>
          <w:highlight w:val="none"/>
          <w:u w:val="single"/>
          <w:lang w:eastAsia="zh-CN"/>
          <w14:textFill>
            <w14:solidFill>
              <w14:schemeClr w14:val="tx1"/>
            </w14:solidFill>
          </w14:textFill>
        </w:rPr>
        <w:t>分部分项工程项目清单计价表</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》中对应综合单价的偏差大于±15% </w:t>
      </w:r>
      <w:r>
        <w:rPr>
          <w:rFonts w:hint="eastAsia" w:ascii="宋体" w:hAnsi="宋体" w:eastAsia="宋体" w:cs="宋体"/>
          <w:color w:val="000000" w:themeColor="text1"/>
          <w:spacing w:val="0"/>
          <w:sz w:val="24"/>
          <w:szCs w:val="24"/>
          <w:highlight w:val="none"/>
          <w:u w:val="none"/>
          <w14:textFill>
            <w14:solidFill>
              <w14:schemeClr w14:val="tx1"/>
            </w14:solidFill>
          </w14:textFill>
        </w:rPr>
        <w:t>的清单项目</w:t>
      </w:r>
      <w:r>
        <w:rPr>
          <w:rFonts w:hint="eastAsia" w:ascii="宋体" w:hAnsi="宋体" w:eastAsia="宋体" w:cs="宋体"/>
          <w:color w:val="000000" w:themeColor="text1"/>
          <w:spacing w:val="0"/>
          <w:sz w:val="24"/>
          <w:szCs w:val="24"/>
          <w:highlight w:val="none"/>
          <w14:textFill>
            <w14:solidFill>
              <w14:schemeClr w14:val="tx1"/>
            </w14:solidFill>
          </w14:textFill>
        </w:rPr>
        <w:t>，视为不平衡报价项目。</w:t>
      </w:r>
    </w:p>
    <w:p w14:paraId="59BB732F">
      <w:pPr>
        <w:keepNext w:val="0"/>
        <w:keepLines w:val="0"/>
        <w:pageBreakBefore w:val="0"/>
        <w:wordWrap w:val="0"/>
        <w:overflowPunct/>
        <w:topLinePunct w:val="0"/>
        <w:bidi w:val="0"/>
        <w:spacing w:before="146" w:line="330" w:lineRule="auto"/>
        <w:ind w:left="10" w:right="65" w:firstLine="478"/>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4.2.5 </w:t>
      </w:r>
      <w:r>
        <w:rPr>
          <w:rFonts w:hint="eastAsia" w:ascii="宋体" w:hAnsi="宋体" w:eastAsia="宋体" w:cs="宋体"/>
          <w:color w:val="000000" w:themeColor="text1"/>
          <w:spacing w:val="0"/>
          <w:sz w:val="24"/>
          <w:szCs w:val="24"/>
          <w:highlight w:val="none"/>
          <w14:textFill>
            <w14:solidFill>
              <w14:schemeClr w14:val="tx1"/>
            </w14:solidFill>
          </w14:textFill>
        </w:rPr>
        <w:t>施工合同签订前，招标人或其授权的造价咨询单位应就发现的以上所有不平衡报价进行修正，形成《不平衡报价修正报告》，并由招标人和中标人共同签章确认，构成施工合同的组成部分。</w:t>
      </w:r>
    </w:p>
    <w:p w14:paraId="1B35F881">
      <w:pPr>
        <w:keepNext w:val="0"/>
        <w:keepLines w:val="0"/>
        <w:pageBreakBefore w:val="0"/>
        <w:wordWrap w:val="0"/>
        <w:overflowPunct/>
        <w:topLinePunct w:val="0"/>
        <w:bidi w:val="0"/>
        <w:spacing w:before="34" w:line="326" w:lineRule="auto"/>
        <w:ind w:left="12" w:right="65" w:firstLine="47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4.2.6 合同履行过程中，被认定为错漏项的清单项目，结算时按照第三章“拟签订合同的主要条款</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”规定处理。</w:t>
      </w:r>
    </w:p>
    <w:p w14:paraId="0A0FE849">
      <w:pPr>
        <w:keepNext w:val="0"/>
        <w:keepLines w:val="0"/>
        <w:pageBreakBefore w:val="0"/>
        <w:wordWrap w:val="0"/>
        <w:overflowPunct/>
        <w:topLinePunct w:val="0"/>
        <w:bidi w:val="0"/>
        <w:spacing w:before="33" w:line="317" w:lineRule="auto"/>
        <w:ind w:left="12" w:right="38" w:firstLine="476"/>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4.2.7  合同履行过程中，合同约定的调整因素（如工程量偏差、工程变更、项目特征不符、招标工程量清单缺项等）出现时，被认定为不平衡报价的清单项目以及采用被认定为不平衡报价的清单项目的价格作为取价（或参照取价）依据的变更、新增项目，</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按照第三章“拟签订合同的主要条款</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”有关规定调整合同价款。</w:t>
      </w:r>
    </w:p>
    <w:p w14:paraId="4C2BA967">
      <w:pPr>
        <w:keepNext w:val="0"/>
        <w:keepLines w:val="0"/>
        <w:pageBreakBefore w:val="0"/>
        <w:wordWrap w:val="0"/>
        <w:overflowPunct/>
        <w:topLinePunct w:val="0"/>
        <w:bidi w:val="0"/>
        <w:spacing w:before="87" w:line="276" w:lineRule="auto"/>
        <w:ind w:left="48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4.3  </w:t>
      </w:r>
      <w:r>
        <w:rPr>
          <w:rFonts w:hint="eastAsia" w:ascii="宋体" w:hAnsi="宋体" w:eastAsia="宋体" w:cs="宋体"/>
          <w:color w:val="000000" w:themeColor="text1"/>
          <w:spacing w:val="0"/>
          <w:sz w:val="24"/>
          <w:szCs w:val="24"/>
          <w:highlight w:val="none"/>
          <w14:textFill>
            <w14:solidFill>
              <w14:schemeClr w14:val="tx1"/>
            </w14:solidFill>
          </w14:textFill>
        </w:rPr>
        <w:t>本招标项目合同计价方式为：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单价 </w:t>
      </w:r>
      <w:r>
        <w:rPr>
          <w:rFonts w:hint="eastAsia" w:ascii="宋体" w:hAnsi="宋体" w:eastAsia="宋体" w:cs="宋体"/>
          <w:color w:val="000000" w:themeColor="text1"/>
          <w:spacing w:val="0"/>
          <w:sz w:val="24"/>
          <w:szCs w:val="24"/>
          <w:highlight w:val="none"/>
          <w14:textFill>
            <w14:solidFill>
              <w14:schemeClr w14:val="tx1"/>
            </w14:solidFill>
          </w14:textFill>
        </w:rPr>
        <w:t>合同。</w:t>
      </w:r>
    </w:p>
    <w:p w14:paraId="7AD8D0F4">
      <w:pPr>
        <w:keepNext w:val="0"/>
        <w:keepLines w:val="0"/>
        <w:pageBreakBefore w:val="0"/>
        <w:wordWrap w:val="0"/>
        <w:overflowPunct/>
        <w:topLinePunct w:val="0"/>
        <w:bidi w:val="0"/>
        <w:spacing w:before="120" w:line="298" w:lineRule="auto"/>
        <w:ind w:left="11" w:right="28"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4.4  </w:t>
      </w:r>
      <w:r>
        <w:rPr>
          <w:rFonts w:hint="eastAsia" w:ascii="宋体" w:hAnsi="宋体" w:eastAsia="宋体" w:cs="宋体"/>
          <w:color w:val="000000" w:themeColor="text1"/>
          <w:spacing w:val="0"/>
          <w:sz w:val="24"/>
          <w:szCs w:val="24"/>
          <w:highlight w:val="none"/>
          <w14:textFill>
            <w14:solidFill>
              <w14:schemeClr w14:val="tx1"/>
            </w14:solidFill>
          </w14:textFill>
        </w:rPr>
        <w:t>合同的标的、质量、履行期限条款和合同的价款、单价、比例条款等主要条款，应当与招标文件、中标人的投标文件的内容一致。中标人在签订合同时不得向招标人提出附加条件。</w:t>
      </w:r>
    </w:p>
    <w:p w14:paraId="77C16957">
      <w:pPr>
        <w:keepNext w:val="0"/>
        <w:keepLines w:val="0"/>
        <w:pageBreakBefore w:val="0"/>
        <w:wordWrap w:val="0"/>
        <w:overflowPunct/>
        <w:topLinePunct w:val="0"/>
        <w:bidi w:val="0"/>
        <w:spacing w:before="150" w:line="319" w:lineRule="auto"/>
        <w:ind w:left="12" w:right="91"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4.5  若中标人在领取中标通知书之日起 30 天内仍未签订合同，招标人发出第一次提醒函；在领取中标通知书之日起 40 天内仍未签订，招标人发出第二次提醒函；在领取中标通知书之日起 45 天内仍未签订，视其放弃中标。</w:t>
      </w:r>
    </w:p>
    <w:p w14:paraId="3235BDE2">
      <w:pPr>
        <w:keepNext w:val="0"/>
        <w:keepLines w:val="0"/>
        <w:pageBreakBefore w:val="0"/>
        <w:wordWrap w:val="0"/>
        <w:overflowPunct/>
        <w:topLinePunct w:val="0"/>
        <w:bidi w:val="0"/>
        <w:spacing w:before="150" w:line="319" w:lineRule="auto"/>
        <w:ind w:left="12" w:right="91"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4.6  在书面合同订立之日起 2 个工作日内，由中标人或招标代理机构将合同上传至建设工程交易系统，并发起退还投标保证的申请。韶关市公共资源交易中心在收到申请之日起 3 个工作日内，将投标保证金（或银行保函）退还给中标人和其他中标候选人。</w:t>
      </w:r>
    </w:p>
    <w:p w14:paraId="1D51752E">
      <w:pPr>
        <w:keepNext w:val="0"/>
        <w:keepLines w:val="0"/>
        <w:pageBreakBefore w:val="0"/>
        <w:wordWrap w:val="0"/>
        <w:overflowPunct/>
        <w:topLinePunct w:val="0"/>
        <w:bidi w:val="0"/>
        <w:spacing w:before="78" w:line="220" w:lineRule="auto"/>
        <w:ind w:left="489"/>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66" w:name="_Toc13877"/>
      <w:r>
        <w:rPr>
          <w:rFonts w:hint="eastAsia" w:ascii="宋体" w:hAnsi="宋体" w:eastAsia="宋体" w:cs="宋体"/>
          <w:b/>
          <w:bCs/>
          <w:color w:val="000000" w:themeColor="text1"/>
          <w:spacing w:val="0"/>
          <w:sz w:val="24"/>
          <w:szCs w:val="24"/>
          <w:highlight w:val="none"/>
          <w14:textFill>
            <w14:solidFill>
              <w14:schemeClr w14:val="tx1"/>
            </w14:solidFill>
          </w14:textFill>
        </w:rPr>
        <w:t>5 ．放弃中标的处理</w:t>
      </w:r>
      <w:bookmarkEnd w:id="166"/>
    </w:p>
    <w:p w14:paraId="18C72D34">
      <w:pPr>
        <w:keepNext w:val="0"/>
        <w:keepLines w:val="0"/>
        <w:pageBreakBefore w:val="0"/>
        <w:wordWrap w:val="0"/>
        <w:overflowPunct/>
        <w:topLinePunct w:val="0"/>
        <w:bidi w:val="0"/>
        <w:spacing w:before="150" w:line="319" w:lineRule="auto"/>
        <w:ind w:left="12" w:right="91" w:firstLine="477"/>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5.1</w:t>
      </w:r>
      <w:r>
        <w:rPr>
          <w:rFonts w:hint="eastAsia" w:ascii="宋体" w:hAnsi="宋体" w:eastAsia="宋体" w:cs="宋体"/>
          <w:b/>
          <w:bCs/>
          <w:color w:val="000000" w:themeColor="text1"/>
          <w:spacing w:val="0"/>
          <w:w w:val="101"/>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中标人无正当理由放弃中标的，取消其中标资格，其投标保证不予退还，给招标人造成的损失超过投标保证金额的，弃标人还应当对超过部分予以赔偿。招标人可按照</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定</w:t>
      </w:r>
      <w:r>
        <w:rPr>
          <w:rFonts w:hint="eastAsia" w:ascii="宋体" w:hAnsi="宋体" w:eastAsia="宋体" w:cs="宋体"/>
          <w:color w:val="000000" w:themeColor="text1"/>
          <w:spacing w:val="0"/>
          <w:sz w:val="24"/>
          <w:szCs w:val="24"/>
          <w:highlight w:val="none"/>
          <w14:textFill>
            <w14:solidFill>
              <w14:schemeClr w14:val="tx1"/>
            </w14:solidFill>
          </w14:textFill>
        </w:rPr>
        <w:t>标委员会提交的中标候选人名单排序依次确定其他中标候选人为中标人，如果招标人认为其他中标候选人的条件明显不利于招标人的，也可以重新招标。因此种情况造成招标人重新招标的，招标人可不接受该弃标人再次投标。同时，</w:t>
      </w:r>
      <w:r>
        <w:rPr>
          <w:rFonts w:hint="eastAsia" w:ascii="宋体" w:hAnsi="宋体" w:eastAsia="宋体" w:cs="宋体"/>
          <w:b/>
          <w:bCs/>
          <w:color w:val="000000" w:themeColor="text1"/>
          <w:spacing w:val="0"/>
          <w:sz w:val="24"/>
          <w:szCs w:val="24"/>
          <w:highlight w:val="none"/>
          <w14:textFill>
            <w14:solidFill>
              <w14:schemeClr w14:val="tx1"/>
            </w14:solidFill>
          </w14:textFill>
        </w:rPr>
        <w:t>招标人应将该弃标人的失信行为向行政监督部门报告。</w:t>
      </w:r>
    </w:p>
    <w:p w14:paraId="0C97F14D">
      <w:pPr>
        <w:keepNext w:val="0"/>
        <w:keepLines w:val="0"/>
        <w:pageBreakBefore w:val="0"/>
        <w:wordWrap w:val="0"/>
        <w:overflowPunct/>
        <w:topLinePunct w:val="0"/>
        <w:bidi w:val="0"/>
        <w:spacing w:before="79" w:line="298" w:lineRule="auto"/>
        <w:ind w:left="10" w:right="91" w:firstLine="47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5.2  </w:t>
      </w:r>
      <w:r>
        <w:rPr>
          <w:rFonts w:hint="eastAsia" w:ascii="宋体" w:hAnsi="宋体" w:eastAsia="宋体" w:cs="宋体"/>
          <w:color w:val="000000" w:themeColor="text1"/>
          <w:spacing w:val="0"/>
          <w:sz w:val="24"/>
          <w:szCs w:val="24"/>
          <w:highlight w:val="none"/>
          <w14:textFill>
            <w14:solidFill>
              <w14:schemeClr w14:val="tx1"/>
            </w14:solidFill>
          </w14:textFill>
        </w:rPr>
        <w:t>中标人因不可抗力提出不能履行合同的，须在领取中标通知书之日起 10 天内提供有关证明文件或资料，其投标保证予以退还，</w:t>
      </w:r>
      <w:r>
        <w:rPr>
          <w:rFonts w:hint="eastAsia" w:ascii="宋体" w:hAnsi="宋体" w:eastAsia="宋体" w:cs="宋体"/>
          <w:color w:val="000000" w:themeColor="text1"/>
          <w:sz w:val="24"/>
          <w:szCs w:val="24"/>
          <w:highlight w:val="none"/>
          <w:lang w:eastAsia="zh-CN"/>
          <w14:textFill>
            <w14:solidFill>
              <w14:schemeClr w14:val="tx1"/>
            </w14:solidFill>
          </w14:textFill>
        </w:rPr>
        <w:t>招标人可按照</w:t>
      </w:r>
      <w:r>
        <w:rPr>
          <w:rFonts w:hint="eastAsia" w:ascii="宋体" w:hAnsi="宋体" w:eastAsia="宋体" w:cs="宋体"/>
          <w:color w:val="000000" w:themeColor="text1"/>
          <w:sz w:val="24"/>
          <w:szCs w:val="24"/>
          <w:highlight w:val="none"/>
          <w:lang w:val="en-US" w:eastAsia="zh-CN"/>
          <w14:textFill>
            <w14:solidFill>
              <w14:schemeClr w14:val="tx1"/>
            </w14:solidFill>
          </w14:textFill>
        </w:rPr>
        <w:t>定</w:t>
      </w:r>
      <w:r>
        <w:rPr>
          <w:rFonts w:hint="eastAsia" w:ascii="宋体" w:hAnsi="宋体" w:eastAsia="宋体" w:cs="宋体"/>
          <w:color w:val="000000" w:themeColor="text1"/>
          <w:sz w:val="24"/>
          <w:szCs w:val="24"/>
          <w:highlight w:val="none"/>
          <w:lang w:eastAsia="zh-CN"/>
          <w14:textFill>
            <w14:solidFill>
              <w14:schemeClr w14:val="tx1"/>
            </w14:solidFill>
          </w14:textFill>
        </w:rPr>
        <w:t>标委员会提出的中标候选人名单排序依次确定其他中标候选人为中标人。如果招标人认为其他中标候选人的条</w:t>
      </w:r>
      <w:bookmarkStart w:id="167" w:name="bookmark84"/>
      <w:bookmarkEnd w:id="167"/>
      <w:r>
        <w:rPr>
          <w:rFonts w:hint="eastAsia" w:ascii="宋体" w:hAnsi="宋体" w:eastAsia="宋体" w:cs="宋体"/>
          <w:color w:val="000000" w:themeColor="text1"/>
          <w:sz w:val="24"/>
          <w:szCs w:val="24"/>
          <w:highlight w:val="none"/>
          <w:lang w:eastAsia="zh-CN"/>
          <w14:textFill>
            <w14:solidFill>
              <w14:schemeClr w14:val="tx1"/>
            </w14:solidFill>
          </w14:textFill>
        </w:rPr>
        <w:t>件明显不利于招标人的，也可以重新招标。</w:t>
      </w:r>
    </w:p>
    <w:p w14:paraId="5D2715B3">
      <w:pPr>
        <w:pStyle w:val="13"/>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1D167E59">
      <w:pPr>
        <w:pStyle w:val="13"/>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sectPr>
          <w:footerReference r:id="rId12"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3622B001">
      <w:pPr>
        <w:keepNext w:val="0"/>
        <w:keepLines w:val="0"/>
        <w:pageBreakBefore w:val="0"/>
        <w:wordWrap w:val="0"/>
        <w:overflowPunct/>
        <w:topLinePunct w:val="0"/>
        <w:bidi w:val="0"/>
        <w:spacing w:before="78" w:line="219" w:lineRule="auto"/>
        <w:ind w:left="2923"/>
        <w:outlineLvl w:val="0"/>
        <w:rPr>
          <w:rFonts w:hint="eastAsia" w:ascii="宋体" w:hAnsi="宋体" w:eastAsia="宋体" w:cs="宋体"/>
          <w:color w:val="000000" w:themeColor="text1"/>
          <w:spacing w:val="0"/>
          <w:sz w:val="24"/>
          <w:szCs w:val="24"/>
          <w:highlight w:val="none"/>
          <w14:textFill>
            <w14:solidFill>
              <w14:schemeClr w14:val="tx1"/>
            </w14:solidFill>
          </w14:textFill>
        </w:rPr>
      </w:pPr>
      <w:bookmarkStart w:id="168" w:name="bookmark86"/>
      <w:bookmarkEnd w:id="168"/>
      <w:bookmarkStart w:id="169" w:name="_Toc10710"/>
      <w:r>
        <w:rPr>
          <w:rFonts w:hint="eastAsia" w:ascii="宋体" w:hAnsi="宋体" w:eastAsia="宋体" w:cs="宋体"/>
          <w:b/>
          <w:bCs/>
          <w:color w:val="000000" w:themeColor="text1"/>
          <w:spacing w:val="0"/>
          <w:sz w:val="24"/>
          <w:szCs w:val="24"/>
          <w:highlight w:val="none"/>
          <w14:textFill>
            <w14:solidFill>
              <w14:schemeClr w14:val="tx1"/>
            </w14:solidFill>
          </w14:textFill>
        </w:rPr>
        <w:t>第三章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拟签订合同的主要条款</w:t>
      </w:r>
      <w:bookmarkEnd w:id="169"/>
    </w:p>
    <w:p w14:paraId="0B04D162">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0B370127">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6F61A5A1">
      <w:pPr>
        <w:keepNext w:val="0"/>
        <w:keepLines w:val="0"/>
        <w:pageBreakBefore w:val="0"/>
        <w:wordWrap w:val="0"/>
        <w:overflowPunct/>
        <w:topLinePunct w:val="0"/>
        <w:bidi w:val="0"/>
        <w:spacing w:before="78" w:line="220" w:lineRule="auto"/>
        <w:ind w:left="498"/>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70" w:name="_Toc29782"/>
      <w:r>
        <w:rPr>
          <w:rFonts w:hint="eastAsia" w:ascii="宋体" w:hAnsi="宋体" w:eastAsia="宋体" w:cs="宋体"/>
          <w:b/>
          <w:bCs/>
          <w:color w:val="000000" w:themeColor="text1"/>
          <w:spacing w:val="0"/>
          <w:sz w:val="24"/>
          <w:szCs w:val="24"/>
          <w:highlight w:val="none"/>
          <w14:textFill>
            <w14:solidFill>
              <w14:schemeClr w14:val="tx1"/>
            </w14:solidFill>
          </w14:textFill>
        </w:rPr>
        <w:t>1 ．工程承包方式</w:t>
      </w:r>
      <w:bookmarkEnd w:id="170"/>
    </w:p>
    <w:p w14:paraId="68DBE4BA">
      <w:pPr>
        <w:keepNext w:val="0"/>
        <w:keepLines w:val="0"/>
        <w:pageBreakBefore w:val="0"/>
        <w:wordWrap w:val="0"/>
        <w:overflowPunct/>
        <w:topLinePunct w:val="0"/>
        <w:bidi w:val="0"/>
        <w:spacing w:before="153" w:line="299" w:lineRule="auto"/>
        <w:ind w:left="11" w:right="295" w:firstLine="48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  </w:t>
      </w:r>
      <w:r>
        <w:rPr>
          <w:rFonts w:hint="eastAsia" w:ascii="宋体" w:hAnsi="宋体" w:eastAsia="宋体" w:cs="宋体"/>
          <w:color w:val="000000" w:themeColor="text1"/>
          <w:spacing w:val="0"/>
          <w:sz w:val="24"/>
          <w:szCs w:val="24"/>
          <w:highlight w:val="none"/>
          <w14:textFill>
            <w14:solidFill>
              <w14:schemeClr w14:val="tx1"/>
            </w14:solidFill>
          </w14:textFill>
        </w:rPr>
        <w:t>承包人以中标价按包工包料、包质量、包安全包文明施工、包工期方式总承包施工，不允许转包和违法分包，如果承包人将建设工程转包或违法分包，发包人可以解除合同</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给发包人造成的损失由承包人承担</w:t>
      </w:r>
      <w:r>
        <w:rPr>
          <w:rFonts w:hint="eastAsia" w:ascii="宋体" w:hAnsi="宋体" w:eastAsia="宋体" w:cs="宋体"/>
          <w:color w:val="000000" w:themeColor="text1"/>
          <w:spacing w:val="0"/>
          <w:sz w:val="24"/>
          <w:szCs w:val="24"/>
          <w:highlight w:val="none"/>
          <w14:textFill>
            <w14:solidFill>
              <w14:schemeClr w14:val="tx1"/>
            </w14:solidFill>
          </w14:textFill>
        </w:rPr>
        <w:t>。如果确需分包须与发包人协商，在得到发包人和监理单位同意后报建设行政主管部门备案。</w:t>
      </w:r>
    </w:p>
    <w:p w14:paraId="1A7AD95C">
      <w:pPr>
        <w:keepNext w:val="0"/>
        <w:keepLines w:val="0"/>
        <w:pageBreakBefore w:val="0"/>
        <w:wordWrap w:val="0"/>
        <w:overflowPunct/>
        <w:topLinePunct w:val="0"/>
        <w:bidi w:val="0"/>
        <w:spacing w:before="153" w:line="219" w:lineRule="auto"/>
        <w:ind w:left="5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1.1.1  </w:t>
      </w:r>
      <w:r>
        <w:rPr>
          <w:rFonts w:hint="eastAsia" w:ascii="宋体" w:hAnsi="宋体" w:eastAsia="宋体" w:cs="宋体"/>
          <w:color w:val="000000" w:themeColor="text1"/>
          <w:spacing w:val="0"/>
          <w:sz w:val="24"/>
          <w:szCs w:val="24"/>
          <w:highlight w:val="none"/>
          <w14:textFill>
            <w14:solidFill>
              <w14:schemeClr w14:val="tx1"/>
            </w14:solidFill>
          </w14:textFill>
        </w:rPr>
        <w:t>包工包料：材料符合招标文件要求并报验使用；办理用工保险。</w:t>
      </w:r>
    </w:p>
    <w:p w14:paraId="6D255FC4">
      <w:pPr>
        <w:keepNext w:val="0"/>
        <w:keepLines w:val="0"/>
        <w:pageBreakBefore w:val="0"/>
        <w:wordWrap w:val="0"/>
        <w:overflowPunct/>
        <w:topLinePunct w:val="0"/>
        <w:bidi w:val="0"/>
        <w:spacing w:before="156" w:line="220" w:lineRule="auto"/>
        <w:ind w:left="5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1.1.2  </w:t>
      </w:r>
      <w:r>
        <w:rPr>
          <w:rFonts w:hint="eastAsia" w:ascii="宋体" w:hAnsi="宋体" w:eastAsia="宋体" w:cs="宋体"/>
          <w:color w:val="000000" w:themeColor="text1"/>
          <w:spacing w:val="0"/>
          <w:sz w:val="24"/>
          <w:szCs w:val="24"/>
          <w:highlight w:val="none"/>
          <w14:textFill>
            <w14:solidFill>
              <w14:schemeClr w14:val="tx1"/>
            </w14:solidFill>
          </w14:textFill>
        </w:rPr>
        <w:t>包质量：符合招标文件要求。</w:t>
      </w:r>
    </w:p>
    <w:p w14:paraId="7B161543">
      <w:pPr>
        <w:keepNext w:val="0"/>
        <w:keepLines w:val="0"/>
        <w:pageBreakBefore w:val="0"/>
        <w:wordWrap w:val="0"/>
        <w:overflowPunct/>
        <w:topLinePunct w:val="0"/>
        <w:bidi w:val="0"/>
        <w:spacing w:before="153" w:line="220" w:lineRule="auto"/>
        <w:ind w:left="5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1.1.3  </w:t>
      </w:r>
      <w:r>
        <w:rPr>
          <w:rFonts w:hint="eastAsia" w:ascii="宋体" w:hAnsi="宋体" w:eastAsia="宋体" w:cs="宋体"/>
          <w:color w:val="000000" w:themeColor="text1"/>
          <w:spacing w:val="0"/>
          <w:sz w:val="24"/>
          <w:szCs w:val="24"/>
          <w:highlight w:val="none"/>
          <w14:textFill>
            <w14:solidFill>
              <w14:schemeClr w14:val="tx1"/>
            </w14:solidFill>
          </w14:textFill>
        </w:rPr>
        <w:t>包安全包文明施工：符合招标文件要求。</w:t>
      </w:r>
    </w:p>
    <w:p w14:paraId="41E26BE4">
      <w:pPr>
        <w:keepNext w:val="0"/>
        <w:keepLines w:val="0"/>
        <w:pageBreakBefore w:val="0"/>
        <w:wordWrap w:val="0"/>
        <w:overflowPunct/>
        <w:topLinePunct w:val="0"/>
        <w:bidi w:val="0"/>
        <w:spacing w:before="154" w:line="219" w:lineRule="auto"/>
        <w:ind w:left="5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1.1.4  </w:t>
      </w:r>
      <w:r>
        <w:rPr>
          <w:rFonts w:hint="eastAsia" w:ascii="宋体" w:hAnsi="宋体" w:eastAsia="宋体" w:cs="宋体"/>
          <w:color w:val="000000" w:themeColor="text1"/>
          <w:spacing w:val="0"/>
          <w:sz w:val="24"/>
          <w:szCs w:val="24"/>
          <w:highlight w:val="none"/>
          <w14:textFill>
            <w14:solidFill>
              <w14:schemeClr w14:val="tx1"/>
            </w14:solidFill>
          </w14:textFill>
        </w:rPr>
        <w:t>包工期：本招标项目施工必须在招标工期内完成。</w:t>
      </w:r>
    </w:p>
    <w:p w14:paraId="55262A8D">
      <w:pPr>
        <w:keepNext w:val="0"/>
        <w:keepLines w:val="0"/>
        <w:pageBreakBefore w:val="0"/>
        <w:wordWrap w:val="0"/>
        <w:overflowPunct/>
        <w:topLinePunct w:val="0"/>
        <w:bidi w:val="0"/>
        <w:spacing w:before="154" w:line="360" w:lineRule="auto"/>
        <w:ind w:left="0" w:leftChars="0" w:firstLine="482" w:firstLineChars="200"/>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1.2 项目中标后，中标人须配建一定比例的公益项目，并在签订施工合同前，先行签订公益项目捐建协议。</w:t>
      </w:r>
    </w:p>
    <w:p w14:paraId="5E683A9A">
      <w:pPr>
        <w:keepNext w:val="0"/>
        <w:keepLines w:val="0"/>
        <w:pageBreakBefore w:val="0"/>
        <w:wordWrap w:val="0"/>
        <w:overflowPunct/>
        <w:topLinePunct w:val="0"/>
        <w:bidi w:val="0"/>
        <w:spacing w:before="78" w:line="220" w:lineRule="auto"/>
        <w:ind w:left="488"/>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71" w:name="bookmark88"/>
      <w:bookmarkEnd w:id="171"/>
      <w:bookmarkStart w:id="172" w:name="_Toc28189"/>
      <w:r>
        <w:rPr>
          <w:rFonts w:hint="eastAsia" w:ascii="宋体" w:hAnsi="宋体" w:eastAsia="宋体" w:cs="宋体"/>
          <w:b/>
          <w:bCs/>
          <w:color w:val="000000" w:themeColor="text1"/>
          <w:spacing w:val="0"/>
          <w:sz w:val="24"/>
          <w:szCs w:val="24"/>
          <w:highlight w:val="none"/>
          <w14:textFill>
            <w14:solidFill>
              <w14:schemeClr w14:val="tx1"/>
            </w14:solidFill>
          </w14:textFill>
        </w:rPr>
        <w:t>2 ．工程结算原则</w:t>
      </w:r>
      <w:bookmarkEnd w:id="172"/>
    </w:p>
    <w:p w14:paraId="047D1E9F">
      <w:pPr>
        <w:keepNext w:val="0"/>
        <w:keepLines w:val="0"/>
        <w:pageBreakBefore w:val="0"/>
        <w:wordWrap w:val="0"/>
        <w:overflowPunct/>
        <w:topLinePunct w:val="0"/>
        <w:bidi w:val="0"/>
        <w:spacing w:before="153" w:line="219" w:lineRule="auto"/>
        <w:ind w:left="48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2.1 </w:t>
      </w:r>
      <w:r>
        <w:rPr>
          <w:rFonts w:hint="eastAsia" w:ascii="宋体" w:hAnsi="宋体" w:eastAsia="宋体" w:cs="宋体"/>
          <w:color w:val="000000" w:themeColor="text1"/>
          <w:spacing w:val="0"/>
          <w:sz w:val="24"/>
          <w:szCs w:val="24"/>
          <w:highlight w:val="none"/>
          <w14:textFill>
            <w14:solidFill>
              <w14:schemeClr w14:val="tx1"/>
            </w14:solidFill>
          </w14:textFill>
        </w:rPr>
        <w:t>承包人的投标总价为中标价，即为签约合同价。</w:t>
      </w:r>
    </w:p>
    <w:p w14:paraId="7FAD113F">
      <w:pPr>
        <w:keepNext w:val="0"/>
        <w:keepLines w:val="0"/>
        <w:pageBreakBefore w:val="0"/>
        <w:wordWrap w:val="0"/>
        <w:overflowPunct/>
        <w:topLinePunct w:val="0"/>
        <w:bidi w:val="0"/>
        <w:spacing w:before="155" w:line="319" w:lineRule="auto"/>
        <w:ind w:left="12" w:right="231"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2.2 </w:t>
      </w:r>
      <w:r>
        <w:rPr>
          <w:rFonts w:hint="eastAsia" w:ascii="宋体" w:hAnsi="宋体" w:eastAsia="宋体" w:cs="宋体"/>
          <w:color w:val="000000" w:themeColor="text1"/>
          <w:spacing w:val="0"/>
          <w:sz w:val="24"/>
          <w:szCs w:val="24"/>
          <w:highlight w:val="none"/>
          <w14:textFill>
            <w14:solidFill>
              <w14:schemeClr w14:val="tx1"/>
            </w14:solidFill>
          </w14:textFill>
        </w:rPr>
        <w:t>招标工程量清单标明的工程量是投标人投标报价的共同基础，竣工结算的工程量按</w:t>
      </w:r>
      <w:bookmarkStart w:id="173" w:name="OLE_LINK28"/>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建设工程工程量清单计价标准</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GB/T50500-2024</w:t>
      </w:r>
      <w:r>
        <w:rPr>
          <w:rFonts w:hint="eastAsia" w:ascii="宋体" w:hAnsi="宋体" w:eastAsia="宋体" w:cs="宋体"/>
          <w:color w:val="000000" w:themeColor="text1"/>
          <w:spacing w:val="0"/>
          <w:sz w:val="24"/>
          <w:szCs w:val="24"/>
          <w:highlight w:val="none"/>
          <w14:textFill>
            <w14:solidFill>
              <w14:schemeClr w14:val="tx1"/>
            </w14:solidFill>
          </w14:textFill>
        </w:rPr>
        <w:t>）对工程计量的规定进行计量，必须以承包人完成合同工程应予计量的工程量确定。施</w:t>
      </w:r>
      <w:bookmarkEnd w:id="173"/>
      <w:r>
        <w:rPr>
          <w:rFonts w:hint="eastAsia" w:ascii="宋体" w:hAnsi="宋体" w:eastAsia="宋体" w:cs="宋体"/>
          <w:color w:val="000000" w:themeColor="text1"/>
          <w:spacing w:val="0"/>
          <w:sz w:val="24"/>
          <w:szCs w:val="24"/>
          <w:highlight w:val="none"/>
          <w14:textFill>
            <w14:solidFill>
              <w14:schemeClr w14:val="tx1"/>
            </w14:solidFill>
          </w14:textFill>
        </w:rPr>
        <w:t>工中进行工程计量，当发现招标工程量清单中出现缺项、工程量偏差、或因工程变更引起工程量增减时，应按承包人在履行合同义务中完成的工程量计算。因承包人原因造成的超出合同工程范围施工或返工的工程量，发包人不予计量。</w:t>
      </w:r>
    </w:p>
    <w:p w14:paraId="0EBA0169">
      <w:pPr>
        <w:keepNext w:val="0"/>
        <w:keepLines w:val="0"/>
        <w:pageBreakBefore w:val="0"/>
        <w:wordWrap w:val="0"/>
        <w:overflowPunct/>
        <w:topLinePunct w:val="0"/>
        <w:bidi w:val="0"/>
        <w:spacing w:before="38" w:line="299" w:lineRule="auto"/>
        <w:ind w:left="12" w:right="183" w:firstLine="47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  </w:t>
      </w:r>
      <w:r>
        <w:rPr>
          <w:rFonts w:hint="eastAsia" w:ascii="宋体" w:hAnsi="宋体" w:eastAsia="宋体" w:cs="宋体"/>
          <w:color w:val="000000" w:themeColor="text1"/>
          <w:spacing w:val="0"/>
          <w:sz w:val="24"/>
          <w:szCs w:val="24"/>
          <w:highlight w:val="none"/>
          <w14:textFill>
            <w14:solidFill>
              <w14:schemeClr w14:val="tx1"/>
            </w14:solidFill>
          </w14:textFill>
        </w:rPr>
        <w:t>施工合同履行期间，若出现下列情形的，发、承包双方应当按照以下规定调整合同价款：</w:t>
      </w:r>
    </w:p>
    <w:p w14:paraId="28C07B92">
      <w:pPr>
        <w:keepNext w:val="0"/>
        <w:keepLines w:val="0"/>
        <w:pageBreakBefore w:val="0"/>
        <w:wordWrap w:val="0"/>
        <w:overflowPunct/>
        <w:topLinePunct w:val="0"/>
        <w:bidi w:val="0"/>
        <w:spacing w:before="227" w:line="220" w:lineRule="auto"/>
        <w:ind w:left="48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2.3.1  </w:t>
      </w:r>
      <w:r>
        <w:rPr>
          <w:rFonts w:hint="eastAsia" w:ascii="宋体" w:hAnsi="宋体" w:eastAsia="宋体" w:cs="宋体"/>
          <w:color w:val="000000" w:themeColor="text1"/>
          <w:spacing w:val="0"/>
          <w:sz w:val="24"/>
          <w:szCs w:val="24"/>
          <w:highlight w:val="none"/>
          <w14:textFill>
            <w14:solidFill>
              <w14:schemeClr w14:val="tx1"/>
            </w14:solidFill>
          </w14:textFill>
        </w:rPr>
        <w:t>法律法规变化</w:t>
      </w:r>
    </w:p>
    <w:p w14:paraId="6BF5F2D0">
      <w:pPr>
        <w:keepNext w:val="0"/>
        <w:keepLines w:val="0"/>
        <w:pageBreakBefore w:val="0"/>
        <w:wordWrap w:val="0"/>
        <w:overflowPunct/>
        <w:topLinePunct w:val="0"/>
        <w:bidi w:val="0"/>
        <w:spacing w:before="156" w:line="298" w:lineRule="auto"/>
        <w:ind w:left="10" w:right="183"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begin"/>
      </w:r>
      <w:r>
        <w:rPr>
          <w:rFonts w:hint="eastAsia" w:ascii="宋体" w:hAnsi="宋体" w:eastAsia="宋体" w:cs="宋体"/>
          <w:b/>
          <w:bCs/>
          <w:color w:val="000000" w:themeColor="text1"/>
          <w:spacing w:val="0"/>
          <w:sz w:val="24"/>
          <w:szCs w:val="24"/>
          <w:highlight w:val="none"/>
          <w14:textFill>
            <w14:solidFill>
              <w14:schemeClr w14:val="tx1"/>
            </w14:solidFill>
          </w14:textFill>
        </w:rPr>
        <w:instrText xml:space="preserve"> HYPERLINK "2.3.1.1" </w:instrTex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2.3.1.1</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color w:val="000000" w:themeColor="text1"/>
          <w:spacing w:val="0"/>
          <w:sz w:val="24"/>
          <w:szCs w:val="24"/>
          <w:highlight w:val="none"/>
          <w14:textFill>
            <w14:solidFill>
              <w14:schemeClr w14:val="tx1"/>
            </w14:solidFill>
          </w14:textFill>
        </w:rPr>
        <w:t xml:space="preserve">  基准日之后，因国家法律、法规、规章和政策发生变化引起工程造价增减变化时，发、承包双方应按照省级建设主管部门（或省级行业主管部门）或其授权的工程造价管理机构据此发布的最新规定调整合同价款。</w:t>
      </w:r>
    </w:p>
    <w:p w14:paraId="3215BC69">
      <w:pPr>
        <w:keepNext w:val="0"/>
        <w:keepLines w:val="0"/>
        <w:pageBreakBefore w:val="0"/>
        <w:wordWrap w:val="0"/>
        <w:overflowPunct/>
        <w:topLinePunct w:val="0"/>
        <w:bidi w:val="0"/>
        <w:spacing w:before="157" w:line="325" w:lineRule="auto"/>
        <w:ind w:left="12" w:right="183" w:firstLine="47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注：本招标文件所称“基准日</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”，均指投标文件递交截止时间（见第一章第二节“重要事项时间地点一览表</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”）前</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28 天。</w:t>
      </w:r>
    </w:p>
    <w:p w14:paraId="5B8E95D2">
      <w:pPr>
        <w:keepNext w:val="0"/>
        <w:keepLines w:val="0"/>
        <w:pageBreakBefore w:val="0"/>
        <w:wordWrap w:val="0"/>
        <w:overflowPunct/>
        <w:topLinePunct w:val="0"/>
        <w:bidi w:val="0"/>
        <w:spacing w:before="33" w:line="299" w:lineRule="auto"/>
        <w:ind w:left="11"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"2.3.1.2"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2.3.1.2</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因承包人原因导致工程延误，本章第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2.3.1.1 </w:t>
      </w:r>
      <w:r>
        <w:rPr>
          <w:rFonts w:hint="eastAsia" w:ascii="宋体" w:hAnsi="宋体" w:eastAsia="宋体" w:cs="宋体"/>
          <w:color w:val="000000" w:themeColor="text1"/>
          <w:spacing w:val="0"/>
          <w:sz w:val="24"/>
          <w:szCs w:val="24"/>
          <w:highlight w:val="none"/>
          <w14:textFill>
            <w14:solidFill>
              <w14:schemeClr w14:val="tx1"/>
            </w14:solidFill>
          </w14:textFill>
        </w:rPr>
        <w:t>子目中的法定机构根据国家法律法规变化发布新规的时间在合同工程原定竣工时间之后的，合同价款调增的不予调整，合同价款调减的予以调整。</w:t>
      </w:r>
    </w:p>
    <w:p w14:paraId="231CEC4D">
      <w:pPr>
        <w:keepNext w:val="0"/>
        <w:keepLines w:val="0"/>
        <w:pageBreakBefore w:val="0"/>
        <w:wordWrap w:val="0"/>
        <w:overflowPunct/>
        <w:topLinePunct w:val="0"/>
        <w:bidi w:val="0"/>
        <w:spacing w:before="155" w:line="220" w:lineRule="auto"/>
        <w:ind w:left="48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2.3.2  </w:t>
      </w:r>
      <w:r>
        <w:rPr>
          <w:rFonts w:hint="eastAsia" w:ascii="宋体" w:hAnsi="宋体" w:eastAsia="宋体" w:cs="宋体"/>
          <w:color w:val="000000" w:themeColor="text1"/>
          <w:spacing w:val="0"/>
          <w:sz w:val="24"/>
          <w:szCs w:val="24"/>
          <w:highlight w:val="none"/>
          <w14:textFill>
            <w14:solidFill>
              <w14:schemeClr w14:val="tx1"/>
            </w14:solidFill>
          </w14:textFill>
        </w:rPr>
        <w:t>工程量偏差或变化</w:t>
      </w:r>
    </w:p>
    <w:p w14:paraId="655704F0">
      <w:pPr>
        <w:keepNext w:val="0"/>
        <w:keepLines w:val="0"/>
        <w:pageBreakBefore w:val="0"/>
        <w:wordWrap w:val="0"/>
        <w:overflowPunct/>
        <w:topLinePunct w:val="0"/>
        <w:bidi w:val="0"/>
        <w:spacing w:before="158" w:line="309" w:lineRule="auto"/>
        <w:ind w:left="10" w:right="183"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"2.3.2.1"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2.3.2.1</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合同履行期间，当应予计算的实际工程量与招标工程量清单出现偏差或因工程变更引起已标价工程量清单项目的工程数量发生变化时，工程量偏差或变化在 15%以内（含 15%）的，其综合单价不予调整；工程量偏差或变化超过 15%的，按照以下规定调整：</w:t>
      </w:r>
    </w:p>
    <w:p w14:paraId="6F1EA887">
      <w:pPr>
        <w:keepNext w:val="0"/>
        <w:keepLines w:val="0"/>
        <w:pageBreakBefore w:val="0"/>
        <w:wordWrap w:val="0"/>
        <w:overflowPunct/>
        <w:topLinePunct w:val="0"/>
        <w:bidi w:val="0"/>
        <w:spacing w:before="78" w:line="327" w:lineRule="auto"/>
        <w:ind w:left="12" w:firstLine="478"/>
        <w:jc w:val="both"/>
        <w:rPr>
          <w:rFonts w:hint="eastAsia" w:ascii="宋体" w:hAnsi="宋体" w:eastAsia="宋体" w:cs="宋体"/>
          <w:color w:val="000000" w:themeColor="text1"/>
          <w:spacing w:val="0"/>
          <w:sz w:val="24"/>
          <w:szCs w:val="24"/>
          <w:highlight w:val="none"/>
          <w14:textFill>
            <w14:solidFill>
              <w14:schemeClr w14:val="tx1"/>
            </w14:solidFill>
          </w14:textFill>
        </w:rPr>
      </w:pPr>
      <w:bookmarkStart w:id="174" w:name="bookmark142"/>
      <w:bookmarkEnd w:id="174"/>
      <w:r>
        <w:rPr>
          <w:rFonts w:hint="eastAsia" w:ascii="宋体" w:hAnsi="宋体" w:eastAsia="宋体" w:cs="宋体"/>
          <w:color w:val="000000" w:themeColor="text1"/>
          <w:spacing w:val="0"/>
          <w:sz w:val="24"/>
          <w:szCs w:val="24"/>
          <w:highlight w:val="none"/>
          <w14:textFill>
            <w14:solidFill>
              <w14:schemeClr w14:val="tx1"/>
            </w14:solidFill>
          </w14:textFill>
        </w:rPr>
        <w:t>对于合理报价的清单项目，当工程量增加超过 15%时，增加部分的工程量的综合单价以投标报价《</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分部分项工程项目清单计价表</w:t>
      </w:r>
      <w:r>
        <w:rPr>
          <w:rFonts w:hint="eastAsia" w:ascii="宋体" w:hAnsi="宋体" w:eastAsia="宋体" w:cs="宋体"/>
          <w:color w:val="000000" w:themeColor="text1"/>
          <w:spacing w:val="0"/>
          <w:sz w:val="24"/>
          <w:szCs w:val="24"/>
          <w:highlight w:val="none"/>
          <w14:textFill>
            <w14:solidFill>
              <w14:schemeClr w14:val="tx1"/>
            </w14:solidFill>
          </w14:textFill>
        </w:rPr>
        <w:t>》中综合单价为基价调低 3%；当工程量减少超过 15%时，减少后剩余部分的工程量的综合单价以投标报价《</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分部分项工程项目清单计价表</w:t>
      </w:r>
      <w:r>
        <w:rPr>
          <w:rFonts w:hint="eastAsia" w:ascii="宋体" w:hAnsi="宋体" w:eastAsia="宋体" w:cs="宋体"/>
          <w:color w:val="000000" w:themeColor="text1"/>
          <w:spacing w:val="0"/>
          <w:sz w:val="24"/>
          <w:szCs w:val="24"/>
          <w:highlight w:val="none"/>
          <w14:textFill>
            <w14:solidFill>
              <w14:schemeClr w14:val="tx1"/>
            </w14:solidFill>
          </w14:textFill>
        </w:rPr>
        <w:t>》中综合单价为基价调高 3%。</w:t>
      </w:r>
    </w:p>
    <w:p w14:paraId="19CF62EE">
      <w:pPr>
        <w:keepNext w:val="0"/>
        <w:keepLines w:val="0"/>
        <w:pageBreakBefore w:val="0"/>
        <w:wordWrap w:val="0"/>
        <w:overflowPunct/>
        <w:topLinePunct w:val="0"/>
        <w:bidi w:val="0"/>
        <w:spacing w:before="97" w:line="324" w:lineRule="auto"/>
        <w:ind w:left="13" w:right="179"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对于按照第二章“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中标人须知</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”第</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4.2 条被认定为不平衡报价的清单项目，其综合单价按照以下方法调整：</w:t>
      </w:r>
    </w:p>
    <w:p w14:paraId="25F45A58">
      <w:pPr>
        <w:keepNext w:val="0"/>
        <w:keepLines w:val="0"/>
        <w:pageBreakBefore w:val="0"/>
        <w:wordWrap w:val="0"/>
        <w:overflowPunct/>
        <w:topLinePunct w:val="0"/>
        <w:bidi w:val="0"/>
        <w:spacing w:before="97" w:line="324" w:lineRule="auto"/>
        <w:ind w:left="13" w:right="179" w:firstLine="477"/>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以</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b/>
          <w:bCs/>
          <w:color w:val="000000" w:themeColor="text1"/>
          <w:spacing w:val="0"/>
          <w:sz w:val="24"/>
          <w:szCs w:val="24"/>
          <w:highlight w:val="none"/>
          <w14:textFill>
            <w14:solidFill>
              <w14:schemeClr w14:val="tx1"/>
            </w14:solidFill>
          </w14:textFill>
        </w:rPr>
        <w:t>中《</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分部分项工程项目清单计价表</w:t>
      </w:r>
      <w:r>
        <w:rPr>
          <w:rFonts w:hint="eastAsia" w:ascii="宋体" w:hAnsi="宋体" w:eastAsia="宋体" w:cs="宋体"/>
          <w:b/>
          <w:bCs/>
          <w:color w:val="000000" w:themeColor="text1"/>
          <w:spacing w:val="0"/>
          <w:sz w:val="24"/>
          <w:szCs w:val="24"/>
          <w:highlight w:val="none"/>
          <w14:textFill>
            <w14:solidFill>
              <w14:schemeClr w14:val="tx1"/>
            </w14:solidFill>
          </w14:textFill>
        </w:rPr>
        <w:t>》子目相对应综合单价×（1-中标下浮率）。</w:t>
      </w:r>
    </w:p>
    <w:p w14:paraId="3E1FC9C8">
      <w:pPr>
        <w:keepNext w:val="0"/>
        <w:keepLines w:val="0"/>
        <w:pageBreakBefore w:val="0"/>
        <w:wordWrap w:val="0"/>
        <w:overflowPunct/>
        <w:topLinePunct w:val="0"/>
        <w:bidi w:val="0"/>
        <w:spacing w:before="97" w:line="324" w:lineRule="auto"/>
        <w:ind w:left="13" w:right="179" w:firstLine="477"/>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175" w:name="_Toc18478"/>
      <w:bookmarkStart w:id="176" w:name="_Toc12035"/>
      <w:bookmarkStart w:id="177" w:name="_Toc30068"/>
      <w:r>
        <w:rPr>
          <w:rFonts w:hint="eastAsia" w:ascii="宋体" w:hAnsi="宋体" w:eastAsia="宋体" w:cs="宋体"/>
          <w:b/>
          <w:bCs/>
          <w:color w:val="000000" w:themeColor="text1"/>
          <w:spacing w:val="0"/>
          <w:sz w:val="24"/>
          <w:szCs w:val="24"/>
          <w:highlight w:val="none"/>
          <w14:textFill>
            <w14:solidFill>
              <w14:schemeClr w14:val="tx1"/>
            </w14:solidFill>
          </w14:textFill>
        </w:rPr>
        <w:t>中标下浮率=[1-（中标价-中标</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b/>
          <w:bCs/>
          <w:color w:val="000000" w:themeColor="text1"/>
          <w:spacing w:val="0"/>
          <w:sz w:val="24"/>
          <w:szCs w:val="24"/>
          <w:highlight w:val="none"/>
          <w14:textFill>
            <w14:solidFill>
              <w14:schemeClr w14:val="tx1"/>
            </w14:solidFill>
          </w14:textFill>
        </w:rPr>
        <w:t>-暂列金额-暂估价）/（</w:t>
      </w:r>
      <w:bookmarkEnd w:id="175"/>
      <w:bookmarkEnd w:id="176"/>
      <w:bookmarkStart w:id="178" w:name="_Toc13602"/>
      <w:bookmarkStart w:id="179" w:name="_Toc15512"/>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b/>
          <w:bCs/>
          <w:color w:val="000000" w:themeColor="text1"/>
          <w:spacing w:val="0"/>
          <w:sz w:val="24"/>
          <w:szCs w:val="24"/>
          <w:highlight w:val="none"/>
          <w14:textFill>
            <w14:solidFill>
              <w14:schemeClr w14:val="tx1"/>
            </w14:solidFill>
          </w14:textFill>
        </w:rPr>
        <w:t>-</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b/>
          <w:bCs/>
          <w:color w:val="000000" w:themeColor="text1"/>
          <w:spacing w:val="0"/>
          <w:sz w:val="24"/>
          <w:szCs w:val="24"/>
          <w:highlight w:val="none"/>
          <w14:textFill>
            <w14:solidFill>
              <w14:schemeClr w14:val="tx1"/>
            </w14:solidFill>
          </w14:textFill>
        </w:rPr>
        <w:t>-暂列金额-暂估价）] ×100%</w:t>
      </w:r>
      <w:bookmarkEnd w:id="177"/>
      <w:bookmarkEnd w:id="178"/>
      <w:bookmarkEnd w:id="179"/>
    </w:p>
    <w:p w14:paraId="5F716669">
      <w:pPr>
        <w:keepNext w:val="0"/>
        <w:keepLines w:val="0"/>
        <w:pageBreakBefore w:val="0"/>
        <w:wordWrap w:val="0"/>
        <w:overflowPunct/>
        <w:topLinePunct w:val="0"/>
        <w:bidi w:val="0"/>
        <w:spacing w:before="123" w:line="301" w:lineRule="auto"/>
        <w:ind w:left="10" w:right="116" w:firstLine="48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若修正后的该部分《</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分部分项工程项目清单计价表</w:t>
      </w:r>
      <w:r>
        <w:rPr>
          <w:rFonts w:hint="eastAsia" w:ascii="宋体" w:hAnsi="宋体" w:eastAsia="宋体" w:cs="宋体"/>
          <w:color w:val="000000" w:themeColor="text1"/>
          <w:spacing w:val="0"/>
          <w:sz w:val="24"/>
          <w:szCs w:val="24"/>
          <w:highlight w:val="none"/>
          <w14:textFill>
            <w14:solidFill>
              <w14:schemeClr w14:val="tx1"/>
            </w14:solidFill>
          </w14:textFill>
        </w:rPr>
        <w:t>》总金额大于原投标报价中的该部分总金额，则从投标报价需调高的综合单价中选择偏离最大的清单开始调整，调整幅度逐步减少，直至修正后的该部分《</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分部分项工程项目清单计价表</w:t>
      </w:r>
      <w:r>
        <w:rPr>
          <w:rFonts w:hint="eastAsia" w:ascii="宋体" w:hAnsi="宋体" w:eastAsia="宋体" w:cs="宋体"/>
          <w:color w:val="000000" w:themeColor="text1"/>
          <w:spacing w:val="0"/>
          <w:sz w:val="24"/>
          <w:szCs w:val="24"/>
          <w:highlight w:val="none"/>
          <w14:textFill>
            <w14:solidFill>
              <w14:schemeClr w14:val="tx1"/>
            </w14:solidFill>
          </w14:textFill>
        </w:rPr>
        <w:t>》总金额与原投标报价中的该部分总金额一致；若修正后的该部分《</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分部分项工程项目清单计价表</w:t>
      </w:r>
      <w:r>
        <w:rPr>
          <w:rFonts w:hint="eastAsia" w:ascii="宋体" w:hAnsi="宋体" w:eastAsia="宋体" w:cs="宋体"/>
          <w:color w:val="000000" w:themeColor="text1"/>
          <w:spacing w:val="0"/>
          <w:sz w:val="24"/>
          <w:szCs w:val="24"/>
          <w:highlight w:val="none"/>
          <w14:textFill>
            <w14:solidFill>
              <w14:schemeClr w14:val="tx1"/>
            </w14:solidFill>
          </w14:textFill>
        </w:rPr>
        <w:t>》总金额小于原投标报价中的该部分总金额，则从投标报价需调低的综合单价中选择偏离最大的清单开始调整，调整幅度逐步减少，直至修正后的该部分《</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分部分项工程项目清单计价表</w:t>
      </w:r>
      <w:r>
        <w:rPr>
          <w:rFonts w:hint="eastAsia" w:ascii="宋体" w:hAnsi="宋体" w:eastAsia="宋体" w:cs="宋体"/>
          <w:color w:val="000000" w:themeColor="text1"/>
          <w:spacing w:val="0"/>
          <w:sz w:val="24"/>
          <w:szCs w:val="24"/>
          <w:highlight w:val="none"/>
          <w14:textFill>
            <w14:solidFill>
              <w14:schemeClr w14:val="tx1"/>
            </w14:solidFill>
          </w14:textFill>
        </w:rPr>
        <w:t>》总金额与原投标报价中的该部分总金额一致。修正后的总造价应与总中标价保持一致，形成《不平衡报价修正报告》，并由招标人和中标人共同签章确认。</w:t>
      </w:r>
    </w:p>
    <w:p w14:paraId="2C74F04F">
      <w:pPr>
        <w:keepNext w:val="0"/>
        <w:keepLines w:val="0"/>
        <w:pageBreakBefore w:val="0"/>
        <w:wordWrap w:val="0"/>
        <w:overflowPunct/>
        <w:topLinePunct w:val="0"/>
        <w:bidi w:val="0"/>
        <w:spacing w:before="129" w:line="299" w:lineRule="auto"/>
        <w:ind w:left="12" w:right="179"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"2.3.2.2"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2.3.2.2</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如果工程量出现本章第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2.3.2.1 </w:t>
      </w:r>
      <w:r>
        <w:rPr>
          <w:rFonts w:hint="eastAsia" w:ascii="宋体" w:hAnsi="宋体" w:eastAsia="宋体" w:cs="宋体"/>
          <w:color w:val="000000" w:themeColor="text1"/>
          <w:spacing w:val="0"/>
          <w:sz w:val="24"/>
          <w:szCs w:val="24"/>
          <w:highlight w:val="none"/>
          <w14:textFill>
            <w14:solidFill>
              <w14:schemeClr w14:val="tx1"/>
            </w14:solidFill>
          </w14:textFill>
        </w:rPr>
        <w:t>子目的变化，且该变化引起相关措施项目相应发生变化时，按系数或单一总价方式计价的，工程量增加的措施项目费调增，工程量减少的措施项目费调减。</w:t>
      </w:r>
    </w:p>
    <w:p w14:paraId="3DB00805">
      <w:pPr>
        <w:keepNext w:val="0"/>
        <w:keepLines w:val="0"/>
        <w:pageBreakBefore w:val="0"/>
        <w:wordWrap w:val="0"/>
        <w:overflowPunct/>
        <w:topLinePunct w:val="0"/>
        <w:bidi w:val="0"/>
        <w:spacing w:before="154" w:line="221" w:lineRule="auto"/>
        <w:ind w:left="48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2.3.3  </w:t>
      </w:r>
      <w:r>
        <w:rPr>
          <w:rFonts w:hint="eastAsia" w:ascii="宋体" w:hAnsi="宋体" w:eastAsia="宋体" w:cs="宋体"/>
          <w:color w:val="000000" w:themeColor="text1"/>
          <w:spacing w:val="0"/>
          <w:sz w:val="24"/>
          <w:szCs w:val="24"/>
          <w:highlight w:val="none"/>
          <w14:textFill>
            <w14:solidFill>
              <w14:schemeClr w14:val="tx1"/>
            </w14:solidFill>
          </w14:textFill>
        </w:rPr>
        <w:t>工程变更</w:t>
      </w:r>
    </w:p>
    <w:p w14:paraId="23DCAF42">
      <w:pPr>
        <w:keepNext w:val="0"/>
        <w:keepLines w:val="0"/>
        <w:pageBreakBefore w:val="0"/>
        <w:wordWrap w:val="0"/>
        <w:overflowPunct/>
        <w:topLinePunct w:val="0"/>
        <w:bidi w:val="0"/>
        <w:spacing w:before="153" w:line="279" w:lineRule="auto"/>
        <w:ind w:left="19" w:right="179" w:firstLine="46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"2.3.3.1"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2.3.3.1</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合同履行期间，因工程变更引起已标价工程量清单项目发生变化时，按照以下规定调整：</w:t>
      </w:r>
    </w:p>
    <w:p w14:paraId="187CDAE7">
      <w:pPr>
        <w:keepNext w:val="0"/>
        <w:keepLines w:val="0"/>
        <w:pageBreakBefore w:val="0"/>
        <w:numPr>
          <w:ilvl w:val="0"/>
          <w:numId w:val="1"/>
        </w:numPr>
        <w:wordWrap w:val="0"/>
        <w:overflowPunct/>
        <w:topLinePunct w:val="0"/>
        <w:bidi w:val="0"/>
        <w:spacing w:before="78" w:line="360" w:lineRule="auto"/>
        <w:ind w:firstLine="240" w:firstLineChars="100"/>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已标价工程量清单中有适用于变更工程项目的，采用该项目的单价。</w:t>
      </w:r>
      <w:r>
        <w:rPr>
          <w:rFonts w:hint="eastAsia" w:ascii="宋体" w:hAnsi="宋体" w:eastAsia="宋体" w:cs="宋体"/>
          <w:b/>
          <w:bCs/>
          <w:color w:val="000000" w:themeColor="text1"/>
          <w:spacing w:val="0"/>
          <w:sz w:val="24"/>
          <w:szCs w:val="24"/>
          <w:highlight w:val="none"/>
          <w14:textFill>
            <w14:solidFill>
              <w14:schemeClr w14:val="tx1"/>
            </w14:solidFill>
          </w14:textFill>
        </w:rPr>
        <w:t>但如果</w:t>
      </w:r>
      <w:bookmarkStart w:id="180" w:name="bookmark143"/>
      <w:bookmarkEnd w:id="180"/>
      <w:r>
        <w:rPr>
          <w:rFonts w:hint="eastAsia" w:ascii="宋体" w:hAnsi="宋体" w:eastAsia="宋体" w:cs="宋体"/>
          <w:b/>
          <w:bCs/>
          <w:color w:val="000000" w:themeColor="text1"/>
          <w:spacing w:val="0"/>
          <w:sz w:val="24"/>
          <w:szCs w:val="24"/>
          <w:highlight w:val="none"/>
          <w14:textFill>
            <w14:solidFill>
              <w14:schemeClr w14:val="tx1"/>
            </w14:solidFill>
          </w14:textFill>
        </w:rPr>
        <w:t>被采用的项目属于按照第二章“中标人须知</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”第</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4.2 条被认定为不平衡报价的清单项目，变更工程项目的单价按照本章 2.3.2.1 的方法调整。】</w:t>
      </w:r>
    </w:p>
    <w:p w14:paraId="7205A22D">
      <w:pPr>
        <w:keepNext w:val="0"/>
        <w:keepLines w:val="0"/>
        <w:pageBreakBefore w:val="0"/>
        <w:numPr>
          <w:ilvl w:val="0"/>
          <w:numId w:val="0"/>
        </w:numPr>
        <w:wordWrap w:val="0"/>
        <w:overflowPunct/>
        <w:topLinePunct w:val="0"/>
        <w:bidi w:val="0"/>
        <w:spacing w:before="78" w:line="360" w:lineRule="auto"/>
        <w:ind w:firstLine="241" w:firstLineChars="1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已标价工程量清单中没有适用但有类似于变更工程项目的，可在合理范围内参照类似项目的单价。</w:t>
      </w:r>
      <w:r>
        <w:rPr>
          <w:rFonts w:hint="eastAsia" w:ascii="宋体" w:hAnsi="宋体" w:eastAsia="宋体" w:cs="宋体"/>
          <w:b/>
          <w:bCs/>
          <w:color w:val="000000" w:themeColor="text1"/>
          <w:spacing w:val="0"/>
          <w:sz w:val="24"/>
          <w:szCs w:val="24"/>
          <w:highlight w:val="none"/>
          <w14:textFill>
            <w14:solidFill>
              <w14:schemeClr w14:val="tx1"/>
            </w14:solidFill>
          </w14:textFill>
        </w:rPr>
        <w:t>但如果被参考的类似项目属于按照第二章“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中标人须知</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”第</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4.2条被认定为不平衡报价的清单项目，变更工程项目的单价按照本章2.3.2.1 的方法调整。</w:t>
      </w:r>
    </w:p>
    <w:p w14:paraId="314A12AB">
      <w:pPr>
        <w:keepNext w:val="0"/>
        <w:keepLines w:val="0"/>
        <w:pageBreakBefore w:val="0"/>
        <w:numPr>
          <w:ilvl w:val="0"/>
          <w:numId w:val="0"/>
        </w:numPr>
        <w:wordWrap w:val="0"/>
        <w:overflowPunct/>
        <w:topLinePunct w:val="0"/>
        <w:bidi w:val="0"/>
        <w:spacing w:before="38" w:line="310" w:lineRule="auto"/>
        <w:ind w:right="81" w:rightChars="0" w:firstLine="240" w:firstLineChars="10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已标价工程量清单中没有适用也没有类似于变更工程项目的，由承包人根据变更工程资料、计量规则、计价办法、施工当月项目所在地工程造价管理机构发布的价格信息和中标下浮率提出变更工程项目的单价，报发包人确认后调整。中标下浮率的计算公式如下：</w:t>
      </w:r>
    </w:p>
    <w:p w14:paraId="3BB23C34">
      <w:pPr>
        <w:keepNext w:val="0"/>
        <w:keepLines w:val="0"/>
        <w:pageBreakBefore w:val="0"/>
        <w:wordWrap w:val="0"/>
        <w:overflowPunct/>
        <w:topLinePunct w:val="0"/>
        <w:bidi w:val="0"/>
        <w:spacing w:before="126" w:line="314" w:lineRule="auto"/>
        <w:ind w:left="29" w:right="21" w:firstLine="50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中标下浮率=[1-（中标价-中标</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b/>
          <w:bCs/>
          <w:color w:val="000000" w:themeColor="text1"/>
          <w:spacing w:val="0"/>
          <w:sz w:val="24"/>
          <w:szCs w:val="24"/>
          <w:highlight w:val="none"/>
          <w14:textFill>
            <w14:solidFill>
              <w14:schemeClr w14:val="tx1"/>
            </w14:solidFill>
          </w14:textFill>
        </w:rPr>
        <w:t>-暂列金额-暂估价）/（</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b/>
          <w:bCs/>
          <w:color w:val="000000" w:themeColor="text1"/>
          <w:spacing w:val="0"/>
          <w:sz w:val="24"/>
          <w:szCs w:val="24"/>
          <w:highlight w:val="none"/>
          <w14:textFill>
            <w14:solidFill>
              <w14:schemeClr w14:val="tx1"/>
            </w14:solidFill>
          </w14:textFill>
        </w:rPr>
        <w:t>-</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b/>
          <w:bCs/>
          <w:color w:val="000000" w:themeColor="text1"/>
          <w:spacing w:val="0"/>
          <w:sz w:val="24"/>
          <w:szCs w:val="24"/>
          <w:highlight w:val="none"/>
          <w14:textFill>
            <w14:solidFill>
              <w14:schemeClr w14:val="tx1"/>
            </w14:solidFill>
          </w14:textFill>
        </w:rPr>
        <w:t>-暂列金额-暂估价）]</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×100%</w:t>
      </w:r>
    </w:p>
    <w:p w14:paraId="132C32ED">
      <w:pPr>
        <w:keepNext w:val="0"/>
        <w:keepLines w:val="0"/>
        <w:pageBreakBefore w:val="0"/>
        <w:wordWrap w:val="0"/>
        <w:overflowPunct/>
        <w:topLinePunct w:val="0"/>
        <w:bidi w:val="0"/>
        <w:spacing w:before="145" w:line="309" w:lineRule="auto"/>
        <w:ind w:right="81" w:firstLine="240" w:firstLineChars="100"/>
        <w:rPr>
          <w:rFonts w:hint="eastAsia" w:ascii="宋体" w:hAnsi="宋体" w:eastAsia="宋体" w:cs="宋体"/>
          <w:snapToGrid w:val="0"/>
          <w:color w:val="000000" w:themeColor="text1"/>
          <w:spacing w:val="0"/>
          <w:kern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sz w:val="24"/>
          <w:szCs w:val="24"/>
          <w:highlight w:val="none"/>
          <w:lang w:eastAsia="zh-CN"/>
          <w14:textFill>
            <w14:solidFill>
              <w14:schemeClr w14:val="tx1"/>
            </w14:solidFill>
          </w14:textFill>
        </w:rPr>
        <w:t>已标价工程量清单中没有适用也没有类似于变更工程项目，且施工当月项目所在地工程造价管理机构发布的价格信息缺项的，由承包人根据变更工程资料、计量规则、计价办法和通过市场调查等取得有合法依据的市场价格提出变更工程项目的单价，报发包人确认后调整。</w:t>
      </w:r>
    </w:p>
    <w:p w14:paraId="7485EB42">
      <w:pPr>
        <w:keepNext w:val="0"/>
        <w:keepLines w:val="0"/>
        <w:pageBreakBefore w:val="0"/>
        <w:wordWrap w:val="0"/>
        <w:overflowPunct/>
        <w:topLinePunct w:val="0"/>
        <w:bidi w:val="0"/>
        <w:spacing w:before="156" w:line="309" w:lineRule="auto"/>
        <w:ind w:left="7" w:right="81"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"2.3.3.2"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2.3.3.2</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工程变更引起施工方案改变并使措施项目发生变化时，承包人提出调整措施项目费的，应事先将拟实施的方案提交发包人确认，并应详细说明与原方案措施项目相比的变化情况。拟实施的方案经发、承包双方确认后执行，并按照本章下列规定调整措施项目费：</w:t>
      </w:r>
    </w:p>
    <w:p w14:paraId="48DB76F2">
      <w:pPr>
        <w:keepNext w:val="0"/>
        <w:keepLines w:val="0"/>
        <w:pageBreakBefore w:val="0"/>
        <w:wordWrap w:val="0"/>
        <w:overflowPunct/>
        <w:topLinePunct w:val="0"/>
        <w:bidi w:val="0"/>
        <w:spacing w:before="152" w:line="220" w:lineRule="auto"/>
        <w:ind w:left="49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color w:val="000000" w:themeColor="text1"/>
          <w:spacing w:val="0"/>
          <w:sz w:val="24"/>
          <w:szCs w:val="24"/>
          <w:highlight w:val="none"/>
          <w14:textFill>
            <w14:solidFill>
              <w14:schemeClr w14:val="tx1"/>
            </w14:solidFill>
          </w14:textFill>
        </w:rPr>
        <w:t>应按照实际发生变化的措施项目计算。</w:t>
      </w:r>
    </w:p>
    <w:p w14:paraId="3430AEEE">
      <w:pPr>
        <w:keepNext w:val="0"/>
        <w:keepLines w:val="0"/>
        <w:pageBreakBefore w:val="0"/>
        <w:wordWrap w:val="0"/>
        <w:overflowPunct/>
        <w:topLinePunct w:val="0"/>
        <w:bidi w:val="0"/>
        <w:spacing w:before="156" w:line="309" w:lineRule="auto"/>
        <w:ind w:left="7" w:right="81"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（2）采用单价计算的措施项目费，应按照实际发生变化的措施项目，按本章第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2.3.3.1 </w:t>
      </w:r>
      <w:r>
        <w:rPr>
          <w:rFonts w:hint="eastAsia" w:ascii="宋体" w:hAnsi="宋体" w:eastAsia="宋体" w:cs="宋体"/>
          <w:color w:val="000000" w:themeColor="text1"/>
          <w:spacing w:val="0"/>
          <w:sz w:val="24"/>
          <w:szCs w:val="24"/>
          <w:highlight w:val="none"/>
          <w14:textFill>
            <w14:solidFill>
              <w14:schemeClr w14:val="tx1"/>
            </w14:solidFill>
          </w14:textFill>
        </w:rPr>
        <w:t>子目的规定确定单价。</w:t>
      </w:r>
    </w:p>
    <w:p w14:paraId="49A98A6F">
      <w:pPr>
        <w:keepNext w:val="0"/>
        <w:keepLines w:val="0"/>
        <w:pageBreakBefore w:val="0"/>
        <w:wordWrap w:val="0"/>
        <w:overflowPunct/>
        <w:topLinePunct w:val="0"/>
        <w:bidi w:val="0"/>
        <w:spacing w:before="154" w:line="360" w:lineRule="auto"/>
        <w:ind w:left="8" w:right="81"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（3）按总价或系数计算的措施项目费，应按照实际发生变化的措施项目费调整并考虑中标下浮率因素，即调整金额＝按照实际变化调整后的金额×（1-中标下浮率）。</w:t>
      </w:r>
    </w:p>
    <w:p w14:paraId="78BE891C">
      <w:pPr>
        <w:keepNext w:val="0"/>
        <w:keepLines w:val="0"/>
        <w:pageBreakBefore w:val="0"/>
        <w:wordWrap w:val="0"/>
        <w:overflowPunct/>
        <w:topLinePunct w:val="0"/>
        <w:bidi w:val="0"/>
        <w:spacing w:before="157" w:line="324" w:lineRule="auto"/>
        <w:ind w:left="21" w:right="81" w:firstLine="47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如果承包人未事先将拟实施的方案提交发包人确认，视为工程变更不引起措施项目费的调整或承包人放弃调整措施项目费的权利。</w:t>
      </w:r>
    </w:p>
    <w:p w14:paraId="2ECDD016">
      <w:pPr>
        <w:keepNext w:val="0"/>
        <w:keepLines w:val="0"/>
        <w:pageBreakBefore w:val="0"/>
        <w:wordWrap w:val="0"/>
        <w:overflowPunct/>
        <w:topLinePunct w:val="0"/>
        <w:bidi w:val="0"/>
        <w:spacing w:before="35" w:line="309" w:lineRule="auto"/>
        <w:ind w:right="81" w:firstLine="42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"2.3.3.3"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2.3.3.3</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当因非承包人原因，发包人提出的工程变更删减了合同中的某项原定工作或工程，致使承包人发生的费用或（和）得到的收益不能被包括在其他已支付或应支付的项目中，也未被包含在任何替代的工作或工程中时，承包人有权提出并应得到合理的费用及利润补偿。</w:t>
      </w:r>
    </w:p>
    <w:p w14:paraId="4E492982">
      <w:pPr>
        <w:keepNext w:val="0"/>
        <w:keepLines w:val="0"/>
        <w:pageBreakBefore w:val="0"/>
        <w:wordWrap w:val="0"/>
        <w:overflowPunct/>
        <w:topLinePunct w:val="0"/>
        <w:bidi w:val="0"/>
        <w:spacing w:before="155" w:line="220" w:lineRule="auto"/>
        <w:ind w:left="48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2.3.4  </w:t>
      </w:r>
      <w:r>
        <w:rPr>
          <w:rFonts w:hint="eastAsia" w:ascii="宋体" w:hAnsi="宋体" w:eastAsia="宋体" w:cs="宋体"/>
          <w:color w:val="000000" w:themeColor="text1"/>
          <w:spacing w:val="0"/>
          <w:sz w:val="24"/>
          <w:szCs w:val="24"/>
          <w:highlight w:val="none"/>
          <w14:textFill>
            <w14:solidFill>
              <w14:schemeClr w14:val="tx1"/>
            </w14:solidFill>
          </w14:textFill>
        </w:rPr>
        <w:t>项目特征不符</w:t>
      </w:r>
    </w:p>
    <w:p w14:paraId="7DBF02D2">
      <w:pPr>
        <w:keepNext w:val="0"/>
        <w:keepLines w:val="0"/>
        <w:pageBreakBefore w:val="0"/>
        <w:wordWrap w:val="0"/>
        <w:overflowPunct/>
        <w:topLinePunct w:val="0"/>
        <w:bidi w:val="0"/>
        <w:spacing w:before="78" w:line="331" w:lineRule="auto"/>
        <w:ind w:left="8" w:right="108" w:firstLine="480"/>
        <w:jc w:val="both"/>
        <w:rPr>
          <w:rFonts w:hint="eastAsia" w:ascii="宋体" w:hAnsi="宋体" w:eastAsia="宋体" w:cs="宋体"/>
          <w:color w:val="000000" w:themeColor="text1"/>
          <w:spacing w:val="0"/>
          <w:sz w:val="24"/>
          <w:szCs w:val="24"/>
          <w:highlight w:val="none"/>
          <w14:textFill>
            <w14:solidFill>
              <w14:schemeClr w14:val="tx1"/>
            </w14:solidFill>
          </w14:textFill>
        </w:rPr>
      </w:pPr>
      <w:bookmarkStart w:id="181" w:name="bookmark144"/>
      <w:bookmarkEnd w:id="181"/>
      <w:r>
        <w:rPr>
          <w:rFonts w:hint="eastAsia" w:ascii="宋体" w:hAnsi="宋体" w:eastAsia="宋体" w:cs="宋体"/>
          <w:color w:val="000000" w:themeColor="text1"/>
          <w:spacing w:val="0"/>
          <w:sz w:val="24"/>
          <w:szCs w:val="24"/>
          <w:highlight w:val="none"/>
          <w14:textFill>
            <w14:solidFill>
              <w14:schemeClr w14:val="tx1"/>
            </w14:solidFill>
          </w14:textFill>
        </w:rPr>
        <w:t xml:space="preserve">承包人应按照发包人提供的设计图纸实施合同工程，若在合同履行期间出现设计图纸（含设计变更）与招标工程量清单任一项目的特征描述不符，且该变化引起该项目工程造价增减变化的，应按照实际施工的项目特征，并按本章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2.3.3 </w:t>
      </w:r>
      <w:r>
        <w:rPr>
          <w:rFonts w:hint="eastAsia" w:ascii="宋体" w:hAnsi="宋体" w:eastAsia="宋体" w:cs="宋体"/>
          <w:color w:val="000000" w:themeColor="text1"/>
          <w:spacing w:val="0"/>
          <w:sz w:val="24"/>
          <w:szCs w:val="24"/>
          <w:highlight w:val="none"/>
          <w14:textFill>
            <w14:solidFill>
              <w14:schemeClr w14:val="tx1"/>
            </w14:solidFill>
          </w14:textFill>
        </w:rPr>
        <w:t>目相关条款的规定重新确定相应工程量清单项目的综合单价，并调整合同价款。</w:t>
      </w:r>
    </w:p>
    <w:p w14:paraId="197538B0">
      <w:pPr>
        <w:keepNext w:val="0"/>
        <w:keepLines w:val="0"/>
        <w:pageBreakBefore w:val="0"/>
        <w:wordWrap w:val="0"/>
        <w:overflowPunct/>
        <w:topLinePunct w:val="0"/>
        <w:bidi w:val="0"/>
        <w:spacing w:before="38" w:line="221" w:lineRule="auto"/>
        <w:ind w:left="48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2.3.5  </w:t>
      </w:r>
      <w:r>
        <w:rPr>
          <w:rFonts w:hint="eastAsia" w:ascii="宋体" w:hAnsi="宋体" w:eastAsia="宋体" w:cs="宋体"/>
          <w:color w:val="000000" w:themeColor="text1"/>
          <w:spacing w:val="0"/>
          <w:sz w:val="24"/>
          <w:szCs w:val="24"/>
          <w:highlight w:val="none"/>
          <w14:textFill>
            <w14:solidFill>
              <w14:schemeClr w14:val="tx1"/>
            </w14:solidFill>
          </w14:textFill>
        </w:rPr>
        <w:t>招标工程量清单缺项</w:t>
      </w:r>
    </w:p>
    <w:p w14:paraId="5867B021">
      <w:pPr>
        <w:keepNext w:val="0"/>
        <w:keepLines w:val="0"/>
        <w:pageBreakBefore w:val="0"/>
        <w:widowControl/>
        <w:kinsoku w:val="0"/>
        <w:wordWrap w:val="0"/>
        <w:overflowPunct/>
        <w:topLinePunct w:val="0"/>
        <w:autoSpaceDE w:val="0"/>
        <w:autoSpaceDN w:val="0"/>
        <w:bidi w:val="0"/>
        <w:adjustRightInd w:val="0"/>
        <w:snapToGrid w:val="0"/>
        <w:spacing w:before="152" w:line="25" w:lineRule="atLeast"/>
        <w:ind w:left="9" w:right="56" w:firstLine="476"/>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"2.3.5.1"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2.3.5.1</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合同履行期间，由于招标工程量清单中缺项，新增分部分项工程清单项目，应按照本章第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2.3.3.1 </w:t>
      </w:r>
      <w:r>
        <w:rPr>
          <w:rFonts w:hint="eastAsia" w:ascii="宋体" w:hAnsi="宋体" w:eastAsia="宋体" w:cs="宋体"/>
          <w:color w:val="000000" w:themeColor="text1"/>
          <w:spacing w:val="0"/>
          <w:sz w:val="24"/>
          <w:szCs w:val="24"/>
          <w:highlight w:val="none"/>
          <w14:textFill>
            <w14:solidFill>
              <w14:schemeClr w14:val="tx1"/>
            </w14:solidFill>
          </w14:textFill>
        </w:rPr>
        <w:t>子目的规定确定单价，并调整合同价款。</w:t>
      </w:r>
    </w:p>
    <w:p w14:paraId="789762A4">
      <w:pPr>
        <w:keepNext w:val="0"/>
        <w:keepLines w:val="0"/>
        <w:pageBreakBefore w:val="0"/>
        <w:widowControl/>
        <w:kinsoku w:val="0"/>
        <w:wordWrap w:val="0"/>
        <w:overflowPunct/>
        <w:topLinePunct w:val="0"/>
        <w:autoSpaceDE w:val="0"/>
        <w:autoSpaceDN w:val="0"/>
        <w:bidi w:val="0"/>
        <w:adjustRightInd w:val="0"/>
        <w:snapToGrid w:val="0"/>
        <w:spacing w:before="157" w:line="25" w:lineRule="atLeast"/>
        <w:ind w:firstLine="42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"2.3.5.2"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2.3.5.2</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新增分部分项工程清单项目后，引起措施项目发生变化的，应按照本章第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2.3.3.2 </w:t>
      </w:r>
      <w:r>
        <w:rPr>
          <w:rFonts w:hint="eastAsia" w:ascii="宋体" w:hAnsi="宋体" w:eastAsia="宋体" w:cs="宋体"/>
          <w:color w:val="000000" w:themeColor="text1"/>
          <w:spacing w:val="0"/>
          <w:sz w:val="24"/>
          <w:szCs w:val="24"/>
          <w:highlight w:val="none"/>
          <w14:textFill>
            <w14:solidFill>
              <w14:schemeClr w14:val="tx1"/>
            </w14:solidFill>
          </w14:textFill>
        </w:rPr>
        <w:t>子目的规定，在承包人提交的实施方案被发包人批准后调整合同价款。</w:t>
      </w:r>
    </w:p>
    <w:p w14:paraId="64483C48">
      <w:pPr>
        <w:keepNext w:val="0"/>
        <w:keepLines w:val="0"/>
        <w:pageBreakBefore w:val="0"/>
        <w:widowControl/>
        <w:kinsoku w:val="0"/>
        <w:wordWrap w:val="0"/>
        <w:overflowPunct/>
        <w:topLinePunct w:val="0"/>
        <w:autoSpaceDE w:val="0"/>
        <w:autoSpaceDN w:val="0"/>
        <w:bidi w:val="0"/>
        <w:adjustRightInd w:val="0"/>
        <w:snapToGrid w:val="0"/>
        <w:spacing w:before="156" w:line="300" w:lineRule="auto"/>
        <w:ind w:left="11" w:right="108" w:firstLine="471"/>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"2.3.5.3"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2.3.5.3</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w w:val="101"/>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由于招标工程量清单中措施项目缺项，承包人应将新增措施项目实施方案提交发包人批准后，按照本章第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2.3.3.1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子目、第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2.3.3.2 </w:t>
      </w:r>
      <w:r>
        <w:rPr>
          <w:rFonts w:hint="eastAsia" w:ascii="宋体" w:hAnsi="宋体" w:eastAsia="宋体" w:cs="宋体"/>
          <w:color w:val="000000" w:themeColor="text1"/>
          <w:spacing w:val="0"/>
          <w:sz w:val="24"/>
          <w:szCs w:val="24"/>
          <w:highlight w:val="none"/>
          <w14:textFill>
            <w14:solidFill>
              <w14:schemeClr w14:val="tx1"/>
            </w14:solidFill>
          </w14:textFill>
        </w:rPr>
        <w:t>子目的规定调整合同价款。</w:t>
      </w:r>
    </w:p>
    <w:p w14:paraId="08FB5658">
      <w:pPr>
        <w:keepNext w:val="0"/>
        <w:keepLines w:val="0"/>
        <w:pageBreakBefore w:val="0"/>
        <w:wordWrap w:val="0"/>
        <w:overflowPunct/>
        <w:topLinePunct w:val="0"/>
        <w:bidi w:val="0"/>
        <w:spacing w:before="154" w:line="219" w:lineRule="auto"/>
        <w:ind w:left="48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2.3.6  </w:t>
      </w:r>
      <w:r>
        <w:rPr>
          <w:rFonts w:hint="eastAsia" w:ascii="宋体" w:hAnsi="宋体" w:eastAsia="宋体" w:cs="宋体"/>
          <w:color w:val="000000" w:themeColor="text1"/>
          <w:spacing w:val="0"/>
          <w:sz w:val="24"/>
          <w:szCs w:val="24"/>
          <w:highlight w:val="none"/>
          <w14:textFill>
            <w14:solidFill>
              <w14:schemeClr w14:val="tx1"/>
            </w14:solidFill>
          </w14:textFill>
        </w:rPr>
        <w:t>物价变化</w:t>
      </w:r>
    </w:p>
    <w:p w14:paraId="7D525C3E">
      <w:pPr>
        <w:keepNext w:val="0"/>
        <w:keepLines w:val="0"/>
        <w:pageBreakBefore w:val="0"/>
        <w:wordWrap w:val="0"/>
        <w:overflowPunct/>
        <w:topLinePunct w:val="0"/>
        <w:bidi w:val="0"/>
        <w:spacing w:before="156" w:line="315" w:lineRule="auto"/>
        <w:ind w:left="8" w:right="108"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"2.3.6.1"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2.3.6.1</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合同履行期间，项目所在地工程造价管理机构发布的动态人工调整系数发生变化时，如果承包人投标报价中人工费（以下简称“ 中标人工费 ”）等于或超过施工当月经动态调整后的定额人工费，该清单项目中标人工费不予调整；如果中标人工费低于施工当月经动态调整后的定额人工费，该清单项目中标人工费可以调整，相关费用按有关规定进行相应调整。结算人工费调整公式为：</w:t>
      </w:r>
    </w:p>
    <w:p w14:paraId="6A69C7F8">
      <w:pPr>
        <w:keepNext w:val="0"/>
        <w:keepLines w:val="0"/>
        <w:pageBreakBefore w:val="0"/>
        <w:wordWrap w:val="0"/>
        <w:overflowPunct/>
        <w:topLinePunct w:val="0"/>
        <w:bidi w:val="0"/>
        <w:spacing w:before="153" w:line="220" w:lineRule="auto"/>
        <w:ind w:left="494"/>
        <w:rPr>
          <w:rFonts w:hint="eastAsia" w:ascii="宋体" w:hAnsi="宋体" w:eastAsia="宋体" w:cs="宋体"/>
          <w:color w:val="000000" w:themeColor="text1"/>
          <w:spacing w:val="0"/>
          <w:sz w:val="15"/>
          <w:szCs w:val="15"/>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结算人工费＝中标人工费×F</w:t>
      </w:r>
      <w:r>
        <w:rPr>
          <w:rFonts w:hint="eastAsia" w:ascii="宋体" w:hAnsi="宋体" w:eastAsia="宋体" w:cs="宋体"/>
          <w:color w:val="000000" w:themeColor="text1"/>
          <w:spacing w:val="0"/>
          <w:position w:val="-1"/>
          <w:sz w:val="15"/>
          <w:szCs w:val="15"/>
          <w:highlight w:val="none"/>
          <w14:textFill>
            <w14:solidFill>
              <w14:schemeClr w14:val="tx1"/>
            </w14:solidFill>
          </w14:textFill>
        </w:rPr>
        <w:t>1</w:t>
      </w:r>
    </w:p>
    <w:p w14:paraId="381BBD03">
      <w:pPr>
        <w:keepNext w:val="0"/>
        <w:keepLines w:val="0"/>
        <w:pageBreakBefore w:val="0"/>
        <w:wordWrap w:val="0"/>
        <w:overflowPunct/>
        <w:topLinePunct w:val="0"/>
        <w:bidi w:val="0"/>
        <w:spacing w:before="152" w:line="219" w:lineRule="auto"/>
        <w:ind w:left="49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式中，F</w:t>
      </w:r>
      <w:r>
        <w:rPr>
          <w:rFonts w:hint="eastAsia" w:ascii="宋体" w:hAnsi="宋体" w:eastAsia="宋体" w:cs="宋体"/>
          <w:color w:val="000000" w:themeColor="text1"/>
          <w:spacing w:val="0"/>
          <w:position w:val="-1"/>
          <w:sz w:val="15"/>
          <w:szCs w:val="15"/>
          <w:highlight w:val="none"/>
          <w14:textFill>
            <w14:solidFill>
              <w14:schemeClr w14:val="tx1"/>
            </w14:solidFill>
          </w14:textFill>
        </w:rPr>
        <w:t>1</w:t>
      </w:r>
      <w:r>
        <w:rPr>
          <w:rFonts w:hint="eastAsia" w:ascii="宋体" w:hAnsi="宋体" w:eastAsia="宋体" w:cs="宋体"/>
          <w:color w:val="000000" w:themeColor="text1"/>
          <w:spacing w:val="0"/>
          <w:w w:val="101"/>
          <w:position w:val="-1"/>
          <w:sz w:val="15"/>
          <w:szCs w:val="15"/>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为施工当月项目所在地工程造价管理机构发布的动态人工调整系数。</w:t>
      </w:r>
    </w:p>
    <w:p w14:paraId="4F9CF534">
      <w:pPr>
        <w:keepNext w:val="0"/>
        <w:keepLines w:val="0"/>
        <w:pageBreakBefore w:val="0"/>
        <w:wordWrap w:val="0"/>
        <w:overflowPunct/>
        <w:topLinePunct w:val="0"/>
        <w:bidi w:val="0"/>
        <w:spacing w:before="119" w:line="324" w:lineRule="auto"/>
        <w:ind w:left="1" w:right="108" w:firstLine="48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begin"/>
      </w:r>
      <w:r>
        <w:rPr>
          <w:rFonts w:hint="eastAsia" w:ascii="宋体" w:hAnsi="宋体" w:eastAsia="宋体" w:cs="宋体"/>
          <w:b/>
          <w:bCs/>
          <w:color w:val="000000" w:themeColor="text1"/>
          <w:spacing w:val="0"/>
          <w:sz w:val="24"/>
          <w:szCs w:val="24"/>
          <w:highlight w:val="none"/>
          <w14:textFill>
            <w14:solidFill>
              <w14:schemeClr w14:val="tx1"/>
            </w14:solidFill>
          </w14:textFill>
        </w:rPr>
        <w:instrText xml:space="preserve"> HYPERLINK "2.3.6.2" </w:instrTex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2.3.6.2</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本招标项目约定，材料、工程设备单价涨跌风险幅度值 A 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5%   </w:t>
      </w:r>
      <w:r>
        <w:rPr>
          <w:rFonts w:hint="eastAsia" w:ascii="宋体" w:hAnsi="宋体" w:eastAsia="宋体" w:cs="宋体"/>
          <w:color w:val="000000" w:themeColor="text1"/>
          <w:spacing w:val="0"/>
          <w:sz w:val="24"/>
          <w:szCs w:val="24"/>
          <w:highlight w:val="none"/>
          <w14:textFill>
            <w14:solidFill>
              <w14:schemeClr w14:val="tx1"/>
            </w14:solidFill>
          </w14:textFill>
        </w:rPr>
        <w:t>。合同履行期间，当《承包人提供主要材料和工程设备一览表》（详见招标工程量清单）中的材料、工程设备单价涨跌幅度等于或低于 A 值时，该材料、工程设备单价不予调整；超过A 值时，其超过部分可以调整。相关费用按有关规定进行相应调整。</w:t>
      </w:r>
    </w:p>
    <w:p w14:paraId="62EE16C1">
      <w:pPr>
        <w:keepNext w:val="0"/>
        <w:keepLines w:val="0"/>
        <w:pageBreakBefore w:val="0"/>
        <w:wordWrap w:val="0"/>
        <w:overflowPunct/>
        <w:topLinePunct w:val="0"/>
        <w:bidi w:val="0"/>
        <w:spacing w:before="126" w:line="295" w:lineRule="auto"/>
        <w:ind w:left="11" w:right="108" w:firstLine="477"/>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lang w:eastAsia="zh-CN"/>
          <w14:textFill>
            <w14:solidFill>
              <w14:schemeClr w14:val="tx1"/>
            </w14:solidFill>
          </w14:textFill>
        </w:rPr>
        <w:t>a ．如果承包人投标报价中材料、工程设备单价（以下简称“ 中标单价 ”）低于基准日当月项目所在地工程造价管理机构发布的对应材料、工程设备单价（以下简称“基准单价 ”），该材料、工程设备的结算单价调整公式为：</w:t>
      </w:r>
    </w:p>
    <w:p w14:paraId="15C1572F">
      <w:pPr>
        <w:keepNext w:val="0"/>
        <w:keepLines w:val="0"/>
        <w:pageBreakBefore w:val="0"/>
        <w:wordWrap w:val="0"/>
        <w:overflowPunct/>
        <w:topLinePunct w:val="0"/>
        <w:bidi w:val="0"/>
        <w:adjustRightInd w:val="0"/>
        <w:snapToGri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涨价时，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25" o:spt="75" type="#_x0000_t75" style="height:33.95pt;width:200.95pt;" o:ole="t" filled="f" o:preferrelative="t" stroked="f" coordsize="21600,21600">
            <v:path/>
            <v:fill on="f" focussize="0,0"/>
            <v:stroke on="f"/>
            <v:imagedata r:id="rId32" embosscolor="#FFFFFF" o:title=""/>
            <o:lock v:ext="edit" grouping="f" rotation="f" text="f" aspectratio="t"/>
            <w10:wrap type="none"/>
            <w10:anchorlock/>
          </v:shape>
          <o:OLEObject Type="Embed" ProgID="Equation.KSEE3" ShapeID="_x0000_i1025" DrawAspect="Content" ObjectID="_1468075725" r:id="rId31">
            <o:LockedField>false</o:LockedField>
          </o:OLEObject>
        </w:object>
      </w:r>
    </w:p>
    <w:p w14:paraId="5FEA2B94">
      <w:pPr>
        <w:keepNext w:val="0"/>
        <w:keepLines w:val="0"/>
        <w:pageBreakBefore w:val="0"/>
        <w:wordWrap w:val="0"/>
        <w:overflowPunct/>
        <w:topLinePunct w:val="0"/>
        <w:bidi w:val="0"/>
        <w:adjustRightIn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跌价时，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26" o:spt="75" type="#_x0000_t75" style="height:33.95pt;width:198.95pt;" o:ole="t" filled="f" o:preferrelative="t" stroked="f" coordsize="21600,21600">
            <v:path/>
            <v:fill on="f" focussize="0,0"/>
            <v:stroke on="f"/>
            <v:imagedata r:id="rId34" embosscolor="#FFFFFF" o:title=""/>
            <o:lock v:ext="edit" grouping="f" rotation="f" text="f" aspectratio="t"/>
            <w10:wrap type="none"/>
            <w10:anchorlock/>
          </v:shape>
          <o:OLEObject Type="Embed" ProgID="Equation.KSEE3" ShapeID="_x0000_i1026" DrawAspect="Content" ObjectID="_1468075726" r:id="rId33">
            <o:LockedField>false</o:LockedField>
          </o:OLEObject>
        </w:object>
      </w:r>
    </w:p>
    <w:p w14:paraId="67B1681F">
      <w:pPr>
        <w:keepNext w:val="0"/>
        <w:keepLines w:val="0"/>
        <w:pageBreakBefore w:val="0"/>
        <w:wordWrap w:val="0"/>
        <w:overflowPunct/>
        <w:topLinePunct w:val="0"/>
        <w:bidi w:val="0"/>
        <w:adjustRightInd w:val="0"/>
        <w:snapToGrid w:val="0"/>
        <w:spacing w:before="360" w:beforeLines="150" w:after="240" w:afterLines="100" w:line="440" w:lineRule="exact"/>
        <w:ind w:firstLine="482" w:firstLineChars="200"/>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lang w:eastAsia="zh-CN"/>
          <w14:textFill>
            <w14:solidFill>
              <w14:schemeClr w14:val="tx1"/>
            </w14:solidFill>
          </w14:textFill>
        </w:rPr>
        <w:t>b</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．如果中标单价高于基准单价，该材料、工程设备的结算单价调整公式为：</w:t>
      </w:r>
    </w:p>
    <w:p w14:paraId="75BCCAF3">
      <w:pPr>
        <w:keepNext w:val="0"/>
        <w:keepLines w:val="0"/>
        <w:pageBreakBefore w:val="0"/>
        <w:wordWrap w:val="0"/>
        <w:overflowPunct/>
        <w:topLinePunct w:val="0"/>
        <w:bidi w:val="0"/>
        <w:adjustRightInd w:val="0"/>
        <w:snapToGri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涨价时，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27" o:spt="75" type="#_x0000_t75" style="height:33.95pt;width:198.95pt;" o:ole="t" filled="f" o:preferrelative="t" stroked="f" coordsize="21600,21600">
            <v:path/>
            <v:fill on="f" focussize="0,0"/>
            <v:stroke on="f"/>
            <v:imagedata r:id="rId36" embosscolor="#FFFFFF" o:title=""/>
            <o:lock v:ext="edit" grouping="f" rotation="f" text="f" aspectratio="t"/>
            <w10:wrap type="none"/>
            <w10:anchorlock/>
          </v:shape>
          <o:OLEObject Type="Embed" ProgID="Equation.KSEE3" ShapeID="_x0000_i1027" DrawAspect="Content" ObjectID="_1468075727" r:id="rId35">
            <o:LockedField>false</o:LockedField>
          </o:OLEObject>
        </w:object>
      </w:r>
    </w:p>
    <w:p w14:paraId="416D8DFC">
      <w:pPr>
        <w:keepNext w:val="0"/>
        <w:keepLines w:val="0"/>
        <w:pageBreakBefore w:val="0"/>
        <w:wordWrap w:val="0"/>
        <w:overflowPunct/>
        <w:topLinePunct w:val="0"/>
        <w:bidi w:val="0"/>
        <w:adjustRightIn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跌价时，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28" o:spt="75" type="#_x0000_t75" style="height:33.95pt;width:200.95pt;" o:ole="t" filled="f" o:preferrelative="t" stroked="f" coordsize="21600,21600">
            <v:path/>
            <v:fill on="f" focussize="0,0"/>
            <v:stroke on="f"/>
            <v:imagedata r:id="rId38" embosscolor="#FFFFFF" o:title=""/>
            <o:lock v:ext="edit" grouping="f" rotation="f" text="f" aspectratio="t"/>
            <w10:wrap type="none"/>
            <w10:anchorlock/>
          </v:shape>
          <o:OLEObject Type="Embed" ProgID="Equation.KSEE3" ShapeID="_x0000_i1028" DrawAspect="Content" ObjectID="_1468075728" r:id="rId37">
            <o:LockedField>false</o:LockedField>
          </o:OLEObject>
        </w:object>
      </w:r>
    </w:p>
    <w:p w14:paraId="06B55B00">
      <w:pPr>
        <w:keepNext w:val="0"/>
        <w:keepLines w:val="0"/>
        <w:pageBreakBefore w:val="0"/>
        <w:wordWrap w:val="0"/>
        <w:overflowPunct/>
        <w:topLinePunct w:val="0"/>
        <w:bidi w:val="0"/>
        <w:adjustRightInd w:val="0"/>
        <w:snapToGrid w:val="0"/>
        <w:spacing w:before="360" w:beforeLines="150" w:after="240" w:afterLines="100" w:line="440" w:lineRule="exact"/>
        <w:ind w:firstLine="482"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lang w:eastAsia="zh-CN"/>
          <w14:textFill>
            <w14:solidFill>
              <w14:schemeClr w14:val="tx1"/>
            </w14:solidFill>
          </w14:textFill>
        </w:rPr>
        <w:t>c</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．如果中标单价等于基准单价，该材料、工程设备的结算单价调整公式为：</w:t>
      </w:r>
    </w:p>
    <w:p w14:paraId="4FFC8AE1">
      <w:pPr>
        <w:keepNext w:val="0"/>
        <w:keepLines w:val="0"/>
        <w:pageBreakBefore w:val="0"/>
        <w:wordWrap w:val="0"/>
        <w:overflowPunct/>
        <w:topLinePunct w:val="0"/>
        <w:bidi w:val="0"/>
        <w:adjustRightInd w:val="0"/>
        <w:snapToGri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涨价时，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29" o:spt="75" type="#_x0000_t75" style="height:33.95pt;width:200.95pt;" o:ole="t" filled="f" o:preferrelative="t" stroked="f" coordsize="21600,21600">
            <v:path/>
            <v:fill on="f" focussize="0,0"/>
            <v:stroke on="f"/>
            <v:imagedata r:id="rId40" embosscolor="#FFFFFF" o:title=""/>
            <o:lock v:ext="edit" grouping="f" rotation="f" text="f" aspectratio="t"/>
            <w10:wrap type="none"/>
            <w10:anchorlock/>
          </v:shape>
          <o:OLEObject Type="Embed" ProgID="Equation.KSEE3" ShapeID="_x0000_i1029" DrawAspect="Content" ObjectID="_1468075729" r:id="rId39">
            <o:LockedField>false</o:LockedField>
          </o:OLEObject>
        </w:object>
      </w:r>
    </w:p>
    <w:p w14:paraId="4903428A">
      <w:pPr>
        <w:keepNext w:val="0"/>
        <w:keepLines w:val="0"/>
        <w:pageBreakBefore w:val="0"/>
        <w:wordWrap w:val="0"/>
        <w:overflowPunct/>
        <w:topLinePunct w:val="0"/>
        <w:bidi w:val="0"/>
        <w:adjustRightIn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跌价时，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30" o:spt="75" type="#_x0000_t75" style="height:33.95pt;width:200.95pt;" o:ole="t" filled="f" o:preferrelative="t" stroked="f" coordsize="21600,21600">
            <v:path/>
            <v:fill on="f" focussize="0,0"/>
            <v:stroke on="f"/>
            <v:imagedata r:id="rId42" embosscolor="#FFFFFF" o:title=""/>
            <o:lock v:ext="edit" grouping="f" rotation="f" text="f" aspectratio="t"/>
            <w10:wrap type="none"/>
            <w10:anchorlock/>
          </v:shape>
          <o:OLEObject Type="Embed" ProgID="Equation.KSEE3" ShapeID="_x0000_i1030" DrawAspect="Content" ObjectID="_1468075730" r:id="rId41">
            <o:LockedField>false</o:LockedField>
          </o:OLEObject>
        </w:object>
      </w:r>
    </w:p>
    <w:p w14:paraId="40B2A737">
      <w:pPr>
        <w:keepNext w:val="0"/>
        <w:keepLines w:val="0"/>
        <w:pageBreakBefore w:val="0"/>
        <w:wordWrap w:val="0"/>
        <w:overflowPunct/>
        <w:topLinePunct w:val="0"/>
        <w:bidi w:val="0"/>
        <w:spacing w:before="78"/>
        <w:ind w:left="330"/>
        <w:rPr>
          <w:rFonts w:hint="eastAsia" w:ascii="宋体" w:hAnsi="宋体" w:eastAsia="宋体" w:cs="宋体"/>
          <w:color w:val="000000" w:themeColor="text1"/>
          <w:spacing w:val="0"/>
          <w:sz w:val="24"/>
          <w:szCs w:val="24"/>
          <w:highlight w:val="none"/>
          <w14:textFill>
            <w14:solidFill>
              <w14:schemeClr w14:val="tx1"/>
            </w14:solidFill>
          </w14:textFill>
        </w:rPr>
      </w:pPr>
    </w:p>
    <w:p w14:paraId="0EFBDC2C">
      <w:pPr>
        <w:keepNext w:val="0"/>
        <w:keepLines w:val="0"/>
        <w:pageBreakBefore w:val="0"/>
        <w:wordWrap w:val="0"/>
        <w:overflowPunct/>
        <w:topLinePunct w:val="0"/>
        <w:bidi w:val="0"/>
        <w:spacing w:before="78" w:line="330" w:lineRule="auto"/>
        <w:ind w:right="59" w:firstLine="507"/>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以上公式中，F</w:t>
      </w:r>
      <w:r>
        <w:rPr>
          <w:rFonts w:hint="eastAsia" w:ascii="宋体" w:hAnsi="宋体" w:eastAsia="宋体" w:cs="宋体"/>
          <w:color w:val="000000" w:themeColor="text1"/>
          <w:spacing w:val="0"/>
          <w:position w:val="-1"/>
          <w:sz w:val="15"/>
          <w:szCs w:val="15"/>
          <w:highlight w:val="none"/>
          <w14:textFill>
            <w14:solidFill>
              <w14:schemeClr w14:val="tx1"/>
            </w14:solidFill>
          </w14:textFill>
        </w:rPr>
        <w:t xml:space="preserve">1 </w:t>
      </w:r>
      <w:r>
        <w:rPr>
          <w:rFonts w:hint="eastAsia" w:ascii="宋体" w:hAnsi="宋体" w:eastAsia="宋体" w:cs="宋体"/>
          <w:color w:val="000000" w:themeColor="text1"/>
          <w:spacing w:val="0"/>
          <w:sz w:val="24"/>
          <w:szCs w:val="24"/>
          <w:highlight w:val="none"/>
          <w14:textFill>
            <w14:solidFill>
              <w14:schemeClr w14:val="tx1"/>
            </w14:solidFill>
          </w14:textFill>
        </w:rPr>
        <w:t>为中标单价；F</w:t>
      </w:r>
      <w:r>
        <w:rPr>
          <w:rFonts w:hint="eastAsia" w:ascii="宋体" w:hAnsi="宋体" w:eastAsia="宋体" w:cs="宋体"/>
          <w:color w:val="000000" w:themeColor="text1"/>
          <w:spacing w:val="0"/>
          <w:position w:val="-1"/>
          <w:sz w:val="15"/>
          <w:szCs w:val="15"/>
          <w:highlight w:val="none"/>
          <w14:textFill>
            <w14:solidFill>
              <w14:schemeClr w14:val="tx1"/>
            </w14:solidFill>
          </w14:textFill>
        </w:rPr>
        <w:t>0</w:t>
      </w:r>
      <w:r>
        <w:rPr>
          <w:rFonts w:hint="eastAsia" w:ascii="宋体" w:hAnsi="宋体" w:eastAsia="宋体" w:cs="宋体"/>
          <w:color w:val="000000" w:themeColor="text1"/>
          <w:spacing w:val="0"/>
          <w:w w:val="101"/>
          <w:position w:val="-1"/>
          <w:sz w:val="15"/>
          <w:szCs w:val="15"/>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为基准单价；F</w:t>
      </w:r>
      <w:r>
        <w:rPr>
          <w:rFonts w:hint="eastAsia" w:ascii="宋体" w:hAnsi="宋体" w:eastAsia="宋体" w:cs="宋体"/>
          <w:color w:val="000000" w:themeColor="text1"/>
          <w:spacing w:val="0"/>
          <w:position w:val="-1"/>
          <w:sz w:val="15"/>
          <w:szCs w:val="15"/>
          <w:highlight w:val="none"/>
          <w14:textFill>
            <w14:solidFill>
              <w14:schemeClr w14:val="tx1"/>
            </w14:solidFill>
          </w14:textFill>
        </w:rPr>
        <w:t xml:space="preserve">2 </w:t>
      </w:r>
      <w:r>
        <w:rPr>
          <w:rFonts w:hint="eastAsia" w:ascii="宋体" w:hAnsi="宋体" w:eastAsia="宋体" w:cs="宋体"/>
          <w:color w:val="000000" w:themeColor="text1"/>
          <w:spacing w:val="0"/>
          <w:sz w:val="24"/>
          <w:szCs w:val="24"/>
          <w:highlight w:val="none"/>
          <w14:textFill>
            <w14:solidFill>
              <w14:schemeClr w14:val="tx1"/>
            </w14:solidFill>
          </w14:textFill>
        </w:rPr>
        <w:t>为施工当月项目所在地工程造价管理机构发布的材料、工程设备单价；A 为合同约定的材料、工程设备单价涨跌风险幅度值。</w:t>
      </w:r>
    </w:p>
    <w:p w14:paraId="6F9801F9">
      <w:pPr>
        <w:keepNext w:val="0"/>
        <w:keepLines w:val="0"/>
        <w:pageBreakBefore w:val="0"/>
        <w:wordWrap w:val="0"/>
        <w:overflowPunct/>
        <w:topLinePunct w:val="0"/>
        <w:bidi w:val="0"/>
        <w:spacing w:before="33" w:line="299" w:lineRule="auto"/>
        <w:ind w:right="59"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"2.3.6.3"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2.3.6.3</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合同履行期间，当《发包人提供材料和工程设备一览表》（详见招标工程量清单）中的材料、工程设备单价发生变化时，由发包人按照实际变化调整，并列入合同价款。</w:t>
      </w:r>
    </w:p>
    <w:p w14:paraId="6F47D427">
      <w:pPr>
        <w:keepNext w:val="0"/>
        <w:keepLines w:val="0"/>
        <w:pageBreakBefore w:val="0"/>
        <w:wordWrap w:val="0"/>
        <w:overflowPunct/>
        <w:topLinePunct w:val="0"/>
        <w:bidi w:val="0"/>
        <w:spacing w:before="121" w:line="308" w:lineRule="auto"/>
        <w:ind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"2.3.6.4"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2.3.6.4</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本招标项目约定，施工机具台班单价涨跌风险幅度值 B 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10%  </w:t>
      </w:r>
      <w:r>
        <w:rPr>
          <w:rFonts w:hint="eastAsia" w:ascii="宋体" w:hAnsi="宋体" w:eastAsia="宋体" w:cs="宋体"/>
          <w:color w:val="000000" w:themeColor="text1"/>
          <w:spacing w:val="0"/>
          <w:sz w:val="24"/>
          <w:szCs w:val="24"/>
          <w:highlight w:val="none"/>
          <w14:textFill>
            <w14:solidFill>
              <w14:schemeClr w14:val="tx1"/>
            </w14:solidFill>
          </w14:textFill>
        </w:rPr>
        <w:t>。合同履行期间，当施工机具台班单价涨跌幅度等于或低于 B 值时，该施工机具台班单价不予调整；超过 B 值时，其超过部分可以调整。相关费用按有关规定进行相应调整。</w:t>
      </w:r>
    </w:p>
    <w:p w14:paraId="120353C6">
      <w:pPr>
        <w:keepNext w:val="0"/>
        <w:keepLines w:val="0"/>
        <w:pageBreakBefore w:val="0"/>
        <w:wordWrap w:val="0"/>
        <w:overflowPunct/>
        <w:topLinePunct w:val="0"/>
        <w:bidi w:val="0"/>
        <w:spacing w:before="153" w:line="278" w:lineRule="auto"/>
        <w:ind w:left="42" w:right="59" w:firstLine="44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a </w:t>
      </w:r>
      <w:r>
        <w:rPr>
          <w:rFonts w:hint="eastAsia" w:ascii="宋体" w:hAnsi="宋体" w:eastAsia="宋体" w:cs="宋体"/>
          <w:color w:val="000000" w:themeColor="text1"/>
          <w:spacing w:val="0"/>
          <w:sz w:val="24"/>
          <w:szCs w:val="24"/>
          <w:highlight w:val="none"/>
          <w14:textFill>
            <w14:solidFill>
              <w14:schemeClr w14:val="tx1"/>
            </w14:solidFill>
          </w14:textFill>
        </w:rPr>
        <w:t>．如果承包人投标报价中施工机具台班单价（以下简称“ 中标单价 ”）低于基准日当月项目所在地工程造价管理机构发布的对应施工机具台班单价（以下简称“基准单价 ”），该施工机具台班的结算单价调整公式为：</w:t>
      </w:r>
    </w:p>
    <w:p w14:paraId="0DF11097">
      <w:pPr>
        <w:keepNext w:val="0"/>
        <w:keepLines w:val="0"/>
        <w:pageBreakBefore w:val="0"/>
        <w:wordWrap w:val="0"/>
        <w:overflowPunct/>
        <w:topLinePunct w:val="0"/>
        <w:bidi w:val="0"/>
        <w:adjustRightInd w:val="0"/>
        <w:snapToGri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涨价时，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31" o:spt="75" type="#_x0000_t75" style="height:33.95pt;width:200.95pt;" o:ole="t" filled="f" o:preferrelative="t" stroked="f" coordsize="21600,21600">
            <v:path/>
            <v:fill on="f" focussize="0,0"/>
            <v:stroke on="f"/>
            <v:imagedata r:id="rId44" embosscolor="#FFFFFF" o:title=""/>
            <o:lock v:ext="edit" grouping="f" rotation="f" text="f" aspectratio="t"/>
            <w10:wrap type="none"/>
            <w10:anchorlock/>
          </v:shape>
          <o:OLEObject Type="Embed" ProgID="Equation.KSEE3" ShapeID="_x0000_i1031" DrawAspect="Content" ObjectID="_1468075731" r:id="rId43">
            <o:LockedField>false</o:LockedField>
          </o:OLEObject>
        </w:object>
      </w:r>
    </w:p>
    <w:p w14:paraId="183065CE">
      <w:pPr>
        <w:keepNext w:val="0"/>
        <w:keepLines w:val="0"/>
        <w:pageBreakBefore w:val="0"/>
        <w:wordWrap w:val="0"/>
        <w:overflowPunct/>
        <w:topLinePunct w:val="0"/>
        <w:bidi w:val="0"/>
        <w:adjustRightIn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跌价时，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32" o:spt="75" type="#_x0000_t75" style="height:33.95pt;width:198pt;" o:ole="t" filled="f" o:preferrelative="t" stroked="f" coordsize="21600,21600">
            <v:path/>
            <v:fill on="f" focussize="0,0"/>
            <v:stroke on="f"/>
            <v:imagedata r:id="rId46" embosscolor="#FFFFFF" o:title=""/>
            <o:lock v:ext="edit" grouping="f" rotation="f" text="f" aspectratio="t"/>
            <w10:wrap type="none"/>
            <w10:anchorlock/>
          </v:shape>
          <o:OLEObject Type="Embed" ProgID="Equation.KSEE3" ShapeID="_x0000_i1032" DrawAspect="Content" ObjectID="_1468075732" r:id="rId45">
            <o:LockedField>false</o:LockedField>
          </o:OLEObject>
        </w:object>
      </w:r>
    </w:p>
    <w:p w14:paraId="2B2919C1">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sz w:val="24"/>
          <w:szCs w:val="24"/>
          <w:highlight w:val="none"/>
          <w14:textFill>
            <w14:solidFill>
              <w14:schemeClr w14:val="tx1"/>
            </w14:solidFill>
          </w14:textFill>
        </w:rPr>
        <w:t>b</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．如果中标单价高于基准单价，该施工机具台班的结算单价调整公式为：</w:t>
      </w:r>
    </w:p>
    <w:p w14:paraId="0B4D8697">
      <w:pPr>
        <w:keepNext w:val="0"/>
        <w:keepLines w:val="0"/>
        <w:pageBreakBefore w:val="0"/>
        <w:wordWrap w:val="0"/>
        <w:overflowPunct/>
        <w:topLinePunct w:val="0"/>
        <w:bidi w:val="0"/>
        <w:adjustRightInd w:val="0"/>
        <w:snapToGri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涨价时，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33" o:spt="75" type="#_x0000_t75" style="height:33.95pt;width:198pt;" o:ole="t" filled="f" o:preferrelative="t" stroked="f" coordsize="21600,21600">
            <v:path/>
            <v:fill on="f" focussize="0,0"/>
            <v:stroke on="f"/>
            <v:imagedata r:id="rId48" embosscolor="#FFFFFF" o:title=""/>
            <o:lock v:ext="edit" grouping="f" rotation="f" text="f" aspectratio="t"/>
            <w10:wrap type="none"/>
            <w10:anchorlock/>
          </v:shape>
          <o:OLEObject Type="Embed" ProgID="Equation.KSEE3" ShapeID="_x0000_i1033" DrawAspect="Content" ObjectID="_1468075733" r:id="rId47">
            <o:LockedField>false</o:LockedField>
          </o:OLEObject>
        </w:object>
      </w:r>
    </w:p>
    <w:p w14:paraId="3F7BD139">
      <w:pPr>
        <w:keepNext w:val="0"/>
        <w:keepLines w:val="0"/>
        <w:pageBreakBefore w:val="0"/>
        <w:wordWrap w:val="0"/>
        <w:overflowPunct/>
        <w:topLinePunct w:val="0"/>
        <w:bidi w:val="0"/>
        <w:adjustRightIn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跌价时，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34" o:spt="75" type="#_x0000_t75" style="height:33.95pt;width:200.95pt;" o:ole="t" filled="f" o:preferrelative="t" stroked="f" coordsize="21600,21600">
            <v:path/>
            <v:fill on="f" focussize="0,0"/>
            <v:stroke on="f"/>
            <v:imagedata r:id="rId50" embosscolor="#FFFFFF" o:title=""/>
            <o:lock v:ext="edit" grouping="f" rotation="f" text="f" aspectratio="t"/>
            <w10:wrap type="none"/>
            <w10:anchorlock/>
          </v:shape>
          <o:OLEObject Type="Embed" ProgID="Equation.KSEE3" ShapeID="_x0000_i1034" DrawAspect="Content" ObjectID="_1468075734" r:id="rId49">
            <o:LockedField>false</o:LockedField>
          </o:OLEObject>
        </w:object>
      </w:r>
    </w:p>
    <w:p w14:paraId="62112DBA">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sz w:val="24"/>
          <w:szCs w:val="24"/>
          <w:highlight w:val="none"/>
          <w14:textFill>
            <w14:solidFill>
              <w14:schemeClr w14:val="tx1"/>
            </w14:solidFill>
          </w14:textFill>
        </w:rPr>
        <w:t>c</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．如果中标单价等于基准单价，该施工机具台班的结算单价调整公式为：</w:t>
      </w:r>
    </w:p>
    <w:p w14:paraId="68970ACC">
      <w:pPr>
        <w:keepNext w:val="0"/>
        <w:keepLines w:val="0"/>
        <w:pageBreakBefore w:val="0"/>
        <w:wordWrap w:val="0"/>
        <w:overflowPunct/>
        <w:topLinePunct w:val="0"/>
        <w:bidi w:val="0"/>
        <w:adjustRightInd w:val="0"/>
        <w:snapToGri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涨价时，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35" o:spt="75" type="#_x0000_t75" style="height:33.95pt;width:200.95pt;" o:ole="t" filled="f" o:preferrelative="t" stroked="f" coordsize="21600,21600">
            <v:path/>
            <v:fill on="f" focussize="0,0"/>
            <v:stroke on="f"/>
            <v:imagedata r:id="rId52" embosscolor="#FFFFFF" o:title=""/>
            <o:lock v:ext="edit" grouping="f" rotation="f" text="f" aspectratio="t"/>
            <w10:wrap type="none"/>
            <w10:anchorlock/>
          </v:shape>
          <o:OLEObject Type="Embed" ProgID="Equation.KSEE3" ShapeID="_x0000_i1035" DrawAspect="Content" ObjectID="_1468075735" r:id="rId51">
            <o:LockedField>false</o:LockedField>
          </o:OLEObject>
        </w:object>
      </w:r>
    </w:p>
    <w:p w14:paraId="121158F2">
      <w:pPr>
        <w:keepNext w:val="0"/>
        <w:keepLines w:val="0"/>
        <w:pageBreakBefore w:val="0"/>
        <w:wordWrap w:val="0"/>
        <w:overflowPunct/>
        <w:topLinePunct w:val="0"/>
        <w:bidi w:val="0"/>
        <w:spacing w:before="79" w:line="324" w:lineRule="auto"/>
        <w:ind w:left="11" w:right="65" w:firstLine="504"/>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跌价时，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36" o:spt="75" type="#_x0000_t75" style="height:33.95pt;width:200.95pt;" o:ole="t" filled="f" o:preferrelative="t" stroked="f" coordsize="21600,21600">
            <v:path/>
            <v:fill on="f" focussize="0,0"/>
            <v:stroke on="f"/>
            <v:imagedata r:id="rId54" embosscolor="#FFFFFF" o:title=""/>
            <o:lock v:ext="edit" grouping="f" rotation="f" text="f" aspectratio="t"/>
            <w10:wrap type="none"/>
            <w10:anchorlock/>
          </v:shape>
          <o:OLEObject Type="Embed" ProgID="Equation.KSEE3" ShapeID="_x0000_i1036" DrawAspect="Content" ObjectID="_1468075736" r:id="rId53">
            <o:LockedField>false</o:LockedField>
          </o:OLEObject>
        </w:object>
      </w:r>
    </w:p>
    <w:p w14:paraId="1258EA6F">
      <w:pPr>
        <w:keepNext w:val="0"/>
        <w:keepLines w:val="0"/>
        <w:pageBreakBefore w:val="0"/>
        <w:wordWrap w:val="0"/>
        <w:overflowPunct/>
        <w:topLinePunct w:val="0"/>
        <w:bidi w:val="0"/>
        <w:spacing w:before="79" w:line="324" w:lineRule="auto"/>
        <w:ind w:left="11" w:right="65" w:firstLine="50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以上公式中，F</w:t>
      </w:r>
      <w:r>
        <w:rPr>
          <w:rFonts w:hint="eastAsia" w:ascii="宋体" w:hAnsi="宋体" w:eastAsia="宋体" w:cs="宋体"/>
          <w:color w:val="000000" w:themeColor="text1"/>
          <w:spacing w:val="0"/>
          <w:position w:val="-1"/>
          <w:sz w:val="15"/>
          <w:szCs w:val="15"/>
          <w:highlight w:val="none"/>
          <w14:textFill>
            <w14:solidFill>
              <w14:schemeClr w14:val="tx1"/>
            </w14:solidFill>
          </w14:textFill>
        </w:rPr>
        <w:t xml:space="preserve">1 </w:t>
      </w:r>
      <w:r>
        <w:rPr>
          <w:rFonts w:hint="eastAsia" w:ascii="宋体" w:hAnsi="宋体" w:eastAsia="宋体" w:cs="宋体"/>
          <w:color w:val="000000" w:themeColor="text1"/>
          <w:spacing w:val="0"/>
          <w:sz w:val="24"/>
          <w:szCs w:val="24"/>
          <w:highlight w:val="none"/>
          <w14:textFill>
            <w14:solidFill>
              <w14:schemeClr w14:val="tx1"/>
            </w14:solidFill>
          </w14:textFill>
        </w:rPr>
        <w:t>为中标单价；F</w:t>
      </w:r>
      <w:r>
        <w:rPr>
          <w:rFonts w:hint="eastAsia" w:ascii="宋体" w:hAnsi="宋体" w:eastAsia="宋体" w:cs="宋体"/>
          <w:color w:val="000000" w:themeColor="text1"/>
          <w:spacing w:val="0"/>
          <w:position w:val="-1"/>
          <w:sz w:val="15"/>
          <w:szCs w:val="15"/>
          <w:highlight w:val="none"/>
          <w14:textFill>
            <w14:solidFill>
              <w14:schemeClr w14:val="tx1"/>
            </w14:solidFill>
          </w14:textFill>
        </w:rPr>
        <w:t>0</w:t>
      </w:r>
      <w:r>
        <w:rPr>
          <w:rFonts w:hint="eastAsia" w:ascii="宋体" w:hAnsi="宋体" w:eastAsia="宋体" w:cs="宋体"/>
          <w:color w:val="000000" w:themeColor="text1"/>
          <w:spacing w:val="0"/>
          <w:w w:val="101"/>
          <w:position w:val="-1"/>
          <w:sz w:val="15"/>
          <w:szCs w:val="15"/>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为基准单价；F</w:t>
      </w:r>
      <w:r>
        <w:rPr>
          <w:rFonts w:hint="eastAsia" w:ascii="宋体" w:hAnsi="宋体" w:eastAsia="宋体" w:cs="宋体"/>
          <w:color w:val="000000" w:themeColor="text1"/>
          <w:spacing w:val="0"/>
          <w:position w:val="-1"/>
          <w:sz w:val="15"/>
          <w:szCs w:val="15"/>
          <w:highlight w:val="none"/>
          <w14:textFill>
            <w14:solidFill>
              <w14:schemeClr w14:val="tx1"/>
            </w14:solidFill>
          </w14:textFill>
        </w:rPr>
        <w:t xml:space="preserve">2 </w:t>
      </w:r>
      <w:r>
        <w:rPr>
          <w:rFonts w:hint="eastAsia" w:ascii="宋体" w:hAnsi="宋体" w:eastAsia="宋体" w:cs="宋体"/>
          <w:color w:val="000000" w:themeColor="text1"/>
          <w:spacing w:val="0"/>
          <w:sz w:val="24"/>
          <w:szCs w:val="24"/>
          <w:highlight w:val="none"/>
          <w14:textFill>
            <w14:solidFill>
              <w14:schemeClr w14:val="tx1"/>
            </w14:solidFill>
          </w14:textFill>
        </w:rPr>
        <w:t>为施工当月项目所在地工程造价管理机构发布的施工机具台班单价；B 为合同约定的施工机具台班单价涨跌风险幅度值。</w:t>
      </w:r>
    </w:p>
    <w:p w14:paraId="08F7A996">
      <w:pPr>
        <w:keepNext w:val="0"/>
        <w:keepLines w:val="0"/>
        <w:pageBreakBefore w:val="0"/>
        <w:wordWrap w:val="0"/>
        <w:overflowPunct/>
        <w:topLinePunct w:val="0"/>
        <w:bidi w:val="0"/>
        <w:spacing w:before="39" w:line="219" w:lineRule="auto"/>
        <w:ind w:left="48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2.3.7  </w:t>
      </w:r>
      <w:r>
        <w:rPr>
          <w:rFonts w:hint="eastAsia" w:ascii="宋体" w:hAnsi="宋体" w:eastAsia="宋体" w:cs="宋体"/>
          <w:color w:val="000000" w:themeColor="text1"/>
          <w:spacing w:val="0"/>
          <w:sz w:val="24"/>
          <w:szCs w:val="24"/>
          <w:highlight w:val="none"/>
          <w14:textFill>
            <w14:solidFill>
              <w14:schemeClr w14:val="tx1"/>
            </w14:solidFill>
          </w14:textFill>
        </w:rPr>
        <w:t>暂估价和暂列金额</w:t>
      </w:r>
    </w:p>
    <w:p w14:paraId="55F5A879">
      <w:pPr>
        <w:keepNext w:val="0"/>
        <w:keepLines w:val="0"/>
        <w:pageBreakBefore w:val="0"/>
        <w:wordWrap w:val="0"/>
        <w:overflowPunct/>
        <w:topLinePunct w:val="0"/>
        <w:bidi w:val="0"/>
        <w:spacing w:before="154" w:line="299" w:lineRule="auto"/>
        <w:ind w:left="7" w:right="57" w:firstLine="477"/>
        <w:rPr>
          <w:rFonts w:hint="eastAsia" w:ascii="宋体" w:hAnsi="宋体" w:eastAsia="宋体" w:cs="宋体"/>
          <w:snapToGrid w:val="0"/>
          <w:color w:val="000000" w:themeColor="text1"/>
          <w:spacing w:val="0"/>
          <w:kern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"2.3.7.1"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2.3.7.1</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4"/>
          <w:highlight w:val="none"/>
          <w:lang w:eastAsia="zh-CN"/>
          <w14:textFill>
            <w14:solidFill>
              <w14:schemeClr w14:val="tx1"/>
            </w14:solidFill>
          </w14:textFill>
        </w:rPr>
        <w:t xml:space="preserve">暂估价项目按第一章第三节“投标人须知正文 ”第 </w:t>
      </w:r>
      <w:r>
        <w:rPr>
          <w:rFonts w:hint="eastAsia" w:ascii="宋体" w:hAnsi="宋体" w:eastAsia="宋体" w:cs="宋体"/>
          <w:b/>
          <w:bCs/>
          <w:snapToGrid w:val="0"/>
          <w:color w:val="000000" w:themeColor="text1"/>
          <w:spacing w:val="0"/>
          <w:kern w:val="0"/>
          <w:sz w:val="24"/>
          <w:szCs w:val="24"/>
          <w:highlight w:val="none"/>
          <w:lang w:eastAsia="zh-CN"/>
          <w14:textFill>
            <w14:solidFill>
              <w14:schemeClr w14:val="tx1"/>
            </w14:solidFill>
          </w14:textFill>
        </w:rPr>
        <w:t>8.5</w:t>
      </w:r>
      <w:r>
        <w:rPr>
          <w:rFonts w:hint="eastAsia" w:ascii="宋体" w:hAnsi="宋体" w:eastAsia="宋体" w:cs="宋体"/>
          <w:snapToGrid w:val="0"/>
          <w:color w:val="000000" w:themeColor="text1"/>
          <w:spacing w:val="0"/>
          <w:kern w:val="0"/>
          <w:sz w:val="24"/>
          <w:szCs w:val="24"/>
          <w:highlight w:val="none"/>
          <w:lang w:eastAsia="zh-CN"/>
          <w14:textFill>
            <w14:solidFill>
              <w14:schemeClr w14:val="tx1"/>
            </w14:solidFill>
          </w14:textFill>
        </w:rPr>
        <w:t xml:space="preserve"> 条的规定确定专业工程承包人（或材料供应商、工程设备供应商）后，将专业工程合同价款（或材料单价、工程设备单价）取代相应暂估价，并调整合同价款。</w:t>
      </w:r>
    </w:p>
    <w:p w14:paraId="75732179">
      <w:pPr>
        <w:keepNext w:val="0"/>
        <w:keepLines w:val="0"/>
        <w:pageBreakBefore w:val="0"/>
        <w:wordWrap w:val="0"/>
        <w:overflowPunct/>
        <w:topLinePunct w:val="0"/>
        <w:bidi w:val="0"/>
        <w:spacing w:before="153" w:line="315" w:lineRule="auto"/>
        <w:ind w:left="8" w:right="2"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"2.3.7.2"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2.3.7.2</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暂列金额由发包人掌握和使用。暂列金额项目若有发生，按第一章第三节“投标人须知正文 ”第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8.6 </w:t>
      </w:r>
      <w:r>
        <w:rPr>
          <w:rFonts w:hint="eastAsia" w:ascii="宋体" w:hAnsi="宋体" w:eastAsia="宋体" w:cs="宋体"/>
          <w:color w:val="000000" w:themeColor="text1"/>
          <w:spacing w:val="0"/>
          <w:sz w:val="24"/>
          <w:szCs w:val="24"/>
          <w:highlight w:val="none"/>
          <w14:textFill>
            <w14:solidFill>
              <w14:schemeClr w14:val="tx1"/>
            </w14:solidFill>
          </w14:textFill>
        </w:rPr>
        <w:t>条的规定确定材料供应商（或工程设备供应商、服务供应商）后，材料（或工程设备、服务）的合同价款从暂列金额中支付。暂列金额扣除已发生的暂列金额项目合同价款、已发生的合同约定调整因素出现时的调整价款、已发生的索赔以及现场签证确认等的费用后，余额（若有）归发包人所有。</w:t>
      </w:r>
    </w:p>
    <w:p w14:paraId="1FFEB093">
      <w:pPr>
        <w:keepNext w:val="0"/>
        <w:keepLines w:val="0"/>
        <w:pageBreakBefore w:val="0"/>
        <w:wordWrap w:val="0"/>
        <w:overflowPunct/>
        <w:topLinePunct w:val="0"/>
        <w:bidi w:val="0"/>
        <w:spacing w:before="153" w:line="315" w:lineRule="auto"/>
        <w:ind w:left="8" w:right="2"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2.3.8</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预算包干费按照分部分项的人工费与施工机具费之和及投标费率计取。本招标项目的预算包干内容包括：施工雨水、污水的排除；因地形影响造成的场内料具二次运输；20 米高以下的工程用水加压措施；施工材料堆放场地的整理；机电安装后的补洞(槽)工料费；工程成品保护费；施工中的临时停水停电；基础埋深 2 米以内挖土方的塌方；日间照明施工增加费(不包括地下室和特殊工程)；完工清场后的垃圾外运；地上(地下)设施，建筑物的临时保护设施费和二次加工基地设施费；雨季施工增加费；己完工程及设备保护等。</w:t>
      </w:r>
    </w:p>
    <w:p w14:paraId="00D8F120">
      <w:pPr>
        <w:keepNext w:val="0"/>
        <w:keepLines w:val="0"/>
        <w:pageBreakBefore w:val="0"/>
        <w:wordWrap w:val="0"/>
        <w:overflowPunct/>
        <w:topLinePunct w:val="0"/>
        <w:bidi w:val="0"/>
        <w:spacing w:before="153" w:line="315" w:lineRule="auto"/>
        <w:ind w:left="8" w:right="2"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2.3.</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9</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其余事项（如不可抗力、索赔、现场签证等）的调整原则按照《</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建设工程工程量清单计价标准</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GB/T50500-2024</w:t>
      </w:r>
      <w:r>
        <w:rPr>
          <w:rFonts w:hint="eastAsia" w:ascii="宋体" w:hAnsi="宋体" w:eastAsia="宋体" w:cs="宋体"/>
          <w:color w:val="000000" w:themeColor="text1"/>
          <w:spacing w:val="0"/>
          <w:sz w:val="24"/>
          <w:szCs w:val="24"/>
          <w:highlight w:val="none"/>
          <w14:textFill>
            <w14:solidFill>
              <w14:schemeClr w14:val="tx1"/>
            </w14:solidFill>
          </w14:textFill>
        </w:rPr>
        <w:t>）有关规定执行。</w:t>
      </w:r>
    </w:p>
    <w:p w14:paraId="0C5E03A8">
      <w:pPr>
        <w:keepNext w:val="0"/>
        <w:keepLines w:val="0"/>
        <w:pageBreakBefore w:val="0"/>
        <w:wordWrap w:val="0"/>
        <w:overflowPunct/>
        <w:topLinePunct w:val="0"/>
        <w:bidi w:val="0"/>
        <w:spacing w:before="156" w:line="299" w:lineRule="auto"/>
        <w:ind w:left="12" w:right="65" w:firstLine="5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2.4  </w:t>
      </w:r>
      <w:r>
        <w:rPr>
          <w:rFonts w:hint="eastAsia" w:ascii="宋体" w:hAnsi="宋体" w:eastAsia="宋体" w:cs="宋体"/>
          <w:color w:val="000000" w:themeColor="text1"/>
          <w:spacing w:val="0"/>
          <w:sz w:val="24"/>
          <w:szCs w:val="24"/>
          <w:highlight w:val="none"/>
          <w14:textFill>
            <w14:solidFill>
              <w14:schemeClr w14:val="tx1"/>
            </w14:solidFill>
          </w14:textFill>
        </w:rPr>
        <w:t>凡将引起合同价款调增的事项，承包人必须于拟实施 14 天前，将详细的报价书（含拟实施项目名称、变更部位、理由、预计造价等）报监理单位审核和发包人批准后方可实施。</w:t>
      </w:r>
    </w:p>
    <w:p w14:paraId="7E55A3E2">
      <w:pPr>
        <w:keepNext w:val="0"/>
        <w:keepLines w:val="0"/>
        <w:pageBreakBefore w:val="0"/>
        <w:wordWrap w:val="0"/>
        <w:overflowPunct/>
        <w:topLinePunct w:val="0"/>
        <w:bidi w:val="0"/>
        <w:spacing w:before="153" w:line="279" w:lineRule="auto"/>
        <w:ind w:left="9" w:right="102"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2.5 </w:t>
      </w:r>
      <w:r>
        <w:rPr>
          <w:rFonts w:hint="eastAsia" w:ascii="宋体" w:hAnsi="宋体" w:eastAsia="宋体" w:cs="宋体"/>
          <w:color w:val="000000" w:themeColor="text1"/>
          <w:spacing w:val="0"/>
          <w:sz w:val="24"/>
          <w:szCs w:val="24"/>
          <w:highlight w:val="none"/>
          <w14:textFill>
            <w14:solidFill>
              <w14:schemeClr w14:val="tx1"/>
            </w14:solidFill>
          </w14:textFill>
        </w:rPr>
        <w:t>承包人不得以不完全了解现场情况为理由，提出额外付款或延长工期等要求。 对此类要求，发包人不作任何考虑及答复。</w:t>
      </w:r>
    </w:p>
    <w:p w14:paraId="50E281B0">
      <w:pPr>
        <w:keepNext w:val="0"/>
        <w:keepLines w:val="0"/>
        <w:pageBreakBefore w:val="0"/>
        <w:wordWrap w:val="0"/>
        <w:overflowPunct/>
        <w:topLinePunct w:val="0"/>
        <w:bidi w:val="0"/>
        <w:spacing w:before="154" w:line="279" w:lineRule="auto"/>
        <w:ind w:left="10" w:right="63"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2.6 </w:t>
      </w:r>
      <w:r>
        <w:rPr>
          <w:rFonts w:hint="eastAsia" w:ascii="宋体" w:hAnsi="宋体" w:eastAsia="宋体" w:cs="宋体"/>
          <w:color w:val="000000" w:themeColor="text1"/>
          <w:spacing w:val="0"/>
          <w:sz w:val="24"/>
          <w:szCs w:val="24"/>
          <w:highlight w:val="none"/>
          <w14:textFill>
            <w14:solidFill>
              <w14:schemeClr w14:val="tx1"/>
            </w14:solidFill>
          </w14:textFill>
        </w:rPr>
        <w:t>承包人已标价工程量清单中漏报、错报或少报的清单项目，其价格均视为已经包含在其它清单项目中，竣工结算时不得重新组价和调整。</w:t>
      </w:r>
    </w:p>
    <w:p w14:paraId="75BC7B06">
      <w:pPr>
        <w:keepNext w:val="0"/>
        <w:keepLines w:val="0"/>
        <w:pageBreakBefore w:val="0"/>
        <w:wordWrap w:val="0"/>
        <w:overflowPunct/>
        <w:topLinePunct w:val="0"/>
        <w:bidi w:val="0"/>
        <w:spacing w:before="155" w:line="299" w:lineRule="auto"/>
        <w:ind w:left="12" w:right="65" w:firstLine="47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2.7  </w:t>
      </w:r>
      <w:r>
        <w:rPr>
          <w:rFonts w:hint="eastAsia" w:ascii="宋体" w:hAnsi="宋体" w:eastAsia="宋体" w:cs="宋体"/>
          <w:color w:val="000000" w:themeColor="text1"/>
          <w:spacing w:val="0"/>
          <w:sz w:val="24"/>
          <w:szCs w:val="24"/>
          <w:highlight w:val="none"/>
          <w14:textFill>
            <w14:solidFill>
              <w14:schemeClr w14:val="tx1"/>
            </w14:solidFill>
          </w14:textFill>
        </w:rPr>
        <w:t>项目完工后，发、承包双方和受其委托的工程造价咨询单位必须按照《</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建设工程工程量清单计价标准</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GB/T50500-2024</w:t>
      </w:r>
      <w:r>
        <w:rPr>
          <w:rFonts w:hint="eastAsia" w:ascii="宋体" w:hAnsi="宋体" w:eastAsia="宋体" w:cs="宋体"/>
          <w:color w:val="000000" w:themeColor="text1"/>
          <w:spacing w:val="0"/>
          <w:sz w:val="24"/>
          <w:szCs w:val="24"/>
          <w:highlight w:val="none"/>
          <w14:textFill>
            <w14:solidFill>
              <w14:schemeClr w14:val="tx1"/>
            </w14:solidFill>
          </w14:textFill>
        </w:rPr>
        <w:t>）和国家、省、市的有关规定办理竣工结算。</w:t>
      </w:r>
    </w:p>
    <w:p w14:paraId="18501ACB">
      <w:pPr>
        <w:keepNext w:val="0"/>
        <w:keepLines w:val="0"/>
        <w:pageBreakBefore w:val="0"/>
        <w:wordWrap w:val="0"/>
        <w:overflowPunct/>
        <w:topLinePunct w:val="0"/>
        <w:bidi w:val="0"/>
        <w:spacing w:before="152" w:line="319" w:lineRule="auto"/>
        <w:ind w:left="8" w:right="38" w:firstLine="55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2.8  </w:t>
      </w:r>
      <w:r>
        <w:rPr>
          <w:rFonts w:hint="eastAsia" w:ascii="宋体" w:hAnsi="宋体" w:eastAsia="宋体" w:cs="宋体"/>
          <w:color w:val="000000" w:themeColor="text1"/>
          <w:spacing w:val="0"/>
          <w:sz w:val="24"/>
          <w:szCs w:val="24"/>
          <w:highlight w:val="none"/>
          <w14:textFill>
            <w14:solidFill>
              <w14:schemeClr w14:val="tx1"/>
            </w14:solidFill>
          </w14:textFill>
        </w:rPr>
        <w:t>承包人已标价工程量清单中没有的材料（或工程设备），承包人在使用前必须将材料（或工程设备）样板、材料合格证明（或产品合格证书）、材料（或工程设备）检验报告提交给监理单位和发包人审核。发包人审定并确定价格后，承包人方可采购和使用。如果在交货验收和使用过程中发现货不对板，监理单位和发包人有权拒用，并要求承包人立即进行更换。更换后的材料（或工程设备）应再次进行检查和检验。由此增加的费用和（或）工期延误由承包人承担。</w:t>
      </w:r>
    </w:p>
    <w:p w14:paraId="32105AE6">
      <w:pPr>
        <w:keepNext w:val="0"/>
        <w:keepLines w:val="0"/>
        <w:pageBreakBefore w:val="0"/>
        <w:wordWrap w:val="0"/>
        <w:overflowPunct/>
        <w:topLinePunct w:val="0"/>
        <w:bidi w:val="0"/>
        <w:spacing w:before="152" w:line="319" w:lineRule="auto"/>
        <w:ind w:left="8" w:right="38" w:firstLine="55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2.9 </w:t>
      </w:r>
      <w:r>
        <w:rPr>
          <w:rFonts w:hint="eastAsia" w:ascii="宋体" w:hAnsi="宋体" w:eastAsia="宋体" w:cs="宋体"/>
          <w:color w:val="000000" w:themeColor="text1"/>
          <w:spacing w:val="0"/>
          <w:sz w:val="24"/>
          <w:szCs w:val="24"/>
          <w:highlight w:val="none"/>
          <w14:textFill>
            <w14:solidFill>
              <w14:schemeClr w14:val="tx1"/>
            </w14:solidFill>
          </w14:textFill>
        </w:rPr>
        <w:t>承包人已标价工程量清单中没有的材料（或工程设备）结算价格确定原则：按施工当月项目所在地工程造价管理机构发布的信息价格；若当地信息价格缺项的，由承包人根据变更工程资料依次参考韶关、清远、佛山、东莞、肇庆、惠州、广州等广东省内地区信息价执行；若以上城市均没有信息价则按厂商信息价、电商平台价格（优先从京东、国美、苏宁等大型电商平台查询取其平均价）；若以上方式均无法确定材料价格 的，则采用厂商报价或市场询价等方式取得有合法依据的市场价格，报发包人确认。</w:t>
      </w:r>
    </w:p>
    <w:p w14:paraId="1C684DEC">
      <w:pPr>
        <w:pStyle w:val="35"/>
        <w:keepNext w:val="0"/>
        <w:keepLines w:val="0"/>
        <w:pageBreakBefore w:val="0"/>
        <w:wordWrap w:val="0"/>
        <w:overflowPunct/>
        <w:topLinePunct w:val="0"/>
        <w:bidi w:val="0"/>
        <w:snapToGrid w:val="0"/>
        <w:spacing w:line="440" w:lineRule="exact"/>
        <w:ind w:firstLine="480"/>
        <w:jc w:val="both"/>
        <w:outlineLvl w:val="2"/>
        <w:rPr>
          <w:rStyle w:val="26"/>
          <w:rFonts w:hint="eastAsia" w:ascii="宋体" w:hAnsi="宋体" w:eastAsia="宋体" w:cs="宋体"/>
          <w:b/>
          <w:bCs/>
          <w:color w:val="000000" w:themeColor="text1"/>
          <w:spacing w:val="0"/>
          <w:sz w:val="24"/>
          <w:szCs w:val="24"/>
          <w:highlight w:val="none"/>
          <w14:textFill>
            <w14:solidFill>
              <w14:schemeClr w14:val="tx1"/>
            </w14:solidFill>
          </w14:textFill>
        </w:rPr>
      </w:pPr>
      <w:bookmarkStart w:id="182" w:name="_Toc1816"/>
      <w:bookmarkStart w:id="183" w:name="_Toc22696"/>
      <w:r>
        <w:rPr>
          <w:rStyle w:val="26"/>
          <w:rFonts w:hint="eastAsia" w:ascii="宋体" w:hAnsi="宋体" w:eastAsia="宋体" w:cs="宋体"/>
          <w:b/>
          <w:bCs/>
          <w:color w:val="000000" w:themeColor="text1"/>
          <w:spacing w:val="0"/>
          <w:sz w:val="24"/>
          <w:szCs w:val="24"/>
          <w:highlight w:val="none"/>
          <w14:textFill>
            <w14:solidFill>
              <w14:schemeClr w14:val="tx1"/>
            </w14:solidFill>
          </w14:textFill>
        </w:rPr>
        <w:t>3. 工程付款办法</w:t>
      </w:r>
      <w:bookmarkEnd w:id="182"/>
      <w:bookmarkEnd w:id="183"/>
    </w:p>
    <w:p w14:paraId="1DE34436">
      <w:pPr>
        <w:wordWrap w:val="0"/>
        <w:adjustRightInd w:val="0"/>
        <w:snapToGrid w:val="0"/>
        <w:spacing w:line="360" w:lineRule="auto"/>
        <w:ind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3.1</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本工程</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支付 </w:t>
      </w:r>
      <w:r>
        <w:rPr>
          <w:rFonts w:hint="eastAsia" w:ascii="宋体" w:hAnsi="宋体" w:eastAsia="宋体" w:cs="宋体"/>
          <w:snapToGrid w:val="0"/>
          <w:color w:val="000000" w:themeColor="text1"/>
          <w:kern w:val="0"/>
          <w:sz w:val="24"/>
          <w:szCs w:val="24"/>
          <w:highlight w:val="none"/>
          <w14:textFill>
            <w14:solidFill>
              <w14:schemeClr w14:val="tx1"/>
            </w14:solidFill>
          </w14:textFill>
        </w:rPr>
        <w:t>施工预付款。</w:t>
      </w:r>
    </w:p>
    <w:p w14:paraId="241C9822">
      <w:pPr>
        <w:wordWrap w:val="0"/>
        <w:adjustRightInd w:val="0"/>
        <w:snapToGrid w:val="0"/>
        <w:spacing w:line="360" w:lineRule="auto"/>
        <w:ind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3.2</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施工预付款必须专用于合同工程，并按以下原则支付和抵扣：</w:t>
      </w:r>
    </w:p>
    <w:p w14:paraId="446B4EBF">
      <w:pPr>
        <w:wordWrap w:val="0"/>
        <w:adjustRightInd w:val="0"/>
        <w:snapToGrid w:val="0"/>
        <w:spacing w:line="360" w:lineRule="auto"/>
        <w:ind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3.2.1</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施工预付款支付比例为：按施工合同价</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暂列金额、计日工价款及专业工程暂估价</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除外）</w:t>
      </w:r>
      <w:r>
        <w:rPr>
          <w:rFonts w:hint="eastAsia" w:ascii="宋体" w:hAnsi="宋体" w:eastAsia="宋体" w:cs="宋体"/>
          <w:snapToGrid w:val="0"/>
          <w:color w:val="000000" w:themeColor="text1"/>
          <w:kern w:val="0"/>
          <w:sz w:val="24"/>
          <w:szCs w:val="24"/>
          <w:highlight w:val="none"/>
          <w14:textFill>
            <w14:solidFill>
              <w14:schemeClr w14:val="tx1"/>
            </w14:solidFill>
          </w14:textFill>
        </w:rPr>
        <w:t>的</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30% </w:t>
      </w:r>
      <w:r>
        <w:rPr>
          <w:rFonts w:hint="eastAsia" w:ascii="宋体" w:hAnsi="宋体" w:eastAsia="宋体" w:cs="宋体"/>
          <w:snapToGrid w:val="0"/>
          <w:color w:val="000000" w:themeColor="text1"/>
          <w:kern w:val="0"/>
          <w:sz w:val="24"/>
          <w:szCs w:val="24"/>
          <w:highlight w:val="none"/>
          <w14:textFill>
            <w14:solidFill>
              <w14:schemeClr w14:val="tx1"/>
            </w14:solidFill>
          </w14:textFill>
        </w:rPr>
        <w:t>支付。</w:t>
      </w:r>
    </w:p>
    <w:p w14:paraId="571C8EB5">
      <w:pPr>
        <w:wordWrap w:val="0"/>
        <w:adjustRightInd w:val="0"/>
        <w:snapToGrid w:val="0"/>
        <w:spacing w:line="360" w:lineRule="auto"/>
        <w:ind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3.2.2</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本招标项目</w:t>
      </w:r>
      <w:r>
        <w:rPr>
          <w:rFonts w:hint="eastAsia" w:ascii="宋体" w:hAnsi="宋体" w:eastAsia="宋体" w:cs="宋体"/>
          <w:b/>
          <w:bCs/>
          <w:snapToGrid w:val="0"/>
          <w:color w:val="000000" w:themeColor="text1"/>
          <w:kern w:val="0"/>
          <w:sz w:val="24"/>
          <w:szCs w:val="24"/>
          <w:highlight w:val="none"/>
          <w:u w:val="single"/>
          <w14:textFill>
            <w14:solidFill>
              <w14:schemeClr w14:val="tx1"/>
            </w14:solidFill>
          </w14:textFill>
        </w:rPr>
        <w:t>要求</w:t>
      </w:r>
      <w:r>
        <w:rPr>
          <w:rFonts w:hint="eastAsia" w:ascii="宋体" w:hAnsi="宋体" w:eastAsia="宋体" w:cs="宋体"/>
          <w:snapToGrid w:val="0"/>
          <w:color w:val="000000" w:themeColor="text1"/>
          <w:kern w:val="0"/>
          <w:sz w:val="24"/>
          <w:szCs w:val="24"/>
          <w:highlight w:val="none"/>
          <w14:textFill>
            <w14:solidFill>
              <w14:schemeClr w14:val="tx1"/>
            </w14:solidFill>
          </w14:textFill>
        </w:rPr>
        <w:t>承包人提供与预付款等额的预付款保函。</w:t>
      </w:r>
    </w:p>
    <w:p w14:paraId="4A4F23D6">
      <w:pPr>
        <w:wordWrap w:val="0"/>
        <w:adjustRightInd w:val="0"/>
        <w:snapToGrid w:val="0"/>
        <w:spacing w:line="360" w:lineRule="auto"/>
        <w:ind w:firstLine="482"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3.2.3</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承包人应在签订合同后，</w:t>
      </w: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在提供符合要求的预付款保函或预付款保险</w:t>
      </w:r>
      <w:r>
        <w:rPr>
          <w:rFonts w:hint="eastAsia" w:ascii="宋体" w:hAnsi="宋体" w:eastAsia="宋体" w:cs="宋体"/>
          <w:snapToGrid w:val="0"/>
          <w:color w:val="000000" w:themeColor="text1"/>
          <w:kern w:val="0"/>
          <w:sz w:val="24"/>
          <w:szCs w:val="24"/>
          <w:highlight w:val="none"/>
          <w14:textFill>
            <w14:solidFill>
              <w14:schemeClr w14:val="tx1"/>
            </w14:solidFill>
          </w14:textFill>
        </w:rPr>
        <w:t>及在具备施工条件的前提下，向发包人提交预付款支付申请。发包人应对在收到支付申请的7天内进行核实后向承包人发出预付款支付证书，并在签发支付证书后的7天内向承包人支付预付款。凡未签订合同或不具备施工条件的工程，发包人不得预付工程款。</w:t>
      </w:r>
    </w:p>
    <w:p w14:paraId="4C8F6CA9">
      <w:pPr>
        <w:wordWrap w:val="0"/>
        <w:adjustRightInd w:val="0"/>
        <w:snapToGrid w:val="0"/>
        <w:spacing w:line="360" w:lineRule="auto"/>
        <w:ind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3.2.4预付款应从每支付期应支付给承包人的工程进度款中扣回，直到扣回的金额达到合同约定的预付款金额为止。</w:t>
      </w:r>
    </w:p>
    <w:p w14:paraId="6BF55ED4">
      <w:pPr>
        <w:wordWrap w:val="0"/>
        <w:adjustRightInd w:val="0"/>
        <w:snapToGrid w:val="0"/>
        <w:spacing w:line="360" w:lineRule="auto"/>
        <w:ind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 xml:space="preserve">3.3 </w:t>
      </w:r>
      <w:r>
        <w:rPr>
          <w:rFonts w:hint="eastAsia" w:ascii="宋体" w:hAnsi="宋体" w:eastAsia="宋体" w:cs="宋体"/>
          <w:snapToGrid w:val="0"/>
          <w:color w:val="000000" w:themeColor="text1"/>
          <w:kern w:val="0"/>
          <w:sz w:val="24"/>
          <w:szCs w:val="24"/>
          <w:highlight w:val="none"/>
          <w14:textFill>
            <w14:solidFill>
              <w14:schemeClr w14:val="tx1"/>
            </w14:solidFill>
          </w14:textFill>
        </w:rPr>
        <w:t>施工过程中按月申报工程进度款：承包人每月按工程实际完成工程量（含变更及增加工程）申报，承包人必须将《已完成工程量报表》和《工程付款申请书》于当月26日前报监理单位核</w:t>
      </w:r>
      <w:bookmarkStart w:id="184" w:name="_Hlt127094354"/>
      <w:bookmarkEnd w:id="184"/>
      <w:r>
        <w:rPr>
          <w:rFonts w:hint="eastAsia" w:ascii="宋体" w:hAnsi="宋体" w:eastAsia="宋体" w:cs="宋体"/>
          <w:snapToGrid w:val="0"/>
          <w:color w:val="000000" w:themeColor="text1"/>
          <w:kern w:val="0"/>
          <w:sz w:val="24"/>
          <w:szCs w:val="24"/>
          <w:highlight w:val="none"/>
          <w14:textFill>
            <w14:solidFill>
              <w14:schemeClr w14:val="tx1"/>
            </w14:solidFill>
          </w14:textFill>
        </w:rPr>
        <w:t>实。经监理单位审核、发包人审定后的工程进度款（指已经按照合同约定，扣除该支付期内因承包人违约而应扣除的管理费），申报后按财政资金拨付到位实际情况进行支付。</w:t>
      </w:r>
    </w:p>
    <w:p w14:paraId="1161B1D0">
      <w:pPr>
        <w:wordWrap w:val="0"/>
        <w:adjustRightInd w:val="0"/>
        <w:snapToGrid w:val="0"/>
        <w:spacing w:line="360" w:lineRule="auto"/>
        <w:ind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3.4</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每月的工程进度款按工程实际完成工程量的</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8</w:t>
      </w:r>
      <w:r>
        <w:rPr>
          <w:rFonts w:hint="eastAsia" w:ascii="宋体" w:hAnsi="宋体" w:eastAsia="宋体" w:cs="宋体"/>
          <w:snapToGrid w:val="0"/>
          <w:color w:val="000000" w:themeColor="text1"/>
          <w:kern w:val="0"/>
          <w:sz w:val="24"/>
          <w:szCs w:val="24"/>
          <w:highlight w:val="none"/>
          <w:u w:val="single"/>
          <w:lang w:val="en-US" w:eastAsia="zh-CN"/>
          <w14:textFill>
            <w14:solidFill>
              <w14:schemeClr w14:val="tx1"/>
            </w14:solidFill>
          </w14:textFill>
        </w:rPr>
        <w:t>0</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申请支付，工程进度款中的作业工人工资款项由发包人单独足额拨付到承包人的工资专户。</w:t>
      </w:r>
    </w:p>
    <w:p w14:paraId="5A4324B0">
      <w:pPr>
        <w:wordWrap w:val="0"/>
        <w:adjustRightInd w:val="0"/>
        <w:snapToGrid w:val="0"/>
        <w:spacing w:line="360" w:lineRule="auto"/>
        <w:ind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3.5</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措施项目费中的“</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安全生产措施费</w:t>
      </w:r>
      <w:r>
        <w:rPr>
          <w:rFonts w:hint="eastAsia" w:ascii="宋体" w:hAnsi="宋体" w:eastAsia="宋体" w:cs="宋体"/>
          <w:snapToGrid w:val="0"/>
          <w:color w:val="000000" w:themeColor="text1"/>
          <w:kern w:val="0"/>
          <w:sz w:val="24"/>
          <w:szCs w:val="24"/>
          <w:highlight w:val="none"/>
          <w14:textFill>
            <w14:solidFill>
              <w14:schemeClr w14:val="tx1"/>
            </w14:solidFill>
          </w14:textFill>
        </w:rPr>
        <w:t>”拨付按照《广东省建设工程计价依据（2018）》执行，按照项目所在地的建设行政主管部门有关规定支付。发生一般事故及以上等级重大安全事故的，发包人可扣除承包人金额相当于所有“</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安全生产措施费</w:t>
      </w:r>
      <w:r>
        <w:rPr>
          <w:rFonts w:hint="eastAsia" w:ascii="宋体" w:hAnsi="宋体" w:eastAsia="宋体" w:cs="宋体"/>
          <w:snapToGrid w:val="0"/>
          <w:color w:val="000000" w:themeColor="text1"/>
          <w:kern w:val="0"/>
          <w:sz w:val="24"/>
          <w:szCs w:val="24"/>
          <w:highlight w:val="none"/>
          <w14:textFill>
            <w14:solidFill>
              <w14:schemeClr w14:val="tx1"/>
            </w14:solidFill>
          </w14:textFill>
        </w:rPr>
        <w:t>”的工程管理费。</w:t>
      </w:r>
    </w:p>
    <w:p w14:paraId="58038E18">
      <w:pPr>
        <w:wordWrap w:val="0"/>
        <w:adjustRightInd w:val="0"/>
        <w:snapToGrid w:val="0"/>
        <w:spacing w:line="360" w:lineRule="auto"/>
        <w:ind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3.6</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变更工程造价必须经监理单位核实，并经发包人核定后方可支付。</w:t>
      </w:r>
    </w:p>
    <w:p w14:paraId="63B44E6E">
      <w:pPr>
        <w:wordWrap w:val="0"/>
        <w:adjustRightInd w:val="0"/>
        <w:snapToGrid w:val="0"/>
        <w:spacing w:line="360" w:lineRule="auto"/>
        <w:ind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3.7</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结算审核完成后，于次月支付至合同价格的97%，剩余3%转为质量保证金；承包人提交了等额质量保证担保或质量保证保险的，于次月一次性结清合同价格。</w:t>
      </w:r>
    </w:p>
    <w:p w14:paraId="058D0CEB">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jc w:val="both"/>
        <w:textAlignment w:val="auto"/>
        <w:rPr>
          <w:rFonts w:hint="eastAsia" w:ascii="宋体" w:hAnsi="宋体" w:eastAsia="宋体" w:cs="宋体"/>
          <w:snapToGrid w:val="0"/>
          <w:color w:val="000000" w:themeColor="text1"/>
          <w:spacing w:val="0"/>
          <w:kern w:val="0"/>
          <w:sz w:val="24"/>
          <w:szCs w:val="24"/>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3.8</w:t>
      </w:r>
      <w:r>
        <w:rPr>
          <w:rFonts w:hint="eastAsia" w:ascii="宋体" w:hAnsi="宋体" w:eastAsia="宋体" w:cs="宋体"/>
          <w:color w:val="000000" w:themeColor="text1"/>
          <w:sz w:val="24"/>
          <w:szCs w:val="24"/>
          <w:highlight w:val="none"/>
          <w14:textFill>
            <w14:solidFill>
              <w14:schemeClr w14:val="tx1"/>
            </w14:solidFill>
          </w14:textFill>
        </w:rPr>
        <w:t>本招标项目缺陷责任期为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年（自通过竣工验收之日起计）。缺陷责任期到期后，承包人向发包人申请退还质量保证。发包人收到退还申请后，于14天内会同承包人进行核实。经双方核实且均无异议后，发包人在核实之日起 14 天内将应返保证金（或银行保函）退还承包人。</w:t>
      </w:r>
    </w:p>
    <w:p w14:paraId="5F97EA0E">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both"/>
        <w:textAlignment w:val="auto"/>
        <w:rPr>
          <w:rFonts w:hint="eastAsia" w:ascii="宋体" w:hAnsi="宋体" w:eastAsia="宋体" w:cs="宋体"/>
          <w:b/>
          <w:bCs/>
          <w:snapToGrid w:val="0"/>
          <w:color w:val="000000" w:themeColor="text1"/>
          <w:spacing w:val="0"/>
          <w:kern w:val="0"/>
          <w:sz w:val="24"/>
          <w:szCs w:val="20"/>
          <w:highlight w:val="none"/>
          <w:lang w:eastAsia="zh-CN"/>
          <w14:textFill>
            <w14:solidFill>
              <w14:schemeClr w14:val="tx1"/>
            </w14:solidFill>
          </w14:textFill>
        </w:rPr>
      </w:pPr>
      <w:r>
        <w:rPr>
          <w:rFonts w:hint="eastAsia" w:ascii="宋体" w:hAnsi="宋体" w:eastAsia="宋体" w:cs="宋体"/>
          <w:b/>
          <w:bCs/>
          <w:snapToGrid w:val="0"/>
          <w:color w:val="000000" w:themeColor="text1"/>
          <w:spacing w:val="0"/>
          <w:kern w:val="0"/>
          <w:sz w:val="24"/>
          <w:szCs w:val="20"/>
          <w:highlight w:val="none"/>
          <w:lang w:eastAsia="zh-CN"/>
          <w14:textFill>
            <w14:solidFill>
              <w14:schemeClr w14:val="tx1"/>
            </w14:solidFill>
          </w14:textFill>
        </w:rPr>
        <w:t>3.9</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 xml:space="preserve"> </w:t>
      </w:r>
      <w:r>
        <w:rPr>
          <w:rFonts w:hint="eastAsia" w:ascii="宋体" w:hAnsi="宋体" w:eastAsia="宋体" w:cs="宋体"/>
          <w:b/>
          <w:bCs/>
          <w:snapToGrid w:val="0"/>
          <w:color w:val="000000" w:themeColor="text1"/>
          <w:spacing w:val="0"/>
          <w:kern w:val="0"/>
          <w:sz w:val="24"/>
          <w:szCs w:val="20"/>
          <w:highlight w:val="none"/>
          <w:lang w:eastAsia="zh-CN"/>
          <w14:textFill>
            <w14:solidFill>
              <w14:schemeClr w14:val="tx1"/>
            </w14:solidFill>
          </w14:textFill>
        </w:rPr>
        <w:t>发包人每次支付工程款前，承包人均应提供有效的增值税专用发票。如果承包人无法提供符合要求的发票，由此造成的相应损失由承包人承担。</w:t>
      </w:r>
    </w:p>
    <w:p w14:paraId="5FDBA552">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both"/>
        <w:textAlignment w:val="auto"/>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pPr>
      <w:r>
        <w:rPr>
          <w:rFonts w:hint="eastAsia" w:ascii="宋体" w:hAnsi="宋体" w:eastAsia="宋体" w:cs="宋体"/>
          <w:b/>
          <w:bCs/>
          <w:snapToGrid w:val="0"/>
          <w:color w:val="000000" w:themeColor="text1"/>
          <w:spacing w:val="0"/>
          <w:kern w:val="0"/>
          <w:sz w:val="24"/>
          <w:szCs w:val="20"/>
          <w:highlight w:val="none"/>
          <w:lang w:eastAsia="zh-CN"/>
          <w14:textFill>
            <w14:solidFill>
              <w14:schemeClr w14:val="tx1"/>
            </w14:solidFill>
          </w14:textFill>
        </w:rPr>
        <w:t>3.</w:t>
      </w:r>
      <w:r>
        <w:rPr>
          <w:rFonts w:hint="eastAsia" w:ascii="宋体" w:hAnsi="宋体" w:eastAsia="宋体" w:cs="宋体"/>
          <w:b/>
          <w:bCs/>
          <w:snapToGrid w:val="0"/>
          <w:color w:val="000000" w:themeColor="text1"/>
          <w:spacing w:val="0"/>
          <w:kern w:val="0"/>
          <w:sz w:val="24"/>
          <w:szCs w:val="20"/>
          <w:highlight w:val="none"/>
          <w:lang w:val="en-US" w:eastAsia="zh-CN"/>
          <w14:textFill>
            <w14:solidFill>
              <w14:schemeClr w14:val="tx1"/>
            </w14:solidFill>
          </w14:textFill>
        </w:rPr>
        <w:t>10</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暂列金额支付方式：</w:t>
      </w:r>
      <w:r>
        <w:rPr>
          <w:rFonts w:hint="eastAsia" w:ascii="宋体" w:hAnsi="宋体" w:eastAsia="宋体" w:cs="宋体"/>
          <w:snapToGrid w:val="0"/>
          <w:color w:val="000000" w:themeColor="text1"/>
          <w:spacing w:val="0"/>
          <w:kern w:val="0"/>
          <w:sz w:val="24"/>
          <w:szCs w:val="20"/>
          <w:highlight w:val="none"/>
          <w:u w:val="single"/>
          <w:lang w:val="en-US" w:eastAsia="zh-CN"/>
          <w14:textFill>
            <w14:solidFill>
              <w14:schemeClr w14:val="tx1"/>
            </w14:solidFill>
          </w14:textFill>
        </w:rPr>
        <w:t>承包人需根据发布的《工程变更管理办法》和《工程签证管理办法》完善工程变更签证相关程序后，与每个月的工程进度款一并报送；若承包人原因未按上述办法在规定时间内完善工程变更签证相关程序的，当月工程进度款中的变更签证部分暂停拨付。在暂列金额的范围内，最终经发包人确认后支付至该部分实际完成工程量的（80％），其余部分待结算完成审核后支付至 97%，剩余 3%为工程质量保修金。</w:t>
      </w:r>
    </w:p>
    <w:p w14:paraId="4273771D">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both"/>
        <w:textAlignment w:val="auto"/>
        <w:rPr>
          <w:rFonts w:hint="eastAsia" w:ascii="宋体" w:hAnsi="宋体" w:eastAsia="宋体" w:cs="宋体"/>
          <w:snapToGrid w:val="0"/>
          <w:color w:val="000000" w:themeColor="text1"/>
          <w:spacing w:val="0"/>
          <w:kern w:val="0"/>
          <w:sz w:val="24"/>
          <w:szCs w:val="20"/>
          <w:highlight w:val="none"/>
          <w:u w:val="single"/>
          <w:lang w:eastAsia="zh-CN"/>
          <w14:textFill>
            <w14:solidFill>
              <w14:schemeClr w14:val="tx1"/>
            </w14:solidFill>
          </w14:textFill>
        </w:rPr>
      </w:pPr>
      <w:r>
        <w:rPr>
          <w:rFonts w:hint="eastAsia" w:ascii="宋体" w:hAnsi="宋体" w:eastAsia="宋体" w:cs="宋体"/>
          <w:b/>
          <w:bCs/>
          <w:snapToGrid w:val="0"/>
          <w:color w:val="000000" w:themeColor="text1"/>
          <w:spacing w:val="0"/>
          <w:kern w:val="0"/>
          <w:sz w:val="24"/>
          <w:szCs w:val="20"/>
          <w:highlight w:val="none"/>
          <w:lang w:eastAsia="zh-CN"/>
          <w14:textFill>
            <w14:solidFill>
              <w14:schemeClr w14:val="tx1"/>
            </w14:solidFill>
          </w14:textFill>
        </w:rPr>
        <w:t>3.11</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 xml:space="preserve"> 材料暂估价、专业工程暂估价支付方式：</w:t>
      </w:r>
      <w:r>
        <w:rPr>
          <w:rFonts w:hint="eastAsia" w:ascii="宋体" w:hAnsi="宋体" w:eastAsia="宋体" w:cs="宋体"/>
          <w:snapToGrid w:val="0"/>
          <w:color w:val="000000" w:themeColor="text1"/>
          <w:spacing w:val="0"/>
          <w:kern w:val="0"/>
          <w:sz w:val="24"/>
          <w:szCs w:val="20"/>
          <w:highlight w:val="none"/>
          <w:u w:val="single"/>
          <w:lang w:eastAsia="zh-CN"/>
          <w14:textFill>
            <w14:solidFill>
              <w14:schemeClr w14:val="tx1"/>
            </w14:solidFill>
          </w14:textFill>
        </w:rPr>
        <w:t>材料暂估价、专业工程暂估价与每个月的工程进度款一并报送，但需要列明详细项目内容，该部分材料暂估价、专业工程暂估价按该部分实际完成工程量的50%支付，工程竣工验收合格后</w:t>
      </w:r>
      <w:r>
        <w:rPr>
          <w:rFonts w:hint="eastAsia" w:ascii="宋体" w:hAnsi="宋体" w:eastAsia="宋体" w:cs="宋体"/>
          <w:snapToGrid w:val="0"/>
          <w:color w:val="000000" w:themeColor="text1"/>
          <w:spacing w:val="0"/>
          <w:kern w:val="0"/>
          <w:sz w:val="24"/>
          <w:szCs w:val="20"/>
          <w:highlight w:val="none"/>
          <w:u w:val="single"/>
          <w:lang w:val="en-US" w:eastAsia="zh-CN"/>
          <w14:textFill>
            <w14:solidFill>
              <w14:schemeClr w14:val="tx1"/>
            </w14:solidFill>
          </w14:textFill>
        </w:rPr>
        <w:t>14天内</w:t>
      </w:r>
      <w:r>
        <w:rPr>
          <w:rFonts w:hint="eastAsia" w:ascii="宋体" w:hAnsi="宋体" w:eastAsia="宋体" w:cs="宋体"/>
          <w:snapToGrid w:val="0"/>
          <w:color w:val="000000" w:themeColor="text1"/>
          <w:spacing w:val="0"/>
          <w:kern w:val="0"/>
          <w:sz w:val="24"/>
          <w:szCs w:val="20"/>
          <w:highlight w:val="none"/>
          <w:u w:val="single"/>
          <w:lang w:eastAsia="zh-CN"/>
          <w14:textFill>
            <w14:solidFill>
              <w14:schemeClr w14:val="tx1"/>
            </w14:solidFill>
          </w14:textFill>
        </w:rPr>
        <w:t>支付至8</w:t>
      </w:r>
      <w:r>
        <w:rPr>
          <w:rFonts w:hint="eastAsia" w:ascii="宋体" w:hAnsi="宋体" w:eastAsia="宋体" w:cs="宋体"/>
          <w:snapToGrid w:val="0"/>
          <w:color w:val="000000" w:themeColor="text1"/>
          <w:spacing w:val="0"/>
          <w:kern w:val="0"/>
          <w:sz w:val="24"/>
          <w:szCs w:val="20"/>
          <w:highlight w:val="none"/>
          <w:u w:val="single"/>
          <w:lang w:val="en-US" w:eastAsia="zh-CN"/>
          <w14:textFill>
            <w14:solidFill>
              <w14:schemeClr w14:val="tx1"/>
            </w14:solidFill>
          </w14:textFill>
        </w:rPr>
        <w:t>0</w:t>
      </w:r>
      <w:r>
        <w:rPr>
          <w:rFonts w:hint="eastAsia" w:ascii="宋体" w:hAnsi="宋体" w:eastAsia="宋体" w:cs="宋体"/>
          <w:snapToGrid w:val="0"/>
          <w:color w:val="000000" w:themeColor="text1"/>
          <w:spacing w:val="0"/>
          <w:kern w:val="0"/>
          <w:sz w:val="24"/>
          <w:szCs w:val="20"/>
          <w:highlight w:val="none"/>
          <w:u w:val="single"/>
          <w:lang w:eastAsia="zh-CN"/>
          <w14:textFill>
            <w14:solidFill>
              <w14:schemeClr w14:val="tx1"/>
            </w14:solidFill>
          </w14:textFill>
        </w:rPr>
        <w:t>%，剩余部分结算完成后支付至审定造价的97%，剩余3%为工程质量保修金。</w:t>
      </w:r>
    </w:p>
    <w:p w14:paraId="1B4A6494">
      <w:pPr>
        <w:keepNext w:val="0"/>
        <w:keepLines w:val="0"/>
        <w:pageBreakBefore w:val="0"/>
        <w:wordWrap w:val="0"/>
        <w:overflowPunct/>
        <w:topLinePunct w:val="0"/>
        <w:bidi w:val="0"/>
        <w:spacing w:before="154" w:line="212" w:lineRule="auto"/>
        <w:ind w:left="486"/>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185" w:name="_Toc9813"/>
      <w:r>
        <w:rPr>
          <w:rFonts w:hint="eastAsia" w:ascii="宋体" w:hAnsi="宋体" w:eastAsia="宋体" w:cs="宋体"/>
          <w:b/>
          <w:bCs/>
          <w:color w:val="000000" w:themeColor="text1"/>
          <w:spacing w:val="0"/>
          <w:sz w:val="24"/>
          <w:szCs w:val="24"/>
          <w:highlight w:val="none"/>
          <w14:textFill>
            <w14:solidFill>
              <w14:schemeClr w14:val="tx1"/>
            </w14:solidFill>
          </w14:textFill>
        </w:rPr>
        <w:t>4 ．其他专用合同条款</w:t>
      </w:r>
      <w:bookmarkEnd w:id="185"/>
    </w:p>
    <w:p w14:paraId="51069F9A">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 xml:space="preserve">4.1 </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专业工程分包 </w:t>
      </w:r>
    </w:p>
    <w:p w14:paraId="71E5A23E">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合同范围内的工程未经发包人同意一律不得分包，一经发现，取消承包人的承包资格，由此引起的一切经济损失和法律责任由承包人自行承担。若有专业工程必须分包的，发包人不另行支付总包服务费；其分包合同由总包人与分包人双方签订，发包人不参与总包人与分包人之间的结算，该部分工程的造价仍按总包人与发包人签订的合同的有关条款进行结算。 </w:t>
      </w:r>
    </w:p>
    <w:p w14:paraId="0D298AFB">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工人工资支付专用账户 </w:t>
      </w:r>
    </w:p>
    <w:p w14:paraId="2454931A">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发、承包双方订立合同时，应就承包人设立工人工资支付专用账户（以下简称“工资专户”）、工程进度款、预付款中工人工资款的比例为30%、工资款拨付的期限等事项作出明确约定。发包人按照合同约定，按月将工程款中的工资款项单独足额拨付到承包人的工资专户，并对承包人工人工资支付情况进行监督，及时协调解决工人工资发放中存在的问题。  </w:t>
      </w:r>
    </w:p>
    <w:p w14:paraId="3733DDD0">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4.2.2</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依据人力资源社会保障部等十部门印发的《工程建设领域农民工工资专用账户管理暂行办法》（人社部发〔2021〕53 号）文件规定，承包人中标后，须到银行设立工人工资支付专用账户，用于支付工人工资。发包人支付工程款时，将按工程款（不含工人工资）和工人工资两部分分开支付，工人工资支付至专用账户。承包人应建立劳动用工管理台账，并按月将工人工资支付明细表等资料报发包人备案。备案内容包括但不限于以下内容（以相关部门的要求为准）：（1）工资发放表、付款凭证（有总包单位项目负责人签名或盖章确认）；（2）施工许可证（或开工报告）、工程项目总承包、专业分包、劳务分包合同；（3）建设单位支付工程款凭证；（4）花名册及身份证复印件；（5）劳动合同：（6）委托书（写明委托代发工资情况）；（7）缴纳保证金的凭证；（8）总包企业或承包企业设立工资专用账户的凭证；（9）维权信息告示牌情况。 </w:t>
      </w:r>
    </w:p>
    <w:p w14:paraId="64D1C6EB">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按韶关市人力资源和社会保障局 韶关市住房和城乡建设管理局 韶关市交通运输局韶关市水务局 韶关市金融工作局 国家金融监督管理总局韶关监管分局关于印发《韶关市工程建设领域农民工工资保证金管理实施细则》的通知(韶人社规〔2023〕2 号) 及《韶关市工程建设领域农民工工资保证金管理实施细则》（韶法审〔2023〕19 号）规定执行。承包人在签订工程施工承包合同后一个月内必须办妥该事项，并将办妥回执交发包人。 </w:t>
      </w:r>
    </w:p>
    <w:p w14:paraId="6F4D0182">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如发生承包人拖欠民工工资并且向政府或发包人索要承包人拖欠工资的，发包人有权使用工人工资保证金或在剩余进度款范围内代承包人向民工支付工资，承包人对发包人垫付工资的人员范围和工资数额均不得提异议。发包人代支的工资除了从当期工程款内直接扣除外,承包人须按照发包人所垫付的民工工资 2 倍向发包人支付违约金。 </w:t>
      </w:r>
    </w:p>
    <w:p w14:paraId="4564E298">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4.2.3</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承包人应在工资专户开立后 2 个工作日内，将开户银行及其账号、开户协议等资料提交给发包人。 </w:t>
      </w:r>
    </w:p>
    <w:p w14:paraId="0F3EA377">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（1）用人单位应当在建设项目动工前，在建设项目所在地商业银行设立工人工资支付专用账户。 </w:t>
      </w:r>
    </w:p>
    <w:p w14:paraId="776A9988">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（2）用人单位应当在用工之日起 15 日内为每一位工人办理个人银行账户。</w:t>
      </w:r>
    </w:p>
    <w:p w14:paraId="327E5743">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（3）用人单位应当指定专人负责建设项目施工现场台账管理，真实、准确记录工人名册、劳务合同、劳动合同、工程进度、工时台账、劳务承包款和工人工资支付等信息，并保存两年以上备查。</w:t>
      </w:r>
    </w:p>
    <w:p w14:paraId="493CA8AC">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（4）用人单位应当按照“及时支付，按实结算”的原则，在规定日期前通过银行工人工资支付专用账户将工人工资直接支付到工人的个人银行账户，并按月将工人工资支付 明细表报施工总承包单位和建设单位备案。</w:t>
      </w:r>
    </w:p>
    <w:p w14:paraId="2E48CB02">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用人单位未建立、保存用工管理台账，或者伪造相关台账的，按照《广东省劳动保障监察条例》第四十九条的规定，由人力资源社会保障部门责令改正，并可处以二千元以上二万元以下的人民币罚款。</w:t>
      </w:r>
    </w:p>
    <w:p w14:paraId="35366B38">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4.2.4</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施工总承包企业依法将专业工程分包的，应在分包合同中就分包人设立工资专户、工程进度款中工人工资款的比例、工资款拨付的期限等事项作出明确约定。总包人按照分包合同约定，按月将工程款中的工资款项单独足额拨付到分包人的工资专户，并对分包人工人工资支付情况进行监督，及时协调解决工人工资发放中存在的问题。 </w:t>
      </w:r>
    </w:p>
    <w:p w14:paraId="34B5D41B">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4.3</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诚信登记 </w:t>
      </w:r>
    </w:p>
    <w:p w14:paraId="6076B962">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根据资质管理规定，许可机关应当建立、健全建筑业企业信用档案管理制度，包括企业基本信息、资质、业绩、工程质量和安全、合同履约、社会投诉和违法行为等情况。 </w:t>
      </w:r>
    </w:p>
    <w:p w14:paraId="1254AFFF">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4.4</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工期进度 </w:t>
      </w:r>
    </w:p>
    <w:p w14:paraId="50B1FB1B">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4.4.1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本招标项目施工标准工期为</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180</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个日历天，招标工期为</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180</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个日历天，承包人必须在招标工期内完成招标范围内的全部内容。 </w:t>
      </w:r>
    </w:p>
    <w:p w14:paraId="39378272">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4.4.2</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施工工期从承包人收到监理单位签发的开工令之日起计，至竣工验收合格之日止。</w:t>
      </w:r>
    </w:p>
    <w:p w14:paraId="48D28B1B">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4.4.3</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工期奖罚 </w:t>
      </w:r>
    </w:p>
    <w:p w14:paraId="046DC92A">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□竣工验收合格交付使用每提前</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天竣工；奖</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元，奖励金额不超过合同价款的</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%（一般为 2%～5%）且不超过</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元。 </w:t>
      </w:r>
    </w:p>
    <w:p w14:paraId="65E4E594">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□按施工合同期约定,因承包人原因每延误</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天竣工,罚</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元。 </w:t>
      </w:r>
    </w:p>
    <w:p w14:paraId="74F80B12">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□按施工合同期约定,因承包人原因延误工期</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天内不处罚， 自第壹天起每延误</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天竣工,罚元。处罚金额不超过合同价款的</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%（一般为 2%～5%）且不超过万元，累计延误工期达到</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天，报请建设行政主管部门作不良行为记录，非承包方原因或不可抗力造成延误的除外。 </w:t>
      </w:r>
    </w:p>
    <w:p w14:paraId="7091C392">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☑其它说明：（1）因承包人原因，工程没有按期竣工时，承包人须在逾期第壹天起每天按合同价的 1‰ 向发包人返纳逾期竣工违约金。逾期竣工违约金的最高限额为合同价款的3%。</w:t>
      </w:r>
    </w:p>
    <w:p w14:paraId="3965E8AD">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2）承包人需提供各子项目的年度、季度、月、周施工计划报监理单位及发包人确认，在计划实施过程中，发包人及监理单位对承包人实际工期按周、月、季度进行检查、分析、评价，如与实际施工进度发生偏离的，由监理单位书面提醒承包人采取措施，如提醒后承包人未采取有效措施按施工计划按时完成的，每次按2000元缴纳违约金给发包人，在结算中一并扣除。</w:t>
      </w:r>
    </w:p>
    <w:p w14:paraId="2B12986D">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（3）承包人在进场后7天内提交施工进度计划，并注明主要施工节点时间，送监理单位及发包人审核后，作为工期考核的阶段性指标。</w:t>
      </w:r>
    </w:p>
    <w:p w14:paraId="28565A0C">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4.5</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项目管理机构 </w:t>
      </w:r>
    </w:p>
    <w:p w14:paraId="27CA87AC">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4.5.1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承包人派驻的项目管理班子成员必须为其投标文件确定的人员，否则发包人有权终止合同。 </w:t>
      </w:r>
    </w:p>
    <w:p w14:paraId="155CBDD6">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4.5.2</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项目管理班子成员不得擅自变更。其中，项目经理若有《广东省住房和城乡建设厅关于建设工程项目招标中标后监督检查的办法》（粤建市〔2009〕8 号，以下简称“《办法》”）第九条所述除外情形之一确需变更的，承包人应填写《建设工程项目管理班子变更情况报告表》（《办法》附件 4）并附上相关证明资料，经发包人和建设行政主管部门审核同意方可变更，且更换后的项目经理应与承包人的投标文件所确定的原项目经理的主要条件一致；项目管理班子其他成员若有《办法》第九条所述除外情形之一确需变更的，承包人应填写《建设工程项目管理班子变更情况报告表》并附上相关证明资料，经发包人审核同意方可变更。 </w:t>
      </w:r>
    </w:p>
    <w:p w14:paraId="0AE1D1C1">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4.6</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现场管理 </w:t>
      </w:r>
    </w:p>
    <w:p w14:paraId="75752DF9">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4.6.1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在施工期间应严格遵守国家、广东省、韶关市有关绿色施工、文明施工、噪音扬尘、消防爆破、环境卫生、渣土清运、治安保卫等方面的规定，并建立相应规章制度和保障措施。否则由此造成的经济损失和法律责任，均由承包人承担。 </w:t>
      </w:r>
    </w:p>
    <w:p w14:paraId="63E3D6BC">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4.6.2</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承包人应按安全施工有关规定，采取严格、科学的安全防护措施，确保施工和人员（包括第三者）的安全，承担由于自身安全防护措施不力所造成的安全事故责任和发生的费用。</w:t>
      </w:r>
    </w:p>
    <w:p w14:paraId="36093A8B">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4.6.3</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为保证施工现场的环境卫生，承包人在本招标项目施工过程中，所有的车辆必须按发包人规定的行车路线行驶。 </w:t>
      </w:r>
    </w:p>
    <w:p w14:paraId="18513EF9">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4.7</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监督实施 </w:t>
      </w:r>
    </w:p>
    <w:p w14:paraId="11B9958F">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承包人须服从发包人对工程质量、进度、成本的全方位监督，施工中的年度计划、季度计划、月度计划、施工方案等应报送监理单位审批和发包人备案。施工中的质量保措施等资料均应及时报送监理单位和发包人备案。 </w:t>
      </w:r>
    </w:p>
    <w:p w14:paraId="1E497966">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4.8</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主材的采购和使用 </w:t>
      </w:r>
    </w:p>
    <w:p w14:paraId="45CFC6FF">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招标人有权拒绝承包人提供的不合格或不符合绿色施工要求的材料，并要求承包人立即进行更换。承包人应按发包人确认后的主要材料的规格、颜色要求采购。如果变更规格或颜色，必须经发包人同意后，报有关审核部门重新核定单价后方可采购，并相应调整合同价款。主要材料必须先提供样板给发包人确定其规格、颜色、等级等，发包人同意后方可使用。 </w:t>
      </w:r>
    </w:p>
    <w:p w14:paraId="637CD192">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 xml:space="preserve">4.9 </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竣工资料移交 </w:t>
      </w:r>
    </w:p>
    <w:p w14:paraId="5E7CD976">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项目竣工验收时，承包人应向监理单位和发包人提供符合国家档案部门备案要求的，编制成册的竣工图及有关的技术档案资料（含声像档案）一式四份。 </w:t>
      </w:r>
    </w:p>
    <w:p w14:paraId="4941230A">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4.10</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质量保证</w:t>
      </w:r>
    </w:p>
    <w:p w14:paraId="7C977E2F">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4.10.1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本招标项目缺陷责任期为</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2</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年（自通过竣工验收之日起计），在此期间预留金额为结算价</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3%</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的质量保证。 </w:t>
      </w:r>
    </w:p>
    <w:p w14:paraId="7A2DA1C6">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4.10.2</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质量保证的形式包括质量保证金、质量保证担保、质量保证保险三种，由承包人自主选择。 </w:t>
      </w:r>
    </w:p>
    <w:p w14:paraId="5014A831">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（1）采用质量保证金形式的，在结清审定总造价时一次性扣留相应金额作为质量保证金。</w:t>
      </w:r>
    </w:p>
    <w:p w14:paraId="0CE411C4">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2）采用质量保证担保或质量保证保险的，承包人应在竣工验收时向发包人提交有效的商业保函、银行保函或保险合同（或保险单）原件，商业保函、银行保函或保险合同（或保险单）的有效期不得短于缺陷责任期。 </w:t>
      </w:r>
    </w:p>
    <w:p w14:paraId="00FA11C0">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4.10.3</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缺陷责任期内，由承包人原因造成的缺陷，承包人应负责维修，并承担鉴定及维修费用。如果承包人不维修也不承担费用，发包人可按合同约定从质量保证中扣除，维修费用超出保证金额的，发包人可按合同约定向承包人进行索赔。承包人维修并承担相应费用后，不免除对工程的损失赔偿责任。 </w:t>
      </w:r>
    </w:p>
    <w:p w14:paraId="215343EA">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由他人原因造成的缺陷，发包人负责组织维修，承包人不承担费用，且发包人不得从质量保证中扣除费用。 </w:t>
      </w:r>
    </w:p>
    <w:p w14:paraId="7C6CD6D1">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4.10.4</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缺陷责任期内，承包人应认真履行合同约定的责任。缺陷责任期到期后，承包人向发包人申请退还质量保证，发包人应按照《建设工程质量保证金管理办法》有关规定将质量保证退还给承包人。  </w:t>
      </w:r>
    </w:p>
    <w:p w14:paraId="2102D96B">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不良行为处理 </w:t>
      </w:r>
    </w:p>
    <w:p w14:paraId="043D6EC9">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承包人及其有关人员有下列行为之一的，发包人应及时向建设行政主管部门报告。除按照有关法律、法规进行处罚外，不良行为将计入企业及有关个人诚信档案，并在韶关市住房和城乡建设管理局网站公示。 </w:t>
      </w:r>
    </w:p>
    <w:p w14:paraId="67A4E90D">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（1）转包、违法分包或违反投标承诺分包工程的； </w:t>
      </w:r>
    </w:p>
    <w:p w14:paraId="01E2E653">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（2）非原参加投标中标的项目经理负责组织施工或在实施过程中擅自更换项目经理的、项目的其他主要管理人员与中标文件确定的人员不相符的；</w:t>
      </w:r>
    </w:p>
    <w:p w14:paraId="4FF9DCC5">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（3）投标文件确定的大型机械设备没有进入施工现场的； </w:t>
      </w:r>
    </w:p>
    <w:p w14:paraId="2C56F212">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（4）与建设单位、监理单位串通，签认虚假工程量或工程造价的； </w:t>
      </w:r>
    </w:p>
    <w:p w14:paraId="32D0DD6E">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（5）项目经理施工现场管理不到位的； </w:t>
      </w:r>
    </w:p>
    <w:p w14:paraId="01C481BC">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（6）项目经理在非本人资格证书注册单位从事工程项目施工管理的； </w:t>
      </w:r>
    </w:p>
    <w:p w14:paraId="6E3D80EF">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（7）项目经理同时承担超过一项工程项目的； </w:t>
      </w:r>
    </w:p>
    <w:p w14:paraId="7A86FACA">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（8）违反有关法律、法规、规章规定的其它行为。 </w:t>
      </w:r>
    </w:p>
    <w:p w14:paraId="2E401662">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 xml:space="preserve">4.12 </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信用评价条款内容 </w:t>
      </w:r>
    </w:p>
    <w:p w14:paraId="00CEB1A4">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由发包人决定是否对施工单位的履约情况进行信用评价。若进行信用评价，评价条款由发包人自拟，条款内容可参考人员到位情况、服务配合程度、服务成果质量、项目后期服务及信用评价结果的运用等。 </w:t>
      </w:r>
    </w:p>
    <w:p w14:paraId="77423482">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4.13</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危险性较大的分部分项工程安全管理约定 。对危险性较大的工程必须按《危险性较大的分部分项工程安全管理规定》（中华人民共和国住房和城乡建设部令第37号）的规定编制专项施工方案。同时，从承包人必须按照《危险性较大的分部分项工程安全管理规定》的规定和经审批的专项施工方案履行安全职责，严格执行国家、地方政府有关施工安全管理方面的法律、法规及规章制度，同时严格执行发包人制订的本项目安全生产管理方面的规章制度、安全检查程序及施工安全管理要求，以及监理人有关安全工作的指令。 </w:t>
      </w:r>
    </w:p>
    <w:p w14:paraId="29E4D296">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承包人应根据《危险性较大的分部分项工程安全管理规定》（住房城乡建设部令第 37 号）、《住房城乡建设部办公厅关于实施&lt;危险性较大的分部分项工程安全管理规定&gt;有关问题的通知》（建办质〔2018〕31 号）、《广东省住房和城乡建设厅关于房屋市政工程危险性较大的分部分项工程安全管理的实施细则的通知》(粤建规范〔2019〕2 号) 和《广东省安全生产委员会办公室 广东省住房和城乡建设厅关于&lt;严格落实危险性较大的分部分项工程“六不施工”要求的通知&gt;》（粤安办〔2020〕151 号）等有关危险性较大的分部分项工程的法规规定通知，履行建设工程安全生产管理职责。 </w:t>
      </w:r>
    </w:p>
    <w:p w14:paraId="54C50EB9">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4.14</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承包人在工程实施过程中，按照国家、省、市的相关规定制定相关的专项安全施工方案（如高支模、基坑支护、沉井等），编制专项施工方案报监理人、发包人审批后方可开展专项工程的施工。 </w:t>
      </w:r>
    </w:p>
    <w:p w14:paraId="155F342F">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4.15</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承包人须按照《韶关市建筑垃圾管理条例》（2021 年 5 月 1 日起施行），将弃土运至发包人指定的场所，否则发包人有权要求承包人无条件将弃土从违约弃土点运至发包人指定的场所并扣除违约金人民币</w:t>
      </w:r>
      <w:r>
        <w:rPr>
          <w:rFonts w:hint="eastAsia" w:ascii="宋体" w:hAnsi="宋体" w:eastAsia="宋体" w:cs="宋体"/>
          <w:color w:val="000000" w:themeColor="text1"/>
          <w:spacing w:val="0"/>
          <w:kern w:val="2"/>
          <w:sz w:val="24"/>
          <w:szCs w:val="24"/>
          <w:highlight w:val="none"/>
          <w:u w:val="single"/>
          <w:shd w:val="clear" w:color="auto" w:fill="FFFFFF"/>
          <w:lang w:val="en-US" w:eastAsia="zh-CN" w:bidi="ar-SA"/>
          <w14:textFill>
            <w14:solidFill>
              <w14:schemeClr w14:val="tx1"/>
            </w14:solidFill>
          </w14:textFill>
        </w:rPr>
        <w:t xml:space="preserve"> 壹 </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万元/次。承包人对建筑垃圾须按《韶关市建筑垃圾管理条例》（2021 年 5 月 1 日起施行）的相关规定进行排放和运输，投标人在投标报价时综合考虑在报价内。承包人应在施工现场建立洗车槽和临时排水系统等确保外运车辆（土方运输车辆应符合韶关市相关规定）不带泥上路，投标人在投标报价时综合考虑在报价内，发包人不另行支付该部分费用）。建设单位、施工单位应当在施工工地出入口显著位置公示建筑垃圾处理方案主要信息，包括建设工程垃圾种类、产生量、外运处置去向等信息及各相关单位名称、联系人及联系电话等。 </w:t>
      </w:r>
    </w:p>
    <w:p w14:paraId="30E88A48">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 xml:space="preserve">4.16 </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工程竣工验收后 15 日内，承包人应按市城建档案馆的要求（质量、数量），将编制成册的施工档案资料（含声像档案和电子档案）提供给发包人、市城建档案馆、市住建管理局、管养单位及监理单位，并承担档案涉及的所有费用（制作标准和相关要求按市城建档案馆的有关规定执行）。承包人提交符合城建档案馆要求的竣工资料经发包人确认签收后，即可办理工程结算手续。 </w:t>
      </w:r>
    </w:p>
    <w:p w14:paraId="234A348F">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4.17</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应做好周边设施（含军用光缆、燃气、供电、供水、排水、排污、人行道、路灯、治安监控、交通电警等）的成品保护并及时与周边设施的权属单位协调解决，如因承包人原因导致上述设施发生损坏，承包人无条件按发包人规定的期限内修复，涉及成品保护费、索赔等一切费用全部由承包人自行解决。 </w:t>
      </w:r>
    </w:p>
    <w:p w14:paraId="3EA232A4">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4.18</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承包人中标后必须按规定及时缴交工人工资保证金、环保噪声排污费等。 </w:t>
      </w:r>
    </w:p>
    <w:p w14:paraId="232F19CC">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4.19</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工程质量保修期按《中华人民共和国建筑法》、《建设工程质量管理条例》等相关规定实施。 </w:t>
      </w:r>
    </w:p>
    <w:p w14:paraId="794DBDF2">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4.20</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如项目实施过程中发生了工程变更及工程签证，承包人需根据发布的《工程变更管理办法》和《工程签证管理办法》完善工程变更签证相关程序。 </w:t>
      </w:r>
    </w:p>
    <w:p w14:paraId="0657C355">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承包人需按相关规定要求，设置本工程符合相关要求的永久性标牌及规划公示牌，投标人在投标报价时综合考虑在报价内，发包人不另行支付该部分费用。 </w:t>
      </w:r>
    </w:p>
    <w:p w14:paraId="1605F613">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4.22</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承包人应在项目所在地住建管理部门办理诚信登记，发包人将严格按住建管理部门诚信登记管理办法对承包人履约情况进行考核。 </w:t>
      </w:r>
    </w:p>
    <w:p w14:paraId="7F42F4AA">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4.23</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承包人应按韶关市住房和城乡建设管理局、韶关市人力资源和社会保障局等职能部门对用工实名制的相关规定,落实工人及相关软硬件设施要求。</w:t>
      </w:r>
    </w:p>
    <w:p w14:paraId="6E4D0758">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4.24</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质量违约</w:t>
      </w:r>
    </w:p>
    <w:p w14:paraId="3501D770">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4.24.1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材料违约处理：若发现材料不符合国家标准或发包人在技术规范中规定的标准， </w:t>
      </w:r>
    </w:p>
    <w:p w14:paraId="3A33DEBF">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视为承包人违约，按现行《建设工程质量管理条例》处理。 </w:t>
      </w:r>
    </w:p>
    <w:p w14:paraId="172C2EAF">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4.24.1.1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成品采购项目在采购前，承包人必须先行书面征求监理人、发包人的同意并 </w:t>
      </w:r>
    </w:p>
    <w:p w14:paraId="0FE498C6">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一起看样定版后方能实施。未经监理人、发包人同意擅自先行采购和实施的，否则因不符 </w:t>
      </w:r>
    </w:p>
    <w:p w14:paraId="78BCD3A2">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合设计要求返工造成的费用由承包人承担。</w:t>
      </w:r>
    </w:p>
    <w:p w14:paraId="77B79619">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4.24.2</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工程质量违约： </w:t>
      </w:r>
    </w:p>
    <w:p w14:paraId="433283B4">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4.24.2.1</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在施工过程中经监理单位日常巡查或抽检发现未达到合格标准，责令承包人进 </w:t>
      </w:r>
    </w:p>
    <w:p w14:paraId="12C6716D">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行整改，如未按规定时间进行整改或整改不到位的，每次按 5000 元缴纳违约金给发包人，在进度款或结算款中一并扣除。 </w:t>
      </w:r>
    </w:p>
    <w:p w14:paraId="57557580">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4.24.2.2</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工程质量标准须达到国家验收合格标准。如未达到合格标准，除无偿返工至合 </w:t>
      </w:r>
    </w:p>
    <w:p w14:paraId="2A82A30B">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格外，还要按合同价款的 1%向招标人支付质量违约金，工期不予顺延。 </w:t>
      </w:r>
    </w:p>
    <w:p w14:paraId="44A72C4F">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4.25</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重大责任事故违约 </w:t>
      </w:r>
    </w:p>
    <w:p w14:paraId="7EC71D90">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4.25.1</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承包人因违反国家安全质量法规及合同有关条款约定,出现火灾、坍塌、人员重 </w:t>
      </w:r>
    </w:p>
    <w:p w14:paraId="3E6F36F7">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伤、死亡等重大责任事故,则承包人应承担全部损失,并按相关法规接受行政处罚；如造成发 </w:t>
      </w:r>
    </w:p>
    <w:p w14:paraId="105736B3">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包人及对第三人利益的损害,该等损害赔偿责任均由承包人承担。 </w:t>
      </w:r>
    </w:p>
    <w:p w14:paraId="5C6E18CD">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4.26</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用工违约 </w:t>
      </w:r>
    </w:p>
    <w:p w14:paraId="244A2040">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4.26.1</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在合同履行期间，如经查实承包人拖欠或克扣农民工或劳务工工资，导致劳资纠纷或发生危及公共安全或正常社会秩序的事件的，按承包人违约处理，承包人应按拖欠或克 </w:t>
      </w:r>
    </w:p>
    <w:p w14:paraId="6B19D6EE">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扣农民工工资总金额 2 倍的标准向发包人缴纳惩罚性违约金。 </w:t>
      </w:r>
    </w:p>
    <w:p w14:paraId="7980D17E">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4.27</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安全文明施工违约 </w:t>
      </w:r>
    </w:p>
    <w:p w14:paraId="58B06849">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4.27.1</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如承包人违反国家、广东省、发包人及合同关于安全文明施工的规定，但尚未造 </w:t>
      </w:r>
    </w:p>
    <w:p w14:paraId="0E250BDA">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成安全责任事故，承包人应及时改正行为并赔偿相关方的损失，如未及时整改,针对每一违约 </w:t>
      </w:r>
    </w:p>
    <w:p w14:paraId="4F637481">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行为每持续一天应缴纳违约金 1000.00 元。</w:t>
      </w:r>
    </w:p>
    <w:p w14:paraId="48A3EC33">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4.27.2</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承包人必须接受发包人及监理单位组织的安全、文明施工的检查，检查中的不合格项目、安全隐患必须在规定的时间内整改完成，否则每拖延一天处以 2000.00 元人民币违约金，直至整改合格。 </w:t>
      </w:r>
    </w:p>
    <w:p w14:paraId="1D39E82F">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4.28</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其他违约 </w:t>
      </w:r>
    </w:p>
    <w:p w14:paraId="3987CEFB">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4.28.1</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承包人安排在施工场地的主要管理人员（主要指项目经理、项目技术负责人和专职安全生产管理人员）应与承包人投标文件承诺的名单一致，并保持相对稳定。未经总监理工程师批准，上述人员不应无故不到位或被替换。若确实无法到位或需替换，需经总监理工</w:t>
      </w:r>
    </w:p>
    <w:p w14:paraId="7093E00C">
      <w:pPr>
        <w:keepNext w:val="0"/>
        <w:keepLines w:val="0"/>
        <w:pageBreakBefore w:val="0"/>
        <w:wordWrap w:val="0"/>
        <w:overflowPunct/>
        <w:topLinePunct w:val="0"/>
        <w:bidi w:val="0"/>
        <w:adjustRightInd w:val="0"/>
        <w:snapToGrid w:val="0"/>
        <w:spacing w:line="440" w:lineRule="exact"/>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程师审核并报发包人批准后，承包人可安排同等资历的人员替换。 </w:t>
      </w:r>
    </w:p>
    <w:p w14:paraId="06E8294D">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4.28.2</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中标人施工资料必须与形象进度同步。</w:t>
      </w:r>
    </w:p>
    <w:p w14:paraId="7B1DB3D2">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lang w:val="en-US" w:eastAsia="zh-CN" w:bidi="ar-SA"/>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4.28.3</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承包人没有正当合理的理由中途退场，可扣除承包人已递交的所有履约风险保证金。承包人因上述违约行为而须缴纳的违约金在工程进度款中或结算时一并扣除。</w:t>
      </w:r>
    </w:p>
    <w:p w14:paraId="22A28A70">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5.其他合同条款由招标人与中标人自行协商约定</w:t>
      </w:r>
    </w:p>
    <w:p w14:paraId="76E3D22A">
      <w:pPr>
        <w:keepNext w:val="0"/>
        <w:keepLines w:val="0"/>
        <w:pageBreakBefore w:val="0"/>
        <w:wordWrap w:val="0"/>
        <w:overflowPunct/>
        <w:topLinePunct w:val="0"/>
        <w:bidi w:val="0"/>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br w:type="page"/>
      </w:r>
    </w:p>
    <w:p w14:paraId="592C9070">
      <w:pPr>
        <w:keepNext w:val="0"/>
        <w:keepLines w:val="0"/>
        <w:pageBreakBefore w:val="0"/>
        <w:wordWrap w:val="0"/>
        <w:overflowPunct/>
        <w:topLinePunct w:val="0"/>
        <w:bidi w:val="0"/>
        <w:spacing w:before="78" w:line="219" w:lineRule="auto"/>
        <w:ind w:left="3273"/>
        <w:outlineLvl w:val="0"/>
        <w:rPr>
          <w:rFonts w:hint="eastAsia" w:ascii="宋体" w:hAnsi="宋体" w:eastAsia="宋体" w:cs="宋体"/>
          <w:color w:val="000000" w:themeColor="text1"/>
          <w:spacing w:val="0"/>
          <w:highlight w:val="none"/>
          <w14:textFill>
            <w14:solidFill>
              <w14:schemeClr w14:val="tx1"/>
            </w14:solidFill>
          </w14:textFill>
        </w:rPr>
      </w:pPr>
      <w:bookmarkStart w:id="186" w:name="_Toc30336"/>
      <w:r>
        <w:rPr>
          <w:rFonts w:hint="eastAsia" w:ascii="宋体" w:hAnsi="宋体" w:eastAsia="宋体" w:cs="宋体"/>
          <w:b/>
          <w:bCs/>
          <w:color w:val="000000" w:themeColor="text1"/>
          <w:spacing w:val="0"/>
          <w:sz w:val="24"/>
          <w:szCs w:val="24"/>
          <w:highlight w:val="none"/>
          <w14:textFill>
            <w14:solidFill>
              <w14:schemeClr w14:val="tx1"/>
            </w14:solidFill>
          </w14:textFill>
        </w:rPr>
        <w:t>第四章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技术要求</w:t>
      </w:r>
      <w:bookmarkEnd w:id="186"/>
    </w:p>
    <w:p w14:paraId="3E6A87FB">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39F1228B">
      <w:pPr>
        <w:keepNext w:val="0"/>
        <w:keepLines w:val="0"/>
        <w:pageBreakBefore w:val="0"/>
        <w:wordWrap w:val="0"/>
        <w:overflowPunct/>
        <w:topLinePunct w:val="0"/>
        <w:bidi w:val="0"/>
        <w:spacing w:before="78" w:line="221" w:lineRule="auto"/>
        <w:ind w:left="125"/>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87" w:name="_Toc20347"/>
      <w:bookmarkStart w:id="188" w:name="_Toc10155"/>
      <w:r>
        <w:rPr>
          <w:rFonts w:hint="eastAsia" w:ascii="宋体" w:hAnsi="宋体" w:eastAsia="宋体" w:cs="宋体"/>
          <w:b/>
          <w:bCs/>
          <w:color w:val="000000" w:themeColor="text1"/>
          <w:spacing w:val="0"/>
          <w:sz w:val="24"/>
          <w:szCs w:val="24"/>
          <w:highlight w:val="none"/>
          <w14:textFill>
            <w14:solidFill>
              <w14:schemeClr w14:val="tx1"/>
            </w14:solidFill>
          </w14:textFill>
        </w:rPr>
        <w:t>1 ．房屋建筑工程建设项目</w:t>
      </w:r>
      <w:bookmarkEnd w:id="187"/>
      <w:bookmarkEnd w:id="188"/>
    </w:p>
    <w:p w14:paraId="0CE4FE26">
      <w:pPr>
        <w:keepNext w:val="0"/>
        <w:keepLines w:val="0"/>
        <w:pageBreakBefore w:val="0"/>
        <w:wordWrap w:val="0"/>
        <w:overflowPunct/>
        <w:topLinePunct w:val="0"/>
        <w:bidi w:val="0"/>
        <w:spacing w:before="152" w:line="220" w:lineRule="auto"/>
        <w:ind w:left="12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房屋建筑工程建设项目必须执行的现行技术规范，包括且不限于：</w:t>
      </w:r>
    </w:p>
    <w:p w14:paraId="2E913A2A">
      <w:pPr>
        <w:keepNext w:val="0"/>
        <w:keepLines w:val="0"/>
        <w:pageBreakBefore w:val="0"/>
        <w:wordWrap w:val="0"/>
        <w:overflowPunct/>
        <w:topLinePunct w:val="0"/>
        <w:bidi w:val="0"/>
        <w:spacing w:before="155"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（1）《建筑工程施工质量验收统一标准》；</w:t>
      </w:r>
    </w:p>
    <w:p w14:paraId="21289F3F">
      <w:pPr>
        <w:keepNext w:val="0"/>
        <w:keepLines w:val="0"/>
        <w:pageBreakBefore w:val="0"/>
        <w:wordWrap w:val="0"/>
        <w:overflowPunct/>
        <w:topLinePunct w:val="0"/>
        <w:bidi w:val="0"/>
        <w:spacing w:before="153"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（2）《建筑地基基础工程施工质量验收规范》；</w:t>
      </w:r>
    </w:p>
    <w:p w14:paraId="21379855">
      <w:pPr>
        <w:keepNext w:val="0"/>
        <w:keepLines w:val="0"/>
        <w:pageBreakBefore w:val="0"/>
        <w:wordWrap w:val="0"/>
        <w:overflowPunct/>
        <w:topLinePunct w:val="0"/>
        <w:bidi w:val="0"/>
        <w:spacing w:before="153"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（3）《砌体工程施工质量验收规范》；</w:t>
      </w:r>
    </w:p>
    <w:p w14:paraId="191C91D8">
      <w:pPr>
        <w:keepNext w:val="0"/>
        <w:keepLines w:val="0"/>
        <w:pageBreakBefore w:val="0"/>
        <w:wordWrap w:val="0"/>
        <w:overflowPunct/>
        <w:topLinePunct w:val="0"/>
        <w:bidi w:val="0"/>
        <w:spacing w:before="155"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（4）《混凝土结构工程施工质量验收规范》；</w:t>
      </w:r>
    </w:p>
    <w:p w14:paraId="3087379D">
      <w:pPr>
        <w:keepNext w:val="0"/>
        <w:keepLines w:val="0"/>
        <w:pageBreakBefore w:val="0"/>
        <w:wordWrap w:val="0"/>
        <w:overflowPunct/>
        <w:topLinePunct w:val="0"/>
        <w:bidi w:val="0"/>
        <w:spacing w:before="153"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（5）《屋面工程质量验收规范》；</w:t>
      </w:r>
    </w:p>
    <w:p w14:paraId="3B431104">
      <w:pPr>
        <w:keepNext w:val="0"/>
        <w:keepLines w:val="0"/>
        <w:pageBreakBefore w:val="0"/>
        <w:wordWrap w:val="0"/>
        <w:overflowPunct/>
        <w:topLinePunct w:val="0"/>
        <w:bidi w:val="0"/>
        <w:spacing w:before="153"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（6）《地下防水工程质量验收规范》；</w:t>
      </w:r>
    </w:p>
    <w:p w14:paraId="47AE272D">
      <w:pPr>
        <w:keepNext w:val="0"/>
        <w:keepLines w:val="0"/>
        <w:pageBreakBefore w:val="0"/>
        <w:wordWrap w:val="0"/>
        <w:overflowPunct/>
        <w:topLinePunct w:val="0"/>
        <w:bidi w:val="0"/>
        <w:spacing w:before="156"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（7）《建筑地面工程施工质量验收规范》；</w:t>
      </w:r>
    </w:p>
    <w:p w14:paraId="76A79CB0">
      <w:pPr>
        <w:keepNext w:val="0"/>
        <w:keepLines w:val="0"/>
        <w:pageBreakBefore w:val="0"/>
        <w:wordWrap w:val="0"/>
        <w:overflowPunct/>
        <w:topLinePunct w:val="0"/>
        <w:bidi w:val="0"/>
        <w:spacing w:before="153"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（8）《建筑装饰装修工程施工质量验收规范》；</w:t>
      </w:r>
    </w:p>
    <w:p w14:paraId="7E836C74">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（9）《建筑给排水及采暖工程施工质量验收规范》；</w:t>
      </w:r>
    </w:p>
    <w:p w14:paraId="27101421">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（10）《建筑电气工程施工质量验收规范》；</w:t>
      </w:r>
    </w:p>
    <w:p w14:paraId="64136A99">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（11）《住建部绿色建筑评价标准》；</w:t>
      </w:r>
    </w:p>
    <w:p w14:paraId="394AE18E">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（12）《建筑节能与可再生能源利用通用规范》（GB55015-2021）；</w:t>
      </w:r>
    </w:p>
    <w:p w14:paraId="5F96829D">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（13）《建筑环境通用规范》；</w:t>
      </w:r>
    </w:p>
    <w:p w14:paraId="0198E858">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bookmarkStart w:id="189" w:name="_Toc16294"/>
      <w:bookmarkStart w:id="190" w:name="_Toc12084"/>
      <w:r>
        <w:rPr>
          <w:rFonts w:hint="eastAsia" w:ascii="宋体" w:hAnsi="宋体" w:eastAsia="宋体" w:cs="宋体"/>
          <w:color w:val="000000" w:themeColor="text1"/>
          <w:spacing w:val="0"/>
          <w:sz w:val="24"/>
          <w:szCs w:val="24"/>
          <w:highlight w:val="none"/>
          <w14:textFill>
            <w14:solidFill>
              <w14:schemeClr w14:val="tx1"/>
            </w14:solidFill>
          </w14:textFill>
        </w:rPr>
        <w:t>（14）《建筑与市政工程无障碍通用规范》 GB 55019-2021；</w:t>
      </w:r>
      <w:bookmarkEnd w:id="189"/>
      <w:bookmarkEnd w:id="190"/>
    </w:p>
    <w:p w14:paraId="208415E7">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lang w:eastAsia="zh-CN"/>
          <w14:textFill>
            <w14:solidFill>
              <w14:schemeClr w14:val="tx1"/>
            </w14:solidFill>
          </w14:textFill>
        </w:rPr>
      </w:pPr>
      <w:bookmarkStart w:id="191" w:name="_Toc15158"/>
      <w:bookmarkStart w:id="192" w:name="_Toc1177"/>
      <w:r>
        <w:rPr>
          <w:rFonts w:hint="eastAsia" w:ascii="宋体" w:hAnsi="宋体" w:eastAsia="宋体" w:cs="宋体"/>
          <w:color w:val="000000" w:themeColor="text1"/>
          <w:spacing w:val="0"/>
          <w:sz w:val="24"/>
          <w:szCs w:val="24"/>
          <w:highlight w:val="none"/>
          <w14:textFill>
            <w14:solidFill>
              <w14:schemeClr w14:val="tx1"/>
            </w14:solidFill>
          </w14:textFill>
        </w:rPr>
        <w:t>（15）《建筑防火通用规范》GB 55037-2022</w:t>
      </w:r>
      <w:bookmarkEnd w:id="191"/>
      <w:bookmarkEnd w:id="192"/>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p>
    <w:p w14:paraId="3CAEBDB1">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lang w:eastAsia="zh-CN"/>
          <w14:textFill>
            <w14:solidFill>
              <w14:schemeClr w14:val="tx1"/>
            </w14:solidFill>
          </w14:textFill>
        </w:rPr>
      </w:pPr>
      <w:bookmarkStart w:id="193" w:name="_Toc2461"/>
      <w:bookmarkStart w:id="194" w:name="_Toc24233"/>
      <w:r>
        <w:rPr>
          <w:rFonts w:hint="eastAsia" w:ascii="宋体" w:hAnsi="宋体" w:eastAsia="宋体" w:cs="宋体"/>
          <w:color w:val="000000" w:themeColor="text1"/>
          <w:spacing w:val="0"/>
          <w:sz w:val="24"/>
          <w:szCs w:val="24"/>
          <w:highlight w:val="none"/>
          <w14:textFill>
            <w14:solidFill>
              <w14:schemeClr w14:val="tx1"/>
            </w14:solidFill>
          </w14:textFill>
        </w:rPr>
        <w:t>（16）《建筑与市政工程抗震通用规范》GB55002-2001</w:t>
      </w:r>
      <w:bookmarkEnd w:id="193"/>
      <w:bookmarkEnd w:id="194"/>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p>
    <w:p w14:paraId="685DD796">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lang w:eastAsia="zh-CN"/>
          <w14:textFill>
            <w14:solidFill>
              <w14:schemeClr w14:val="tx1"/>
            </w14:solidFill>
          </w14:textFill>
        </w:rPr>
      </w:pPr>
      <w:bookmarkStart w:id="195" w:name="_Toc5777"/>
      <w:bookmarkStart w:id="196" w:name="_Toc8109"/>
      <w:r>
        <w:rPr>
          <w:rFonts w:hint="eastAsia" w:ascii="宋体" w:hAnsi="宋体" w:eastAsia="宋体" w:cs="宋体"/>
          <w:color w:val="000000" w:themeColor="text1"/>
          <w:spacing w:val="0"/>
          <w:sz w:val="24"/>
          <w:szCs w:val="24"/>
          <w:highlight w:val="none"/>
          <w14:textFill>
            <w14:solidFill>
              <w14:schemeClr w14:val="tx1"/>
            </w14:solidFill>
          </w14:textFill>
        </w:rPr>
        <w:t>（17）《建筑与市政地基基础通用规范》GB55003-20</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pacing w:val="0"/>
          <w:sz w:val="24"/>
          <w:szCs w:val="24"/>
          <w:highlight w:val="none"/>
          <w14:textFill>
            <w14:solidFill>
              <w14:schemeClr w14:val="tx1"/>
            </w14:solidFill>
          </w14:textFill>
        </w:rPr>
        <w:t>1</w:t>
      </w:r>
      <w:bookmarkEnd w:id="195"/>
      <w:bookmarkEnd w:id="196"/>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p>
    <w:p w14:paraId="00DBFC09">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（18）《广东省住房和城乡建设厅绿色施工导则》；</w:t>
      </w:r>
    </w:p>
    <w:p w14:paraId="5D7737AC">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（19）《广东省建筑工程绿色施工评价标准》；</w:t>
      </w:r>
    </w:p>
    <w:p w14:paraId="5CD8C62F">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（20）《广东省建筑节能与绿色建筑工程施工质量验收规范》</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p>
    <w:p w14:paraId="067E85AF">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（21）其他现行国家、广东省关于房建工程的施工及验收规范、定额、规程、标准。</w:t>
      </w:r>
    </w:p>
    <w:p w14:paraId="36B34C1F">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75E00F81">
      <w:pPr>
        <w:keepNext w:val="0"/>
        <w:keepLines w:val="0"/>
        <w:pageBreakBefore w:val="0"/>
        <w:wordWrap w:val="0"/>
        <w:overflowPunct/>
        <w:topLinePunct w:val="0"/>
        <w:bidi w:val="0"/>
        <w:spacing w:before="78" w:line="220" w:lineRule="auto"/>
        <w:ind w:left="115"/>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97" w:name="_Toc15652"/>
      <w:bookmarkStart w:id="198" w:name="_Toc31268"/>
      <w:r>
        <w:rPr>
          <w:rFonts w:hint="eastAsia" w:ascii="宋体" w:hAnsi="宋体" w:eastAsia="宋体" w:cs="宋体"/>
          <w:b/>
          <w:bCs/>
          <w:color w:val="000000" w:themeColor="text1"/>
          <w:spacing w:val="0"/>
          <w:sz w:val="24"/>
          <w:szCs w:val="24"/>
          <w:highlight w:val="none"/>
          <w14:textFill>
            <w14:solidFill>
              <w14:schemeClr w14:val="tx1"/>
            </w14:solidFill>
          </w14:textFill>
        </w:rPr>
        <w:t>2 ．市政基础设施工程建设项目</w:t>
      </w:r>
      <w:bookmarkEnd w:id="197"/>
      <w:bookmarkEnd w:id="198"/>
    </w:p>
    <w:p w14:paraId="1DE67B68">
      <w:pPr>
        <w:keepNext w:val="0"/>
        <w:keepLines w:val="0"/>
        <w:pageBreakBefore w:val="0"/>
        <w:wordWrap w:val="0"/>
        <w:overflowPunct/>
        <w:topLinePunct w:val="0"/>
        <w:bidi w:val="0"/>
        <w:spacing w:before="154" w:line="220" w:lineRule="auto"/>
        <w:ind w:left="12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市政基础设施工程建设项目必须执行的现行技术规范，包括且不限于：</w:t>
      </w:r>
    </w:p>
    <w:p w14:paraId="7EF67537">
      <w:pPr>
        <w:keepNext w:val="0"/>
        <w:keepLines w:val="0"/>
        <w:pageBreakBefore w:val="0"/>
        <w:wordWrap w:val="0"/>
        <w:overflowPunct/>
        <w:topLinePunct w:val="0"/>
        <w:bidi w:val="0"/>
        <w:spacing w:before="155"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（1）《公路路基施工技术规范》；</w:t>
      </w:r>
    </w:p>
    <w:p w14:paraId="0FD09BDA">
      <w:pPr>
        <w:keepNext w:val="0"/>
        <w:keepLines w:val="0"/>
        <w:pageBreakBefore w:val="0"/>
        <w:wordWrap w:val="0"/>
        <w:overflowPunct/>
        <w:topLinePunct w:val="0"/>
        <w:bidi w:val="0"/>
        <w:spacing w:before="153"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（2）《市政道路工程质量检验评定标准》；</w:t>
      </w:r>
    </w:p>
    <w:p w14:paraId="5E4C6C0A">
      <w:pPr>
        <w:keepNext w:val="0"/>
        <w:keepLines w:val="0"/>
        <w:pageBreakBefore w:val="0"/>
        <w:wordWrap w:val="0"/>
        <w:overflowPunct/>
        <w:topLinePunct w:val="0"/>
        <w:bidi w:val="0"/>
        <w:spacing w:before="154"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（3）《市政排水管渠工程质量检验评定标准》；</w:t>
      </w:r>
    </w:p>
    <w:p w14:paraId="5FFAA5AA">
      <w:pPr>
        <w:keepNext w:val="0"/>
        <w:keepLines w:val="0"/>
        <w:pageBreakBefore w:val="0"/>
        <w:widowControl w:val="0"/>
        <w:kinsoku w:val="0"/>
        <w:wordWrap w:val="0"/>
        <w:overflowPunct/>
        <w:topLinePunct w:val="0"/>
        <w:autoSpaceDE w:val="0"/>
        <w:autoSpaceDN w:val="0"/>
        <w:bidi w:val="0"/>
        <w:adjustRightInd w:val="0"/>
        <w:snapToGrid w:val="0"/>
        <w:spacing w:before="155" w:line="220" w:lineRule="auto"/>
        <w:ind w:left="13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（4）《给水排水管道工程施工及验收规范》；</w:t>
      </w:r>
    </w:p>
    <w:p w14:paraId="5C80DC30">
      <w:pPr>
        <w:keepNext w:val="0"/>
        <w:keepLines w:val="0"/>
        <w:pageBreakBefore w:val="0"/>
        <w:widowControl w:val="0"/>
        <w:kinsoku w:val="0"/>
        <w:wordWrap w:val="0"/>
        <w:overflowPunct/>
        <w:topLinePunct w:val="0"/>
        <w:autoSpaceDE w:val="0"/>
        <w:autoSpaceDN w:val="0"/>
        <w:bidi w:val="0"/>
        <w:adjustRightInd w:val="0"/>
        <w:snapToGrid w:val="0"/>
        <w:spacing w:before="78"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（5）《城市道路路基工程施工及验收规范》；</w:t>
      </w:r>
    </w:p>
    <w:p w14:paraId="3DE05869">
      <w:pPr>
        <w:keepNext w:val="0"/>
        <w:keepLines w:val="0"/>
        <w:pageBreakBefore w:val="0"/>
        <w:widowControl w:val="0"/>
        <w:kinsoku w:val="0"/>
        <w:wordWrap w:val="0"/>
        <w:overflowPunct/>
        <w:topLinePunct w:val="0"/>
        <w:autoSpaceDE w:val="0"/>
        <w:autoSpaceDN w:val="0"/>
        <w:bidi w:val="0"/>
        <w:adjustRightInd w:val="0"/>
        <w:snapToGrid w:val="0"/>
        <w:spacing w:before="155"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（6）《水泥砼路面施工及验收规范》；</w:t>
      </w:r>
    </w:p>
    <w:p w14:paraId="2D0FA851">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（7）《公路水泥砼路面施工技术规范》；</w:t>
      </w:r>
    </w:p>
    <w:p w14:paraId="3DDEEDA6">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（8）《埋地硬聚氯乙烯排水管道工程技术规程》；</w:t>
      </w:r>
    </w:p>
    <w:p w14:paraId="0C40551B">
      <w:pPr>
        <w:keepNext w:val="0"/>
        <w:keepLines w:val="0"/>
        <w:pageBreakBefore w:val="0"/>
        <w:widowControl w:val="0"/>
        <w:kinsoku w:val="0"/>
        <w:wordWrap w:val="0"/>
        <w:overflowPunct/>
        <w:topLinePunct w:val="0"/>
        <w:autoSpaceDE w:val="0"/>
        <w:autoSpaceDN w:val="0"/>
        <w:bidi w:val="0"/>
        <w:adjustRightInd w:val="0"/>
        <w:snapToGrid w:val="0"/>
        <w:spacing w:before="122" w:line="219"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（9）《沥青路面施工及验收规范》；</w:t>
      </w:r>
    </w:p>
    <w:p w14:paraId="051F222E">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（10）《广东省市政工程施工质量技术资料统一用表》。</w:t>
      </w:r>
    </w:p>
    <w:p w14:paraId="71A0E2DE">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bookmarkStart w:id="199" w:name="_Toc30781"/>
      <w:bookmarkStart w:id="200" w:name="_Toc8494"/>
      <w:r>
        <w:rPr>
          <w:rFonts w:hint="eastAsia" w:ascii="宋体" w:hAnsi="宋体" w:eastAsia="宋体" w:cs="宋体"/>
          <w:color w:val="000000" w:themeColor="text1"/>
          <w:spacing w:val="0"/>
          <w:sz w:val="24"/>
          <w:szCs w:val="24"/>
          <w:highlight w:val="none"/>
          <w14:textFill>
            <w14:solidFill>
              <w14:schemeClr w14:val="tx1"/>
            </w14:solidFill>
          </w14:textFill>
        </w:rPr>
        <w:t>（11）《建筑与市政工程无障碍通用规范》 GB 55019-2021；</w:t>
      </w:r>
      <w:bookmarkEnd w:id="199"/>
      <w:bookmarkEnd w:id="200"/>
    </w:p>
    <w:p w14:paraId="0BB30486">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lang w:eastAsia="zh-CN"/>
          <w14:textFill>
            <w14:solidFill>
              <w14:schemeClr w14:val="tx1"/>
            </w14:solidFill>
          </w14:textFill>
        </w:rPr>
      </w:pPr>
      <w:bookmarkStart w:id="201" w:name="_Toc17383"/>
      <w:bookmarkStart w:id="202" w:name="_Toc31143"/>
      <w:r>
        <w:rPr>
          <w:rFonts w:hint="eastAsia" w:ascii="宋体" w:hAnsi="宋体" w:eastAsia="宋体" w:cs="宋体"/>
          <w:color w:val="000000" w:themeColor="text1"/>
          <w:spacing w:val="0"/>
          <w:sz w:val="24"/>
          <w:szCs w:val="24"/>
          <w:highlight w:val="none"/>
          <w14:textFill>
            <w14:solidFill>
              <w14:schemeClr w14:val="tx1"/>
            </w14:solidFill>
          </w14:textFill>
        </w:rPr>
        <w:t>（12）《建筑防火通用规范》GB 55037-2022</w:t>
      </w:r>
      <w:bookmarkEnd w:id="201"/>
      <w:bookmarkEnd w:id="202"/>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p>
    <w:p w14:paraId="3167F8CD">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lang w:eastAsia="zh-CN"/>
          <w14:textFill>
            <w14:solidFill>
              <w14:schemeClr w14:val="tx1"/>
            </w14:solidFill>
          </w14:textFill>
        </w:rPr>
      </w:pPr>
      <w:bookmarkStart w:id="203" w:name="_Toc954"/>
      <w:bookmarkStart w:id="204" w:name="_Toc32476"/>
      <w:r>
        <w:rPr>
          <w:rFonts w:hint="eastAsia" w:ascii="宋体" w:hAnsi="宋体" w:eastAsia="宋体" w:cs="宋体"/>
          <w:color w:val="000000" w:themeColor="text1"/>
          <w:spacing w:val="0"/>
          <w:sz w:val="24"/>
          <w:szCs w:val="24"/>
          <w:highlight w:val="none"/>
          <w14:textFill>
            <w14:solidFill>
              <w14:schemeClr w14:val="tx1"/>
            </w14:solidFill>
          </w14:textFill>
        </w:rPr>
        <w:t>（13）《建筑与市政工程抗震通用规范》GB55002-2001</w:t>
      </w:r>
      <w:bookmarkEnd w:id="203"/>
      <w:bookmarkEnd w:id="204"/>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p>
    <w:p w14:paraId="7E7E1132">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lang w:eastAsia="zh-CN"/>
          <w14:textFill>
            <w14:solidFill>
              <w14:schemeClr w14:val="tx1"/>
            </w14:solidFill>
          </w14:textFill>
        </w:rPr>
      </w:pPr>
      <w:bookmarkStart w:id="205" w:name="_Toc27898"/>
      <w:bookmarkStart w:id="206" w:name="_Toc7185"/>
      <w:r>
        <w:rPr>
          <w:rFonts w:hint="eastAsia" w:ascii="宋体" w:hAnsi="宋体" w:eastAsia="宋体" w:cs="宋体"/>
          <w:color w:val="000000" w:themeColor="text1"/>
          <w:spacing w:val="0"/>
          <w:sz w:val="24"/>
          <w:szCs w:val="24"/>
          <w:highlight w:val="none"/>
          <w14:textFill>
            <w14:solidFill>
              <w14:schemeClr w14:val="tx1"/>
            </w14:solidFill>
          </w14:textFill>
        </w:rPr>
        <w:t>（14）《建筑与市政地基基础通用规范》GB55003-20</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pacing w:val="0"/>
          <w:sz w:val="24"/>
          <w:szCs w:val="24"/>
          <w:highlight w:val="none"/>
          <w14:textFill>
            <w14:solidFill>
              <w14:schemeClr w14:val="tx1"/>
            </w14:solidFill>
          </w14:textFill>
        </w:rPr>
        <w:t>1</w:t>
      </w:r>
      <w:bookmarkEnd w:id="205"/>
      <w:bookmarkEnd w:id="206"/>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p>
    <w:p w14:paraId="598E0BAE">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bookmarkStart w:id="207" w:name="_Toc17281"/>
      <w:bookmarkStart w:id="208" w:name="_Toc29669"/>
      <w:r>
        <w:rPr>
          <w:rFonts w:hint="eastAsia" w:ascii="宋体" w:hAnsi="宋体" w:eastAsia="宋体" w:cs="宋体"/>
          <w:color w:val="000000" w:themeColor="text1"/>
          <w:spacing w:val="0"/>
          <w:sz w:val="24"/>
          <w:szCs w:val="24"/>
          <w:highlight w:val="none"/>
          <w14:textFill>
            <w14:solidFill>
              <w14:schemeClr w14:val="tx1"/>
            </w14:solidFill>
          </w14:textFill>
        </w:rPr>
        <w:t>（15）《城市道路照明设计标准》（CJJ45-2015）；</w:t>
      </w:r>
      <w:bookmarkEnd w:id="207"/>
      <w:bookmarkEnd w:id="208"/>
    </w:p>
    <w:p w14:paraId="17AD9E79">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bookmarkStart w:id="209" w:name="_Toc9161"/>
      <w:bookmarkStart w:id="210" w:name="_Toc31812"/>
      <w:r>
        <w:rPr>
          <w:rFonts w:hint="eastAsia" w:ascii="宋体" w:hAnsi="宋体" w:eastAsia="宋体" w:cs="宋体"/>
          <w:color w:val="000000" w:themeColor="text1"/>
          <w:spacing w:val="0"/>
          <w:sz w:val="24"/>
          <w:szCs w:val="24"/>
          <w:highlight w:val="none"/>
          <w14:textFill>
            <w14:solidFill>
              <w14:schemeClr w14:val="tx1"/>
            </w14:solidFill>
          </w14:textFill>
        </w:rPr>
        <w:t>（16）《低压配电设计规范》（GB50054-2011）；</w:t>
      </w:r>
      <w:bookmarkEnd w:id="209"/>
      <w:bookmarkEnd w:id="210"/>
    </w:p>
    <w:p w14:paraId="39AD9BAB">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bookmarkStart w:id="211" w:name="_Toc6405"/>
      <w:bookmarkStart w:id="212" w:name="_Toc18255"/>
      <w:r>
        <w:rPr>
          <w:rFonts w:hint="eastAsia" w:ascii="宋体" w:hAnsi="宋体" w:eastAsia="宋体" w:cs="宋体"/>
          <w:color w:val="000000" w:themeColor="text1"/>
          <w:spacing w:val="0"/>
          <w:sz w:val="24"/>
          <w:szCs w:val="24"/>
          <w:highlight w:val="none"/>
          <w14:textFill>
            <w14:solidFill>
              <w14:schemeClr w14:val="tx1"/>
            </w14:solidFill>
          </w14:textFill>
        </w:rPr>
        <w:t>（17）《城市道路照明工程施工及验收规程》（CJJ89-2012）；</w:t>
      </w:r>
      <w:bookmarkEnd w:id="211"/>
      <w:bookmarkEnd w:id="212"/>
    </w:p>
    <w:p w14:paraId="5C08A858">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（18）《LED 道路照明工程技术规范》（DB44/T 1898-2016）；</w:t>
      </w:r>
    </w:p>
    <w:p w14:paraId="2E0247A6">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（19）《灯具第 1 部分：一般要求与试验》（GB7000.1-2015）；</w:t>
      </w:r>
    </w:p>
    <w:p w14:paraId="304A14BA">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（20）《电缆工程电缆设计标准》（GB50217-2018）；</w:t>
      </w:r>
    </w:p>
    <w:p w14:paraId="2781CAEA">
      <w:pPr>
        <w:keepNext w:val="0"/>
        <w:keepLines w:val="0"/>
        <w:pageBreakBefore w:val="0"/>
        <w:widowControl w:val="0"/>
        <w:kinsoku w:val="0"/>
        <w:wordWrap w:val="0"/>
        <w:overflowPunct/>
        <w:topLinePunct w:val="0"/>
        <w:autoSpaceDE w:val="0"/>
        <w:autoSpaceDN w:val="0"/>
        <w:bidi w:val="0"/>
        <w:adjustRightInd w:val="0"/>
        <w:snapToGrid w:val="0"/>
        <w:spacing w:before="146" w:line="220" w:lineRule="auto"/>
        <w:ind w:left="216" w:leftChars="103" w:firstLine="0" w:firstLineChars="0"/>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（21）其他现行国家、广东省关于市政工程的技术及验收规范、定额、规程、标准。</w:t>
      </w:r>
    </w:p>
    <w:p w14:paraId="4A2CCAE5">
      <w:pPr>
        <w:pStyle w:val="5"/>
        <w:keepNext w:val="0"/>
        <w:keepLines w:val="0"/>
        <w:pageBreakBefore w:val="0"/>
        <w:widowControl w:val="0"/>
        <w:kinsoku w:val="0"/>
        <w:wordWrap w:val="0"/>
        <w:overflowPunct/>
        <w:topLinePunct w:val="0"/>
        <w:autoSpaceDE w:val="0"/>
        <w:autoSpaceDN w:val="0"/>
        <w:bidi w:val="0"/>
        <w:adjustRightInd w:val="0"/>
        <w:snapToGrid w:val="0"/>
        <w:spacing w:line="255" w:lineRule="auto"/>
        <w:textAlignment w:val="baseline"/>
        <w:rPr>
          <w:rFonts w:hint="eastAsia" w:ascii="宋体" w:hAnsi="宋体" w:eastAsia="宋体" w:cs="宋体"/>
          <w:color w:val="000000" w:themeColor="text1"/>
          <w:spacing w:val="0"/>
          <w:highlight w:val="none"/>
          <w14:textFill>
            <w14:solidFill>
              <w14:schemeClr w14:val="tx1"/>
            </w14:solidFill>
          </w14:textFill>
        </w:rPr>
      </w:pPr>
    </w:p>
    <w:p w14:paraId="4C853389">
      <w:pPr>
        <w:pStyle w:val="5"/>
        <w:keepNext w:val="0"/>
        <w:keepLines w:val="0"/>
        <w:pageBreakBefore w:val="0"/>
        <w:widowControl w:val="0"/>
        <w:kinsoku w:val="0"/>
        <w:wordWrap w:val="0"/>
        <w:overflowPunct/>
        <w:topLinePunct w:val="0"/>
        <w:autoSpaceDE w:val="0"/>
        <w:autoSpaceDN w:val="0"/>
        <w:bidi w:val="0"/>
        <w:adjustRightInd w:val="0"/>
        <w:snapToGrid w:val="0"/>
        <w:spacing w:line="255" w:lineRule="auto"/>
        <w:textAlignment w:val="baseline"/>
        <w:rPr>
          <w:rFonts w:hint="eastAsia" w:ascii="宋体" w:hAnsi="宋体" w:eastAsia="宋体" w:cs="宋体"/>
          <w:color w:val="000000" w:themeColor="text1"/>
          <w:spacing w:val="0"/>
          <w:highlight w:val="none"/>
          <w14:textFill>
            <w14:solidFill>
              <w14:schemeClr w14:val="tx1"/>
            </w14:solidFill>
          </w14:textFill>
        </w:rPr>
      </w:pPr>
    </w:p>
    <w:p w14:paraId="75A42B65">
      <w:pPr>
        <w:keepNext w:val="0"/>
        <w:keepLines w:val="0"/>
        <w:pageBreakBefore w:val="0"/>
        <w:widowControl w:val="0"/>
        <w:kinsoku w:val="0"/>
        <w:wordWrap w:val="0"/>
        <w:overflowPunct/>
        <w:topLinePunct w:val="0"/>
        <w:autoSpaceDE w:val="0"/>
        <w:autoSpaceDN w:val="0"/>
        <w:bidi w:val="0"/>
        <w:adjustRightInd w:val="0"/>
        <w:snapToGrid w:val="0"/>
        <w:spacing w:before="78" w:line="222" w:lineRule="auto"/>
        <w:ind w:left="556"/>
        <w:textAlignment w:val="baseline"/>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213" w:name="_Toc14731"/>
      <w:bookmarkStart w:id="214" w:name="_Toc9200"/>
      <w:r>
        <w:rPr>
          <w:rFonts w:hint="eastAsia" w:ascii="宋体" w:hAnsi="宋体" w:eastAsia="宋体" w:cs="宋体"/>
          <w:b/>
          <w:bCs/>
          <w:color w:val="000000" w:themeColor="text1"/>
          <w:spacing w:val="0"/>
          <w:sz w:val="24"/>
          <w:szCs w:val="24"/>
          <w:highlight w:val="none"/>
          <w14:textFill>
            <w14:solidFill>
              <w14:schemeClr w14:val="tx1"/>
            </w14:solidFill>
          </w14:textFill>
        </w:rPr>
        <w:t>3 ．备查要求</w:t>
      </w:r>
      <w:bookmarkEnd w:id="213"/>
      <w:bookmarkEnd w:id="214"/>
    </w:p>
    <w:p w14:paraId="0334C0EA">
      <w:pPr>
        <w:keepNext w:val="0"/>
        <w:keepLines w:val="0"/>
        <w:pageBreakBefore w:val="0"/>
        <w:widowControl w:val="0"/>
        <w:kinsoku w:val="0"/>
        <w:wordWrap w:val="0"/>
        <w:overflowPunct/>
        <w:topLinePunct w:val="0"/>
        <w:autoSpaceDE w:val="0"/>
        <w:autoSpaceDN w:val="0"/>
        <w:bidi w:val="0"/>
        <w:adjustRightInd w:val="0"/>
        <w:snapToGrid w:val="0"/>
        <w:spacing w:before="155" w:line="324" w:lineRule="auto"/>
        <w:ind w:right="81" w:firstLine="561"/>
        <w:jc w:val="both"/>
        <w:textAlignment w:val="baseline"/>
        <w:rPr>
          <w:rFonts w:hint="eastAsia" w:ascii="宋体" w:hAnsi="宋体" w:eastAsia="宋体" w:cs="宋体"/>
          <w:color w:val="000000" w:themeColor="text1"/>
          <w:spacing w:val="0"/>
          <w:highlight w:val="none"/>
          <w14:textFill>
            <w14:solidFill>
              <w14:schemeClr w14:val="tx1"/>
            </w14:solidFill>
          </w14:textFill>
        </w:rPr>
        <w:sectPr>
          <w:footerReference r:id="rId13"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r>
        <w:rPr>
          <w:rFonts w:hint="eastAsia" w:ascii="宋体" w:hAnsi="宋体" w:eastAsia="宋体" w:cs="宋体"/>
          <w:color w:val="000000" w:themeColor="text1"/>
          <w:spacing w:val="0"/>
          <w:sz w:val="24"/>
          <w:szCs w:val="24"/>
          <w:highlight w:val="none"/>
          <w14:textFill>
            <w14:solidFill>
              <w14:schemeClr w14:val="tx1"/>
            </w14:solidFill>
          </w14:textFill>
        </w:rPr>
        <w:t>承包人必须在施工现场准备至少一套上述规范，发包人和监理单位可随时检查承 包人的上述规范，并监督承包人按规范要求执行。</w:t>
      </w:r>
    </w:p>
    <w:p w14:paraId="4E917614">
      <w:pPr>
        <w:keepNext w:val="0"/>
        <w:keepLines w:val="0"/>
        <w:pageBreakBefore w:val="0"/>
        <w:wordWrap w:val="0"/>
        <w:overflowPunct/>
        <w:topLinePunct w:val="0"/>
        <w:bidi w:val="0"/>
        <w:spacing w:before="78" w:line="219" w:lineRule="auto"/>
        <w:jc w:val="center"/>
        <w:outlineLvl w:val="0"/>
        <w:rPr>
          <w:rFonts w:hint="eastAsia" w:ascii="宋体" w:hAnsi="宋体" w:eastAsia="宋体" w:cs="宋体"/>
          <w:color w:val="000000" w:themeColor="text1"/>
          <w:spacing w:val="0"/>
          <w:sz w:val="24"/>
          <w:szCs w:val="24"/>
          <w:highlight w:val="none"/>
          <w14:textFill>
            <w14:solidFill>
              <w14:schemeClr w14:val="tx1"/>
            </w14:solidFill>
          </w14:textFill>
        </w:rPr>
      </w:pPr>
      <w:bookmarkStart w:id="215" w:name="bookmark100"/>
      <w:bookmarkEnd w:id="215"/>
      <w:bookmarkStart w:id="216" w:name="bookmark146"/>
      <w:bookmarkEnd w:id="216"/>
      <w:bookmarkStart w:id="217" w:name="_Toc23715"/>
      <w:r>
        <w:rPr>
          <w:rFonts w:hint="eastAsia" w:ascii="宋体" w:hAnsi="宋体" w:eastAsia="宋体" w:cs="宋体"/>
          <w:b/>
          <w:bCs/>
          <w:color w:val="000000" w:themeColor="text1"/>
          <w:spacing w:val="0"/>
          <w:sz w:val="24"/>
          <w:szCs w:val="24"/>
          <w:highlight w:val="none"/>
          <w14:textFill>
            <w14:solidFill>
              <w14:schemeClr w14:val="tx1"/>
            </w14:solidFill>
          </w14:textFill>
        </w:rPr>
        <w:t>第五章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图纸和招标工程量清单</w:t>
      </w:r>
      <w:bookmarkEnd w:id="217"/>
    </w:p>
    <w:p w14:paraId="5FC74284">
      <w:pPr>
        <w:pStyle w:val="5"/>
        <w:keepNext w:val="0"/>
        <w:keepLines w:val="0"/>
        <w:pageBreakBefore w:val="0"/>
        <w:wordWrap w:val="0"/>
        <w:overflowPunct/>
        <w:topLinePunct w:val="0"/>
        <w:bidi w:val="0"/>
        <w:spacing w:line="283" w:lineRule="auto"/>
        <w:rPr>
          <w:rFonts w:hint="eastAsia" w:ascii="宋体" w:hAnsi="宋体" w:eastAsia="宋体" w:cs="宋体"/>
          <w:color w:val="000000" w:themeColor="text1"/>
          <w:spacing w:val="0"/>
          <w:highlight w:val="none"/>
          <w14:textFill>
            <w14:solidFill>
              <w14:schemeClr w14:val="tx1"/>
            </w14:solidFill>
          </w14:textFill>
        </w:rPr>
      </w:pPr>
    </w:p>
    <w:p w14:paraId="4531523B">
      <w:pPr>
        <w:pStyle w:val="5"/>
        <w:keepNext w:val="0"/>
        <w:keepLines w:val="0"/>
        <w:pageBreakBefore w:val="0"/>
        <w:wordWrap w:val="0"/>
        <w:overflowPunct/>
        <w:topLinePunct w:val="0"/>
        <w:bidi w:val="0"/>
        <w:spacing w:line="284" w:lineRule="auto"/>
        <w:rPr>
          <w:rFonts w:hint="eastAsia" w:ascii="宋体" w:hAnsi="宋体" w:eastAsia="宋体" w:cs="宋体"/>
          <w:color w:val="000000" w:themeColor="text1"/>
          <w:spacing w:val="0"/>
          <w:highlight w:val="none"/>
          <w14:textFill>
            <w14:solidFill>
              <w14:schemeClr w14:val="tx1"/>
            </w14:solidFill>
          </w14:textFill>
        </w:rPr>
      </w:pPr>
    </w:p>
    <w:p w14:paraId="57E54AE6">
      <w:pPr>
        <w:keepNext w:val="0"/>
        <w:keepLines w:val="0"/>
        <w:pageBreakBefore w:val="0"/>
        <w:wordWrap w:val="0"/>
        <w:overflowPunct/>
        <w:topLinePunct w:val="0"/>
        <w:bidi w:val="0"/>
        <w:spacing w:before="78" w:line="219" w:lineRule="auto"/>
        <w:ind w:left="106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□有，另附复印件         </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有，自行网上下载(浏览)           □无</w:t>
      </w:r>
    </w:p>
    <w:p w14:paraId="78499731">
      <w:pPr>
        <w:pStyle w:val="5"/>
        <w:keepNext w:val="0"/>
        <w:keepLines w:val="0"/>
        <w:pageBreakBefore w:val="0"/>
        <w:wordWrap w:val="0"/>
        <w:overflowPunct/>
        <w:topLinePunct w:val="0"/>
        <w:bidi w:val="0"/>
        <w:spacing w:line="265" w:lineRule="auto"/>
        <w:rPr>
          <w:rFonts w:hint="eastAsia" w:ascii="宋体" w:hAnsi="宋体" w:eastAsia="宋体" w:cs="宋体"/>
          <w:color w:val="000000" w:themeColor="text1"/>
          <w:spacing w:val="0"/>
          <w:highlight w:val="none"/>
          <w14:textFill>
            <w14:solidFill>
              <w14:schemeClr w14:val="tx1"/>
            </w14:solidFill>
          </w14:textFill>
        </w:rPr>
      </w:pPr>
    </w:p>
    <w:p w14:paraId="660835A9">
      <w:pPr>
        <w:keepNext w:val="0"/>
        <w:keepLines w:val="0"/>
        <w:pageBreakBefore w:val="0"/>
        <w:wordWrap w:val="0"/>
        <w:overflowPunct/>
        <w:topLinePunct w:val="0"/>
        <w:bidi w:val="0"/>
        <w:spacing w:before="151" w:line="222" w:lineRule="auto"/>
        <w:ind w:left="715"/>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218" w:name="_Toc12580"/>
      <w:bookmarkStart w:id="219" w:name="_Toc24446"/>
      <w:r>
        <w:rPr>
          <w:rFonts w:hint="eastAsia" w:ascii="宋体" w:hAnsi="宋体" w:eastAsia="宋体" w:cs="宋体"/>
          <w:b/>
          <w:bCs/>
          <w:color w:val="000000" w:themeColor="text1"/>
          <w:spacing w:val="0"/>
          <w:sz w:val="24"/>
          <w:szCs w:val="24"/>
          <w:highlight w:val="none"/>
          <w14:textFill>
            <w14:solidFill>
              <w14:schemeClr w14:val="tx1"/>
            </w14:solidFill>
          </w14:textFill>
        </w:rPr>
        <w:t>1 ．图纸</w:t>
      </w:r>
      <w:bookmarkEnd w:id="218"/>
      <w:bookmarkEnd w:id="219"/>
    </w:p>
    <w:p w14:paraId="00652F97">
      <w:pPr>
        <w:keepNext w:val="0"/>
        <w:keepLines w:val="0"/>
        <w:pageBreakBefore w:val="0"/>
        <w:wordWrap w:val="0"/>
        <w:overflowPunct/>
        <w:topLinePunct w:val="0"/>
        <w:bidi w:val="0"/>
        <w:spacing w:before="150" w:line="330" w:lineRule="auto"/>
        <w:ind w:left="230" w:firstLine="48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本招标文件随文另附施工图（电子文件）一套。</w:t>
      </w:r>
    </w:p>
    <w:p w14:paraId="48EB0DBD">
      <w:pPr>
        <w:pStyle w:val="5"/>
        <w:keepNext w:val="0"/>
        <w:keepLines w:val="0"/>
        <w:pageBreakBefore w:val="0"/>
        <w:wordWrap w:val="0"/>
        <w:overflowPunct/>
        <w:topLinePunct w:val="0"/>
        <w:bidi w:val="0"/>
        <w:spacing w:line="253" w:lineRule="auto"/>
        <w:rPr>
          <w:rFonts w:hint="eastAsia" w:ascii="宋体" w:hAnsi="宋体" w:eastAsia="宋体" w:cs="宋体"/>
          <w:color w:val="000000" w:themeColor="text1"/>
          <w:spacing w:val="0"/>
          <w:highlight w:val="none"/>
          <w14:textFill>
            <w14:solidFill>
              <w14:schemeClr w14:val="tx1"/>
            </w14:solidFill>
          </w14:textFill>
        </w:rPr>
      </w:pPr>
    </w:p>
    <w:p w14:paraId="7191C978">
      <w:pPr>
        <w:keepNext w:val="0"/>
        <w:keepLines w:val="0"/>
        <w:pageBreakBefore w:val="0"/>
        <w:wordWrap w:val="0"/>
        <w:overflowPunct/>
        <w:topLinePunct w:val="0"/>
        <w:bidi w:val="0"/>
        <w:spacing w:before="79" w:line="221" w:lineRule="auto"/>
        <w:ind w:left="705"/>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220" w:name="_Toc5429"/>
      <w:bookmarkStart w:id="221" w:name="_Toc9064"/>
      <w:r>
        <w:rPr>
          <w:rFonts w:hint="eastAsia" w:ascii="宋体" w:hAnsi="宋体" w:eastAsia="宋体" w:cs="宋体"/>
          <w:b/>
          <w:bCs/>
          <w:color w:val="000000" w:themeColor="text1"/>
          <w:spacing w:val="0"/>
          <w:sz w:val="24"/>
          <w:szCs w:val="24"/>
          <w:highlight w:val="none"/>
          <w14:textFill>
            <w14:solidFill>
              <w14:schemeClr w14:val="tx1"/>
            </w14:solidFill>
          </w14:textFill>
        </w:rPr>
        <w:t>2 ．招标工程量清单</w:t>
      </w:r>
      <w:bookmarkEnd w:id="220"/>
      <w:bookmarkEnd w:id="221"/>
    </w:p>
    <w:p w14:paraId="6A47FAFD">
      <w:pPr>
        <w:keepNext w:val="0"/>
        <w:keepLines w:val="0"/>
        <w:pageBreakBefore w:val="0"/>
        <w:wordWrap w:val="0"/>
        <w:overflowPunct/>
        <w:topLinePunct w:val="0"/>
        <w:bidi w:val="0"/>
        <w:spacing w:before="117" w:line="312" w:lineRule="auto"/>
        <w:ind w:left="231" w:firstLine="47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2.1  </w:t>
      </w:r>
      <w:r>
        <w:rPr>
          <w:rFonts w:hint="eastAsia" w:ascii="宋体" w:hAnsi="宋体" w:eastAsia="宋体" w:cs="宋体"/>
          <w:color w:val="000000" w:themeColor="text1"/>
          <w:spacing w:val="0"/>
          <w:sz w:val="24"/>
          <w:szCs w:val="24"/>
          <w:highlight w:val="none"/>
          <w14:textFill>
            <w14:solidFill>
              <w14:schemeClr w14:val="tx1"/>
            </w14:solidFill>
          </w14:textFill>
        </w:rPr>
        <w:t>本招标文件随文另附</w:t>
      </w:r>
      <w:bookmarkStart w:id="222" w:name="OLE_LINK33"/>
      <w:r>
        <w:rPr>
          <w:rFonts w:hint="eastAsia" w:ascii="宋体" w:hAnsi="宋体" w:eastAsia="宋体" w:cs="宋体"/>
          <w:color w:val="000000" w:themeColor="text1"/>
          <w:spacing w:val="0"/>
          <w:sz w:val="24"/>
          <w:szCs w:val="24"/>
          <w:highlight w:val="none"/>
          <w:u w:val="single"/>
          <w14:textFill>
            <w14:solidFill>
              <w14:schemeClr w14:val="tx1"/>
            </w14:solidFill>
          </w14:textFill>
        </w:rPr>
        <w:t>招标工程量清单  EXCEL 版</w:t>
      </w:r>
      <w:bookmarkEnd w:id="222"/>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电子文件一套。</w:t>
      </w:r>
    </w:p>
    <w:p w14:paraId="076FE901">
      <w:pPr>
        <w:keepNext w:val="0"/>
        <w:keepLines w:val="0"/>
        <w:pageBreakBefore w:val="0"/>
        <w:wordWrap w:val="0"/>
        <w:overflowPunct/>
        <w:topLinePunct w:val="0"/>
        <w:bidi w:val="0"/>
        <w:spacing w:before="78" w:line="219" w:lineRule="auto"/>
        <w:ind w:left="478" w:firstLine="241" w:firstLineChars="100"/>
        <w:rPr>
          <w:rFonts w:hint="eastAsia" w:ascii="宋体" w:hAnsi="宋体" w:eastAsia="宋体" w:cs="宋体"/>
          <w:color w:val="000000" w:themeColor="text1"/>
          <w:spacing w:val="0"/>
          <w:sz w:val="24"/>
          <w:szCs w:val="24"/>
          <w:highlight w:val="none"/>
          <w14:textFill>
            <w14:solidFill>
              <w14:schemeClr w14:val="tx1"/>
            </w14:solidFill>
          </w14:textFill>
        </w:rPr>
      </w:pPr>
      <w:bookmarkStart w:id="223" w:name="bookmark147"/>
      <w:bookmarkEnd w:id="223"/>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2.2  </w:t>
      </w:r>
      <w:r>
        <w:rPr>
          <w:rFonts w:hint="eastAsia" w:ascii="宋体" w:hAnsi="宋体" w:eastAsia="宋体" w:cs="宋体"/>
          <w:color w:val="000000" w:themeColor="text1"/>
          <w:spacing w:val="0"/>
          <w:sz w:val="24"/>
          <w:szCs w:val="24"/>
          <w:highlight w:val="none"/>
          <w14:textFill>
            <w14:solidFill>
              <w14:schemeClr w14:val="tx1"/>
            </w14:solidFill>
          </w14:textFill>
        </w:rPr>
        <w:t>本工程按照以下依据编制</w:t>
      </w:r>
      <w:r>
        <w:rPr>
          <w:rFonts w:hint="eastAsia" w:ascii="宋体" w:hAnsi="宋体" w:eastAsia="宋体" w:cs="宋体"/>
          <w:color w:val="000000" w:themeColor="text1"/>
          <w:spacing w:val="0"/>
          <w:sz w:val="24"/>
          <w:szCs w:val="24"/>
          <w:highlight w:val="none"/>
          <w:u w:val="single"/>
          <w14:textFill>
            <w14:solidFill>
              <w14:schemeClr w14:val="tx1"/>
            </w14:solidFill>
          </w14:textFill>
        </w:rPr>
        <w:t>招标工程量清单</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678730BC">
      <w:pPr>
        <w:keepNext w:val="0"/>
        <w:keepLines w:val="0"/>
        <w:pageBreakBefore w:val="0"/>
        <w:wordWrap w:val="0"/>
        <w:overflowPunct/>
        <w:topLinePunct w:val="0"/>
        <w:bidi w:val="0"/>
        <w:spacing w:before="123" w:line="219" w:lineRule="auto"/>
        <w:ind w:left="49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建设工程工程量清单计价标准</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GB/T50500-2024</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53E00F35">
      <w:pPr>
        <w:keepNext w:val="0"/>
        <w:keepLines w:val="0"/>
        <w:pageBreakBefore w:val="0"/>
        <w:wordWrap w:val="0"/>
        <w:overflowPunct/>
        <w:topLinePunct w:val="0"/>
        <w:bidi w:val="0"/>
        <w:spacing w:before="115" w:line="299" w:lineRule="auto"/>
        <w:ind w:firstLine="493"/>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投标人应对招标人提供的工程量清单进行认真细致的复核。这种复核包括对招标人提供的工程量清单中的子目编码、子目名称、子目特征描述、计量单位、工程量的准确性以及可能存在的任何书写、打印错误进行检查和复核，特别是对“分部分项工程量清单与计价表”中每个工作子目的工程量进行重新计算和校核。如果投标人经过检查和复核以后认为招标人提供的工程量清单存在差异，则投标人应将此类差异的详细情况连同按“投标须知 ”规定提交的要求招标人澄清的其他问题一起提交给招标人，招标人将根据实际情况决定是否颁发</w:t>
      </w:r>
      <w:r>
        <w:rPr>
          <w:rFonts w:hint="eastAsia" w:ascii="宋体" w:hAnsi="宋体" w:eastAsia="宋体" w:cs="宋体"/>
          <w:color w:val="000000" w:themeColor="text1"/>
          <w:spacing w:val="0"/>
          <w:sz w:val="24"/>
          <w:szCs w:val="24"/>
          <w:highlight w:val="none"/>
          <w:u w:val="single"/>
          <w14:textFill>
            <w14:solidFill>
              <w14:schemeClr w14:val="tx1"/>
            </w14:solidFill>
          </w14:textFill>
        </w:rPr>
        <w:t>工程量清单</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color w:val="000000" w:themeColor="text1"/>
          <w:spacing w:val="0"/>
          <w:sz w:val="24"/>
          <w:szCs w:val="24"/>
          <w:highlight w:val="none"/>
          <w14:textFill>
            <w14:solidFill>
              <w14:schemeClr w14:val="tx1"/>
            </w14:solidFill>
          </w14:textFill>
        </w:rPr>
        <w:t>的补充和(或)修改文件。</w:t>
      </w:r>
    </w:p>
    <w:p w14:paraId="3E496F3B">
      <w:pPr>
        <w:keepNext w:val="0"/>
        <w:keepLines w:val="0"/>
        <w:pageBreakBefore w:val="0"/>
        <w:wordWrap w:val="0"/>
        <w:overflowPunct/>
        <w:topLinePunct w:val="0"/>
        <w:bidi w:val="0"/>
        <w:spacing w:before="79" w:line="263" w:lineRule="auto"/>
        <w:ind w:left="2" w:right="2" w:firstLine="48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（3）本招标工程量清单措施项目中的</w:t>
      </w:r>
      <w:r>
        <w:rPr>
          <w:rFonts w:hint="eastAsia" w:ascii="宋体" w:hAnsi="宋体" w:eastAsia="宋体" w:cs="宋体"/>
          <w:b/>
          <w:bCs/>
          <w:color w:val="000000" w:themeColor="text1"/>
          <w:spacing w:val="0"/>
          <w:sz w:val="24"/>
          <w:szCs w:val="24"/>
          <w:highlight w:val="none"/>
          <w14:textFill>
            <w14:solidFill>
              <w14:schemeClr w14:val="tx1"/>
            </w14:solidFill>
          </w14:textFill>
        </w:rPr>
        <w:t>暂列金额、暂估价</w:t>
      </w:r>
      <w:r>
        <w:rPr>
          <w:rFonts w:hint="eastAsia" w:ascii="宋体" w:hAnsi="宋体" w:eastAsia="宋体" w:cs="宋体"/>
          <w:color w:val="000000" w:themeColor="text1"/>
          <w:spacing w:val="0"/>
          <w:sz w:val="24"/>
          <w:szCs w:val="24"/>
          <w:highlight w:val="none"/>
          <w14:textFill>
            <w14:solidFill>
              <w14:schemeClr w14:val="tx1"/>
            </w14:solidFill>
          </w14:textFill>
        </w:rPr>
        <w:t>不得作为竞争性费用，投标报价必须按本招标工程量清单规定的金额填报。</w:t>
      </w:r>
    </w:p>
    <w:p w14:paraId="24C45CC5">
      <w:pPr>
        <w:keepNext w:val="0"/>
        <w:keepLines w:val="0"/>
        <w:pageBreakBefore w:val="0"/>
        <w:wordWrap w:val="0"/>
        <w:overflowPunct/>
        <w:topLinePunct w:val="0"/>
        <w:bidi w:val="0"/>
        <w:spacing w:before="118" w:line="265" w:lineRule="auto"/>
        <w:ind w:left="7" w:right="4" w:firstLine="48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（4）投标报价使用的表格格式须按照《</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建设工程工程量清单计价标准</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GB/T50500-2024</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5D89ED6B">
      <w:pPr>
        <w:keepNext w:val="0"/>
        <w:keepLines w:val="0"/>
        <w:pageBreakBefore w:val="0"/>
        <w:wordWrap w:val="0"/>
        <w:overflowPunct/>
        <w:topLinePunct w:val="0"/>
        <w:bidi w:val="0"/>
        <w:spacing w:before="107" w:line="286" w:lineRule="auto"/>
        <w:ind w:right="4" w:firstLine="49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4B3D583F">
      <w:pPr>
        <w:keepNext w:val="0"/>
        <w:keepLines w:val="0"/>
        <w:pageBreakBefore w:val="0"/>
        <w:wordWrap w:val="0"/>
        <w:overflowPunct/>
        <w:topLinePunct w:val="0"/>
        <w:bidi w:val="0"/>
        <w:spacing w:before="146" w:line="221" w:lineRule="auto"/>
        <w:ind w:left="49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（6）施工图及相关资料；</w:t>
      </w:r>
    </w:p>
    <w:p w14:paraId="2C855D25">
      <w:pPr>
        <w:keepNext w:val="0"/>
        <w:keepLines w:val="0"/>
        <w:pageBreakBefore w:val="0"/>
        <w:wordWrap w:val="0"/>
        <w:overflowPunct/>
        <w:topLinePunct w:val="0"/>
        <w:bidi w:val="0"/>
        <w:spacing w:before="153" w:line="220" w:lineRule="auto"/>
        <w:ind w:left="49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（7）招标文件；</w:t>
      </w:r>
    </w:p>
    <w:p w14:paraId="7D4A78D6">
      <w:pPr>
        <w:keepNext w:val="0"/>
        <w:keepLines w:val="0"/>
        <w:pageBreakBefore w:val="0"/>
        <w:wordWrap w:val="0"/>
        <w:overflowPunct/>
        <w:topLinePunct w:val="0"/>
        <w:bidi w:val="0"/>
        <w:spacing w:before="155" w:line="220" w:lineRule="auto"/>
        <w:ind w:left="49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（8）施工现场情况、地勘水文资料、工程特点及常规施工方案；</w:t>
      </w:r>
    </w:p>
    <w:p w14:paraId="617E9DDC">
      <w:pPr>
        <w:keepNext w:val="0"/>
        <w:keepLines w:val="0"/>
        <w:pageBreakBefore w:val="0"/>
        <w:wordWrap w:val="0"/>
        <w:overflowPunct/>
        <w:topLinePunct w:val="0"/>
        <w:bidi w:val="0"/>
        <w:spacing w:before="153" w:line="219" w:lineRule="auto"/>
        <w:ind w:left="49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（9）与建设工程有关的标准、规范、技术资料、材料设备信息价或市场价格等。</w:t>
      </w:r>
    </w:p>
    <w:p w14:paraId="12618F59">
      <w:pPr>
        <w:pStyle w:val="24"/>
        <w:rPr>
          <w:rFonts w:hint="eastAsia" w:ascii="宋体" w:hAnsi="宋体" w:eastAsia="宋体" w:cs="宋体"/>
          <w:color w:val="000000" w:themeColor="text1"/>
          <w:highlight w:val="none"/>
          <w14:textFill>
            <w14:solidFill>
              <w14:schemeClr w14:val="tx1"/>
            </w14:solidFill>
          </w14:textFill>
        </w:rPr>
      </w:pPr>
    </w:p>
    <w:p w14:paraId="499D0013">
      <w:pPr>
        <w:keepNext w:val="0"/>
        <w:keepLines w:val="0"/>
        <w:pageBreakBefore w:val="0"/>
        <w:wordWrap w:val="0"/>
        <w:overflowPunct/>
        <w:topLinePunct w:val="0"/>
        <w:bidi w:val="0"/>
        <w:spacing w:line="219" w:lineRule="auto"/>
        <w:rPr>
          <w:rFonts w:hint="eastAsia" w:ascii="宋体" w:hAnsi="宋体" w:eastAsia="宋体" w:cs="宋体"/>
          <w:color w:val="000000" w:themeColor="text1"/>
          <w:spacing w:val="0"/>
          <w:sz w:val="24"/>
          <w:szCs w:val="24"/>
          <w:highlight w:val="none"/>
          <w14:textFill>
            <w14:solidFill>
              <w14:schemeClr w14:val="tx1"/>
            </w14:solidFill>
          </w14:textFill>
        </w:rPr>
        <w:sectPr>
          <w:footerReference r:id="rId14"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6C94DD83">
      <w:pPr>
        <w:pStyle w:val="5"/>
        <w:keepNext w:val="0"/>
        <w:keepLines w:val="0"/>
        <w:pageBreakBefore w:val="0"/>
        <w:wordWrap w:val="0"/>
        <w:overflowPunct/>
        <w:topLinePunct w:val="0"/>
        <w:bidi w:val="0"/>
        <w:spacing w:line="304" w:lineRule="auto"/>
        <w:rPr>
          <w:rFonts w:hint="eastAsia" w:ascii="宋体" w:hAnsi="宋体" w:eastAsia="宋体" w:cs="宋体"/>
          <w:color w:val="000000" w:themeColor="text1"/>
          <w:spacing w:val="0"/>
          <w:highlight w:val="none"/>
          <w14:textFill>
            <w14:solidFill>
              <w14:schemeClr w14:val="tx1"/>
            </w14:solidFill>
          </w14:textFill>
        </w:rPr>
      </w:pPr>
    </w:p>
    <w:p w14:paraId="0C8B4CB9">
      <w:pPr>
        <w:keepNext w:val="0"/>
        <w:keepLines w:val="0"/>
        <w:pageBreakBefore w:val="0"/>
        <w:wordWrap w:val="0"/>
        <w:overflowPunct/>
        <w:topLinePunct w:val="0"/>
        <w:bidi w:val="0"/>
        <w:spacing w:before="78" w:line="219" w:lineRule="auto"/>
        <w:ind w:left="3357"/>
        <w:outlineLvl w:val="0"/>
        <w:rPr>
          <w:rFonts w:hint="eastAsia" w:ascii="宋体" w:hAnsi="宋体" w:eastAsia="宋体" w:cs="宋体"/>
          <w:color w:val="000000" w:themeColor="text1"/>
          <w:spacing w:val="0"/>
          <w:sz w:val="24"/>
          <w:szCs w:val="24"/>
          <w:highlight w:val="none"/>
          <w14:textFill>
            <w14:solidFill>
              <w14:schemeClr w14:val="tx1"/>
            </w14:solidFill>
          </w14:textFill>
        </w:rPr>
      </w:pPr>
      <w:bookmarkStart w:id="224" w:name="_Toc13179"/>
      <w:r>
        <w:rPr>
          <w:rFonts w:hint="eastAsia" w:ascii="宋体" w:hAnsi="宋体" w:eastAsia="宋体" w:cs="宋体"/>
          <w:b/>
          <w:bCs/>
          <w:color w:val="000000" w:themeColor="text1"/>
          <w:spacing w:val="0"/>
          <w:sz w:val="24"/>
          <w:szCs w:val="24"/>
          <w:highlight w:val="none"/>
          <w14:textFill>
            <w14:solidFill>
              <w14:schemeClr w14:val="tx1"/>
            </w14:solidFill>
          </w14:textFill>
        </w:rPr>
        <w:t>第六章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投标文件格式</w:t>
      </w:r>
      <w:bookmarkEnd w:id="224"/>
    </w:p>
    <w:p w14:paraId="5B1AE375">
      <w:pPr>
        <w:pStyle w:val="5"/>
        <w:keepNext w:val="0"/>
        <w:keepLines w:val="0"/>
        <w:pageBreakBefore w:val="0"/>
        <w:wordWrap w:val="0"/>
        <w:overflowPunct/>
        <w:topLinePunct w:val="0"/>
        <w:bidi w:val="0"/>
        <w:spacing w:line="302" w:lineRule="auto"/>
        <w:jc w:val="right"/>
        <w:rPr>
          <w:rFonts w:hint="eastAsia" w:ascii="宋体" w:hAnsi="宋体" w:eastAsia="宋体" w:cs="宋体"/>
          <w:color w:val="000000" w:themeColor="text1"/>
          <w:spacing w:val="0"/>
          <w:highlight w:val="none"/>
          <w14:textFill>
            <w14:solidFill>
              <w14:schemeClr w14:val="tx1"/>
            </w14:solidFill>
          </w14:textFill>
        </w:rPr>
      </w:pPr>
    </w:p>
    <w:p w14:paraId="732FF561">
      <w:pPr>
        <w:keepNext w:val="0"/>
        <w:keepLines w:val="0"/>
        <w:pageBreakBefore w:val="0"/>
        <w:wordWrap w:val="0"/>
        <w:overflowPunct/>
        <w:topLinePunct w:val="0"/>
        <w:bidi w:val="0"/>
        <w:spacing w:before="78" w:line="220" w:lineRule="auto"/>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225" w:name="_Toc27563"/>
      <w:r>
        <w:rPr>
          <w:rFonts w:hint="eastAsia" w:ascii="宋体" w:hAnsi="宋体" w:eastAsia="宋体" w:cs="宋体"/>
          <w:b/>
          <w:bCs/>
          <w:color w:val="000000" w:themeColor="text1"/>
          <w:spacing w:val="0"/>
          <w:sz w:val="24"/>
          <w:szCs w:val="24"/>
          <w:highlight w:val="none"/>
          <w14:textFill>
            <w14:solidFill>
              <w14:schemeClr w14:val="tx1"/>
            </w14:solidFill>
          </w14:textFill>
        </w:rPr>
        <w:t>格式一</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封面</w:t>
      </w:r>
      <w:bookmarkEnd w:id="225"/>
    </w:p>
    <w:p w14:paraId="3D936F71">
      <w:pPr>
        <w:pStyle w:val="5"/>
        <w:keepNext w:val="0"/>
        <w:keepLines w:val="0"/>
        <w:pageBreakBefore w:val="0"/>
        <w:wordWrap w:val="0"/>
        <w:overflowPunct/>
        <w:topLinePunct w:val="0"/>
        <w:bidi w:val="0"/>
        <w:spacing w:line="258" w:lineRule="auto"/>
        <w:rPr>
          <w:rFonts w:hint="eastAsia" w:ascii="宋体" w:hAnsi="宋体" w:eastAsia="宋体" w:cs="宋体"/>
          <w:color w:val="000000" w:themeColor="text1"/>
          <w:spacing w:val="0"/>
          <w:highlight w:val="none"/>
          <w14:textFill>
            <w14:solidFill>
              <w14:schemeClr w14:val="tx1"/>
            </w14:solidFill>
          </w14:textFill>
        </w:rPr>
      </w:pPr>
    </w:p>
    <w:p w14:paraId="068AB70E">
      <w:pPr>
        <w:pStyle w:val="5"/>
        <w:keepNext w:val="0"/>
        <w:keepLines w:val="0"/>
        <w:pageBreakBefore w:val="0"/>
        <w:wordWrap w:val="0"/>
        <w:overflowPunct/>
        <w:topLinePunct w:val="0"/>
        <w:bidi w:val="0"/>
        <w:spacing w:line="259" w:lineRule="auto"/>
        <w:rPr>
          <w:rFonts w:hint="eastAsia" w:ascii="宋体" w:hAnsi="宋体" w:eastAsia="宋体" w:cs="宋体"/>
          <w:color w:val="000000" w:themeColor="text1"/>
          <w:spacing w:val="0"/>
          <w:highlight w:val="none"/>
          <w14:textFill>
            <w14:solidFill>
              <w14:schemeClr w14:val="tx1"/>
            </w14:solidFill>
          </w14:textFill>
        </w:rPr>
      </w:pPr>
    </w:p>
    <w:p w14:paraId="0DE0F809">
      <w:pPr>
        <w:pStyle w:val="5"/>
        <w:keepNext w:val="0"/>
        <w:keepLines w:val="0"/>
        <w:pageBreakBefore w:val="0"/>
        <w:wordWrap w:val="0"/>
        <w:overflowPunct/>
        <w:topLinePunct w:val="0"/>
        <w:bidi w:val="0"/>
        <w:spacing w:line="259" w:lineRule="auto"/>
        <w:rPr>
          <w:rFonts w:hint="eastAsia" w:ascii="宋体" w:hAnsi="宋体" w:eastAsia="宋体" w:cs="宋体"/>
          <w:color w:val="000000" w:themeColor="text1"/>
          <w:spacing w:val="0"/>
          <w:highlight w:val="none"/>
          <w14:textFill>
            <w14:solidFill>
              <w14:schemeClr w14:val="tx1"/>
            </w14:solidFill>
          </w14:textFill>
        </w:rPr>
      </w:pPr>
    </w:p>
    <w:p w14:paraId="5ED9FBF6">
      <w:pPr>
        <w:keepNext w:val="0"/>
        <w:keepLines w:val="0"/>
        <w:pageBreakBefore w:val="0"/>
        <w:wordWrap w:val="0"/>
        <w:overflowPunct/>
        <w:topLinePunct w:val="0"/>
        <w:bidi w:val="0"/>
        <w:spacing w:before="153" w:line="225" w:lineRule="auto"/>
        <w:ind w:left="-1" w:leftChars="0" w:firstLine="0" w:firstLineChars="0"/>
        <w:jc w:val="center"/>
        <w:rPr>
          <w:rFonts w:hint="eastAsia" w:ascii="宋体" w:hAnsi="宋体" w:eastAsia="宋体" w:cs="宋体"/>
          <w:color w:val="000000" w:themeColor="text1"/>
          <w:spacing w:val="0"/>
          <w:sz w:val="47"/>
          <w:szCs w:val="47"/>
          <w:highlight w:val="none"/>
          <w14:textFill>
            <w14:solidFill>
              <w14:schemeClr w14:val="tx1"/>
            </w14:solidFill>
          </w14:textFill>
        </w:rPr>
      </w:pPr>
      <w:r>
        <w:rPr>
          <w:rFonts w:hint="eastAsia" w:ascii="宋体" w:hAnsi="宋体" w:eastAsia="宋体" w:cs="宋体"/>
          <w:b/>
          <w:bCs/>
          <w:color w:val="000000" w:themeColor="text1"/>
          <w:spacing w:val="0"/>
          <w:sz w:val="47"/>
          <w:szCs w:val="47"/>
          <w:highlight w:val="none"/>
          <w:u w:val="single"/>
          <w:lang w:val="en-US" w:eastAsia="zh-CN"/>
          <w14:textFill>
            <w14:solidFill>
              <w14:schemeClr w14:val="tx1"/>
            </w14:solidFill>
          </w14:textFill>
        </w:rPr>
        <w:t xml:space="preserve">    </w:t>
      </w:r>
      <w:r>
        <w:rPr>
          <w:rFonts w:hint="eastAsia" w:ascii="宋体" w:hAnsi="宋体" w:eastAsia="宋体" w:cs="宋体"/>
          <w:b/>
          <w:bCs/>
          <w:color w:val="000000" w:themeColor="text1"/>
          <w:spacing w:val="0"/>
          <w:sz w:val="47"/>
          <w:szCs w:val="47"/>
          <w:highlight w:val="none"/>
          <w:u w:val="single"/>
          <w14:textFill>
            <w14:solidFill>
              <w14:schemeClr w14:val="tx1"/>
            </w14:solidFill>
          </w14:textFill>
        </w:rPr>
        <w:t>（项目名称）</w:t>
      </w:r>
      <w:r>
        <w:rPr>
          <w:rFonts w:hint="eastAsia" w:ascii="宋体" w:hAnsi="宋体" w:eastAsia="宋体" w:cs="宋体"/>
          <w:b/>
          <w:bCs/>
          <w:color w:val="000000" w:themeColor="text1"/>
          <w:spacing w:val="0"/>
          <w:sz w:val="47"/>
          <w:szCs w:val="47"/>
          <w:highlight w:val="none"/>
          <w:u w:val="none"/>
          <w:lang w:val="en-US" w:eastAsia="zh-CN"/>
          <w14:textFill>
            <w14:solidFill>
              <w14:schemeClr w14:val="tx1"/>
            </w14:solidFill>
          </w14:textFill>
        </w:rPr>
        <w:t>施工</w:t>
      </w:r>
      <w:r>
        <w:rPr>
          <w:rFonts w:hint="eastAsia" w:ascii="宋体" w:hAnsi="宋体" w:eastAsia="宋体" w:cs="宋体"/>
          <w:b/>
          <w:bCs/>
          <w:color w:val="000000" w:themeColor="text1"/>
          <w:spacing w:val="0"/>
          <w:sz w:val="47"/>
          <w:szCs w:val="47"/>
          <w:highlight w:val="none"/>
          <w14:textFill>
            <w14:solidFill>
              <w14:schemeClr w14:val="tx1"/>
            </w14:solidFill>
          </w14:textFill>
        </w:rPr>
        <w:t>招标</w:t>
      </w:r>
    </w:p>
    <w:p w14:paraId="6DEABEF4">
      <w:pPr>
        <w:pStyle w:val="5"/>
        <w:keepNext w:val="0"/>
        <w:keepLines w:val="0"/>
        <w:pageBreakBefore w:val="0"/>
        <w:wordWrap w:val="0"/>
        <w:overflowPunct/>
        <w:topLinePunct w:val="0"/>
        <w:bidi w:val="0"/>
        <w:spacing w:line="247" w:lineRule="auto"/>
        <w:rPr>
          <w:rFonts w:hint="eastAsia" w:ascii="宋体" w:hAnsi="宋体" w:eastAsia="宋体" w:cs="宋体"/>
          <w:color w:val="000000" w:themeColor="text1"/>
          <w:spacing w:val="0"/>
          <w:highlight w:val="none"/>
          <w14:textFill>
            <w14:solidFill>
              <w14:schemeClr w14:val="tx1"/>
            </w14:solidFill>
          </w14:textFill>
        </w:rPr>
      </w:pPr>
    </w:p>
    <w:p w14:paraId="5EF5EDE9">
      <w:pPr>
        <w:pStyle w:val="5"/>
        <w:keepNext w:val="0"/>
        <w:keepLines w:val="0"/>
        <w:pageBreakBefore w:val="0"/>
        <w:wordWrap w:val="0"/>
        <w:overflowPunct/>
        <w:topLinePunct w:val="0"/>
        <w:bidi w:val="0"/>
        <w:spacing w:line="247" w:lineRule="auto"/>
        <w:rPr>
          <w:rFonts w:hint="eastAsia" w:ascii="宋体" w:hAnsi="宋体" w:eastAsia="宋体" w:cs="宋体"/>
          <w:color w:val="000000" w:themeColor="text1"/>
          <w:spacing w:val="0"/>
          <w:highlight w:val="none"/>
          <w14:textFill>
            <w14:solidFill>
              <w14:schemeClr w14:val="tx1"/>
            </w14:solidFill>
          </w14:textFill>
        </w:rPr>
      </w:pPr>
    </w:p>
    <w:p w14:paraId="34AB878A">
      <w:pPr>
        <w:pStyle w:val="5"/>
        <w:keepNext w:val="0"/>
        <w:keepLines w:val="0"/>
        <w:pageBreakBefore w:val="0"/>
        <w:wordWrap w:val="0"/>
        <w:overflowPunct/>
        <w:topLinePunct w:val="0"/>
        <w:bidi w:val="0"/>
        <w:spacing w:line="247" w:lineRule="auto"/>
        <w:rPr>
          <w:rFonts w:hint="eastAsia" w:ascii="宋体" w:hAnsi="宋体" w:eastAsia="宋体" w:cs="宋体"/>
          <w:color w:val="000000" w:themeColor="text1"/>
          <w:spacing w:val="0"/>
          <w:highlight w:val="none"/>
          <w14:textFill>
            <w14:solidFill>
              <w14:schemeClr w14:val="tx1"/>
            </w14:solidFill>
          </w14:textFill>
        </w:rPr>
      </w:pPr>
    </w:p>
    <w:p w14:paraId="15E641E6">
      <w:pPr>
        <w:pStyle w:val="5"/>
        <w:keepNext w:val="0"/>
        <w:keepLines w:val="0"/>
        <w:pageBreakBefore w:val="0"/>
        <w:wordWrap w:val="0"/>
        <w:overflowPunct/>
        <w:topLinePunct w:val="0"/>
        <w:bidi w:val="0"/>
        <w:spacing w:line="247" w:lineRule="auto"/>
        <w:rPr>
          <w:rFonts w:hint="eastAsia" w:ascii="宋体" w:hAnsi="宋体" w:eastAsia="宋体" w:cs="宋体"/>
          <w:color w:val="000000" w:themeColor="text1"/>
          <w:spacing w:val="0"/>
          <w:highlight w:val="none"/>
          <w14:textFill>
            <w14:solidFill>
              <w14:schemeClr w14:val="tx1"/>
            </w14:solidFill>
          </w14:textFill>
        </w:rPr>
      </w:pPr>
    </w:p>
    <w:p w14:paraId="3098056B">
      <w:pPr>
        <w:pStyle w:val="5"/>
        <w:keepNext w:val="0"/>
        <w:keepLines w:val="0"/>
        <w:pageBreakBefore w:val="0"/>
        <w:wordWrap w:val="0"/>
        <w:overflowPunct/>
        <w:topLinePunct w:val="0"/>
        <w:bidi w:val="0"/>
        <w:spacing w:line="248" w:lineRule="auto"/>
        <w:rPr>
          <w:rFonts w:hint="eastAsia" w:ascii="宋体" w:hAnsi="宋体" w:eastAsia="宋体" w:cs="宋体"/>
          <w:color w:val="000000" w:themeColor="text1"/>
          <w:spacing w:val="0"/>
          <w:highlight w:val="none"/>
          <w14:textFill>
            <w14:solidFill>
              <w14:schemeClr w14:val="tx1"/>
            </w14:solidFill>
          </w14:textFill>
        </w:rPr>
      </w:pPr>
    </w:p>
    <w:p w14:paraId="4ECB4A2E">
      <w:pPr>
        <w:keepNext w:val="0"/>
        <w:keepLines w:val="0"/>
        <w:pageBreakBefore w:val="0"/>
        <w:wordWrap w:val="0"/>
        <w:overflowPunct/>
        <w:topLinePunct w:val="0"/>
        <w:bidi w:val="0"/>
        <w:spacing w:before="231" w:line="223" w:lineRule="auto"/>
        <w:jc w:val="center"/>
        <w:rPr>
          <w:rFonts w:hint="eastAsia" w:ascii="宋体" w:hAnsi="宋体" w:eastAsia="宋体" w:cs="宋体"/>
          <w:color w:val="000000" w:themeColor="text1"/>
          <w:spacing w:val="0"/>
          <w:sz w:val="71"/>
          <w:szCs w:val="71"/>
          <w:highlight w:val="none"/>
          <w14:textFill>
            <w14:solidFill>
              <w14:schemeClr w14:val="tx1"/>
            </w14:solidFill>
          </w14:textFill>
        </w:rPr>
      </w:pPr>
      <w:r>
        <w:rPr>
          <w:rFonts w:hint="eastAsia" w:ascii="宋体" w:hAnsi="宋体" w:eastAsia="宋体" w:cs="宋体"/>
          <w:b/>
          <w:bCs/>
          <w:color w:val="000000" w:themeColor="text1"/>
          <w:spacing w:val="0"/>
          <w:sz w:val="71"/>
          <w:szCs w:val="71"/>
          <w:highlight w:val="none"/>
          <w14:textFill>
            <w14:solidFill>
              <w14:schemeClr w14:val="tx1"/>
            </w14:solidFill>
          </w14:textFill>
        </w:rPr>
        <w:t>投</w:t>
      </w:r>
      <w:r>
        <w:rPr>
          <w:rFonts w:hint="eastAsia" w:ascii="宋体" w:hAnsi="宋体" w:eastAsia="宋体" w:cs="宋体"/>
          <w:color w:val="000000" w:themeColor="text1"/>
          <w:spacing w:val="0"/>
          <w:sz w:val="71"/>
          <w:szCs w:val="71"/>
          <w:highlight w:val="none"/>
          <w14:textFill>
            <w14:solidFill>
              <w14:schemeClr w14:val="tx1"/>
            </w14:solidFill>
          </w14:textFill>
        </w:rPr>
        <w:t xml:space="preserve">  </w:t>
      </w:r>
      <w:r>
        <w:rPr>
          <w:rFonts w:hint="eastAsia" w:ascii="宋体" w:hAnsi="宋体" w:eastAsia="宋体" w:cs="宋体"/>
          <w:b/>
          <w:bCs/>
          <w:color w:val="000000" w:themeColor="text1"/>
          <w:spacing w:val="0"/>
          <w:sz w:val="71"/>
          <w:szCs w:val="71"/>
          <w:highlight w:val="none"/>
          <w14:textFill>
            <w14:solidFill>
              <w14:schemeClr w14:val="tx1"/>
            </w14:solidFill>
          </w14:textFill>
        </w:rPr>
        <w:t>标</w:t>
      </w:r>
      <w:r>
        <w:rPr>
          <w:rFonts w:hint="eastAsia" w:ascii="宋体" w:hAnsi="宋体" w:eastAsia="宋体" w:cs="宋体"/>
          <w:color w:val="000000" w:themeColor="text1"/>
          <w:spacing w:val="0"/>
          <w:sz w:val="71"/>
          <w:szCs w:val="71"/>
          <w:highlight w:val="none"/>
          <w14:textFill>
            <w14:solidFill>
              <w14:schemeClr w14:val="tx1"/>
            </w14:solidFill>
          </w14:textFill>
        </w:rPr>
        <w:t xml:space="preserve">  </w:t>
      </w:r>
      <w:r>
        <w:rPr>
          <w:rFonts w:hint="eastAsia" w:ascii="宋体" w:hAnsi="宋体" w:eastAsia="宋体" w:cs="宋体"/>
          <w:b/>
          <w:bCs/>
          <w:color w:val="000000" w:themeColor="text1"/>
          <w:spacing w:val="0"/>
          <w:sz w:val="71"/>
          <w:szCs w:val="71"/>
          <w:highlight w:val="none"/>
          <w14:textFill>
            <w14:solidFill>
              <w14:schemeClr w14:val="tx1"/>
            </w14:solidFill>
          </w14:textFill>
        </w:rPr>
        <w:t>文</w:t>
      </w:r>
      <w:r>
        <w:rPr>
          <w:rFonts w:hint="eastAsia" w:ascii="宋体" w:hAnsi="宋体" w:eastAsia="宋体" w:cs="宋体"/>
          <w:color w:val="000000" w:themeColor="text1"/>
          <w:spacing w:val="0"/>
          <w:sz w:val="71"/>
          <w:szCs w:val="71"/>
          <w:highlight w:val="none"/>
          <w14:textFill>
            <w14:solidFill>
              <w14:schemeClr w14:val="tx1"/>
            </w14:solidFill>
          </w14:textFill>
        </w:rPr>
        <w:t xml:space="preserve">  </w:t>
      </w:r>
      <w:r>
        <w:rPr>
          <w:rFonts w:hint="eastAsia" w:ascii="宋体" w:hAnsi="宋体" w:eastAsia="宋体" w:cs="宋体"/>
          <w:b/>
          <w:bCs/>
          <w:color w:val="000000" w:themeColor="text1"/>
          <w:spacing w:val="0"/>
          <w:sz w:val="71"/>
          <w:szCs w:val="71"/>
          <w:highlight w:val="none"/>
          <w14:textFill>
            <w14:solidFill>
              <w14:schemeClr w14:val="tx1"/>
            </w14:solidFill>
          </w14:textFill>
        </w:rPr>
        <w:t>件</w:t>
      </w:r>
    </w:p>
    <w:p w14:paraId="23F78714">
      <w:pPr>
        <w:pStyle w:val="5"/>
        <w:keepNext w:val="0"/>
        <w:keepLines w:val="0"/>
        <w:pageBreakBefore w:val="0"/>
        <w:wordWrap w:val="0"/>
        <w:overflowPunct/>
        <w:topLinePunct w:val="0"/>
        <w:bidi w:val="0"/>
        <w:spacing w:line="293" w:lineRule="auto"/>
        <w:rPr>
          <w:rFonts w:hint="eastAsia" w:ascii="宋体" w:hAnsi="宋体" w:eastAsia="宋体" w:cs="宋体"/>
          <w:color w:val="000000" w:themeColor="text1"/>
          <w:spacing w:val="0"/>
          <w:highlight w:val="none"/>
          <w14:textFill>
            <w14:solidFill>
              <w14:schemeClr w14:val="tx1"/>
            </w14:solidFill>
          </w14:textFill>
        </w:rPr>
      </w:pPr>
    </w:p>
    <w:p w14:paraId="0CD43441">
      <w:pPr>
        <w:pStyle w:val="5"/>
        <w:keepNext w:val="0"/>
        <w:keepLines w:val="0"/>
        <w:pageBreakBefore w:val="0"/>
        <w:wordWrap w:val="0"/>
        <w:overflowPunct/>
        <w:topLinePunct w:val="0"/>
        <w:bidi w:val="0"/>
        <w:spacing w:line="293" w:lineRule="auto"/>
        <w:rPr>
          <w:rFonts w:hint="eastAsia" w:ascii="宋体" w:hAnsi="宋体" w:eastAsia="宋体" w:cs="宋体"/>
          <w:color w:val="000000" w:themeColor="text1"/>
          <w:spacing w:val="0"/>
          <w:highlight w:val="none"/>
          <w14:textFill>
            <w14:solidFill>
              <w14:schemeClr w14:val="tx1"/>
            </w14:solidFill>
          </w14:textFill>
        </w:rPr>
      </w:pPr>
    </w:p>
    <w:p w14:paraId="48210BB7">
      <w:pPr>
        <w:keepNext w:val="0"/>
        <w:keepLines w:val="0"/>
        <w:pageBreakBefore w:val="0"/>
        <w:wordWrap w:val="0"/>
        <w:overflowPunct/>
        <w:topLinePunct w:val="0"/>
        <w:bidi w:val="0"/>
        <w:spacing w:before="152" w:line="223" w:lineRule="auto"/>
        <w:jc w:val="center"/>
        <w:rPr>
          <w:rFonts w:hint="eastAsia" w:ascii="宋体" w:hAnsi="宋体" w:eastAsia="宋体" w:cs="宋体"/>
          <w:b/>
          <w:bCs/>
          <w:color w:val="000000" w:themeColor="text1"/>
          <w:spacing w:val="0"/>
          <w:sz w:val="47"/>
          <w:szCs w:val="47"/>
          <w:highlight w:val="none"/>
          <w14:textFill>
            <w14:solidFill>
              <w14:schemeClr w14:val="tx1"/>
            </w14:solidFill>
          </w14:textFill>
        </w:rPr>
      </w:pPr>
      <w:bookmarkStart w:id="226" w:name="bookmark105"/>
      <w:bookmarkEnd w:id="226"/>
      <w:r>
        <w:rPr>
          <w:rFonts w:hint="eastAsia" w:ascii="宋体" w:hAnsi="宋体" w:eastAsia="宋体" w:cs="宋体"/>
          <w:b/>
          <w:bCs/>
          <w:color w:val="000000" w:themeColor="text1"/>
          <w:spacing w:val="0"/>
          <w:sz w:val="47"/>
          <w:szCs w:val="47"/>
          <w:highlight w:val="none"/>
          <w14:textFill>
            <w14:solidFill>
              <w14:schemeClr w14:val="tx1"/>
            </w14:solidFill>
          </w14:textFill>
        </w:rPr>
        <w:t>（商务标书／经济标书／施工组织设计</w:t>
      </w:r>
      <w:r>
        <w:rPr>
          <w:rFonts w:hint="eastAsia" w:ascii="宋体" w:hAnsi="宋体" w:eastAsia="宋体" w:cs="宋体"/>
          <w:b/>
          <w:bCs/>
          <w:color w:val="000000" w:themeColor="text1"/>
          <w:spacing w:val="0"/>
          <w:sz w:val="47"/>
          <w:szCs w:val="47"/>
          <w:highlight w:val="none"/>
          <w:lang w:eastAsia="zh-CN"/>
          <w14:textFill>
            <w14:solidFill>
              <w14:schemeClr w14:val="tx1"/>
            </w14:solidFill>
          </w14:textFill>
        </w:rPr>
        <w:t>／定标文件</w:t>
      </w:r>
      <w:r>
        <w:rPr>
          <w:rFonts w:hint="eastAsia" w:ascii="宋体" w:hAnsi="宋体" w:eastAsia="宋体" w:cs="宋体"/>
          <w:b/>
          <w:bCs/>
          <w:color w:val="000000" w:themeColor="text1"/>
          <w:spacing w:val="0"/>
          <w:sz w:val="47"/>
          <w:szCs w:val="47"/>
          <w:highlight w:val="none"/>
          <w14:textFill>
            <w14:solidFill>
              <w14:schemeClr w14:val="tx1"/>
            </w14:solidFill>
          </w14:textFill>
        </w:rPr>
        <w:t>）</w:t>
      </w:r>
    </w:p>
    <w:p w14:paraId="33EFFA4B">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71694CDA">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7C6BCB43">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10E86CD1">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7AB4BF47">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306BB099">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17C1C6BE">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313F4F70">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2D1F340C">
      <w:pPr>
        <w:pStyle w:val="45"/>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000000" w:themeColor="text1"/>
          <w:spacing w:val="0"/>
          <w:sz w:val="32"/>
          <w:highlight w:val="none"/>
          <w14:textFill>
            <w14:solidFill>
              <w14:schemeClr w14:val="tx1"/>
            </w14:solidFill>
          </w14:textFill>
        </w:rPr>
      </w:pPr>
      <w:r>
        <w:rPr>
          <w:rFonts w:hint="eastAsia" w:ascii="宋体" w:hAnsi="宋体" w:eastAsia="宋体" w:cs="宋体"/>
          <w:bCs/>
          <w:snapToGrid w:val="0"/>
          <w:color w:val="000000" w:themeColor="text1"/>
          <w:spacing w:val="0"/>
          <w:sz w:val="32"/>
          <w:highlight w:val="none"/>
          <w14:textFill>
            <w14:solidFill>
              <w14:schemeClr w14:val="tx1"/>
            </w14:solidFill>
          </w14:textFill>
        </w:rPr>
        <w:t>投标人：</w:t>
      </w:r>
      <w:r>
        <w:rPr>
          <w:rFonts w:hint="eastAsia" w:ascii="宋体" w:hAnsi="宋体" w:eastAsia="宋体" w:cs="宋体"/>
          <w:bCs/>
          <w:snapToGrid w:val="0"/>
          <w:color w:val="000000" w:themeColor="text1"/>
          <w:spacing w:val="0"/>
          <w:sz w:val="32"/>
          <w:highlight w:val="none"/>
          <w:u w:val="single"/>
          <w14:textFill>
            <w14:solidFill>
              <w14:schemeClr w14:val="tx1"/>
            </w14:solidFill>
          </w14:textFill>
        </w:rPr>
        <w:t xml:space="preserve">                                    </w:t>
      </w:r>
      <w:r>
        <w:rPr>
          <w:rFonts w:hint="eastAsia" w:ascii="宋体" w:hAnsi="宋体" w:eastAsia="宋体" w:cs="宋体"/>
          <w:bCs/>
          <w:snapToGrid w:val="0"/>
          <w:color w:val="000000" w:themeColor="text1"/>
          <w:spacing w:val="0"/>
          <w:sz w:val="32"/>
          <w:highlight w:val="none"/>
          <w14:textFill>
            <w14:solidFill>
              <w14:schemeClr w14:val="tx1"/>
            </w14:solidFill>
          </w14:textFill>
        </w:rPr>
        <w:t>（盖单位章）</w:t>
      </w:r>
    </w:p>
    <w:p w14:paraId="711C8DA7">
      <w:pPr>
        <w:pStyle w:val="45"/>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000000" w:themeColor="text1"/>
          <w:spacing w:val="0"/>
          <w:sz w:val="32"/>
          <w:highlight w:val="none"/>
          <w14:textFill>
            <w14:solidFill>
              <w14:schemeClr w14:val="tx1"/>
            </w14:solidFill>
          </w14:textFill>
        </w:rPr>
      </w:pPr>
    </w:p>
    <w:p w14:paraId="3752A510">
      <w:pPr>
        <w:pStyle w:val="45"/>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000000" w:themeColor="text1"/>
          <w:spacing w:val="0"/>
          <w:sz w:val="32"/>
          <w:highlight w:val="none"/>
          <w14:textFill>
            <w14:solidFill>
              <w14:schemeClr w14:val="tx1"/>
            </w14:solidFill>
          </w14:textFill>
        </w:rPr>
      </w:pPr>
    </w:p>
    <w:p w14:paraId="7191B422">
      <w:pPr>
        <w:pStyle w:val="45"/>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000000" w:themeColor="text1"/>
          <w:spacing w:val="0"/>
          <w:sz w:val="32"/>
          <w:highlight w:val="none"/>
          <w14:textFill>
            <w14:solidFill>
              <w14:schemeClr w14:val="tx1"/>
            </w14:solidFill>
          </w14:textFill>
        </w:rPr>
      </w:pPr>
      <w:r>
        <w:rPr>
          <w:rFonts w:hint="eastAsia" w:ascii="宋体" w:hAnsi="宋体" w:eastAsia="宋体" w:cs="宋体"/>
          <w:bCs/>
          <w:snapToGrid w:val="0"/>
          <w:color w:val="000000" w:themeColor="text1"/>
          <w:spacing w:val="0"/>
          <w:sz w:val="32"/>
          <w:highlight w:val="none"/>
          <w14:textFill>
            <w14:solidFill>
              <w14:schemeClr w14:val="tx1"/>
            </w14:solidFill>
          </w14:textFill>
        </w:rPr>
        <w:t>法定代表人或其委托代理人：</w:t>
      </w:r>
      <w:r>
        <w:rPr>
          <w:rFonts w:hint="eastAsia" w:ascii="宋体" w:hAnsi="宋体" w:eastAsia="宋体" w:cs="宋体"/>
          <w:bCs/>
          <w:snapToGrid w:val="0"/>
          <w:color w:val="000000" w:themeColor="text1"/>
          <w:spacing w:val="0"/>
          <w:sz w:val="32"/>
          <w:highlight w:val="none"/>
          <w:u w:val="single"/>
          <w14:textFill>
            <w14:solidFill>
              <w14:schemeClr w14:val="tx1"/>
            </w14:solidFill>
          </w14:textFill>
        </w:rPr>
        <w:t xml:space="preserve">                 </w:t>
      </w:r>
      <w:r>
        <w:rPr>
          <w:rFonts w:hint="eastAsia" w:ascii="宋体" w:hAnsi="宋体" w:eastAsia="宋体" w:cs="宋体"/>
          <w:bCs/>
          <w:snapToGrid w:val="0"/>
          <w:color w:val="000000" w:themeColor="text1"/>
          <w:spacing w:val="0"/>
          <w:sz w:val="32"/>
          <w:highlight w:val="none"/>
          <w14:textFill>
            <w14:solidFill>
              <w14:schemeClr w14:val="tx1"/>
            </w14:solidFill>
          </w14:textFill>
        </w:rPr>
        <w:t>（签字或盖章）</w:t>
      </w:r>
    </w:p>
    <w:p w14:paraId="76469CE6">
      <w:pPr>
        <w:pStyle w:val="45"/>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000000" w:themeColor="text1"/>
          <w:spacing w:val="0"/>
          <w:sz w:val="32"/>
          <w:highlight w:val="none"/>
          <w14:textFill>
            <w14:solidFill>
              <w14:schemeClr w14:val="tx1"/>
            </w14:solidFill>
          </w14:textFill>
        </w:rPr>
      </w:pPr>
    </w:p>
    <w:p w14:paraId="06FBE36F">
      <w:pPr>
        <w:pStyle w:val="45"/>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000000" w:themeColor="text1"/>
          <w:spacing w:val="0"/>
          <w:sz w:val="32"/>
          <w:highlight w:val="none"/>
          <w:u w:val="single"/>
          <w14:textFill>
            <w14:solidFill>
              <w14:schemeClr w14:val="tx1"/>
            </w14:solidFill>
          </w14:textFill>
        </w:rPr>
      </w:pPr>
    </w:p>
    <w:p w14:paraId="6C1EC974">
      <w:pPr>
        <w:pStyle w:val="45"/>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
          <w:snapToGrid w:val="0"/>
          <w:color w:val="000000" w:themeColor="text1"/>
          <w:spacing w:val="0"/>
          <w:highlight w:val="none"/>
          <w14:textFill>
            <w14:solidFill>
              <w14:schemeClr w14:val="tx1"/>
            </w14:solidFill>
          </w14:textFill>
        </w:rPr>
      </w:pPr>
      <w:r>
        <w:rPr>
          <w:rFonts w:hint="eastAsia" w:ascii="宋体" w:hAnsi="宋体" w:eastAsia="宋体" w:cs="宋体"/>
          <w:bCs/>
          <w:snapToGrid w:val="0"/>
          <w:color w:val="000000" w:themeColor="text1"/>
          <w:spacing w:val="0"/>
          <w:sz w:val="32"/>
          <w:highlight w:val="none"/>
          <w:u w:val="single"/>
          <w14:textFill>
            <w14:solidFill>
              <w14:schemeClr w14:val="tx1"/>
            </w14:solidFill>
          </w14:textFill>
        </w:rPr>
        <w:t xml:space="preserve">         </w:t>
      </w:r>
      <w:r>
        <w:rPr>
          <w:rFonts w:hint="eastAsia" w:ascii="宋体" w:hAnsi="宋体" w:eastAsia="宋体" w:cs="宋体"/>
          <w:bCs/>
          <w:snapToGrid w:val="0"/>
          <w:color w:val="000000" w:themeColor="text1"/>
          <w:spacing w:val="0"/>
          <w:sz w:val="32"/>
          <w:highlight w:val="none"/>
          <w14:textFill>
            <w14:solidFill>
              <w14:schemeClr w14:val="tx1"/>
            </w14:solidFill>
          </w14:textFill>
        </w:rPr>
        <w:t>年</w:t>
      </w:r>
      <w:r>
        <w:rPr>
          <w:rFonts w:hint="eastAsia" w:ascii="宋体" w:hAnsi="宋体" w:eastAsia="宋体" w:cs="宋体"/>
          <w:bCs/>
          <w:snapToGrid w:val="0"/>
          <w:color w:val="000000" w:themeColor="text1"/>
          <w:spacing w:val="0"/>
          <w:sz w:val="32"/>
          <w:highlight w:val="none"/>
          <w:u w:val="single"/>
          <w14:textFill>
            <w14:solidFill>
              <w14:schemeClr w14:val="tx1"/>
            </w14:solidFill>
          </w14:textFill>
        </w:rPr>
        <w:t xml:space="preserve">      </w:t>
      </w:r>
      <w:r>
        <w:rPr>
          <w:rFonts w:hint="eastAsia" w:ascii="宋体" w:hAnsi="宋体" w:eastAsia="宋体" w:cs="宋体"/>
          <w:bCs/>
          <w:snapToGrid w:val="0"/>
          <w:color w:val="000000" w:themeColor="text1"/>
          <w:spacing w:val="0"/>
          <w:sz w:val="32"/>
          <w:highlight w:val="none"/>
          <w14:textFill>
            <w14:solidFill>
              <w14:schemeClr w14:val="tx1"/>
            </w14:solidFill>
          </w14:textFill>
        </w:rPr>
        <w:t>月</w:t>
      </w:r>
      <w:r>
        <w:rPr>
          <w:rFonts w:hint="eastAsia" w:ascii="宋体" w:hAnsi="宋体" w:eastAsia="宋体" w:cs="宋体"/>
          <w:bCs/>
          <w:snapToGrid w:val="0"/>
          <w:color w:val="000000" w:themeColor="text1"/>
          <w:spacing w:val="0"/>
          <w:sz w:val="32"/>
          <w:highlight w:val="none"/>
          <w:u w:val="single"/>
          <w14:textFill>
            <w14:solidFill>
              <w14:schemeClr w14:val="tx1"/>
            </w14:solidFill>
          </w14:textFill>
        </w:rPr>
        <w:t xml:space="preserve">      </w:t>
      </w:r>
      <w:r>
        <w:rPr>
          <w:rFonts w:hint="eastAsia" w:ascii="宋体" w:hAnsi="宋体" w:eastAsia="宋体" w:cs="宋体"/>
          <w:bCs/>
          <w:snapToGrid w:val="0"/>
          <w:color w:val="000000" w:themeColor="text1"/>
          <w:spacing w:val="0"/>
          <w:sz w:val="32"/>
          <w:highlight w:val="none"/>
          <w14:textFill>
            <w14:solidFill>
              <w14:schemeClr w14:val="tx1"/>
            </w14:solidFill>
          </w14:textFill>
        </w:rPr>
        <w:t>日</w:t>
      </w:r>
    </w:p>
    <w:p w14:paraId="22D60B74">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39C38B38">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27" w:name="_Toc29380"/>
      <w:r>
        <w:rPr>
          <w:rFonts w:hint="eastAsia" w:ascii="宋体" w:hAnsi="宋体" w:eastAsia="宋体" w:cs="宋体"/>
          <w:b/>
          <w:bCs/>
          <w:color w:val="000000" w:themeColor="text1"/>
          <w:spacing w:val="0"/>
          <w:sz w:val="24"/>
          <w:szCs w:val="24"/>
          <w:highlight w:val="none"/>
          <w14:textFill>
            <w14:solidFill>
              <w14:schemeClr w14:val="tx1"/>
            </w14:solidFill>
          </w14:textFill>
        </w:rPr>
        <w:t>格式二 投标函</w:t>
      </w:r>
      <w:bookmarkEnd w:id="227"/>
    </w:p>
    <w:p w14:paraId="392E4C63">
      <w:pPr>
        <w:pStyle w:val="5"/>
        <w:keepNext w:val="0"/>
        <w:keepLines w:val="0"/>
        <w:pageBreakBefore w:val="0"/>
        <w:wordWrap w:val="0"/>
        <w:overflowPunct/>
        <w:topLinePunct w:val="0"/>
        <w:bidi w:val="0"/>
        <w:spacing w:line="261" w:lineRule="auto"/>
        <w:rPr>
          <w:rFonts w:hint="eastAsia" w:ascii="宋体" w:hAnsi="宋体" w:eastAsia="宋体" w:cs="宋体"/>
          <w:color w:val="000000" w:themeColor="text1"/>
          <w:spacing w:val="0"/>
          <w:highlight w:val="none"/>
          <w14:textFill>
            <w14:solidFill>
              <w14:schemeClr w14:val="tx1"/>
            </w14:solidFill>
          </w14:textFill>
        </w:rPr>
      </w:pPr>
    </w:p>
    <w:p w14:paraId="2E98BF1A">
      <w:pPr>
        <w:keepNext w:val="0"/>
        <w:keepLines w:val="0"/>
        <w:pageBreakBefore w:val="0"/>
        <w:wordWrap w:val="0"/>
        <w:overflowPunct/>
        <w:topLinePunct w:val="0"/>
        <w:bidi w:val="0"/>
        <w:spacing w:before="97" w:line="221" w:lineRule="auto"/>
        <w:ind w:left="3799"/>
        <w:outlineLvl w:val="9"/>
        <w:rPr>
          <w:rFonts w:hint="eastAsia" w:ascii="宋体" w:hAnsi="宋体" w:eastAsia="宋体" w:cs="宋体"/>
          <w:color w:val="000000" w:themeColor="text1"/>
          <w:spacing w:val="0"/>
          <w:sz w:val="30"/>
          <w:szCs w:val="30"/>
          <w:highlight w:val="none"/>
          <w14:textFill>
            <w14:solidFill>
              <w14:schemeClr w14:val="tx1"/>
            </w14:solidFill>
          </w14:textFill>
        </w:rPr>
      </w:pPr>
      <w:bookmarkStart w:id="228" w:name="bookmark148"/>
      <w:bookmarkEnd w:id="228"/>
      <w:bookmarkStart w:id="229" w:name="_Toc27397"/>
      <w:bookmarkStart w:id="230" w:name="_Toc297"/>
      <w:bookmarkStart w:id="231" w:name="_Toc317"/>
      <w:r>
        <w:rPr>
          <w:rFonts w:hint="eastAsia" w:ascii="宋体" w:hAnsi="宋体" w:eastAsia="宋体" w:cs="宋体"/>
          <w:b/>
          <w:bCs/>
          <w:color w:val="000000" w:themeColor="text1"/>
          <w:spacing w:val="0"/>
          <w:sz w:val="30"/>
          <w:szCs w:val="30"/>
          <w:highlight w:val="none"/>
          <w14:textFill>
            <w14:solidFill>
              <w14:schemeClr w14:val="tx1"/>
            </w14:solidFill>
          </w14:textFill>
        </w:rPr>
        <w:t>投</w:t>
      </w:r>
      <w:r>
        <w:rPr>
          <w:rFonts w:hint="eastAsia" w:ascii="宋体" w:hAnsi="宋体" w:eastAsia="宋体" w:cs="宋体"/>
          <w:color w:val="000000" w:themeColor="text1"/>
          <w:spacing w:val="0"/>
          <w:sz w:val="30"/>
          <w:szCs w:val="30"/>
          <w:highlight w:val="none"/>
          <w14:textFill>
            <w14:solidFill>
              <w14:schemeClr w14:val="tx1"/>
            </w14:solidFill>
          </w14:textFill>
        </w:rPr>
        <w:t xml:space="preserve">  </w:t>
      </w:r>
      <w:r>
        <w:rPr>
          <w:rFonts w:hint="eastAsia" w:ascii="宋体" w:hAnsi="宋体" w:eastAsia="宋体" w:cs="宋体"/>
          <w:b/>
          <w:bCs/>
          <w:color w:val="000000" w:themeColor="text1"/>
          <w:spacing w:val="0"/>
          <w:sz w:val="30"/>
          <w:szCs w:val="30"/>
          <w:highlight w:val="none"/>
          <w14:textFill>
            <w14:solidFill>
              <w14:schemeClr w14:val="tx1"/>
            </w14:solidFill>
          </w14:textFill>
        </w:rPr>
        <w:t>标</w:t>
      </w:r>
      <w:r>
        <w:rPr>
          <w:rFonts w:hint="eastAsia" w:ascii="宋体" w:hAnsi="宋体" w:eastAsia="宋体" w:cs="宋体"/>
          <w:color w:val="000000" w:themeColor="text1"/>
          <w:spacing w:val="0"/>
          <w:sz w:val="30"/>
          <w:szCs w:val="30"/>
          <w:highlight w:val="none"/>
          <w14:textFill>
            <w14:solidFill>
              <w14:schemeClr w14:val="tx1"/>
            </w14:solidFill>
          </w14:textFill>
        </w:rPr>
        <w:t xml:space="preserve">  </w:t>
      </w:r>
      <w:r>
        <w:rPr>
          <w:rFonts w:hint="eastAsia" w:ascii="宋体" w:hAnsi="宋体" w:eastAsia="宋体" w:cs="宋体"/>
          <w:b/>
          <w:bCs/>
          <w:color w:val="000000" w:themeColor="text1"/>
          <w:spacing w:val="0"/>
          <w:sz w:val="30"/>
          <w:szCs w:val="30"/>
          <w:highlight w:val="none"/>
          <w14:textFill>
            <w14:solidFill>
              <w14:schemeClr w14:val="tx1"/>
            </w14:solidFill>
          </w14:textFill>
        </w:rPr>
        <w:t>函</w:t>
      </w:r>
      <w:bookmarkEnd w:id="229"/>
      <w:bookmarkEnd w:id="230"/>
      <w:bookmarkEnd w:id="231"/>
    </w:p>
    <w:p w14:paraId="58F05F57">
      <w:pPr>
        <w:pStyle w:val="5"/>
        <w:keepNext w:val="0"/>
        <w:keepLines w:val="0"/>
        <w:pageBreakBefore w:val="0"/>
        <w:wordWrap w:val="0"/>
        <w:overflowPunct/>
        <w:topLinePunct w:val="0"/>
        <w:bidi w:val="0"/>
        <w:spacing w:line="249" w:lineRule="auto"/>
        <w:rPr>
          <w:rFonts w:hint="eastAsia" w:ascii="宋体" w:hAnsi="宋体" w:eastAsia="宋体" w:cs="宋体"/>
          <w:color w:val="000000" w:themeColor="text1"/>
          <w:spacing w:val="0"/>
          <w:highlight w:val="none"/>
          <w14:textFill>
            <w14:solidFill>
              <w14:schemeClr w14:val="tx1"/>
            </w14:solidFill>
          </w14:textFill>
        </w:rPr>
      </w:pPr>
    </w:p>
    <w:p w14:paraId="08B6DA1F">
      <w:pPr>
        <w:pStyle w:val="5"/>
        <w:keepNext w:val="0"/>
        <w:keepLines w:val="0"/>
        <w:pageBreakBefore w:val="0"/>
        <w:wordWrap w:val="0"/>
        <w:overflowPunct/>
        <w:topLinePunct w:val="0"/>
        <w:bidi w:val="0"/>
        <w:spacing w:line="250" w:lineRule="auto"/>
        <w:rPr>
          <w:rFonts w:hint="eastAsia" w:ascii="宋体" w:hAnsi="宋体" w:eastAsia="宋体" w:cs="宋体"/>
          <w:color w:val="000000" w:themeColor="text1"/>
          <w:spacing w:val="0"/>
          <w:highlight w:val="none"/>
          <w14:textFill>
            <w14:solidFill>
              <w14:schemeClr w14:val="tx1"/>
            </w14:solidFill>
          </w14:textFill>
        </w:rPr>
      </w:pPr>
    </w:p>
    <w:p w14:paraId="1E3DA538">
      <w:pPr>
        <w:pStyle w:val="5"/>
        <w:keepNext w:val="0"/>
        <w:keepLines w:val="0"/>
        <w:pageBreakBefore w:val="0"/>
        <w:wordWrap w:val="0"/>
        <w:overflowPunct/>
        <w:topLinePunct w:val="0"/>
        <w:bidi w:val="0"/>
        <w:spacing w:line="250" w:lineRule="auto"/>
        <w:rPr>
          <w:rFonts w:hint="eastAsia" w:ascii="宋体" w:hAnsi="宋体" w:eastAsia="宋体" w:cs="宋体"/>
          <w:color w:val="000000" w:themeColor="text1"/>
          <w:spacing w:val="0"/>
          <w:highlight w:val="none"/>
          <w14:textFill>
            <w14:solidFill>
              <w14:schemeClr w14:val="tx1"/>
            </w14:solidFill>
          </w14:textFill>
        </w:rPr>
      </w:pPr>
    </w:p>
    <w:p w14:paraId="448E62A4">
      <w:pPr>
        <w:keepNext w:val="0"/>
        <w:keepLines w:val="0"/>
        <w:pageBreakBefore w:val="0"/>
        <w:wordWrap w:val="0"/>
        <w:overflowPunct/>
        <w:topLinePunct w:val="0"/>
        <w:bidi w:val="0"/>
        <w:spacing w:before="78" w:line="221" w:lineRule="auto"/>
        <w:ind w:left="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致：</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（招标人名称）</w:t>
      </w:r>
    </w:p>
    <w:p w14:paraId="342E60C5">
      <w:pPr>
        <w:pStyle w:val="5"/>
        <w:keepNext w:val="0"/>
        <w:keepLines w:val="0"/>
        <w:pageBreakBefore w:val="0"/>
        <w:wordWrap w:val="0"/>
        <w:overflowPunct/>
        <w:topLinePunct w:val="0"/>
        <w:bidi w:val="0"/>
        <w:spacing w:before="156" w:line="328" w:lineRule="auto"/>
        <w:ind w:left="9" w:right="142" w:firstLine="589"/>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  我方考察现场并充分研究</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（项目名称）（以下简称“本项目 ”）施工招标文件所有内容后，结合自身资质、能力和特点，愿意接受招标文件的全部内容和条件，兹以人民币（大写）：</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 </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 的投标总价竞投本项目施工。</w:t>
      </w:r>
    </w:p>
    <w:p w14:paraId="19F6B28C">
      <w:pPr>
        <w:keepNext w:val="0"/>
        <w:keepLines w:val="0"/>
        <w:pageBreakBefore w:val="0"/>
        <w:wordWrap w:val="0"/>
        <w:overflowPunct/>
        <w:topLinePunct w:val="0"/>
        <w:bidi w:val="0"/>
        <w:spacing w:before="39" w:line="323" w:lineRule="auto"/>
        <w:ind w:right="142" w:firstLine="57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在我方的上述投标总价中，包括：</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u w:val="none"/>
          <w:lang w:eastAsia="zh-CN"/>
          <w14:textFill>
            <w14:solidFill>
              <w14:schemeClr w14:val="tx1"/>
            </w14:solidFill>
          </w14:textFill>
        </w:rPr>
        <w:t>；暂列金额</w:t>
      </w:r>
      <w:r>
        <w:rPr>
          <w:rFonts w:hint="eastAsia" w:ascii="宋体" w:hAnsi="宋体" w:eastAsia="宋体" w:cs="宋体"/>
          <w:color w:val="000000" w:themeColor="text1"/>
          <w:spacing w:val="0"/>
          <w:sz w:val="24"/>
          <w:szCs w:val="24"/>
          <w:highlight w:val="none"/>
          <w:u w:val="none"/>
          <w14:textFill>
            <w14:solidFill>
              <w14:schemeClr w14:val="tx1"/>
            </w14:solidFill>
          </w14:textFill>
        </w:rPr>
        <w:t>¥</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u w:val="none"/>
          <w:lang w:eastAsia="zh-CN"/>
          <w14:textFill>
            <w14:solidFill>
              <w14:schemeClr w14:val="tx1"/>
            </w14:solidFill>
          </w14:textFill>
        </w:rPr>
        <w:t>；暂估价</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725455D2">
      <w:pPr>
        <w:keepNext w:val="0"/>
        <w:keepLines w:val="0"/>
        <w:pageBreakBefore w:val="0"/>
        <w:wordWrap w:val="0"/>
        <w:overflowPunct/>
        <w:topLinePunct w:val="0"/>
        <w:bidi w:val="0"/>
        <w:spacing w:before="38" w:line="280" w:lineRule="auto"/>
        <w:ind w:left="13" w:right="142" w:firstLine="56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  如果我方中标，我方保证按照合同约定的开工日期开始本项目的施工，</w:t>
      </w:r>
      <w:bookmarkStart w:id="232" w:name="OLE_LINK34"/>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bookmarkEnd w:id="232"/>
      <w:r>
        <w:rPr>
          <w:rFonts w:hint="eastAsia" w:ascii="宋体" w:hAnsi="宋体" w:eastAsia="宋体" w:cs="宋体"/>
          <w:color w:val="000000" w:themeColor="text1"/>
          <w:spacing w:val="0"/>
          <w:sz w:val="24"/>
          <w:szCs w:val="24"/>
          <w:highlight w:val="none"/>
          <w14:textFill>
            <w14:solidFill>
              <w14:schemeClr w14:val="tx1"/>
            </w14:solidFill>
          </w14:textFill>
        </w:rPr>
        <w:t>个日历天内竣工，并确保工程质量达到</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标准和维修其中的任何缺陷。</w:t>
      </w:r>
    </w:p>
    <w:p w14:paraId="10E8DA76">
      <w:pPr>
        <w:keepNext w:val="0"/>
        <w:keepLines w:val="0"/>
        <w:pageBreakBefore w:val="0"/>
        <w:wordWrap w:val="0"/>
        <w:overflowPunct/>
        <w:topLinePunct w:val="0"/>
        <w:bidi w:val="0"/>
        <w:spacing w:before="152" w:line="279" w:lineRule="auto"/>
        <w:ind w:left="11" w:right="142" w:firstLine="56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  本投标函在你方接收我方递交的投标文件之日起、到招标文件规定的投标有效期期满前对我方具有约束力。我方随时准备接受你方发出的中标通知书。</w:t>
      </w:r>
    </w:p>
    <w:p w14:paraId="36F81C92">
      <w:pPr>
        <w:keepNext w:val="0"/>
        <w:keepLines w:val="0"/>
        <w:pageBreakBefore w:val="0"/>
        <w:wordWrap w:val="0"/>
        <w:overflowPunct/>
        <w:topLinePunct w:val="0"/>
        <w:bidi w:val="0"/>
        <w:spacing w:before="156" w:line="279" w:lineRule="auto"/>
        <w:ind w:left="11" w:right="61" w:firstLine="56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4 ．我方在此声明，我方不存在本项目招标文件第一章第三节第 </w:t>
      </w:r>
      <w:r>
        <w:rPr>
          <w:rFonts w:hint="eastAsia" w:ascii="宋体" w:hAnsi="宋体" w:eastAsia="宋体" w:cs="宋体"/>
          <w:b/>
          <w:bCs/>
          <w:color w:val="000000" w:themeColor="text1"/>
          <w:spacing w:val="0"/>
          <w:sz w:val="24"/>
          <w:szCs w:val="24"/>
          <w:highlight w:val="none"/>
          <w14:textFill>
            <w14:solidFill>
              <w14:schemeClr w14:val="tx1"/>
            </w14:solidFill>
          </w14:textFill>
        </w:rPr>
        <w:t>2.4</w:t>
      </w:r>
      <w:r>
        <w:rPr>
          <w:rFonts w:hint="eastAsia" w:ascii="宋体" w:hAnsi="宋体" w:eastAsia="宋体" w:cs="宋体"/>
          <w:b/>
          <w:bCs/>
          <w:color w:val="000000" w:themeColor="text1"/>
          <w:spacing w:val="0"/>
          <w:w w:val="101"/>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条“禁止投标条款 ”所列出的任何一种情形，并愿意承担因我方就此弄虚作假所引起的一切法律后果。</w:t>
      </w:r>
    </w:p>
    <w:p w14:paraId="0E71490A">
      <w:pPr>
        <w:keepNext w:val="0"/>
        <w:keepLines w:val="0"/>
        <w:pageBreakBefore w:val="0"/>
        <w:wordWrap w:val="0"/>
        <w:overflowPunct/>
        <w:topLinePunct w:val="0"/>
        <w:bidi w:val="0"/>
        <w:spacing w:before="153" w:line="280" w:lineRule="auto"/>
        <w:ind w:left="9" w:right="142" w:firstLine="57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 ．我方在此承诺，所递交投标文件的全部内容均为真实、有效、准确的，并愿意承担因我方就此弄虚作假所引起的一切法律后果，同时理解和同意有可能被要求提供更多的资料。</w:t>
      </w:r>
    </w:p>
    <w:p w14:paraId="0954415E">
      <w:pPr>
        <w:keepNext w:val="0"/>
        <w:keepLines w:val="0"/>
        <w:pageBreakBefore w:val="0"/>
        <w:wordWrap w:val="0"/>
        <w:overflowPunct/>
        <w:topLinePunct w:val="0"/>
        <w:bidi w:val="0"/>
        <w:spacing w:before="153" w:line="326" w:lineRule="auto"/>
        <w:ind w:left="13" w:firstLine="5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  我方理解你方不一定要接纳收到的最低投标总价或任何投标总价的投标人中标， 也不要求你方解释我方是否中标的原因。</w:t>
      </w:r>
    </w:p>
    <w:p w14:paraId="665C13C8">
      <w:pPr>
        <w:pStyle w:val="5"/>
        <w:keepNext w:val="0"/>
        <w:keepLines w:val="0"/>
        <w:pageBreakBefore w:val="0"/>
        <w:wordWrap w:val="0"/>
        <w:overflowPunct/>
        <w:topLinePunct w:val="0"/>
        <w:bidi w:val="0"/>
        <w:spacing w:line="276" w:lineRule="auto"/>
        <w:rPr>
          <w:rFonts w:hint="eastAsia" w:ascii="宋体" w:hAnsi="宋体" w:eastAsia="宋体" w:cs="宋体"/>
          <w:color w:val="000000" w:themeColor="text1"/>
          <w:spacing w:val="0"/>
          <w:highlight w:val="none"/>
          <w14:textFill>
            <w14:solidFill>
              <w14:schemeClr w14:val="tx1"/>
            </w14:solidFill>
          </w14:textFill>
        </w:rPr>
      </w:pPr>
    </w:p>
    <w:p w14:paraId="6A293A0C">
      <w:pPr>
        <w:pStyle w:val="5"/>
        <w:keepNext w:val="0"/>
        <w:keepLines w:val="0"/>
        <w:pageBreakBefore w:val="0"/>
        <w:wordWrap w:val="0"/>
        <w:overflowPunct/>
        <w:topLinePunct w:val="0"/>
        <w:bidi w:val="0"/>
        <w:spacing w:line="277" w:lineRule="auto"/>
        <w:rPr>
          <w:rFonts w:hint="eastAsia" w:ascii="宋体" w:hAnsi="宋体" w:eastAsia="宋体" w:cs="宋体"/>
          <w:color w:val="000000" w:themeColor="text1"/>
          <w:spacing w:val="0"/>
          <w:highlight w:val="none"/>
          <w14:textFill>
            <w14:solidFill>
              <w14:schemeClr w14:val="tx1"/>
            </w14:solidFill>
          </w14:textFill>
        </w:rPr>
      </w:pPr>
    </w:p>
    <w:p w14:paraId="1338C97A">
      <w:pPr>
        <w:pStyle w:val="5"/>
        <w:keepNext w:val="0"/>
        <w:keepLines w:val="0"/>
        <w:pageBreakBefore w:val="0"/>
        <w:wordWrap w:val="0"/>
        <w:overflowPunct/>
        <w:topLinePunct w:val="0"/>
        <w:bidi w:val="0"/>
        <w:spacing w:line="277" w:lineRule="auto"/>
        <w:rPr>
          <w:rFonts w:hint="eastAsia" w:ascii="宋体" w:hAnsi="宋体" w:eastAsia="宋体" w:cs="宋体"/>
          <w:color w:val="000000" w:themeColor="text1"/>
          <w:spacing w:val="0"/>
          <w:highlight w:val="none"/>
          <w14:textFill>
            <w14:solidFill>
              <w14:schemeClr w14:val="tx1"/>
            </w14:solidFill>
          </w14:textFill>
        </w:rPr>
      </w:pPr>
    </w:p>
    <w:p w14:paraId="6D644921">
      <w:pPr>
        <w:keepNext w:val="0"/>
        <w:keepLines w:val="0"/>
        <w:pageBreakBefore w:val="0"/>
        <w:wordWrap w:val="0"/>
        <w:overflowPunct/>
        <w:topLinePunct w:val="0"/>
        <w:bidi w:val="0"/>
        <w:spacing w:before="79" w:line="219" w:lineRule="auto"/>
        <w:ind w:firstLine="5760" w:firstLineChars="240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u w:val="singl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（盖单位章）</w:t>
      </w:r>
    </w:p>
    <w:p w14:paraId="53B9F8FC">
      <w:pPr>
        <w:pStyle w:val="5"/>
        <w:keepNext w:val="0"/>
        <w:keepLines w:val="0"/>
        <w:pageBreakBefore w:val="0"/>
        <w:wordWrap w:val="0"/>
        <w:overflowPunct/>
        <w:topLinePunct w:val="0"/>
        <w:bidi w:val="0"/>
        <w:spacing w:line="256" w:lineRule="auto"/>
        <w:jc w:val="right"/>
        <w:rPr>
          <w:rFonts w:hint="eastAsia" w:ascii="宋体" w:hAnsi="宋体" w:eastAsia="宋体" w:cs="宋体"/>
          <w:color w:val="000000" w:themeColor="text1"/>
          <w:spacing w:val="0"/>
          <w:highlight w:val="none"/>
          <w14:textFill>
            <w14:solidFill>
              <w14:schemeClr w14:val="tx1"/>
            </w14:solidFill>
          </w14:textFill>
        </w:rPr>
      </w:pPr>
    </w:p>
    <w:p w14:paraId="1FE5B2A2">
      <w:pPr>
        <w:pStyle w:val="5"/>
        <w:keepNext w:val="0"/>
        <w:keepLines w:val="0"/>
        <w:pageBreakBefore w:val="0"/>
        <w:wordWrap w:val="0"/>
        <w:overflowPunct/>
        <w:topLinePunct w:val="0"/>
        <w:bidi w:val="0"/>
        <w:spacing w:line="256" w:lineRule="auto"/>
        <w:jc w:val="right"/>
        <w:rPr>
          <w:rFonts w:hint="eastAsia" w:ascii="宋体" w:hAnsi="宋体" w:eastAsia="宋体" w:cs="宋体"/>
          <w:color w:val="000000" w:themeColor="text1"/>
          <w:spacing w:val="0"/>
          <w:highlight w:val="none"/>
          <w14:textFill>
            <w14:solidFill>
              <w14:schemeClr w14:val="tx1"/>
            </w14:solidFill>
          </w14:textFill>
        </w:rPr>
      </w:pPr>
    </w:p>
    <w:p w14:paraId="70C6C00B">
      <w:pPr>
        <w:keepNext w:val="0"/>
        <w:keepLines w:val="0"/>
        <w:pageBreakBefore w:val="0"/>
        <w:wordWrap w:val="0"/>
        <w:overflowPunct/>
        <w:topLinePunct w:val="0"/>
        <w:bidi w:val="0"/>
        <w:spacing w:before="78" w:line="219" w:lineRule="auto"/>
        <w:ind w:left="3922"/>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法定代表人或其委托代理人：</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（签字或盖章）</w:t>
      </w:r>
    </w:p>
    <w:p w14:paraId="37331156">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3063FEBF">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27512AB8">
      <w:pPr>
        <w:keepNext w:val="0"/>
        <w:keepLines w:val="0"/>
        <w:pageBreakBefore w:val="0"/>
        <w:wordWrap w:val="0"/>
        <w:overflowPunct/>
        <w:topLinePunct w:val="0"/>
        <w:bidi w:val="0"/>
        <w:spacing w:before="79" w:line="220" w:lineRule="auto"/>
        <w:ind w:left="6970"/>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年</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月</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日</w:t>
      </w:r>
    </w:p>
    <w:p w14:paraId="02A06E5B">
      <w:pPr>
        <w:keepNext w:val="0"/>
        <w:keepLines w:val="0"/>
        <w:pageBreakBefore w:val="0"/>
        <w:wordWrap w:val="0"/>
        <w:overflowPunct/>
        <w:topLinePunct w:val="0"/>
        <w:bidi w:val="0"/>
        <w:spacing w:line="220" w:lineRule="auto"/>
        <w:rPr>
          <w:rFonts w:hint="eastAsia" w:ascii="宋体" w:hAnsi="宋体" w:eastAsia="宋体" w:cs="宋体"/>
          <w:color w:val="000000" w:themeColor="text1"/>
          <w:spacing w:val="0"/>
          <w:sz w:val="24"/>
          <w:szCs w:val="24"/>
          <w:highlight w:val="none"/>
          <w14:textFill>
            <w14:solidFill>
              <w14:schemeClr w14:val="tx1"/>
            </w14:solidFill>
          </w14:textFill>
        </w:rPr>
        <w:sectPr>
          <w:footerReference r:id="rId15"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205EF889">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33" w:name="_Toc21615"/>
      <w:r>
        <w:rPr>
          <w:rFonts w:hint="eastAsia" w:ascii="宋体" w:hAnsi="宋体" w:eastAsia="宋体" w:cs="宋体"/>
          <w:b/>
          <w:bCs/>
          <w:color w:val="000000" w:themeColor="text1"/>
          <w:spacing w:val="0"/>
          <w:sz w:val="24"/>
          <w:szCs w:val="24"/>
          <w:highlight w:val="none"/>
          <w14:textFill>
            <w14:solidFill>
              <w14:schemeClr w14:val="tx1"/>
            </w14:solidFill>
          </w14:textFill>
        </w:rPr>
        <w:t>格式三 各项承诺一览表</w:t>
      </w:r>
      <w:bookmarkEnd w:id="233"/>
    </w:p>
    <w:p w14:paraId="51E0204F">
      <w:pPr>
        <w:pStyle w:val="5"/>
        <w:keepNext w:val="0"/>
        <w:keepLines w:val="0"/>
        <w:pageBreakBefore w:val="0"/>
        <w:wordWrap w:val="0"/>
        <w:overflowPunct/>
        <w:topLinePunct w:val="0"/>
        <w:bidi w:val="0"/>
        <w:spacing w:line="254" w:lineRule="auto"/>
        <w:rPr>
          <w:rFonts w:hint="eastAsia" w:ascii="宋体" w:hAnsi="宋体" w:eastAsia="宋体" w:cs="宋体"/>
          <w:color w:val="000000" w:themeColor="text1"/>
          <w:spacing w:val="0"/>
          <w:highlight w:val="none"/>
          <w14:textFill>
            <w14:solidFill>
              <w14:schemeClr w14:val="tx1"/>
            </w14:solidFill>
          </w14:textFill>
        </w:rPr>
      </w:pPr>
    </w:p>
    <w:p w14:paraId="34B1A1A4">
      <w:pPr>
        <w:keepNext w:val="0"/>
        <w:keepLines w:val="0"/>
        <w:pageBreakBefore w:val="0"/>
        <w:wordWrap w:val="0"/>
        <w:overflowPunct/>
        <w:topLinePunct w:val="0"/>
        <w:bidi w:val="0"/>
        <w:spacing w:before="98" w:line="220" w:lineRule="auto"/>
        <w:ind w:left="3581"/>
        <w:outlineLvl w:val="9"/>
        <w:rPr>
          <w:rFonts w:hint="eastAsia" w:ascii="宋体" w:hAnsi="宋体" w:eastAsia="宋体" w:cs="宋体"/>
          <w:color w:val="000000" w:themeColor="text1"/>
          <w:spacing w:val="0"/>
          <w:sz w:val="30"/>
          <w:szCs w:val="30"/>
          <w:highlight w:val="none"/>
          <w14:textFill>
            <w14:solidFill>
              <w14:schemeClr w14:val="tx1"/>
            </w14:solidFill>
          </w14:textFill>
        </w:rPr>
      </w:pPr>
      <w:bookmarkStart w:id="234" w:name="bookmark149"/>
      <w:bookmarkEnd w:id="234"/>
      <w:bookmarkStart w:id="235" w:name="_Toc4767"/>
      <w:bookmarkStart w:id="236" w:name="_Toc2936"/>
      <w:bookmarkStart w:id="237" w:name="_Toc10326"/>
      <w:r>
        <w:rPr>
          <w:rFonts w:hint="eastAsia" w:ascii="宋体" w:hAnsi="宋体" w:eastAsia="宋体" w:cs="宋体"/>
          <w:b/>
          <w:bCs/>
          <w:color w:val="000000" w:themeColor="text1"/>
          <w:spacing w:val="0"/>
          <w:sz w:val="30"/>
          <w:szCs w:val="30"/>
          <w:highlight w:val="none"/>
          <w14:textFill>
            <w14:solidFill>
              <w14:schemeClr w14:val="tx1"/>
            </w14:solidFill>
          </w14:textFill>
        </w:rPr>
        <w:t>各项承诺一览表</w:t>
      </w:r>
      <w:bookmarkEnd w:id="235"/>
      <w:bookmarkEnd w:id="236"/>
      <w:bookmarkEnd w:id="237"/>
    </w:p>
    <w:p w14:paraId="5C63A27F">
      <w:pPr>
        <w:keepNext w:val="0"/>
        <w:keepLines w:val="0"/>
        <w:pageBreakBefore w:val="0"/>
        <w:wordWrap w:val="0"/>
        <w:overflowPunct/>
        <w:topLinePunct w:val="0"/>
        <w:bidi w:val="0"/>
        <w:spacing w:before="6"/>
        <w:rPr>
          <w:rFonts w:hint="eastAsia" w:ascii="宋体" w:hAnsi="宋体" w:eastAsia="宋体" w:cs="宋体"/>
          <w:color w:val="000000" w:themeColor="text1"/>
          <w:spacing w:val="0"/>
          <w:highlight w:val="none"/>
          <w14:textFill>
            <w14:solidFill>
              <w14:schemeClr w14:val="tx1"/>
            </w14:solidFill>
          </w14:textFill>
        </w:rPr>
      </w:pPr>
    </w:p>
    <w:tbl>
      <w:tblPr>
        <w:tblStyle w:val="14"/>
        <w:tblW w:w="98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4"/>
        <w:gridCol w:w="1675"/>
        <w:gridCol w:w="3107"/>
        <w:gridCol w:w="4272"/>
      </w:tblGrid>
      <w:tr w14:paraId="5204A2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754B582C">
            <w:pPr>
              <w:keepNext w:val="0"/>
              <w:keepLines w:val="0"/>
              <w:pageBreakBefore w:val="0"/>
              <w:widowControl/>
              <w:kinsoku w:val="0"/>
              <w:wordWrap w:val="0"/>
              <w:overflowPunct/>
              <w:topLinePunct w:val="0"/>
              <w:autoSpaceDE w:val="0"/>
              <w:autoSpaceDN w:val="0"/>
              <w:bidi w:val="0"/>
              <w:adjustRightInd w:val="0"/>
              <w:snapToGrid w:val="0"/>
              <w:spacing w:before="209" w:line="288" w:lineRule="auto"/>
              <w:ind w:left="126"/>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序号</w:t>
            </w:r>
          </w:p>
        </w:tc>
        <w:tc>
          <w:tcPr>
            <w:tcW w:w="1675" w:type="dxa"/>
            <w:vAlign w:val="top"/>
          </w:tcPr>
          <w:p w14:paraId="1CCE799E">
            <w:pPr>
              <w:keepNext w:val="0"/>
              <w:keepLines w:val="0"/>
              <w:pageBreakBefore w:val="0"/>
              <w:widowControl/>
              <w:kinsoku w:val="0"/>
              <w:wordWrap w:val="0"/>
              <w:overflowPunct/>
              <w:topLinePunct w:val="0"/>
              <w:autoSpaceDE w:val="0"/>
              <w:autoSpaceDN w:val="0"/>
              <w:bidi w:val="0"/>
              <w:adjustRightInd w:val="0"/>
              <w:snapToGrid w:val="0"/>
              <w:spacing w:before="208" w:line="288" w:lineRule="auto"/>
              <w:ind w:left="310"/>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承诺事项</w:t>
            </w:r>
          </w:p>
        </w:tc>
        <w:tc>
          <w:tcPr>
            <w:tcW w:w="3107" w:type="dxa"/>
            <w:vAlign w:val="top"/>
          </w:tcPr>
          <w:p w14:paraId="4EBB8A6D">
            <w:pPr>
              <w:keepNext w:val="0"/>
              <w:keepLines w:val="0"/>
              <w:pageBreakBefore w:val="0"/>
              <w:widowControl/>
              <w:kinsoku w:val="0"/>
              <w:wordWrap w:val="0"/>
              <w:overflowPunct/>
              <w:topLinePunct w:val="0"/>
              <w:autoSpaceDE w:val="0"/>
              <w:autoSpaceDN w:val="0"/>
              <w:bidi w:val="0"/>
              <w:adjustRightInd w:val="0"/>
              <w:snapToGrid w:val="0"/>
              <w:spacing w:before="209" w:line="288" w:lineRule="auto"/>
              <w:ind w:left="987"/>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承诺内容</w:t>
            </w:r>
          </w:p>
        </w:tc>
        <w:tc>
          <w:tcPr>
            <w:tcW w:w="4272" w:type="dxa"/>
            <w:vAlign w:val="top"/>
          </w:tcPr>
          <w:p w14:paraId="31A27193">
            <w:pPr>
              <w:keepNext w:val="0"/>
              <w:keepLines w:val="0"/>
              <w:pageBreakBefore w:val="0"/>
              <w:widowControl/>
              <w:kinsoku w:val="0"/>
              <w:wordWrap w:val="0"/>
              <w:overflowPunct/>
              <w:topLinePunct w:val="0"/>
              <w:autoSpaceDE w:val="0"/>
              <w:autoSpaceDN w:val="0"/>
              <w:bidi w:val="0"/>
              <w:adjustRightInd w:val="0"/>
              <w:snapToGrid w:val="0"/>
              <w:spacing w:before="209" w:line="288" w:lineRule="auto"/>
              <w:ind w:left="1537"/>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违约承诺</w:t>
            </w:r>
          </w:p>
        </w:tc>
      </w:tr>
      <w:tr w14:paraId="2A006B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48261D65">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w:t>
            </w:r>
          </w:p>
        </w:tc>
        <w:tc>
          <w:tcPr>
            <w:tcW w:w="1675" w:type="dxa"/>
            <w:vAlign w:val="center"/>
          </w:tcPr>
          <w:p w14:paraId="01CAE980">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自愿接受招标文件条款的承诺</w:t>
            </w:r>
          </w:p>
        </w:tc>
        <w:tc>
          <w:tcPr>
            <w:tcW w:w="3107" w:type="dxa"/>
            <w:vAlign w:val="top"/>
          </w:tcPr>
          <w:p w14:paraId="2CDC7B50">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41955F4E">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0" w:right="2" w:firstLine="421"/>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我方自愿接受招标文件的所有条款，所递交的投标文件已经充分响应招标文件的实质性要求。</w:t>
            </w:r>
          </w:p>
        </w:tc>
        <w:tc>
          <w:tcPr>
            <w:tcW w:w="4272" w:type="dxa"/>
            <w:vAlign w:val="top"/>
          </w:tcPr>
          <w:p w14:paraId="31B3DB23">
            <w:pPr>
              <w:keepNext w:val="0"/>
              <w:keepLines w:val="0"/>
              <w:pageBreakBefore w:val="0"/>
              <w:widowControl/>
              <w:kinsoku w:val="0"/>
              <w:wordWrap w:val="0"/>
              <w:overflowPunct/>
              <w:topLinePunct w:val="0"/>
              <w:autoSpaceDE w:val="0"/>
              <w:autoSpaceDN w:val="0"/>
              <w:bidi w:val="0"/>
              <w:adjustRightInd w:val="0"/>
              <w:snapToGrid w:val="0"/>
              <w:spacing w:before="122" w:line="288" w:lineRule="auto"/>
              <w:ind w:left="14" w:right="4" w:firstLine="420"/>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如果我方的投标文件未响应、违反、偏 离招标文件的实质性要求，我方接受招标人或其授权的招标代理机构或其组建的评标委员会依据招标文件作出的相应处理，包括否决投标。</w:t>
            </w:r>
          </w:p>
        </w:tc>
      </w:tr>
      <w:tr w14:paraId="10B0D2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2F577063">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w:t>
            </w:r>
          </w:p>
        </w:tc>
        <w:tc>
          <w:tcPr>
            <w:tcW w:w="1675" w:type="dxa"/>
            <w:vAlign w:val="center"/>
          </w:tcPr>
          <w:p w14:paraId="796EA612">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无禁止投标情形的承诺</w:t>
            </w:r>
          </w:p>
        </w:tc>
        <w:tc>
          <w:tcPr>
            <w:tcW w:w="3107" w:type="dxa"/>
            <w:vAlign w:val="top"/>
          </w:tcPr>
          <w:p w14:paraId="6DBD4A30">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168E3A76">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37C38C6C">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0" w:right="2" w:firstLine="420"/>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 xml:space="preserve">我方不存在招标文件第一 章第三节第 </w:t>
            </w:r>
            <w:r>
              <w:rPr>
                <w:rFonts w:hint="eastAsia" w:ascii="宋体" w:hAnsi="宋体" w:eastAsia="宋体" w:cs="宋体"/>
                <w:b/>
                <w:bCs/>
                <w:color w:val="000000" w:themeColor="text1"/>
                <w:spacing w:val="0"/>
                <w:sz w:val="21"/>
                <w:szCs w:val="21"/>
                <w:highlight w:val="none"/>
                <w14:textFill>
                  <w14:solidFill>
                    <w14:schemeClr w14:val="tx1"/>
                  </w14:solidFill>
                </w14:textFill>
              </w:rPr>
              <w:t xml:space="preserve">2.4 </w:t>
            </w:r>
            <w:r>
              <w:rPr>
                <w:rFonts w:hint="eastAsia" w:ascii="宋体" w:hAnsi="宋体" w:eastAsia="宋体" w:cs="宋体"/>
                <w:color w:val="000000" w:themeColor="text1"/>
                <w:spacing w:val="0"/>
                <w:sz w:val="21"/>
                <w:szCs w:val="21"/>
                <w:highlight w:val="none"/>
                <w14:textFill>
                  <w14:solidFill>
                    <w14:schemeClr w14:val="tx1"/>
                  </w14:solidFill>
                </w14:textFill>
              </w:rPr>
              <w:t>条“禁止投标条 款 ”规定的任何一种情形。</w:t>
            </w:r>
          </w:p>
        </w:tc>
        <w:tc>
          <w:tcPr>
            <w:tcW w:w="4272" w:type="dxa"/>
            <w:vAlign w:val="top"/>
          </w:tcPr>
          <w:p w14:paraId="5C557624">
            <w:pPr>
              <w:keepNext w:val="0"/>
              <w:keepLines w:val="0"/>
              <w:pageBreakBefore w:val="0"/>
              <w:widowControl/>
              <w:kinsoku w:val="0"/>
              <w:wordWrap w:val="0"/>
              <w:overflowPunct/>
              <w:topLinePunct w:val="0"/>
              <w:autoSpaceDE w:val="0"/>
              <w:autoSpaceDN w:val="0"/>
              <w:bidi w:val="0"/>
              <w:adjustRightInd w:val="0"/>
              <w:snapToGrid w:val="0"/>
              <w:spacing w:before="122" w:line="288" w:lineRule="auto"/>
              <w:ind w:left="9" w:firstLine="421"/>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 xml:space="preserve">如果我方有招标文件第一章第三节第 </w:t>
            </w:r>
            <w:r>
              <w:rPr>
                <w:rFonts w:hint="eastAsia" w:ascii="宋体" w:hAnsi="宋体" w:eastAsia="宋体" w:cs="宋体"/>
                <w:b/>
                <w:bCs/>
                <w:color w:val="000000" w:themeColor="text1"/>
                <w:spacing w:val="0"/>
                <w:sz w:val="21"/>
                <w:szCs w:val="21"/>
                <w:highlight w:val="none"/>
                <w14:textFill>
                  <w14:solidFill>
                    <w14:schemeClr w14:val="tx1"/>
                  </w14:solidFill>
                </w14:textFill>
              </w:rPr>
              <w:t xml:space="preserve">2.  4 </w:t>
            </w:r>
            <w:r>
              <w:rPr>
                <w:rFonts w:hint="eastAsia" w:ascii="宋体" w:hAnsi="宋体" w:eastAsia="宋体" w:cs="宋体"/>
                <w:color w:val="000000" w:themeColor="text1"/>
                <w:spacing w:val="0"/>
                <w:sz w:val="21"/>
                <w:szCs w:val="21"/>
                <w:highlight w:val="none"/>
                <w14:textFill>
                  <w14:solidFill>
                    <w14:schemeClr w14:val="tx1"/>
                  </w14:solidFill>
                </w14:textFill>
              </w:rPr>
              <w:t>条“禁止投标条款 ”规定的任何一种情形，我方接受招标人或其授权的招标代理机构或 其组建的评标委员会依据招标文件作出的相应处理以及有关监督部门作出的行政处罚，并承担由此引起的一切法律后果。</w:t>
            </w:r>
          </w:p>
        </w:tc>
      </w:tr>
      <w:tr w14:paraId="6BAE32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6D41129A">
            <w:pPr>
              <w:keepNext w:val="0"/>
              <w:keepLines w:val="0"/>
              <w:pageBreakBefore w:val="0"/>
              <w:widowControl/>
              <w:kinsoku w:val="0"/>
              <w:wordWrap w:val="0"/>
              <w:overflowPunct/>
              <w:topLinePunct w:val="0"/>
              <w:autoSpaceDE w:val="0"/>
              <w:autoSpaceDN w:val="0"/>
              <w:bidi w:val="0"/>
              <w:adjustRightInd w:val="0"/>
              <w:snapToGrid w:val="0"/>
              <w:spacing w:before="57"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3</w:t>
            </w:r>
          </w:p>
        </w:tc>
        <w:tc>
          <w:tcPr>
            <w:tcW w:w="1675" w:type="dxa"/>
            <w:vAlign w:val="center"/>
          </w:tcPr>
          <w:p w14:paraId="7EDF57FD">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自觉抵制围标</w:t>
            </w:r>
          </w:p>
          <w:p w14:paraId="7350A53C">
            <w:pPr>
              <w:keepNext w:val="0"/>
              <w:keepLines w:val="0"/>
              <w:pageBreakBefore w:val="0"/>
              <w:widowControl/>
              <w:kinsoku w:val="0"/>
              <w:wordWrap w:val="0"/>
              <w:overflowPunct/>
              <w:topLinePunct w:val="0"/>
              <w:autoSpaceDE w:val="0"/>
              <w:autoSpaceDN w:val="0"/>
              <w:bidi w:val="0"/>
              <w:adjustRightInd w:val="0"/>
              <w:snapToGrid w:val="0"/>
              <w:spacing w:before="131"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串标和弄虚</w:t>
            </w:r>
          </w:p>
          <w:p w14:paraId="18E84040">
            <w:pPr>
              <w:keepNext w:val="0"/>
              <w:keepLines w:val="0"/>
              <w:pageBreakBefore w:val="0"/>
              <w:widowControl/>
              <w:kinsoku w:val="0"/>
              <w:wordWrap w:val="0"/>
              <w:overflowPunct/>
              <w:topLinePunct w:val="0"/>
              <w:autoSpaceDE w:val="0"/>
              <w:autoSpaceDN w:val="0"/>
              <w:bidi w:val="0"/>
              <w:adjustRightInd w:val="0"/>
              <w:snapToGrid w:val="0"/>
              <w:spacing w:before="133"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作假行为的承诺</w:t>
            </w:r>
          </w:p>
        </w:tc>
        <w:tc>
          <w:tcPr>
            <w:tcW w:w="3107" w:type="dxa"/>
            <w:vAlign w:val="top"/>
          </w:tcPr>
          <w:p w14:paraId="62CF0363">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3960F528">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1" w:right="2" w:firstLine="420"/>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我方合法正当、诚实守信地参与投标，不组织、不参加围标串标违法行为，不通过弄虚作假行为骗取中标。</w:t>
            </w:r>
          </w:p>
        </w:tc>
        <w:tc>
          <w:tcPr>
            <w:tcW w:w="4272" w:type="dxa"/>
            <w:vAlign w:val="top"/>
          </w:tcPr>
          <w:p w14:paraId="0A090EF8">
            <w:pPr>
              <w:keepNext w:val="0"/>
              <w:keepLines w:val="0"/>
              <w:pageBreakBefore w:val="0"/>
              <w:widowControl/>
              <w:kinsoku w:val="0"/>
              <w:wordWrap w:val="0"/>
              <w:overflowPunct/>
              <w:topLinePunct w:val="0"/>
              <w:autoSpaceDE w:val="0"/>
              <w:autoSpaceDN w:val="0"/>
              <w:bidi w:val="0"/>
              <w:adjustRightInd w:val="0"/>
              <w:snapToGrid w:val="0"/>
              <w:spacing w:before="129" w:line="288" w:lineRule="auto"/>
              <w:ind w:left="13" w:right="4" w:firstLine="422"/>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6CBF92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39F3D356">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4</w:t>
            </w:r>
          </w:p>
        </w:tc>
        <w:tc>
          <w:tcPr>
            <w:tcW w:w="1675" w:type="dxa"/>
            <w:vAlign w:val="center"/>
          </w:tcPr>
          <w:p w14:paraId="5F8AABEC">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项目经理任职承诺</w:t>
            </w:r>
          </w:p>
        </w:tc>
        <w:tc>
          <w:tcPr>
            <w:tcW w:w="3107" w:type="dxa"/>
            <w:vAlign w:val="top"/>
          </w:tcPr>
          <w:p w14:paraId="3D586645">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25D7FCEF">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1EFE29D7">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9" w:right="2" w:firstLine="422"/>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我方拟派项目经理现阶段没有担任任何在施（包括已中标未开工、已开工未竣工）建设工程项目的项目经理。</w:t>
            </w:r>
          </w:p>
        </w:tc>
        <w:tc>
          <w:tcPr>
            <w:tcW w:w="4272" w:type="dxa"/>
            <w:vAlign w:val="top"/>
          </w:tcPr>
          <w:p w14:paraId="4A8515D9">
            <w:pPr>
              <w:keepNext w:val="0"/>
              <w:keepLines w:val="0"/>
              <w:pageBreakBefore w:val="0"/>
              <w:widowControl/>
              <w:kinsoku w:val="0"/>
              <w:wordWrap w:val="0"/>
              <w:overflowPunct/>
              <w:topLinePunct w:val="0"/>
              <w:autoSpaceDE w:val="0"/>
              <w:autoSpaceDN w:val="0"/>
              <w:bidi w:val="0"/>
              <w:adjustRightInd w:val="0"/>
              <w:snapToGrid w:val="0"/>
              <w:spacing w:before="128" w:line="288" w:lineRule="auto"/>
              <w:ind w:left="11" w:firstLine="417"/>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如果我方拟派项目经理在本项目招标投 标活动期间有担任其他任何在施（包括已中标未开工、已开工未竣工）建设工程项目的项目经理，我方接受招标人或其授权的招标代理机构或其组建的评标委员会依据招标文件作出的相应处理以及有关监督部门作出的行政处罚，并承担由此引起的一切法律后果。</w:t>
            </w:r>
          </w:p>
        </w:tc>
      </w:tr>
      <w:tr w14:paraId="5F5F5A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1B9DDA4A">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5</w:t>
            </w:r>
          </w:p>
        </w:tc>
        <w:tc>
          <w:tcPr>
            <w:tcW w:w="1675" w:type="dxa"/>
            <w:vAlign w:val="center"/>
          </w:tcPr>
          <w:p w14:paraId="7009D3C6">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投标文件</w:t>
            </w:r>
          </w:p>
          <w:p w14:paraId="7FA4425B">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真实性承诺</w:t>
            </w:r>
          </w:p>
        </w:tc>
        <w:tc>
          <w:tcPr>
            <w:tcW w:w="3107" w:type="dxa"/>
            <w:vAlign w:val="top"/>
          </w:tcPr>
          <w:p w14:paraId="24313CA0">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080F2869">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2" w:firstLine="409"/>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我方所递交投标文件的全部内容均为真实、有效、准确的。</w:t>
            </w:r>
          </w:p>
        </w:tc>
        <w:tc>
          <w:tcPr>
            <w:tcW w:w="4272" w:type="dxa"/>
            <w:vAlign w:val="top"/>
          </w:tcPr>
          <w:p w14:paraId="117F7D2E">
            <w:pPr>
              <w:keepNext w:val="0"/>
              <w:keepLines w:val="0"/>
              <w:pageBreakBefore w:val="0"/>
              <w:widowControl/>
              <w:kinsoku w:val="0"/>
              <w:wordWrap w:val="0"/>
              <w:overflowPunct/>
              <w:topLinePunct w:val="0"/>
              <w:autoSpaceDE w:val="0"/>
              <w:autoSpaceDN w:val="0"/>
              <w:bidi w:val="0"/>
              <w:adjustRightInd w:val="0"/>
              <w:snapToGrid w:val="0"/>
              <w:spacing w:before="127" w:line="288" w:lineRule="auto"/>
              <w:ind w:left="11" w:firstLine="417"/>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如果我方递交的投标文件任何内容不真实或无效或不准确，我方接受招标人或其授权的招标代理机构或其组建的评标委员会依据招标文件作出的相应处理，包括否决投标。</w:t>
            </w:r>
          </w:p>
        </w:tc>
      </w:tr>
      <w:tr w14:paraId="02577C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4" w:hRule="atLeast"/>
        </w:trPr>
        <w:tc>
          <w:tcPr>
            <w:tcW w:w="764" w:type="dxa"/>
            <w:vAlign w:val="center"/>
          </w:tcPr>
          <w:p w14:paraId="6B3A9885">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6</w:t>
            </w:r>
            <w:r>
              <w:rPr>
                <w:rFonts w:hint="eastAsia" w:ascii="宋体" w:hAnsi="宋体" w:eastAsia="宋体" w:cs="宋体"/>
                <w:color w:val="000000" w:themeColor="text1"/>
                <w:spacing w:val="0"/>
                <w:sz w:val="21"/>
                <w:szCs w:val="21"/>
                <w:highlight w:val="none"/>
                <w14:textFill>
                  <w14:solidFill>
                    <w14:schemeClr w14:val="tx1"/>
                  </w14:solidFill>
                </w14:textFill>
              </w:rPr>
              <w:drawing>
                <wp:anchor distT="0" distB="0" distL="114300" distR="114300" simplePos="0" relativeHeight="251664384" behindDoc="1" locked="0" layoutInCell="0" allowOverlap="1">
                  <wp:simplePos x="0" y="0"/>
                  <wp:positionH relativeFrom="page">
                    <wp:posOffset>3902075</wp:posOffset>
                  </wp:positionH>
                  <wp:positionV relativeFrom="page">
                    <wp:posOffset>2252345</wp:posOffset>
                  </wp:positionV>
                  <wp:extent cx="6350" cy="241300"/>
                  <wp:effectExtent l="0" t="0" r="0" b="0"/>
                  <wp:wrapNone/>
                  <wp:docPr id="16" name="IM 120"/>
                  <wp:cNvGraphicFramePr/>
                  <a:graphic xmlns:a="http://schemas.openxmlformats.org/drawingml/2006/main">
                    <a:graphicData uri="http://schemas.openxmlformats.org/drawingml/2006/picture">
                      <pic:pic xmlns:pic="http://schemas.openxmlformats.org/drawingml/2006/picture">
                        <pic:nvPicPr>
                          <pic:cNvPr id="16" name="IM 120"/>
                          <pic:cNvPicPr/>
                        </pic:nvPicPr>
                        <pic:blipFill>
                          <a:blip r:embed="rId55"/>
                          <a:stretch>
                            <a:fillRect/>
                          </a:stretch>
                        </pic:blipFill>
                        <pic:spPr>
                          <a:xfrm>
                            <a:off x="0" y="0"/>
                            <a:ext cx="6350" cy="241300"/>
                          </a:xfrm>
                          <a:prstGeom prst="rect">
                            <a:avLst/>
                          </a:prstGeom>
                          <a:noFill/>
                          <a:ln>
                            <a:noFill/>
                          </a:ln>
                        </pic:spPr>
                      </pic:pic>
                    </a:graphicData>
                  </a:graphic>
                </wp:anchor>
              </w:drawing>
            </w:r>
          </w:p>
        </w:tc>
        <w:tc>
          <w:tcPr>
            <w:tcW w:w="1675" w:type="dxa"/>
            <w:vAlign w:val="center"/>
          </w:tcPr>
          <w:p w14:paraId="4D2FADD0">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投标文件</w:t>
            </w:r>
          </w:p>
          <w:p w14:paraId="0E95F9BE">
            <w:pPr>
              <w:keepNext w:val="0"/>
              <w:keepLines w:val="0"/>
              <w:pageBreakBefore w:val="0"/>
              <w:widowControl/>
              <w:kinsoku w:val="0"/>
              <w:wordWrap w:val="0"/>
              <w:overflowPunct/>
              <w:topLinePunct w:val="0"/>
              <w:autoSpaceDE w:val="0"/>
              <w:autoSpaceDN w:val="0"/>
              <w:bidi w:val="0"/>
              <w:adjustRightInd w:val="0"/>
              <w:snapToGrid w:val="0"/>
              <w:spacing w:before="132"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信息公开承诺</w:t>
            </w:r>
          </w:p>
        </w:tc>
        <w:tc>
          <w:tcPr>
            <w:tcW w:w="3107" w:type="dxa"/>
            <w:vAlign w:val="center"/>
          </w:tcPr>
          <w:p w14:paraId="0DF7EDDD">
            <w:pPr>
              <w:keepNext w:val="0"/>
              <w:keepLines w:val="0"/>
              <w:pageBreakBefore w:val="0"/>
              <w:widowControl/>
              <w:kinsoku w:val="0"/>
              <w:wordWrap w:val="0"/>
              <w:overflowPunct/>
              <w:topLinePunct w:val="0"/>
              <w:autoSpaceDE w:val="0"/>
              <w:autoSpaceDN w:val="0"/>
              <w:bidi w:val="0"/>
              <w:adjustRightInd w:val="0"/>
              <w:snapToGrid w:val="0"/>
              <w:spacing w:before="130" w:line="288" w:lineRule="auto"/>
              <w:ind w:left="10" w:right="2" w:firstLine="420"/>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我方提供完整的文件。如果我方成为本项目</w:t>
            </w:r>
            <w:r>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t>定</w:t>
            </w:r>
            <w:r>
              <w:rPr>
                <w:rFonts w:hint="eastAsia" w:ascii="宋体" w:hAnsi="宋体" w:eastAsia="宋体" w:cs="宋体"/>
                <w:color w:val="000000" w:themeColor="text1"/>
                <w:spacing w:val="0"/>
                <w:sz w:val="21"/>
                <w:szCs w:val="21"/>
                <w:highlight w:val="none"/>
                <w14:textFill>
                  <w14:solidFill>
                    <w14:schemeClr w14:val="tx1"/>
                  </w14:solidFill>
                </w14:textFill>
              </w:rPr>
              <w:t>标候选人，我方同意并授权招标人在评标结果公示期内公开我方商务标书的全部内容。</w:t>
            </w:r>
          </w:p>
        </w:tc>
        <w:tc>
          <w:tcPr>
            <w:tcW w:w="4272" w:type="dxa"/>
            <w:vAlign w:val="top"/>
            <mc:AlternateContent>
              <mc:Choice Requires="wpsCustomData">
                <wpsCustomData:diagonals>
                  <wpsCustomData:diagonal from="20000" to="0">
                    <wpsCustomData:border w:val="single" w:color="000000" w:sz="2" w:space="0"/>
                  </wpsCustomData:diagonal>
                </wpsCustomData:diagonals>
              </mc:Choice>
            </mc:AlternateContent>
          </w:tcPr>
          <w:p w14:paraId="1164999A">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6D48F5C3">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695D5933">
            <w:pPr>
              <w:keepNext w:val="0"/>
              <w:keepLines w:val="0"/>
              <w:pageBreakBefore w:val="0"/>
              <w:widowControl/>
              <w:kinsoku w:val="0"/>
              <w:wordWrap w:val="0"/>
              <w:overflowPunct/>
              <w:topLinePunct w:val="0"/>
              <w:autoSpaceDE w:val="0"/>
              <w:autoSpaceDN w:val="0"/>
              <w:bidi w:val="0"/>
              <w:adjustRightInd w:val="0"/>
              <w:snapToGrid w:val="0"/>
              <w:spacing w:before="58" w:line="240" w:lineRule="auto"/>
              <w:ind w:left="1979"/>
              <w:textAlignment w:val="baseline"/>
              <mc:AlternateContent>
                <mc:Choice Requires="wpsCustomData">
                  <wpsCustomData:diagonalParaType/>
                </mc:Choice>
              </mc:AlternateContent>
              <w:rPr>
                <w:rFonts w:hint="eastAsia" w:ascii="宋体" w:hAnsi="宋体" w:eastAsia="宋体" w:cs="宋体"/>
                <w:color w:val="000000" w:themeColor="text1"/>
                <w:spacing w:val="0"/>
                <w:sz w:val="21"/>
                <w:szCs w:val="21"/>
                <w:highlight w:val="none"/>
                <w14:textFill>
                  <w14:solidFill>
                    <w14:schemeClr w14:val="tx1"/>
                  </w14:solidFill>
                </w14:textFill>
              </w:rPr>
            </w:pPr>
          </w:p>
          <w:p w14:paraId="52A22145">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1979"/>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tc>
      </w:tr>
      <w:tr w14:paraId="31DB0D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6" w:hRule="atLeast"/>
        </w:trPr>
        <w:tc>
          <w:tcPr>
            <w:tcW w:w="764" w:type="dxa"/>
            <w:vAlign w:val="center"/>
          </w:tcPr>
          <w:p w14:paraId="320F0521">
            <w:pPr>
              <w:keepNext w:val="0"/>
              <w:keepLines w:val="0"/>
              <w:pageBreakBefore w:val="0"/>
              <w:widowControl/>
              <w:kinsoku w:val="0"/>
              <w:wordWrap w:val="0"/>
              <w:overflowPunct/>
              <w:topLinePunct w:val="0"/>
              <w:autoSpaceDE w:val="0"/>
              <w:autoSpaceDN w:val="0"/>
              <w:bidi w:val="0"/>
              <w:adjustRightInd w:val="0"/>
              <w:snapToGrid w:val="0"/>
              <w:spacing w:before="57"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7</w:t>
            </w:r>
          </w:p>
        </w:tc>
        <w:tc>
          <w:tcPr>
            <w:tcW w:w="1675" w:type="dxa"/>
            <w:vAlign w:val="center"/>
          </w:tcPr>
          <w:p w14:paraId="5782E3F0">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对不正常报价的确认承诺</w:t>
            </w:r>
          </w:p>
        </w:tc>
        <w:tc>
          <w:tcPr>
            <w:tcW w:w="3107" w:type="dxa"/>
            <w:vAlign w:val="top"/>
          </w:tcPr>
          <w:p w14:paraId="6D8BDFB8">
            <w:pPr>
              <w:keepNext w:val="0"/>
              <w:keepLines w:val="0"/>
              <w:pageBreakBefore w:val="0"/>
              <w:widowControl/>
              <w:kinsoku w:val="0"/>
              <w:wordWrap w:val="0"/>
              <w:overflowPunct/>
              <w:topLinePunct w:val="0"/>
              <w:autoSpaceDE w:val="0"/>
              <w:autoSpaceDN w:val="0"/>
              <w:bidi w:val="0"/>
              <w:adjustRightInd w:val="0"/>
              <w:snapToGrid w:val="0"/>
              <w:spacing w:before="121" w:line="288" w:lineRule="auto"/>
              <w:ind w:left="10" w:right="2" w:firstLine="423"/>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如果我方中标，我方接受招标人在合同订立期间依据招标文件有关条款约定对我方已标价工程量清单中不正常报价的修正或认定，并按要求签署《不正常报价清单》加以确认。</w:t>
            </w:r>
          </w:p>
        </w:tc>
        <w:tc>
          <w:tcPr>
            <w:tcW w:w="4272" w:type="dxa"/>
            <w:vAlign w:val="top"/>
            <mc:AlternateContent>
              <mc:Choice Requires="wpsCustomData">
                <wpsCustomData:diagonals>
                  <wpsCustomData:diagonal from="20000" to="0">
                    <wpsCustomData:border w:val="single" w:color="000000" w:sz="2" w:space="0"/>
                  </wpsCustomData:diagonal>
                </wpsCustomData:diagonals>
              </mc:Choice>
            </mc:AlternateContent>
          </w:tcPr>
          <w:p w14:paraId="55874C84">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7ACFEB24">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69C2BA43">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1303911B">
            <w:pPr>
              <w:keepNext w:val="0"/>
              <w:keepLines w:val="0"/>
              <w:pageBreakBefore w:val="0"/>
              <w:widowControl/>
              <w:kinsoku w:val="0"/>
              <w:wordWrap w:val="0"/>
              <w:overflowPunct/>
              <w:topLinePunct w:val="0"/>
              <w:autoSpaceDE w:val="0"/>
              <w:autoSpaceDN w:val="0"/>
              <w:bidi w:val="0"/>
              <w:adjustRightInd w:val="0"/>
              <w:snapToGrid w:val="0"/>
              <w:spacing w:before="57" w:line="240" w:lineRule="auto"/>
              <w:ind w:left="1979"/>
              <w:textAlignment w:val="baseline"/>
              <mc:AlternateContent>
                <mc:Choice Requires="wpsCustomData">
                  <wpsCustomData:diagonalParaType/>
                </mc:Choice>
              </mc:AlternateContent>
              <w:rPr>
                <w:rFonts w:hint="eastAsia" w:ascii="宋体" w:hAnsi="宋体" w:eastAsia="宋体" w:cs="宋体"/>
                <w:color w:val="000000" w:themeColor="text1"/>
                <w:spacing w:val="0"/>
                <w:sz w:val="21"/>
                <w:szCs w:val="21"/>
                <w:highlight w:val="none"/>
                <w14:textFill>
                  <w14:solidFill>
                    <w14:schemeClr w14:val="tx1"/>
                  </w14:solidFill>
                </w14:textFill>
              </w:rPr>
            </w:pPr>
          </w:p>
          <w:p w14:paraId="1AB87749">
            <w:pPr>
              <w:keepNext w:val="0"/>
              <w:keepLines w:val="0"/>
              <w:pageBreakBefore w:val="0"/>
              <w:widowControl/>
              <w:kinsoku w:val="0"/>
              <w:wordWrap w:val="0"/>
              <w:overflowPunct/>
              <w:topLinePunct w:val="0"/>
              <w:autoSpaceDE w:val="0"/>
              <w:autoSpaceDN w:val="0"/>
              <w:bidi w:val="0"/>
              <w:adjustRightInd w:val="0"/>
              <w:snapToGrid w:val="0"/>
              <w:spacing w:before="57" w:line="288" w:lineRule="auto"/>
              <w:ind w:left="1979"/>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tc>
      </w:tr>
      <w:tr w14:paraId="2D63E4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7C876BD4">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8</w:t>
            </w:r>
          </w:p>
        </w:tc>
        <w:tc>
          <w:tcPr>
            <w:tcW w:w="1675" w:type="dxa"/>
            <w:vAlign w:val="center"/>
          </w:tcPr>
          <w:p w14:paraId="01E67844">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按时提交履约保证的承诺</w:t>
            </w:r>
          </w:p>
        </w:tc>
        <w:tc>
          <w:tcPr>
            <w:tcW w:w="3107" w:type="dxa"/>
            <w:vAlign w:val="top"/>
          </w:tcPr>
          <w:p w14:paraId="29A0D195">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00CA932B">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0" w:right="2" w:firstLine="422"/>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如果我方中标，我方保证在招标文件规定的时限内全额提交履约保证。</w:t>
            </w:r>
          </w:p>
        </w:tc>
        <w:tc>
          <w:tcPr>
            <w:tcW w:w="4272" w:type="dxa"/>
            <w:vAlign w:val="top"/>
          </w:tcPr>
          <w:p w14:paraId="157135E5">
            <w:pPr>
              <w:keepNext w:val="0"/>
              <w:keepLines w:val="0"/>
              <w:pageBreakBefore w:val="0"/>
              <w:widowControl/>
              <w:kinsoku w:val="0"/>
              <w:wordWrap w:val="0"/>
              <w:overflowPunct/>
              <w:topLinePunct w:val="0"/>
              <w:autoSpaceDE w:val="0"/>
              <w:autoSpaceDN w:val="0"/>
              <w:bidi w:val="0"/>
              <w:adjustRightInd w:val="0"/>
              <w:snapToGrid w:val="0"/>
              <w:spacing w:before="128" w:line="288" w:lineRule="auto"/>
              <w:ind w:left="12" w:right="23" w:firstLine="423"/>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如果我方未在招标文件规定的时限内全 额提交履约保证，我方接受招标人依据招标文件作出的相应处理以及有关监督部门作出的行政处罚，并承担由此引起的一切法律后果。</w:t>
            </w:r>
          </w:p>
        </w:tc>
      </w:tr>
      <w:tr w14:paraId="12204F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2C8442E1">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9</w:t>
            </w:r>
          </w:p>
        </w:tc>
        <w:tc>
          <w:tcPr>
            <w:tcW w:w="1675" w:type="dxa"/>
            <w:vAlign w:val="center"/>
          </w:tcPr>
          <w:p w14:paraId="7AF6CE02">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按时签订合同的承诺</w:t>
            </w:r>
          </w:p>
        </w:tc>
        <w:tc>
          <w:tcPr>
            <w:tcW w:w="3107" w:type="dxa"/>
            <w:vAlign w:val="top"/>
          </w:tcPr>
          <w:p w14:paraId="59576A39">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25FCE2AC">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0" w:right="2" w:firstLine="422"/>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如果我方中标，我方保证在 招标文件规定的时限内与招标人签订合同，不提出违背或超出招标文件、中标文件的要求。</w:t>
            </w:r>
          </w:p>
        </w:tc>
        <w:tc>
          <w:tcPr>
            <w:tcW w:w="4272" w:type="dxa"/>
            <w:vAlign w:val="top"/>
          </w:tcPr>
          <w:p w14:paraId="3246D3A0">
            <w:pPr>
              <w:keepNext w:val="0"/>
              <w:keepLines w:val="0"/>
              <w:pageBreakBefore w:val="0"/>
              <w:widowControl/>
              <w:kinsoku w:val="0"/>
              <w:wordWrap w:val="0"/>
              <w:overflowPunct/>
              <w:topLinePunct w:val="0"/>
              <w:autoSpaceDE w:val="0"/>
              <w:autoSpaceDN w:val="0"/>
              <w:bidi w:val="0"/>
              <w:adjustRightInd w:val="0"/>
              <w:snapToGrid w:val="0"/>
              <w:spacing w:before="126" w:line="288" w:lineRule="auto"/>
              <w:ind w:left="13" w:firstLine="415"/>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bl>
    <w:p w14:paraId="5841BEAA">
      <w:pPr>
        <w:keepNext w:val="0"/>
        <w:keepLines w:val="0"/>
        <w:pageBreakBefore w:val="0"/>
        <w:wordWrap w:val="0"/>
        <w:overflowPunct/>
        <w:topLinePunct w:val="0"/>
        <w:bidi w:val="0"/>
        <w:spacing w:before="78" w:line="219" w:lineRule="auto"/>
        <w:ind w:firstLine="6720" w:firstLineChars="2800"/>
        <w:jc w:val="both"/>
        <w:rPr>
          <w:rFonts w:hint="eastAsia" w:ascii="宋体" w:hAnsi="宋体" w:eastAsia="宋体" w:cs="宋体"/>
          <w:color w:val="000000" w:themeColor="text1"/>
          <w:spacing w:val="0"/>
          <w:sz w:val="24"/>
          <w:szCs w:val="24"/>
          <w:highlight w:val="none"/>
          <w14:textFill>
            <w14:solidFill>
              <w14:schemeClr w14:val="tx1"/>
            </w14:solidFill>
          </w14:textFill>
        </w:rPr>
      </w:pPr>
    </w:p>
    <w:p w14:paraId="5A5A4090">
      <w:pPr>
        <w:keepNext w:val="0"/>
        <w:keepLines w:val="0"/>
        <w:pageBreakBefore w:val="0"/>
        <w:wordWrap w:val="0"/>
        <w:overflowPunct/>
        <w:topLinePunct w:val="0"/>
        <w:bidi w:val="0"/>
        <w:spacing w:before="78" w:line="219" w:lineRule="auto"/>
        <w:ind w:firstLine="6720" w:firstLineChars="2800"/>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（盖单位章）</w:t>
      </w:r>
    </w:p>
    <w:p w14:paraId="11F3159F">
      <w:pPr>
        <w:pStyle w:val="5"/>
        <w:keepNext w:val="0"/>
        <w:keepLines w:val="0"/>
        <w:pageBreakBefore w:val="0"/>
        <w:wordWrap w:val="0"/>
        <w:overflowPunct/>
        <w:topLinePunct w:val="0"/>
        <w:bidi w:val="0"/>
        <w:spacing w:line="297" w:lineRule="auto"/>
        <w:jc w:val="right"/>
        <w:rPr>
          <w:rFonts w:hint="eastAsia" w:ascii="宋体" w:hAnsi="宋体" w:eastAsia="宋体" w:cs="宋体"/>
          <w:color w:val="000000" w:themeColor="text1"/>
          <w:spacing w:val="0"/>
          <w:highlight w:val="none"/>
          <w14:textFill>
            <w14:solidFill>
              <w14:schemeClr w14:val="tx1"/>
            </w14:solidFill>
          </w14:textFill>
        </w:rPr>
      </w:pPr>
    </w:p>
    <w:p w14:paraId="09C1B693">
      <w:pPr>
        <w:keepNext w:val="0"/>
        <w:keepLines w:val="0"/>
        <w:pageBreakBefore w:val="0"/>
        <w:wordWrap w:val="0"/>
        <w:overflowPunct/>
        <w:topLinePunct w:val="0"/>
        <w:bidi w:val="0"/>
        <w:spacing w:before="78" w:line="219" w:lineRule="auto"/>
        <w:ind w:left="4366"/>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法定代表人或其委托代理人：</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（签字或盖章）</w:t>
      </w:r>
    </w:p>
    <w:p w14:paraId="5307D740">
      <w:pPr>
        <w:keepNext w:val="0"/>
        <w:keepLines w:val="0"/>
        <w:pageBreakBefore w:val="0"/>
        <w:wordWrap w:val="0"/>
        <w:overflowPunct/>
        <w:topLinePunct w:val="0"/>
        <w:bidi w:val="0"/>
        <w:outlineLvl w:val="9"/>
        <w:rPr>
          <w:rFonts w:hint="eastAsia" w:ascii="宋体" w:hAnsi="宋体" w:eastAsia="宋体" w:cs="宋体"/>
          <w:color w:val="000000" w:themeColor="text1"/>
          <w:spacing w:val="0"/>
          <w:highlight w:val="none"/>
          <w14:textFill>
            <w14:solidFill>
              <w14:schemeClr w14:val="tx1"/>
            </w14:solidFill>
          </w14:textFill>
        </w:rPr>
      </w:pPr>
    </w:p>
    <w:p w14:paraId="76133165">
      <w:pPr>
        <w:keepNext w:val="0"/>
        <w:keepLines w:val="0"/>
        <w:pageBreakBefore w:val="0"/>
        <w:wordWrap w:val="0"/>
        <w:overflowPunct/>
        <w:topLinePunct w:val="0"/>
        <w:bidi w:val="0"/>
        <w:spacing w:before="78" w:line="220" w:lineRule="auto"/>
        <w:ind w:left="6730"/>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年</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月</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日</w:t>
      </w:r>
    </w:p>
    <w:p w14:paraId="2420BB4E">
      <w:pPr>
        <w:keepNext w:val="0"/>
        <w:keepLines w:val="0"/>
        <w:pageBreakBefore w:val="0"/>
        <w:wordWrap w:val="0"/>
        <w:overflowPunct/>
        <w:topLinePunct w:val="0"/>
        <w:bidi w:val="0"/>
        <w:spacing w:line="220" w:lineRule="auto"/>
        <w:jc w:val="right"/>
        <w:rPr>
          <w:rFonts w:hint="eastAsia" w:ascii="宋体" w:hAnsi="宋体" w:eastAsia="宋体" w:cs="宋体"/>
          <w:color w:val="000000" w:themeColor="text1"/>
          <w:spacing w:val="0"/>
          <w:sz w:val="24"/>
          <w:szCs w:val="24"/>
          <w:highlight w:val="none"/>
          <w14:textFill>
            <w14:solidFill>
              <w14:schemeClr w14:val="tx1"/>
            </w14:solidFill>
          </w14:textFill>
        </w:rPr>
        <w:sectPr>
          <w:footerReference r:id="rId16"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0B193340">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38" w:name="_Toc30907"/>
      <w:r>
        <w:rPr>
          <w:rFonts w:hint="eastAsia" w:ascii="宋体" w:hAnsi="宋体" w:eastAsia="宋体" w:cs="宋体"/>
          <w:b/>
          <w:bCs/>
          <w:color w:val="000000" w:themeColor="text1"/>
          <w:spacing w:val="0"/>
          <w:sz w:val="24"/>
          <w:szCs w:val="24"/>
          <w:highlight w:val="none"/>
          <w14:textFill>
            <w14:solidFill>
              <w14:schemeClr w14:val="tx1"/>
            </w14:solidFill>
          </w14:textFill>
        </w:rPr>
        <w:t>格式四 授权委托书</w:t>
      </w:r>
      <w:bookmarkEnd w:id="238"/>
    </w:p>
    <w:p w14:paraId="03776E3A">
      <w:pPr>
        <w:pStyle w:val="5"/>
        <w:keepNext w:val="0"/>
        <w:keepLines w:val="0"/>
        <w:pageBreakBefore w:val="0"/>
        <w:wordWrap w:val="0"/>
        <w:overflowPunct/>
        <w:topLinePunct w:val="0"/>
        <w:bidi w:val="0"/>
        <w:spacing w:line="351" w:lineRule="auto"/>
        <w:rPr>
          <w:rFonts w:hint="eastAsia" w:ascii="宋体" w:hAnsi="宋体" w:eastAsia="宋体" w:cs="宋体"/>
          <w:color w:val="000000" w:themeColor="text1"/>
          <w:spacing w:val="0"/>
          <w:highlight w:val="none"/>
          <w14:textFill>
            <w14:solidFill>
              <w14:schemeClr w14:val="tx1"/>
            </w14:solidFill>
          </w14:textFill>
        </w:rPr>
      </w:pPr>
    </w:p>
    <w:p w14:paraId="27681910">
      <w:pPr>
        <w:pStyle w:val="5"/>
        <w:keepNext w:val="0"/>
        <w:keepLines w:val="0"/>
        <w:pageBreakBefore w:val="0"/>
        <w:wordWrap w:val="0"/>
        <w:overflowPunct/>
        <w:topLinePunct w:val="0"/>
        <w:bidi w:val="0"/>
        <w:spacing w:line="351" w:lineRule="auto"/>
        <w:rPr>
          <w:rFonts w:hint="eastAsia" w:ascii="宋体" w:hAnsi="宋体" w:eastAsia="宋体" w:cs="宋体"/>
          <w:color w:val="000000" w:themeColor="text1"/>
          <w:spacing w:val="0"/>
          <w:highlight w:val="none"/>
          <w14:textFill>
            <w14:solidFill>
              <w14:schemeClr w14:val="tx1"/>
            </w14:solidFill>
          </w14:textFill>
        </w:rPr>
      </w:pPr>
    </w:p>
    <w:p w14:paraId="6710AE74">
      <w:pPr>
        <w:keepNext w:val="0"/>
        <w:keepLines w:val="0"/>
        <w:pageBreakBefore w:val="0"/>
        <w:wordWrap w:val="0"/>
        <w:overflowPunct/>
        <w:topLinePunct w:val="0"/>
        <w:bidi w:val="0"/>
        <w:spacing w:before="97" w:line="219" w:lineRule="auto"/>
        <w:ind w:left="3786"/>
        <w:rPr>
          <w:rFonts w:hint="eastAsia" w:ascii="宋体" w:hAnsi="宋体" w:eastAsia="宋体" w:cs="宋体"/>
          <w:color w:val="000000" w:themeColor="text1"/>
          <w:spacing w:val="0"/>
          <w:sz w:val="30"/>
          <w:szCs w:val="30"/>
          <w:highlight w:val="none"/>
          <w14:textFill>
            <w14:solidFill>
              <w14:schemeClr w14:val="tx1"/>
            </w14:solidFill>
          </w14:textFill>
        </w:rPr>
      </w:pPr>
      <w:bookmarkStart w:id="239" w:name="bookmark151"/>
      <w:bookmarkEnd w:id="239"/>
      <w:r>
        <w:rPr>
          <w:rFonts w:hint="eastAsia" w:ascii="宋体" w:hAnsi="宋体" w:eastAsia="宋体" w:cs="宋体"/>
          <w:b/>
          <w:bCs/>
          <w:color w:val="000000" w:themeColor="text1"/>
          <w:spacing w:val="0"/>
          <w:sz w:val="30"/>
          <w:szCs w:val="30"/>
          <w:highlight w:val="none"/>
          <w14:textFill>
            <w14:solidFill>
              <w14:schemeClr w14:val="tx1"/>
            </w14:solidFill>
          </w14:textFill>
        </w:rPr>
        <w:t>授权委托书</w:t>
      </w:r>
    </w:p>
    <w:p w14:paraId="6B19C13D">
      <w:pPr>
        <w:pStyle w:val="5"/>
        <w:keepNext w:val="0"/>
        <w:keepLines w:val="0"/>
        <w:pageBreakBefore w:val="0"/>
        <w:wordWrap w:val="0"/>
        <w:overflowPunct/>
        <w:topLinePunct w:val="0"/>
        <w:bidi w:val="0"/>
        <w:spacing w:line="250" w:lineRule="auto"/>
        <w:rPr>
          <w:rFonts w:hint="eastAsia" w:ascii="宋体" w:hAnsi="宋体" w:eastAsia="宋体" w:cs="宋体"/>
          <w:color w:val="000000" w:themeColor="text1"/>
          <w:spacing w:val="0"/>
          <w:highlight w:val="none"/>
          <w14:textFill>
            <w14:solidFill>
              <w14:schemeClr w14:val="tx1"/>
            </w14:solidFill>
          </w14:textFill>
        </w:rPr>
      </w:pPr>
    </w:p>
    <w:p w14:paraId="761B3015">
      <w:pPr>
        <w:pStyle w:val="5"/>
        <w:keepNext w:val="0"/>
        <w:keepLines w:val="0"/>
        <w:pageBreakBefore w:val="0"/>
        <w:wordWrap w:val="0"/>
        <w:overflowPunct/>
        <w:topLinePunct w:val="0"/>
        <w:bidi w:val="0"/>
        <w:spacing w:line="250" w:lineRule="auto"/>
        <w:rPr>
          <w:rFonts w:hint="eastAsia" w:ascii="宋体" w:hAnsi="宋体" w:eastAsia="宋体" w:cs="宋体"/>
          <w:color w:val="000000" w:themeColor="text1"/>
          <w:spacing w:val="0"/>
          <w:highlight w:val="none"/>
          <w14:textFill>
            <w14:solidFill>
              <w14:schemeClr w14:val="tx1"/>
            </w14:solidFill>
          </w14:textFill>
        </w:rPr>
      </w:pPr>
    </w:p>
    <w:p w14:paraId="586EF8E7">
      <w:pPr>
        <w:pStyle w:val="5"/>
        <w:keepNext w:val="0"/>
        <w:keepLines w:val="0"/>
        <w:pageBreakBefore w:val="0"/>
        <w:wordWrap w:val="0"/>
        <w:overflowPunct/>
        <w:topLinePunct w:val="0"/>
        <w:bidi w:val="0"/>
        <w:spacing w:line="251" w:lineRule="auto"/>
        <w:rPr>
          <w:rFonts w:hint="eastAsia" w:ascii="宋体" w:hAnsi="宋体" w:eastAsia="宋体" w:cs="宋体"/>
          <w:color w:val="000000" w:themeColor="text1"/>
          <w:spacing w:val="0"/>
          <w:highlight w:val="none"/>
          <w14:textFill>
            <w14:solidFill>
              <w14:schemeClr w14:val="tx1"/>
            </w14:solidFill>
          </w14:textFill>
        </w:rPr>
      </w:pPr>
    </w:p>
    <w:p w14:paraId="29794F47">
      <w:pPr>
        <w:keepNext w:val="0"/>
        <w:keepLines w:val="0"/>
        <w:pageBreakBefore w:val="0"/>
        <w:widowControl/>
        <w:kinsoku w:val="0"/>
        <w:wordWrap w:val="0"/>
        <w:overflowPunct/>
        <w:topLinePunct w:val="0"/>
        <w:autoSpaceDE w:val="0"/>
        <w:autoSpaceDN w:val="0"/>
        <w:bidi w:val="0"/>
        <w:adjustRightInd w:val="0"/>
        <w:snapToGrid w:val="0"/>
        <w:spacing w:before="78" w:line="330" w:lineRule="auto"/>
        <w:ind w:firstLine="481"/>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8"/>
          <w:highlight w:val="none"/>
          <w:lang w:eastAsia="zh-CN"/>
          <w14:textFill>
            <w14:solidFill>
              <w14:schemeClr w14:val="tx1"/>
            </w14:solidFill>
          </w14:textFill>
        </w:rPr>
        <w:t>本人</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8"/>
          <w:highlight w:val="none"/>
          <w:lang w:eastAsia="zh-CN"/>
          <w14:textFill>
            <w14:solidFill>
              <w14:schemeClr w14:val="tx1"/>
            </w14:solidFill>
          </w14:textFill>
        </w:rPr>
        <w:t>（姓名）系</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8"/>
          <w:highlight w:val="none"/>
          <w:lang w:eastAsia="zh-CN"/>
          <w14:textFill>
            <w14:solidFill>
              <w14:schemeClr w14:val="tx1"/>
            </w14:solidFill>
          </w14:textFill>
        </w:rPr>
        <w:t>（投标人名称）的法定代表人，现委托</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8"/>
          <w:highlight w:val="none"/>
          <w:lang w:eastAsia="zh-CN"/>
          <w14:textFill>
            <w14:solidFill>
              <w14:schemeClr w14:val="tx1"/>
            </w14:solidFill>
          </w14:textFill>
        </w:rPr>
        <w:t>（姓名）为我方代理人。代理人根据授权，以我方名义签署、澄清、说明、补正、递交、撤回、修改</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u w:val="singl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8"/>
          <w:highlight w:val="none"/>
          <w:u w:val="single"/>
          <w:lang w:eastAsia="zh-CN"/>
          <w14:textFill>
            <w14:solidFill>
              <w14:schemeClr w14:val="tx1"/>
            </w14:solidFill>
          </w14:textFill>
        </w:rPr>
        <w:t>（项目名称）</w:t>
      </w:r>
      <w:r>
        <w:rPr>
          <w:rFonts w:hint="eastAsia" w:ascii="宋体" w:hAnsi="宋体" w:eastAsia="宋体" w:cs="宋体"/>
          <w:snapToGrid w:val="0"/>
          <w:color w:val="000000" w:themeColor="text1"/>
          <w:spacing w:val="0"/>
          <w:kern w:val="0"/>
          <w:sz w:val="24"/>
          <w:szCs w:val="28"/>
          <w:highlight w:val="none"/>
          <w:lang w:eastAsia="zh-CN"/>
          <w14:textFill>
            <w14:solidFill>
              <w14:schemeClr w14:val="tx1"/>
            </w14:solidFill>
          </w14:textFill>
        </w:rPr>
        <w:t xml:space="preserve"> 施工投标文件、签订合同和处理有关事宜，其法律后果由我方承担。</w:t>
      </w:r>
    </w:p>
    <w:p w14:paraId="61311643">
      <w:pPr>
        <w:keepNext w:val="0"/>
        <w:keepLines w:val="0"/>
        <w:pageBreakBefore w:val="0"/>
        <w:widowControl/>
        <w:kinsoku w:val="0"/>
        <w:wordWrap w:val="0"/>
        <w:overflowPunct/>
        <w:topLinePunct w:val="0"/>
        <w:autoSpaceDE w:val="0"/>
        <w:autoSpaceDN w:val="0"/>
        <w:bidi w:val="0"/>
        <w:adjustRightInd w:val="0"/>
        <w:snapToGrid w:val="0"/>
        <w:spacing w:before="32" w:line="320" w:lineRule="auto"/>
        <w:ind w:left="480" w:right="497"/>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委托期限：至</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年   月    日</w:t>
      </w:r>
      <w:r>
        <w:rPr>
          <w:rFonts w:hint="eastAsia" w:ascii="宋体" w:hAnsi="宋体" w:eastAsia="宋体" w:cs="宋体"/>
          <w:i/>
          <w:iCs/>
          <w:color w:val="000000" w:themeColor="text1"/>
          <w:spacing w:val="0"/>
          <w:sz w:val="25"/>
          <w:szCs w:val="25"/>
          <w:highlight w:val="none"/>
          <w:u w:val="single"/>
          <w14:textFill>
            <w14:solidFill>
              <w14:schemeClr w14:val="tx1"/>
            </w14:solidFill>
          </w14:textFill>
        </w:rPr>
        <w:t>（不得短于招标文件规定的投标有效期）</w:t>
      </w:r>
      <w:r>
        <w:rPr>
          <w:rFonts w:hint="eastAsia" w:ascii="宋体" w:hAnsi="宋体" w:eastAsia="宋体" w:cs="宋体"/>
          <w:color w:val="000000" w:themeColor="text1"/>
          <w:spacing w:val="0"/>
          <w:sz w:val="25"/>
          <w:szCs w:val="25"/>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p>
    <w:p w14:paraId="065F5DA6">
      <w:pPr>
        <w:keepNext w:val="0"/>
        <w:keepLines w:val="0"/>
        <w:pageBreakBefore w:val="0"/>
        <w:widowControl/>
        <w:kinsoku w:val="0"/>
        <w:wordWrap w:val="0"/>
        <w:overflowPunct/>
        <w:topLinePunct w:val="0"/>
        <w:autoSpaceDE w:val="0"/>
        <w:autoSpaceDN w:val="0"/>
        <w:bidi w:val="0"/>
        <w:adjustRightInd w:val="0"/>
        <w:snapToGrid w:val="0"/>
        <w:spacing w:before="32" w:line="320" w:lineRule="auto"/>
        <w:ind w:left="480" w:right="497"/>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代理人无转委托权。</w:t>
      </w:r>
    </w:p>
    <w:p w14:paraId="03D08A77">
      <w:pPr>
        <w:pStyle w:val="5"/>
        <w:keepNext w:val="0"/>
        <w:keepLines w:val="0"/>
        <w:pageBreakBefore w:val="0"/>
        <w:wordWrap w:val="0"/>
        <w:overflowPunct/>
        <w:topLinePunct w:val="0"/>
        <w:bidi w:val="0"/>
        <w:spacing w:line="276" w:lineRule="auto"/>
        <w:rPr>
          <w:rFonts w:hint="eastAsia" w:ascii="宋体" w:hAnsi="宋体" w:eastAsia="宋体" w:cs="宋体"/>
          <w:color w:val="000000" w:themeColor="text1"/>
          <w:spacing w:val="0"/>
          <w:highlight w:val="none"/>
          <w14:textFill>
            <w14:solidFill>
              <w14:schemeClr w14:val="tx1"/>
            </w14:solidFill>
          </w14:textFill>
        </w:rPr>
      </w:pPr>
    </w:p>
    <w:p w14:paraId="43532AC3">
      <w:pPr>
        <w:pStyle w:val="5"/>
        <w:keepNext w:val="0"/>
        <w:keepLines w:val="0"/>
        <w:pageBreakBefore w:val="0"/>
        <w:wordWrap w:val="0"/>
        <w:overflowPunct/>
        <w:topLinePunct w:val="0"/>
        <w:bidi w:val="0"/>
        <w:spacing w:line="277" w:lineRule="auto"/>
        <w:rPr>
          <w:rFonts w:hint="eastAsia" w:ascii="宋体" w:hAnsi="宋体" w:eastAsia="宋体" w:cs="宋体"/>
          <w:color w:val="000000" w:themeColor="text1"/>
          <w:spacing w:val="0"/>
          <w:highlight w:val="none"/>
          <w14:textFill>
            <w14:solidFill>
              <w14:schemeClr w14:val="tx1"/>
            </w14:solidFill>
          </w14:textFill>
        </w:rPr>
      </w:pPr>
    </w:p>
    <w:p w14:paraId="2B7914FB">
      <w:pPr>
        <w:pStyle w:val="5"/>
        <w:keepNext w:val="0"/>
        <w:keepLines w:val="0"/>
        <w:pageBreakBefore w:val="0"/>
        <w:wordWrap w:val="0"/>
        <w:overflowPunct/>
        <w:topLinePunct w:val="0"/>
        <w:bidi w:val="0"/>
        <w:spacing w:line="277" w:lineRule="auto"/>
        <w:rPr>
          <w:rFonts w:hint="eastAsia" w:ascii="宋体" w:hAnsi="宋体" w:eastAsia="宋体" w:cs="宋体"/>
          <w:color w:val="000000" w:themeColor="text1"/>
          <w:spacing w:val="0"/>
          <w:highlight w:val="none"/>
          <w14:textFill>
            <w14:solidFill>
              <w14:schemeClr w14:val="tx1"/>
            </w14:solidFill>
          </w14:textFill>
        </w:rPr>
      </w:pPr>
    </w:p>
    <w:p w14:paraId="37C771EC">
      <w:pPr>
        <w:keepNext w:val="0"/>
        <w:keepLines w:val="0"/>
        <w:pageBreakBefore w:val="0"/>
        <w:wordWrap w:val="0"/>
        <w:overflowPunct/>
        <w:topLinePunct w:val="0"/>
        <w:bidi w:val="0"/>
        <w:spacing w:before="78" w:line="219" w:lineRule="auto"/>
        <w:ind w:left="3123"/>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  标  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（盖单位章）</w:t>
      </w:r>
    </w:p>
    <w:p w14:paraId="67E86849">
      <w:pPr>
        <w:pStyle w:val="5"/>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4D39F848">
      <w:pPr>
        <w:pStyle w:val="5"/>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067D7E79">
      <w:pPr>
        <w:pStyle w:val="5"/>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67B8E691">
      <w:pPr>
        <w:keepNext w:val="0"/>
        <w:keepLines w:val="0"/>
        <w:pageBreakBefore w:val="0"/>
        <w:wordWrap w:val="0"/>
        <w:overflowPunct/>
        <w:topLinePunct w:val="0"/>
        <w:bidi w:val="0"/>
        <w:spacing w:before="79" w:line="219" w:lineRule="auto"/>
        <w:ind w:left="3121"/>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（签字或盖章）</w:t>
      </w:r>
    </w:p>
    <w:p w14:paraId="058F6FE5">
      <w:pPr>
        <w:pStyle w:val="5"/>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084C2FB0">
      <w:pPr>
        <w:pStyle w:val="5"/>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357963A6">
      <w:pPr>
        <w:pStyle w:val="5"/>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732A1D8F">
      <w:pPr>
        <w:keepNext w:val="0"/>
        <w:keepLines w:val="0"/>
        <w:pageBreakBefore w:val="0"/>
        <w:wordWrap w:val="0"/>
        <w:overflowPunct/>
        <w:topLinePunct w:val="0"/>
        <w:bidi w:val="0"/>
        <w:spacing w:before="78" w:line="219" w:lineRule="auto"/>
        <w:ind w:left="2880"/>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委托代理人：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（签字或盖章）</w:t>
      </w:r>
    </w:p>
    <w:p w14:paraId="1B567FA1">
      <w:pPr>
        <w:pStyle w:val="5"/>
        <w:keepNext w:val="0"/>
        <w:keepLines w:val="0"/>
        <w:pageBreakBefore w:val="0"/>
        <w:wordWrap w:val="0"/>
        <w:overflowPunct/>
        <w:topLinePunct w:val="0"/>
        <w:bidi w:val="0"/>
        <w:spacing w:line="256" w:lineRule="auto"/>
        <w:jc w:val="right"/>
        <w:rPr>
          <w:rFonts w:hint="eastAsia" w:ascii="宋体" w:hAnsi="宋体" w:eastAsia="宋体" w:cs="宋体"/>
          <w:color w:val="000000" w:themeColor="text1"/>
          <w:spacing w:val="0"/>
          <w:highlight w:val="none"/>
          <w14:textFill>
            <w14:solidFill>
              <w14:schemeClr w14:val="tx1"/>
            </w14:solidFill>
          </w14:textFill>
        </w:rPr>
      </w:pPr>
    </w:p>
    <w:p w14:paraId="3C2BC505">
      <w:pPr>
        <w:pStyle w:val="5"/>
        <w:keepNext w:val="0"/>
        <w:keepLines w:val="0"/>
        <w:pageBreakBefore w:val="0"/>
        <w:wordWrap w:val="0"/>
        <w:overflowPunct/>
        <w:topLinePunct w:val="0"/>
        <w:bidi w:val="0"/>
        <w:spacing w:line="256" w:lineRule="auto"/>
        <w:jc w:val="right"/>
        <w:rPr>
          <w:rFonts w:hint="eastAsia" w:ascii="宋体" w:hAnsi="宋体" w:eastAsia="宋体" w:cs="宋体"/>
          <w:color w:val="000000" w:themeColor="text1"/>
          <w:spacing w:val="0"/>
          <w:highlight w:val="none"/>
          <w14:textFill>
            <w14:solidFill>
              <w14:schemeClr w14:val="tx1"/>
            </w14:solidFill>
          </w14:textFill>
        </w:rPr>
      </w:pPr>
    </w:p>
    <w:p w14:paraId="32DFD235">
      <w:pPr>
        <w:keepNext w:val="0"/>
        <w:keepLines w:val="0"/>
        <w:pageBreakBefore w:val="0"/>
        <w:wordWrap w:val="0"/>
        <w:overflowPunct/>
        <w:topLinePunct w:val="0"/>
        <w:bidi w:val="0"/>
        <w:spacing w:before="78" w:line="220" w:lineRule="auto"/>
        <w:ind w:left="6730"/>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年</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月</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日</w:t>
      </w:r>
    </w:p>
    <w:p w14:paraId="09CD99D4">
      <w:pPr>
        <w:keepNext w:val="0"/>
        <w:keepLines w:val="0"/>
        <w:pageBreakBefore w:val="0"/>
        <w:wordWrap w:val="0"/>
        <w:overflowPunct/>
        <w:topLinePunct w:val="0"/>
        <w:bidi w:val="0"/>
        <w:spacing w:before="78" w:line="220" w:lineRule="auto"/>
        <w:ind w:left="4201"/>
        <w:jc w:val="right"/>
        <w:rPr>
          <w:rFonts w:hint="eastAsia" w:ascii="宋体" w:hAnsi="宋体" w:eastAsia="宋体" w:cs="宋体"/>
          <w:color w:val="000000" w:themeColor="text1"/>
          <w:spacing w:val="0"/>
          <w:sz w:val="24"/>
          <w:szCs w:val="24"/>
          <w:highlight w:val="none"/>
          <w14:textFill>
            <w14:solidFill>
              <w14:schemeClr w14:val="tx1"/>
            </w14:solidFill>
          </w14:textFill>
        </w:rPr>
      </w:pPr>
    </w:p>
    <w:p w14:paraId="723A21F5">
      <w:pPr>
        <w:keepNext w:val="0"/>
        <w:keepLines w:val="0"/>
        <w:pageBreakBefore w:val="0"/>
        <w:wordWrap w:val="0"/>
        <w:overflowPunct/>
        <w:topLinePunct w:val="0"/>
        <w:bidi w:val="0"/>
        <w:spacing w:before="69"/>
        <w:rPr>
          <w:rFonts w:hint="eastAsia" w:ascii="宋体" w:hAnsi="宋体" w:eastAsia="宋体" w:cs="宋体"/>
          <w:color w:val="000000" w:themeColor="text1"/>
          <w:spacing w:val="0"/>
          <w:highlight w:val="none"/>
          <w14:textFill>
            <w14:solidFill>
              <w14:schemeClr w14:val="tx1"/>
            </w14:solidFill>
          </w14:textFill>
        </w:rPr>
      </w:pPr>
    </w:p>
    <w:p w14:paraId="1E0667E6">
      <w:pPr>
        <w:keepNext w:val="0"/>
        <w:keepLines w:val="0"/>
        <w:pageBreakBefore w:val="0"/>
        <w:wordWrap w:val="0"/>
        <w:overflowPunct/>
        <w:topLinePunct w:val="0"/>
        <w:bidi w:val="0"/>
        <w:spacing w:before="69"/>
        <w:rPr>
          <w:rFonts w:hint="eastAsia" w:ascii="宋体" w:hAnsi="宋体" w:eastAsia="宋体" w:cs="宋体"/>
          <w:color w:val="000000" w:themeColor="text1"/>
          <w:spacing w:val="0"/>
          <w:highlight w:val="none"/>
          <w14:textFill>
            <w14:solidFill>
              <w14:schemeClr w14:val="tx1"/>
            </w14:solidFill>
          </w14:textFill>
        </w:rPr>
      </w:pPr>
    </w:p>
    <w:tbl>
      <w:tblPr>
        <w:tblStyle w:val="14"/>
        <w:tblW w:w="5600" w:type="dxa"/>
        <w:tblInd w:w="230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5600"/>
      </w:tblGrid>
      <w:tr w14:paraId="2127AB6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570" w:hRule="atLeast"/>
        </w:trPr>
        <w:tc>
          <w:tcPr>
            <w:tcW w:w="5600" w:type="dxa"/>
            <w:vAlign w:val="top"/>
          </w:tcPr>
          <w:p w14:paraId="06290FA3">
            <w:pPr>
              <w:pStyle w:val="27"/>
              <w:keepNext w:val="0"/>
              <w:keepLines w:val="0"/>
              <w:pageBreakBefore w:val="0"/>
              <w:wordWrap w:val="0"/>
              <w:overflowPunct/>
              <w:topLinePunct w:val="0"/>
              <w:bidi w:val="0"/>
              <w:spacing w:line="245" w:lineRule="auto"/>
              <w:rPr>
                <w:rFonts w:hint="eastAsia" w:ascii="宋体" w:hAnsi="宋体" w:eastAsia="宋体" w:cs="宋体"/>
                <w:color w:val="000000" w:themeColor="text1"/>
                <w:spacing w:val="0"/>
                <w:highlight w:val="none"/>
                <w14:textFill>
                  <w14:solidFill>
                    <w14:schemeClr w14:val="tx1"/>
                  </w14:solidFill>
                </w14:textFill>
              </w:rPr>
            </w:pPr>
          </w:p>
          <w:p w14:paraId="73D5EEA8">
            <w:pPr>
              <w:pStyle w:val="27"/>
              <w:keepNext w:val="0"/>
              <w:keepLines w:val="0"/>
              <w:pageBreakBefore w:val="0"/>
              <w:wordWrap w:val="0"/>
              <w:overflowPunct/>
              <w:topLinePunct w:val="0"/>
              <w:bidi w:val="0"/>
              <w:spacing w:line="245" w:lineRule="auto"/>
              <w:rPr>
                <w:rFonts w:hint="eastAsia" w:ascii="宋体" w:hAnsi="宋体" w:eastAsia="宋体" w:cs="宋体"/>
                <w:color w:val="000000" w:themeColor="text1"/>
                <w:spacing w:val="0"/>
                <w:highlight w:val="none"/>
                <w14:textFill>
                  <w14:solidFill>
                    <w14:schemeClr w14:val="tx1"/>
                  </w14:solidFill>
                </w14:textFill>
              </w:rPr>
            </w:pPr>
          </w:p>
          <w:p w14:paraId="4189E6F9">
            <w:pPr>
              <w:pStyle w:val="27"/>
              <w:keepNext w:val="0"/>
              <w:keepLines w:val="0"/>
              <w:pageBreakBefore w:val="0"/>
              <w:wordWrap w:val="0"/>
              <w:overflowPunct/>
              <w:topLinePunct w:val="0"/>
              <w:bidi w:val="0"/>
              <w:spacing w:line="245" w:lineRule="auto"/>
              <w:rPr>
                <w:rFonts w:hint="eastAsia" w:ascii="宋体" w:hAnsi="宋体" w:eastAsia="宋体" w:cs="宋体"/>
                <w:color w:val="000000" w:themeColor="text1"/>
                <w:spacing w:val="0"/>
                <w:highlight w:val="none"/>
                <w14:textFill>
                  <w14:solidFill>
                    <w14:schemeClr w14:val="tx1"/>
                  </w14:solidFill>
                </w14:textFill>
              </w:rPr>
            </w:pPr>
          </w:p>
          <w:p w14:paraId="31D9240F">
            <w:pPr>
              <w:pStyle w:val="27"/>
              <w:keepNext w:val="0"/>
              <w:keepLines w:val="0"/>
              <w:pageBreakBefore w:val="0"/>
              <w:wordWrap w:val="0"/>
              <w:overflowPunct/>
              <w:topLinePunct w:val="0"/>
              <w:bidi w:val="0"/>
              <w:spacing w:line="245" w:lineRule="auto"/>
              <w:rPr>
                <w:rFonts w:hint="eastAsia" w:ascii="宋体" w:hAnsi="宋体" w:eastAsia="宋体" w:cs="宋体"/>
                <w:color w:val="000000" w:themeColor="text1"/>
                <w:spacing w:val="0"/>
                <w:highlight w:val="none"/>
                <w14:textFill>
                  <w14:solidFill>
                    <w14:schemeClr w14:val="tx1"/>
                  </w14:solidFill>
                </w14:textFill>
              </w:rPr>
            </w:pPr>
          </w:p>
          <w:p w14:paraId="30F2804B">
            <w:pPr>
              <w:pStyle w:val="27"/>
              <w:keepNext w:val="0"/>
              <w:keepLines w:val="0"/>
              <w:pageBreakBefore w:val="0"/>
              <w:wordWrap w:val="0"/>
              <w:overflowPunct/>
              <w:topLinePunct w:val="0"/>
              <w:bidi w:val="0"/>
              <w:spacing w:line="245" w:lineRule="auto"/>
              <w:rPr>
                <w:rFonts w:hint="eastAsia" w:ascii="宋体" w:hAnsi="宋体" w:eastAsia="宋体" w:cs="宋体"/>
                <w:color w:val="000000" w:themeColor="text1"/>
                <w:spacing w:val="0"/>
                <w:highlight w:val="none"/>
                <w14:textFill>
                  <w14:solidFill>
                    <w14:schemeClr w14:val="tx1"/>
                  </w14:solidFill>
                </w14:textFill>
              </w:rPr>
            </w:pPr>
          </w:p>
          <w:p w14:paraId="376A489E">
            <w:pPr>
              <w:pStyle w:val="27"/>
              <w:keepNext w:val="0"/>
              <w:keepLines w:val="0"/>
              <w:pageBreakBefore w:val="0"/>
              <w:wordWrap w:val="0"/>
              <w:overflowPunct/>
              <w:topLinePunct w:val="0"/>
              <w:bidi w:val="0"/>
              <w:spacing w:line="245" w:lineRule="auto"/>
              <w:rPr>
                <w:rFonts w:hint="eastAsia" w:ascii="宋体" w:hAnsi="宋体" w:eastAsia="宋体" w:cs="宋体"/>
                <w:color w:val="000000" w:themeColor="text1"/>
                <w:spacing w:val="0"/>
                <w:highlight w:val="none"/>
                <w14:textFill>
                  <w14:solidFill>
                    <w14:schemeClr w14:val="tx1"/>
                  </w14:solidFill>
                </w14:textFill>
              </w:rPr>
            </w:pPr>
          </w:p>
          <w:p w14:paraId="5A6EA383">
            <w:pPr>
              <w:pStyle w:val="27"/>
              <w:keepNext w:val="0"/>
              <w:keepLines w:val="0"/>
              <w:pageBreakBefore w:val="0"/>
              <w:wordWrap w:val="0"/>
              <w:overflowPunct/>
              <w:topLinePunct w:val="0"/>
              <w:bidi w:val="0"/>
              <w:spacing w:line="246" w:lineRule="auto"/>
              <w:rPr>
                <w:rFonts w:hint="eastAsia" w:ascii="宋体" w:hAnsi="宋体" w:eastAsia="宋体" w:cs="宋体"/>
                <w:color w:val="000000" w:themeColor="text1"/>
                <w:spacing w:val="0"/>
                <w:highlight w:val="none"/>
                <w14:textFill>
                  <w14:solidFill>
                    <w14:schemeClr w14:val="tx1"/>
                  </w14:solidFill>
                </w14:textFill>
              </w:rPr>
            </w:pPr>
          </w:p>
          <w:p w14:paraId="46299238">
            <w:pPr>
              <w:keepNext w:val="0"/>
              <w:keepLines w:val="0"/>
              <w:pageBreakBefore w:val="0"/>
              <w:wordWrap w:val="0"/>
              <w:overflowPunct/>
              <w:topLinePunct w:val="0"/>
              <w:bidi w:val="0"/>
              <w:spacing w:before="78" w:line="220" w:lineRule="auto"/>
              <w:ind w:left="71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委托代理人身份证</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扫描件</w:t>
            </w:r>
            <w:r>
              <w:rPr>
                <w:rFonts w:hint="eastAsia" w:ascii="宋体" w:hAnsi="宋体" w:eastAsia="宋体" w:cs="宋体"/>
                <w:color w:val="000000" w:themeColor="text1"/>
                <w:spacing w:val="0"/>
                <w:sz w:val="24"/>
                <w:szCs w:val="24"/>
                <w:highlight w:val="none"/>
                <w14:textFill>
                  <w14:solidFill>
                    <w14:schemeClr w14:val="tx1"/>
                  </w14:solidFill>
                </w14:textFill>
              </w:rPr>
              <w:t>正、反面</w:t>
            </w:r>
          </w:p>
        </w:tc>
      </w:tr>
    </w:tbl>
    <w:p w14:paraId="1CD2E23D">
      <w:pPr>
        <w:pStyle w:val="5"/>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414108A7">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sectPr>
          <w:footerReference r:id="rId17"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13DBB8BC">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40" w:name="_Toc25947"/>
      <w:r>
        <w:rPr>
          <w:rFonts w:hint="eastAsia" w:ascii="宋体" w:hAnsi="宋体" w:eastAsia="宋体" w:cs="宋体"/>
          <w:b/>
          <w:bCs/>
          <w:color w:val="000000" w:themeColor="text1"/>
          <w:spacing w:val="0"/>
          <w:sz w:val="24"/>
          <w:szCs w:val="24"/>
          <w:highlight w:val="none"/>
          <w14:textFill>
            <w14:solidFill>
              <w14:schemeClr w14:val="tx1"/>
            </w14:solidFill>
          </w14:textFill>
        </w:rPr>
        <w:t>格式五 法定代表人身份证明</w:t>
      </w:r>
      <w:bookmarkEnd w:id="240"/>
    </w:p>
    <w:p w14:paraId="64F0910B">
      <w:pPr>
        <w:pStyle w:val="5"/>
        <w:keepNext w:val="0"/>
        <w:keepLines w:val="0"/>
        <w:pageBreakBefore w:val="0"/>
        <w:wordWrap w:val="0"/>
        <w:overflowPunct/>
        <w:topLinePunct w:val="0"/>
        <w:bidi w:val="0"/>
        <w:spacing w:line="350" w:lineRule="auto"/>
        <w:rPr>
          <w:rFonts w:hint="eastAsia" w:ascii="宋体" w:hAnsi="宋体" w:eastAsia="宋体" w:cs="宋体"/>
          <w:color w:val="000000" w:themeColor="text1"/>
          <w:spacing w:val="0"/>
          <w:highlight w:val="none"/>
          <w14:textFill>
            <w14:solidFill>
              <w14:schemeClr w14:val="tx1"/>
            </w14:solidFill>
          </w14:textFill>
        </w:rPr>
      </w:pPr>
    </w:p>
    <w:p w14:paraId="2888A3EE">
      <w:pPr>
        <w:pStyle w:val="5"/>
        <w:keepNext w:val="0"/>
        <w:keepLines w:val="0"/>
        <w:pageBreakBefore w:val="0"/>
        <w:wordWrap w:val="0"/>
        <w:overflowPunct/>
        <w:topLinePunct w:val="0"/>
        <w:bidi w:val="0"/>
        <w:spacing w:line="350" w:lineRule="auto"/>
        <w:rPr>
          <w:rFonts w:hint="eastAsia" w:ascii="宋体" w:hAnsi="宋体" w:eastAsia="宋体" w:cs="宋体"/>
          <w:color w:val="000000" w:themeColor="text1"/>
          <w:spacing w:val="0"/>
          <w:highlight w:val="none"/>
          <w14:textFill>
            <w14:solidFill>
              <w14:schemeClr w14:val="tx1"/>
            </w14:solidFill>
          </w14:textFill>
        </w:rPr>
      </w:pPr>
    </w:p>
    <w:p w14:paraId="10601B29">
      <w:pPr>
        <w:keepNext w:val="0"/>
        <w:keepLines w:val="0"/>
        <w:pageBreakBefore w:val="0"/>
        <w:wordWrap w:val="0"/>
        <w:overflowPunct/>
        <w:topLinePunct w:val="0"/>
        <w:bidi w:val="0"/>
        <w:spacing w:before="98" w:line="220" w:lineRule="auto"/>
        <w:ind w:left="3183"/>
        <w:rPr>
          <w:rFonts w:hint="eastAsia" w:ascii="宋体" w:hAnsi="宋体" w:eastAsia="宋体" w:cs="宋体"/>
          <w:color w:val="000000" w:themeColor="text1"/>
          <w:spacing w:val="0"/>
          <w:sz w:val="30"/>
          <w:szCs w:val="30"/>
          <w:highlight w:val="none"/>
          <w14:textFill>
            <w14:solidFill>
              <w14:schemeClr w14:val="tx1"/>
            </w14:solidFill>
          </w14:textFill>
        </w:rPr>
      </w:pPr>
      <w:bookmarkStart w:id="241" w:name="bookmark152"/>
      <w:bookmarkEnd w:id="241"/>
      <w:r>
        <w:rPr>
          <w:rFonts w:hint="eastAsia" w:ascii="宋体" w:hAnsi="宋体" w:eastAsia="宋体" w:cs="宋体"/>
          <w:b/>
          <w:bCs/>
          <w:color w:val="000000" w:themeColor="text1"/>
          <w:spacing w:val="0"/>
          <w:sz w:val="30"/>
          <w:szCs w:val="30"/>
          <w:highlight w:val="none"/>
          <w14:textFill>
            <w14:solidFill>
              <w14:schemeClr w14:val="tx1"/>
            </w14:solidFill>
          </w14:textFill>
        </w:rPr>
        <w:t>法定代表人身份证明</w:t>
      </w:r>
    </w:p>
    <w:p w14:paraId="176A168B">
      <w:pPr>
        <w:pStyle w:val="5"/>
        <w:keepNext w:val="0"/>
        <w:keepLines w:val="0"/>
        <w:pageBreakBefore w:val="0"/>
        <w:wordWrap w:val="0"/>
        <w:overflowPunct/>
        <w:topLinePunct w:val="0"/>
        <w:bidi w:val="0"/>
        <w:spacing w:line="250" w:lineRule="auto"/>
        <w:rPr>
          <w:rFonts w:hint="eastAsia" w:ascii="宋体" w:hAnsi="宋体" w:eastAsia="宋体" w:cs="宋体"/>
          <w:color w:val="000000" w:themeColor="text1"/>
          <w:spacing w:val="0"/>
          <w:highlight w:val="none"/>
          <w14:textFill>
            <w14:solidFill>
              <w14:schemeClr w14:val="tx1"/>
            </w14:solidFill>
          </w14:textFill>
        </w:rPr>
      </w:pPr>
    </w:p>
    <w:p w14:paraId="5B8D004F">
      <w:pPr>
        <w:pStyle w:val="5"/>
        <w:keepNext w:val="0"/>
        <w:keepLines w:val="0"/>
        <w:pageBreakBefore w:val="0"/>
        <w:wordWrap w:val="0"/>
        <w:overflowPunct/>
        <w:topLinePunct w:val="0"/>
        <w:bidi w:val="0"/>
        <w:spacing w:line="250" w:lineRule="auto"/>
        <w:rPr>
          <w:rFonts w:hint="eastAsia" w:ascii="宋体" w:hAnsi="宋体" w:eastAsia="宋体" w:cs="宋体"/>
          <w:color w:val="000000" w:themeColor="text1"/>
          <w:spacing w:val="0"/>
          <w:highlight w:val="none"/>
          <w14:textFill>
            <w14:solidFill>
              <w14:schemeClr w14:val="tx1"/>
            </w14:solidFill>
          </w14:textFill>
        </w:rPr>
      </w:pPr>
    </w:p>
    <w:p w14:paraId="47A552CC">
      <w:pPr>
        <w:pStyle w:val="5"/>
        <w:keepNext w:val="0"/>
        <w:keepLines w:val="0"/>
        <w:pageBreakBefore w:val="0"/>
        <w:wordWrap w:val="0"/>
        <w:overflowPunct/>
        <w:topLinePunct w:val="0"/>
        <w:bidi w:val="0"/>
        <w:spacing w:line="251" w:lineRule="auto"/>
        <w:rPr>
          <w:rFonts w:hint="eastAsia" w:ascii="宋体" w:hAnsi="宋体" w:eastAsia="宋体" w:cs="宋体"/>
          <w:color w:val="000000" w:themeColor="text1"/>
          <w:spacing w:val="0"/>
          <w:highlight w:val="none"/>
          <w14:textFill>
            <w14:solidFill>
              <w14:schemeClr w14:val="tx1"/>
            </w14:solidFill>
          </w14:textFill>
        </w:rPr>
      </w:pPr>
    </w:p>
    <w:p w14:paraId="6441890C">
      <w:pPr>
        <w:keepNext w:val="0"/>
        <w:keepLines w:val="0"/>
        <w:pageBreakBefore w:val="0"/>
        <w:wordWrap w:val="0"/>
        <w:overflowPunct/>
        <w:topLinePunct w:val="0"/>
        <w:bidi w:val="0"/>
        <w:adjustRightInd w:val="0"/>
        <w:snapToGrid w:val="0"/>
        <w:spacing w:line="440" w:lineRule="exact"/>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投标人名称：</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 xml:space="preserve">                  </w:t>
      </w:r>
    </w:p>
    <w:p w14:paraId="78081EA7">
      <w:pPr>
        <w:keepNext w:val="0"/>
        <w:keepLines w:val="0"/>
        <w:pageBreakBefore w:val="0"/>
        <w:wordWrap w:val="0"/>
        <w:overflowPunct/>
        <w:topLinePunct w:val="0"/>
        <w:bidi w:val="0"/>
        <w:adjustRightInd w:val="0"/>
        <w:snapToGrid w:val="0"/>
        <w:spacing w:line="440" w:lineRule="exact"/>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姓名：</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性别：</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年龄：</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职务：</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 xml:space="preserve">           </w:t>
      </w:r>
    </w:p>
    <w:p w14:paraId="572BE33E">
      <w:pPr>
        <w:keepNext w:val="0"/>
        <w:keepLines w:val="0"/>
        <w:pageBreakBefore w:val="0"/>
        <w:wordWrap w:val="0"/>
        <w:overflowPunct/>
        <w:topLinePunct w:val="0"/>
        <w:bidi w:val="0"/>
        <w:adjustRightInd w:val="0"/>
        <w:snapToGrid w:val="0"/>
        <w:spacing w:line="440" w:lineRule="exact"/>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系</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（投标人名称）的法定代表人。</w:t>
      </w:r>
    </w:p>
    <w:p w14:paraId="7898B9FA">
      <w:pPr>
        <w:keepNext w:val="0"/>
        <w:keepLines w:val="0"/>
        <w:pageBreakBefore w:val="0"/>
        <w:wordWrap w:val="0"/>
        <w:overflowPunct/>
        <w:topLinePunct w:val="0"/>
        <w:bidi w:val="0"/>
        <w:adjustRightInd w:val="0"/>
        <w:snapToGrid w:val="0"/>
        <w:rPr>
          <w:rFonts w:hint="eastAsia" w:ascii="宋体" w:hAnsi="宋体" w:eastAsia="宋体" w:cs="宋体"/>
          <w:snapToGrid w:val="0"/>
          <w:color w:val="000000" w:themeColor="text1"/>
          <w:spacing w:val="0"/>
          <w:kern w:val="0"/>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 xml:space="preserve">    特此证明。</w:t>
      </w:r>
    </w:p>
    <w:p w14:paraId="1DA8C0EE">
      <w:pPr>
        <w:pStyle w:val="5"/>
        <w:keepNext w:val="0"/>
        <w:keepLines w:val="0"/>
        <w:pageBreakBefore w:val="0"/>
        <w:wordWrap w:val="0"/>
        <w:overflowPunct/>
        <w:topLinePunct w:val="0"/>
        <w:bidi w:val="0"/>
        <w:spacing w:line="277" w:lineRule="auto"/>
        <w:rPr>
          <w:rFonts w:hint="eastAsia" w:ascii="宋体" w:hAnsi="宋体" w:eastAsia="宋体" w:cs="宋体"/>
          <w:color w:val="000000" w:themeColor="text1"/>
          <w:spacing w:val="0"/>
          <w:highlight w:val="none"/>
          <w14:textFill>
            <w14:solidFill>
              <w14:schemeClr w14:val="tx1"/>
            </w14:solidFill>
          </w14:textFill>
        </w:rPr>
      </w:pPr>
    </w:p>
    <w:p w14:paraId="46E051EF">
      <w:pPr>
        <w:pStyle w:val="5"/>
        <w:keepNext w:val="0"/>
        <w:keepLines w:val="0"/>
        <w:pageBreakBefore w:val="0"/>
        <w:wordWrap w:val="0"/>
        <w:overflowPunct/>
        <w:topLinePunct w:val="0"/>
        <w:bidi w:val="0"/>
        <w:spacing w:line="277" w:lineRule="auto"/>
        <w:rPr>
          <w:rFonts w:hint="eastAsia" w:ascii="宋体" w:hAnsi="宋体" w:eastAsia="宋体" w:cs="宋体"/>
          <w:color w:val="000000" w:themeColor="text1"/>
          <w:spacing w:val="0"/>
          <w:highlight w:val="none"/>
          <w14:textFill>
            <w14:solidFill>
              <w14:schemeClr w14:val="tx1"/>
            </w14:solidFill>
          </w14:textFill>
        </w:rPr>
      </w:pPr>
    </w:p>
    <w:p w14:paraId="31074CD7">
      <w:pPr>
        <w:pStyle w:val="5"/>
        <w:keepNext w:val="0"/>
        <w:keepLines w:val="0"/>
        <w:pageBreakBefore w:val="0"/>
        <w:wordWrap w:val="0"/>
        <w:overflowPunct/>
        <w:topLinePunct w:val="0"/>
        <w:bidi w:val="0"/>
        <w:spacing w:line="278" w:lineRule="auto"/>
        <w:rPr>
          <w:rFonts w:hint="eastAsia" w:ascii="宋体" w:hAnsi="宋体" w:eastAsia="宋体" w:cs="宋体"/>
          <w:color w:val="000000" w:themeColor="text1"/>
          <w:spacing w:val="0"/>
          <w:highlight w:val="none"/>
          <w14:textFill>
            <w14:solidFill>
              <w14:schemeClr w14:val="tx1"/>
            </w14:solidFill>
          </w14:textFill>
        </w:rPr>
      </w:pPr>
    </w:p>
    <w:p w14:paraId="7DE923C3">
      <w:pPr>
        <w:keepNext w:val="0"/>
        <w:keepLines w:val="0"/>
        <w:pageBreakBefore w:val="0"/>
        <w:wordWrap w:val="0"/>
        <w:overflowPunct/>
        <w:topLinePunct w:val="0"/>
        <w:bidi w:val="0"/>
        <w:spacing w:before="78" w:line="219" w:lineRule="auto"/>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（盖单位章）</w:t>
      </w:r>
    </w:p>
    <w:p w14:paraId="5195DD81">
      <w:pPr>
        <w:pStyle w:val="5"/>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355329DE">
      <w:pPr>
        <w:pStyle w:val="5"/>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6910EDC1">
      <w:pPr>
        <w:pStyle w:val="5"/>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14A7032E">
      <w:pPr>
        <w:keepNext w:val="0"/>
        <w:keepLines w:val="0"/>
        <w:pageBreakBefore w:val="0"/>
        <w:wordWrap w:val="0"/>
        <w:overflowPunct/>
        <w:topLinePunct w:val="0"/>
        <w:bidi w:val="0"/>
        <w:spacing w:before="79" w:line="219" w:lineRule="auto"/>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（签字或盖章）</w:t>
      </w:r>
    </w:p>
    <w:p w14:paraId="109F911F">
      <w:pPr>
        <w:pStyle w:val="5"/>
        <w:keepNext w:val="0"/>
        <w:keepLines w:val="0"/>
        <w:pageBreakBefore w:val="0"/>
        <w:wordWrap w:val="0"/>
        <w:overflowPunct/>
        <w:topLinePunct w:val="0"/>
        <w:bidi w:val="0"/>
        <w:spacing w:line="257" w:lineRule="auto"/>
        <w:jc w:val="right"/>
        <w:rPr>
          <w:rFonts w:hint="eastAsia" w:ascii="宋体" w:hAnsi="宋体" w:eastAsia="宋体" w:cs="宋体"/>
          <w:color w:val="000000" w:themeColor="text1"/>
          <w:spacing w:val="0"/>
          <w:highlight w:val="none"/>
          <w14:textFill>
            <w14:solidFill>
              <w14:schemeClr w14:val="tx1"/>
            </w14:solidFill>
          </w14:textFill>
        </w:rPr>
      </w:pPr>
    </w:p>
    <w:p w14:paraId="24B1B1E8">
      <w:pPr>
        <w:pStyle w:val="5"/>
        <w:keepNext w:val="0"/>
        <w:keepLines w:val="0"/>
        <w:pageBreakBefore w:val="0"/>
        <w:wordWrap w:val="0"/>
        <w:overflowPunct/>
        <w:topLinePunct w:val="0"/>
        <w:bidi w:val="0"/>
        <w:spacing w:line="257" w:lineRule="auto"/>
        <w:jc w:val="right"/>
        <w:rPr>
          <w:rFonts w:hint="eastAsia" w:ascii="宋体" w:hAnsi="宋体" w:eastAsia="宋体" w:cs="宋体"/>
          <w:color w:val="000000" w:themeColor="text1"/>
          <w:spacing w:val="0"/>
          <w:highlight w:val="none"/>
          <w14:textFill>
            <w14:solidFill>
              <w14:schemeClr w14:val="tx1"/>
            </w14:solidFill>
          </w14:textFill>
        </w:rPr>
      </w:pPr>
    </w:p>
    <w:p w14:paraId="033908D8">
      <w:pPr>
        <w:pStyle w:val="5"/>
        <w:keepNext w:val="0"/>
        <w:keepLines w:val="0"/>
        <w:pageBreakBefore w:val="0"/>
        <w:wordWrap w:val="0"/>
        <w:overflowPunct/>
        <w:topLinePunct w:val="0"/>
        <w:bidi w:val="0"/>
        <w:spacing w:line="254" w:lineRule="auto"/>
        <w:jc w:val="right"/>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年</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月</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日</w:t>
      </w:r>
    </w:p>
    <w:p w14:paraId="4CB3CC8E">
      <w:pPr>
        <w:pStyle w:val="5"/>
        <w:keepNext w:val="0"/>
        <w:keepLines w:val="0"/>
        <w:pageBreakBefore w:val="0"/>
        <w:wordWrap w:val="0"/>
        <w:overflowPunct/>
        <w:topLinePunct w:val="0"/>
        <w:bidi w:val="0"/>
        <w:spacing w:line="254" w:lineRule="auto"/>
        <w:rPr>
          <w:rFonts w:hint="eastAsia" w:ascii="宋体" w:hAnsi="宋体" w:eastAsia="宋体" w:cs="宋体"/>
          <w:color w:val="000000" w:themeColor="text1"/>
          <w:spacing w:val="0"/>
          <w:highlight w:val="none"/>
          <w14:textFill>
            <w14:solidFill>
              <w14:schemeClr w14:val="tx1"/>
            </w14:solidFill>
          </w14:textFill>
        </w:rPr>
      </w:pPr>
    </w:p>
    <w:p w14:paraId="1A118B4E">
      <w:pPr>
        <w:pStyle w:val="5"/>
        <w:keepNext w:val="0"/>
        <w:keepLines w:val="0"/>
        <w:pageBreakBefore w:val="0"/>
        <w:wordWrap w:val="0"/>
        <w:overflowPunct/>
        <w:topLinePunct w:val="0"/>
        <w:bidi w:val="0"/>
        <w:spacing w:line="254" w:lineRule="auto"/>
        <w:rPr>
          <w:rFonts w:hint="eastAsia" w:ascii="宋体" w:hAnsi="宋体" w:eastAsia="宋体" w:cs="宋体"/>
          <w:color w:val="000000" w:themeColor="text1"/>
          <w:spacing w:val="0"/>
          <w:highlight w:val="none"/>
          <w14:textFill>
            <w14:solidFill>
              <w14:schemeClr w14:val="tx1"/>
            </w14:solidFill>
          </w14:textFill>
        </w:rPr>
      </w:pPr>
    </w:p>
    <w:p w14:paraId="29B7FFB7">
      <w:pPr>
        <w:pStyle w:val="5"/>
        <w:keepNext w:val="0"/>
        <w:keepLines w:val="0"/>
        <w:pageBreakBefore w:val="0"/>
        <w:wordWrap w:val="0"/>
        <w:overflowPunct/>
        <w:topLinePunct w:val="0"/>
        <w:bidi w:val="0"/>
        <w:spacing w:line="254" w:lineRule="auto"/>
        <w:rPr>
          <w:rFonts w:hint="eastAsia" w:ascii="宋体" w:hAnsi="宋体" w:eastAsia="宋体" w:cs="宋体"/>
          <w:color w:val="000000" w:themeColor="text1"/>
          <w:spacing w:val="0"/>
          <w:highlight w:val="none"/>
          <w14:textFill>
            <w14:solidFill>
              <w14:schemeClr w14:val="tx1"/>
            </w14:solidFill>
          </w14:textFill>
        </w:rPr>
      </w:pPr>
    </w:p>
    <w:p w14:paraId="3FB212A0">
      <w:pPr>
        <w:pStyle w:val="5"/>
        <w:keepNext w:val="0"/>
        <w:keepLines w:val="0"/>
        <w:pageBreakBefore w:val="0"/>
        <w:wordWrap w:val="0"/>
        <w:overflowPunct/>
        <w:topLinePunct w:val="0"/>
        <w:bidi w:val="0"/>
        <w:spacing w:line="254" w:lineRule="auto"/>
        <w:rPr>
          <w:rFonts w:hint="eastAsia" w:ascii="宋体" w:hAnsi="宋体" w:eastAsia="宋体" w:cs="宋体"/>
          <w:color w:val="000000" w:themeColor="text1"/>
          <w:spacing w:val="0"/>
          <w:highlight w:val="none"/>
          <w14:textFill>
            <w14:solidFill>
              <w14:schemeClr w14:val="tx1"/>
            </w14:solidFill>
          </w14:textFill>
        </w:rPr>
      </w:pPr>
    </w:p>
    <w:p w14:paraId="661DD784">
      <w:pPr>
        <w:pStyle w:val="5"/>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highlight w:val="none"/>
          <w14:textFill>
            <w14:solidFill>
              <w14:schemeClr w14:val="tx1"/>
            </w14:solidFill>
          </w14:textFill>
        </w:rPr>
      </w:pPr>
    </w:p>
    <w:p w14:paraId="4F8DA62D">
      <w:pPr>
        <w:pStyle w:val="5"/>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highlight w:val="none"/>
          <w14:textFill>
            <w14:solidFill>
              <w14:schemeClr w14:val="tx1"/>
            </w14:solidFill>
          </w14:textFill>
        </w:rPr>
      </w:pPr>
    </w:p>
    <w:p w14:paraId="67391F7A">
      <w:pPr>
        <w:pStyle w:val="5"/>
        <w:keepNext w:val="0"/>
        <w:keepLines w:val="0"/>
        <w:pageBreakBefore w:val="0"/>
        <w:wordWrap w:val="0"/>
        <w:overflowPunct/>
        <w:topLinePunct w:val="0"/>
        <w:bidi w:val="0"/>
        <w:spacing w:before="1" w:line="2510" w:lineRule="exact"/>
        <w:ind w:firstLine="2534"/>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position w:val="-50"/>
          <w:highlight w:val="none"/>
          <w14:textFill>
            <w14:solidFill>
              <w14:schemeClr w14:val="tx1"/>
            </w14:solidFill>
          </w14:textFill>
        </w:rPr>
        <mc:AlternateContent>
          <mc:Choice Requires="wpg">
            <w:drawing>
              <wp:inline distT="0" distB="0" distL="114300" distR="114300">
                <wp:extent cx="2835275" cy="1593850"/>
                <wp:effectExtent l="12700" t="0" r="28575" b="12700"/>
                <wp:docPr id="13" name="组合 13"/>
                <wp:cNvGraphicFramePr/>
                <a:graphic xmlns:a="http://schemas.openxmlformats.org/drawingml/2006/main">
                  <a:graphicData uri="http://schemas.microsoft.com/office/word/2010/wordprocessingGroup">
                    <wpg:wgp>
                      <wpg:cNvGrpSpPr>
                        <a:grpSpLocks noRot="1"/>
                      </wpg:cNvGrpSpPr>
                      <wpg:grpSpPr>
                        <a:xfrm>
                          <a:off x="0" y="0"/>
                          <a:ext cx="2835275" cy="1593850"/>
                          <a:chOff x="0" y="0"/>
                          <a:chExt cx="4465" cy="2510"/>
                        </a:xfrm>
                      </wpg:grpSpPr>
                      <pic:pic xmlns:pic="http://schemas.openxmlformats.org/drawingml/2006/picture">
                        <pic:nvPicPr>
                          <pic:cNvPr id="11" name="图片 5"/>
                          <pic:cNvPicPr>
                            <a:picLocks noChangeAspect="1"/>
                          </pic:cNvPicPr>
                        </pic:nvPicPr>
                        <pic:blipFill>
                          <a:blip r:embed="rId56"/>
                          <a:stretch>
                            <a:fillRect/>
                          </a:stretch>
                        </pic:blipFill>
                        <pic:spPr>
                          <a:xfrm>
                            <a:off x="0" y="0"/>
                            <a:ext cx="4465" cy="2510"/>
                          </a:xfrm>
                          <a:prstGeom prst="rect">
                            <a:avLst/>
                          </a:prstGeom>
                          <a:noFill/>
                          <a:ln>
                            <a:noFill/>
                          </a:ln>
                        </pic:spPr>
                      </pic:pic>
                      <wps:wsp>
                        <wps:cNvPr id="12" name="文本框 12"/>
                        <wps:cNvSpPr txBox="1"/>
                        <wps:spPr>
                          <a:xfrm>
                            <a:off x="-20" y="-20"/>
                            <a:ext cx="4505" cy="2550"/>
                          </a:xfrm>
                          <a:prstGeom prst="rect">
                            <a:avLst/>
                          </a:prstGeom>
                          <a:noFill/>
                          <a:ln>
                            <a:noFill/>
                          </a:ln>
                        </wps:spPr>
                        <wps:txbx>
                          <w:txbxContent>
                            <w:p w14:paraId="30B2BA37">
                              <w:pPr>
                                <w:spacing w:line="249" w:lineRule="auto"/>
                                <w:rPr>
                                  <w:highlight w:val="none"/>
                                </w:rPr>
                              </w:pPr>
                            </w:p>
                            <w:p w14:paraId="0A32F196">
                              <w:pPr>
                                <w:spacing w:line="249" w:lineRule="auto"/>
                                <w:rPr>
                                  <w:highlight w:val="none"/>
                                </w:rPr>
                              </w:pPr>
                            </w:p>
                            <w:p w14:paraId="6C01FF1E">
                              <w:pPr>
                                <w:spacing w:line="249" w:lineRule="auto"/>
                                <w:rPr>
                                  <w:highlight w:val="none"/>
                                </w:rPr>
                              </w:pPr>
                            </w:p>
                            <w:p w14:paraId="5F468A72">
                              <w:pPr>
                                <w:spacing w:line="249" w:lineRule="auto"/>
                                <w:rPr>
                                  <w:highlight w:val="none"/>
                                </w:rPr>
                              </w:pPr>
                            </w:p>
                            <w:p w14:paraId="3437CEDB">
                              <w:pPr>
                                <w:spacing w:before="78" w:line="220" w:lineRule="auto"/>
                                <w:jc w:val="center"/>
                                <w:rPr>
                                  <w:rFonts w:ascii="宋体" w:hAnsi="宋体" w:eastAsia="宋体" w:cs="宋体"/>
                                  <w:sz w:val="24"/>
                                  <w:szCs w:val="24"/>
                                  <w:highlight w:val="none"/>
                                </w:rPr>
                              </w:pPr>
                              <w:r>
                                <w:rPr>
                                  <w:rFonts w:ascii="宋体" w:hAnsi="宋体" w:eastAsia="宋体" w:cs="宋体"/>
                                  <w:spacing w:val="-1"/>
                                  <w:sz w:val="24"/>
                                  <w:szCs w:val="24"/>
                                  <w:highlight w:val="none"/>
                                </w:rPr>
                                <w:t>法定代表人身份证</w:t>
                              </w:r>
                              <w:r>
                                <w:rPr>
                                  <w:rFonts w:hint="eastAsia" w:ascii="宋体" w:hAnsi="宋体" w:eastAsia="宋体" w:cs="宋体"/>
                                  <w:spacing w:val="-1"/>
                                  <w:sz w:val="24"/>
                                  <w:szCs w:val="24"/>
                                  <w:highlight w:val="none"/>
                                  <w:lang w:val="en-US" w:eastAsia="zh-CN"/>
                                </w:rPr>
                                <w:t>扫描件</w:t>
                              </w:r>
                              <w:r>
                                <w:rPr>
                                  <w:rFonts w:ascii="宋体" w:hAnsi="宋体" w:eastAsia="宋体" w:cs="宋体"/>
                                  <w:spacing w:val="-1"/>
                                  <w:sz w:val="24"/>
                                  <w:szCs w:val="24"/>
                                  <w:highlight w:val="none"/>
                                </w:rPr>
                                <w:t>正、反面</w:t>
                              </w:r>
                            </w:p>
                          </w:txbxContent>
                        </wps:txbx>
                        <wps:bodyPr lIns="0" tIns="0" rIns="0" bIns="0" upright="1"/>
                      </wps:wsp>
                    </wpg:wgp>
                  </a:graphicData>
                </a:graphic>
              </wp:inline>
            </w:drawing>
          </mc:Choice>
          <mc:Fallback>
            <w:pict>
              <v:group id="_x0000_s1026" o:spid="_x0000_s1026" o:spt="203" style="height:125.5pt;width:223.25pt;" coordsize="4465,2510" o:gfxdata="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qiYOvrYAAAAh&#10;AQAAGQAAAGRycy9fcmVscy9lMm9Eb2MueG1sLnJlbHOFj0FqwzAQRfeF3EHMPpadRSjFsjeh4G1I&#10;DjBIY1nEGglJLfXtI8gmgUCX8z//PaYf//wqfillF1hB17QgiHUwjq2C6+V7/wkiF2SDa2BSsFGG&#10;cdh99GdasdRRXlzMolI4K1hKiV9SZr2Qx9yESFybOSSPpZ7Jyoj6hpbkoW2PMj0zYHhhiskoSJPp&#10;QFy2WM3/s8M8O02noH88cXmjkM5XdwVislQUeDIOH2HXRLYgh16+PDbcAV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">
                <o:lock v:ext="edit" rotation="t" aspectratio="f"/>
                <v:shape id="图片 5" o:spid="_x0000_s1026" o:spt="75" type="#_x0000_t75" style="position:absolute;left:0;top:0;height:2510;width:4465;" filled="f" o:preferrelative="t" stroked="f" coordsize="21600,21600" o:gfxdata="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kRLC28AAAA&#10;2wAAAA8AAAAAAAAAAQAgAAAAIgAAAGRycy9kb3ducmV2LnhtbFBLAQIUABQAAAAIAIdO4kAzLwWe&#10;OwAAADkAAAAQAAAAAAAAAAEAIAAAAAsBAABkcnMvc2hhcGV4bWwueG1sUEsFBgAAAAAGAAYAWwEA&#10;ALUDAAAAAA==&#10;">
                  <v:fill on="f" focussize="0,0"/>
                  <v:stroke on="f"/>
                  <v:imagedata r:id="rId56" o:title=""/>
                  <o:lock v:ext="edit" aspectratio="t"/>
                </v:shape>
                <v:shape id="_x0000_s1026" o:spid="_x0000_s1026" o:spt="202" type="#_x0000_t202" style="position:absolute;left:-20;top:-20;height:2550;width:4505;"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30B2BA37">
                        <w:pPr>
                          <w:spacing w:line="249" w:lineRule="auto"/>
                          <w:rPr>
                            <w:highlight w:val="none"/>
                          </w:rPr>
                        </w:pPr>
                      </w:p>
                      <w:p w14:paraId="0A32F196">
                        <w:pPr>
                          <w:spacing w:line="249" w:lineRule="auto"/>
                          <w:rPr>
                            <w:highlight w:val="none"/>
                          </w:rPr>
                        </w:pPr>
                      </w:p>
                      <w:p w14:paraId="6C01FF1E">
                        <w:pPr>
                          <w:spacing w:line="249" w:lineRule="auto"/>
                          <w:rPr>
                            <w:highlight w:val="none"/>
                          </w:rPr>
                        </w:pPr>
                      </w:p>
                      <w:p w14:paraId="5F468A72">
                        <w:pPr>
                          <w:spacing w:line="249" w:lineRule="auto"/>
                          <w:rPr>
                            <w:highlight w:val="none"/>
                          </w:rPr>
                        </w:pPr>
                      </w:p>
                      <w:p w14:paraId="3437CEDB">
                        <w:pPr>
                          <w:spacing w:before="78" w:line="220" w:lineRule="auto"/>
                          <w:jc w:val="center"/>
                          <w:rPr>
                            <w:rFonts w:ascii="宋体" w:hAnsi="宋体" w:eastAsia="宋体" w:cs="宋体"/>
                            <w:sz w:val="24"/>
                            <w:szCs w:val="24"/>
                            <w:highlight w:val="none"/>
                          </w:rPr>
                        </w:pPr>
                        <w:r>
                          <w:rPr>
                            <w:rFonts w:ascii="宋体" w:hAnsi="宋体" w:eastAsia="宋体" w:cs="宋体"/>
                            <w:spacing w:val="-1"/>
                            <w:sz w:val="24"/>
                            <w:szCs w:val="24"/>
                            <w:highlight w:val="none"/>
                          </w:rPr>
                          <w:t>法定代表人身份证</w:t>
                        </w:r>
                        <w:r>
                          <w:rPr>
                            <w:rFonts w:hint="eastAsia" w:ascii="宋体" w:hAnsi="宋体" w:eastAsia="宋体" w:cs="宋体"/>
                            <w:spacing w:val="-1"/>
                            <w:sz w:val="24"/>
                            <w:szCs w:val="24"/>
                            <w:highlight w:val="none"/>
                            <w:lang w:val="en-US" w:eastAsia="zh-CN"/>
                          </w:rPr>
                          <w:t>扫描件</w:t>
                        </w:r>
                        <w:r>
                          <w:rPr>
                            <w:rFonts w:ascii="宋体" w:hAnsi="宋体" w:eastAsia="宋体" w:cs="宋体"/>
                            <w:spacing w:val="-1"/>
                            <w:sz w:val="24"/>
                            <w:szCs w:val="24"/>
                            <w:highlight w:val="none"/>
                          </w:rPr>
                          <w:t>正、反面</w:t>
                        </w:r>
                      </w:p>
                    </w:txbxContent>
                  </v:textbox>
                </v:shape>
                <w10:wrap type="none"/>
                <w10:anchorlock/>
              </v:group>
            </w:pict>
          </mc:Fallback>
        </mc:AlternateContent>
      </w:r>
    </w:p>
    <w:p w14:paraId="2BB2EBC8">
      <w:pPr>
        <w:keepNext w:val="0"/>
        <w:keepLines w:val="0"/>
        <w:pageBreakBefore w:val="0"/>
        <w:wordWrap w:val="0"/>
        <w:overflowPunct/>
        <w:topLinePunct w:val="0"/>
        <w:bidi w:val="0"/>
        <w:spacing w:line="2510" w:lineRule="exact"/>
        <w:rPr>
          <w:rFonts w:hint="eastAsia" w:ascii="宋体" w:hAnsi="宋体" w:eastAsia="宋体" w:cs="宋体"/>
          <w:color w:val="000000" w:themeColor="text1"/>
          <w:spacing w:val="0"/>
          <w:highlight w:val="none"/>
          <w14:textFill>
            <w14:solidFill>
              <w14:schemeClr w14:val="tx1"/>
            </w14:solidFill>
          </w14:textFill>
        </w:rPr>
        <w:sectPr>
          <w:footerReference r:id="rId18"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2DAF3FC7">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42" w:name="_Toc12961"/>
      <w:r>
        <w:rPr>
          <w:rFonts w:hint="eastAsia" w:ascii="宋体" w:hAnsi="宋体" w:eastAsia="宋体" w:cs="宋体"/>
          <w:b/>
          <w:bCs/>
          <w:color w:val="000000" w:themeColor="text1"/>
          <w:spacing w:val="0"/>
          <w:sz w:val="24"/>
          <w:szCs w:val="24"/>
          <w:highlight w:val="none"/>
          <w14:textFill>
            <w14:solidFill>
              <w14:schemeClr w14:val="tx1"/>
            </w14:solidFill>
          </w14:textFill>
        </w:rPr>
        <w:t>格式六 联合体协议书</w:t>
      </w:r>
      <w:bookmarkEnd w:id="242"/>
    </w:p>
    <w:p w14:paraId="7EE6374E">
      <w:pPr>
        <w:keepNext w:val="0"/>
        <w:keepLines w:val="0"/>
        <w:pageBreakBefore w:val="0"/>
        <w:wordWrap w:val="0"/>
        <w:overflowPunct/>
        <w:topLinePunct w:val="0"/>
        <w:bidi w:val="0"/>
        <w:spacing w:before="98" w:line="219" w:lineRule="auto"/>
        <w:ind w:left="3638"/>
        <w:rPr>
          <w:rFonts w:hint="eastAsia" w:ascii="宋体" w:hAnsi="宋体" w:eastAsia="宋体" w:cs="宋体"/>
          <w:color w:val="000000" w:themeColor="text1"/>
          <w:spacing w:val="0"/>
          <w:sz w:val="30"/>
          <w:szCs w:val="30"/>
          <w:highlight w:val="none"/>
          <w14:textFill>
            <w14:solidFill>
              <w14:schemeClr w14:val="tx1"/>
            </w14:solidFill>
          </w14:textFill>
        </w:rPr>
      </w:pPr>
      <w:bookmarkStart w:id="243" w:name="bookmark153"/>
      <w:bookmarkEnd w:id="243"/>
      <w:r>
        <w:rPr>
          <w:rFonts w:hint="eastAsia" w:ascii="宋体" w:hAnsi="宋体" w:eastAsia="宋体" w:cs="宋体"/>
          <w:b/>
          <w:bCs/>
          <w:color w:val="000000" w:themeColor="text1"/>
          <w:spacing w:val="0"/>
          <w:sz w:val="30"/>
          <w:szCs w:val="30"/>
          <w:highlight w:val="none"/>
          <w14:textFill>
            <w14:solidFill>
              <w14:schemeClr w14:val="tx1"/>
            </w14:solidFill>
          </w14:textFill>
        </w:rPr>
        <w:t>联合体协议书</w:t>
      </w:r>
    </w:p>
    <w:p w14:paraId="66B66C30">
      <w:pPr>
        <w:pStyle w:val="5"/>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000000" w:themeColor="text1"/>
          <w:spacing w:val="0"/>
          <w:highlight w:val="none"/>
          <w14:textFill>
            <w14:solidFill>
              <w14:schemeClr w14:val="tx1"/>
            </w14:solidFill>
          </w14:textFill>
        </w:rPr>
      </w:pPr>
    </w:p>
    <w:p w14:paraId="2B0D39DC">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牵头人名称： </w:t>
      </w:r>
    </w:p>
    <w:p w14:paraId="0F9C623A">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法定代表人： </w:t>
      </w:r>
    </w:p>
    <w:p w14:paraId="61337983">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法定住所：</w:t>
      </w:r>
    </w:p>
    <w:p w14:paraId="0B7EEC45">
      <w:pPr>
        <w:keepNext w:val="0"/>
        <w:keepLines w:val="0"/>
        <w:pageBreakBefore w:val="0"/>
        <w:wordWrap w:val="0"/>
        <w:overflowPunct/>
        <w:topLinePunct w:val="0"/>
        <w:bidi w:val="0"/>
        <w:outlineLvl w:val="9"/>
        <w:rPr>
          <w:rFonts w:hint="eastAsia" w:ascii="宋体" w:hAnsi="宋体" w:eastAsia="宋体" w:cs="宋体"/>
          <w:color w:val="000000" w:themeColor="text1"/>
          <w:spacing w:val="0"/>
          <w:highlight w:val="none"/>
          <w14:textFill>
            <w14:solidFill>
              <w14:schemeClr w14:val="tx1"/>
            </w14:solidFill>
          </w14:textFill>
        </w:rPr>
      </w:pPr>
    </w:p>
    <w:p w14:paraId="207AD2AE">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成员二名称： </w:t>
      </w:r>
    </w:p>
    <w:p w14:paraId="35C3774A">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法定代表人： </w:t>
      </w:r>
    </w:p>
    <w:p w14:paraId="4A1D6D63">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法定住所：</w:t>
      </w:r>
    </w:p>
    <w:p w14:paraId="7C0F8432">
      <w:pPr>
        <w:keepNext w:val="0"/>
        <w:keepLines w:val="0"/>
        <w:pageBreakBefore w:val="0"/>
        <w:widowControl/>
        <w:kinsoku w:val="0"/>
        <w:wordWrap w:val="0"/>
        <w:overflowPunct/>
        <w:topLinePunct w:val="0"/>
        <w:autoSpaceDE w:val="0"/>
        <w:autoSpaceDN w:val="0"/>
        <w:bidi w:val="0"/>
        <w:adjustRightInd w:val="0"/>
        <w:snapToGrid w:val="0"/>
        <w:spacing w:before="32" w:line="264" w:lineRule="auto"/>
        <w:ind w:left="436"/>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position w:val="3"/>
          <w:sz w:val="24"/>
          <w:szCs w:val="24"/>
          <w:highlight w:val="none"/>
          <w14:textFill>
            <w14:solidFill>
              <w14:schemeClr w14:val="tx1"/>
            </w14:solidFill>
          </w14:textFill>
        </w:rPr>
        <w:t>……</w:t>
      </w:r>
    </w:p>
    <w:p w14:paraId="09D55383">
      <w:pPr>
        <w:keepNext w:val="0"/>
        <w:keepLines w:val="0"/>
        <w:pageBreakBefore w:val="0"/>
        <w:widowControl/>
        <w:kinsoku w:val="0"/>
        <w:wordWrap w:val="0"/>
        <w:overflowPunct/>
        <w:topLinePunct w:val="0"/>
        <w:autoSpaceDE w:val="0"/>
        <w:autoSpaceDN w:val="0"/>
        <w:bidi w:val="0"/>
        <w:adjustRightInd w:val="0"/>
        <w:snapToGrid w:val="0"/>
        <w:spacing w:before="61" w:line="264" w:lineRule="auto"/>
        <w:ind w:firstLine="422"/>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上述各成员单位经过友好协商，自愿组成联合体，共同参加（项目名称）（以下简 称“本项目 ”）的施工投标并争取赢得本项目施工承包合同（以下简称合同）。现就联合体投标事宜订立如下协议：</w:t>
      </w:r>
    </w:p>
    <w:p w14:paraId="470AEF9A">
      <w:pPr>
        <w:keepNext w:val="0"/>
        <w:keepLines w:val="0"/>
        <w:pageBreakBefore w:val="0"/>
        <w:widowControl/>
        <w:kinsoku w:val="0"/>
        <w:wordWrap w:val="0"/>
        <w:overflowPunct/>
        <w:topLinePunct w:val="0"/>
        <w:autoSpaceDE w:val="0"/>
        <w:autoSpaceDN w:val="0"/>
        <w:bidi w:val="0"/>
        <w:adjustRightInd w:val="0"/>
        <w:snapToGrid w:val="0"/>
        <w:spacing w:before="33" w:line="264" w:lineRule="auto"/>
        <w:ind w:left="499"/>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 ．（某成员单位名称）为联合体牵头人。</w:t>
      </w:r>
    </w:p>
    <w:p w14:paraId="01E61A89">
      <w:pPr>
        <w:keepNext w:val="0"/>
        <w:keepLines w:val="0"/>
        <w:pageBreakBefore w:val="0"/>
        <w:widowControl/>
        <w:kinsoku w:val="0"/>
        <w:wordWrap w:val="0"/>
        <w:overflowPunct/>
        <w:topLinePunct w:val="0"/>
        <w:autoSpaceDE w:val="0"/>
        <w:autoSpaceDN w:val="0"/>
        <w:bidi w:val="0"/>
        <w:adjustRightInd w:val="0"/>
        <w:snapToGrid w:val="0"/>
        <w:spacing w:before="156" w:line="264" w:lineRule="auto"/>
        <w:ind w:left="1" w:firstLine="474"/>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 ．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14:paraId="1F9A22CE">
      <w:pPr>
        <w:keepNext w:val="0"/>
        <w:keepLines w:val="0"/>
        <w:pageBreakBefore w:val="0"/>
        <w:widowControl/>
        <w:kinsoku w:val="0"/>
        <w:wordWrap w:val="0"/>
        <w:overflowPunct/>
        <w:topLinePunct w:val="0"/>
        <w:autoSpaceDE w:val="0"/>
        <w:autoSpaceDN w:val="0"/>
        <w:bidi w:val="0"/>
        <w:adjustRightInd w:val="0"/>
        <w:snapToGrid w:val="0"/>
        <w:spacing w:before="153" w:line="264" w:lineRule="auto"/>
        <w:ind w:left="2" w:firstLine="478"/>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 ．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4ADCDF28">
      <w:pPr>
        <w:keepNext w:val="0"/>
        <w:keepLines w:val="0"/>
        <w:pageBreakBefore w:val="0"/>
        <w:widowControl/>
        <w:kinsoku w:val="0"/>
        <w:wordWrap w:val="0"/>
        <w:overflowPunct/>
        <w:topLinePunct w:val="0"/>
        <w:autoSpaceDE w:val="0"/>
        <w:autoSpaceDN w:val="0"/>
        <w:bidi w:val="0"/>
        <w:adjustRightInd w:val="0"/>
        <w:snapToGrid w:val="0"/>
        <w:spacing w:before="154" w:line="264" w:lineRule="auto"/>
        <w:ind w:left="475"/>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244" w:name="_Toc5365"/>
      <w:bookmarkStart w:id="245" w:name="_Toc32149"/>
      <w:r>
        <w:rPr>
          <w:rFonts w:hint="eastAsia" w:ascii="宋体" w:hAnsi="宋体" w:eastAsia="宋体" w:cs="宋体"/>
          <w:color w:val="000000" w:themeColor="text1"/>
          <w:spacing w:val="0"/>
          <w:sz w:val="24"/>
          <w:szCs w:val="24"/>
          <w:highlight w:val="none"/>
          <w14:textFill>
            <w14:solidFill>
              <w14:schemeClr w14:val="tx1"/>
            </w14:solidFill>
          </w14:textFill>
        </w:rPr>
        <w:t>4 ．联合体各成员单位内部的职责分工如下：。</w:t>
      </w:r>
      <w:bookmarkEnd w:id="244"/>
      <w:bookmarkEnd w:id="245"/>
    </w:p>
    <w:p w14:paraId="66972B38">
      <w:pPr>
        <w:keepNext w:val="0"/>
        <w:keepLines w:val="0"/>
        <w:pageBreakBefore w:val="0"/>
        <w:widowControl/>
        <w:kinsoku w:val="0"/>
        <w:wordWrap w:val="0"/>
        <w:overflowPunct/>
        <w:topLinePunct w:val="0"/>
        <w:autoSpaceDE w:val="0"/>
        <w:autoSpaceDN w:val="0"/>
        <w:bidi w:val="0"/>
        <w:adjustRightInd w:val="0"/>
        <w:snapToGrid w:val="0"/>
        <w:spacing w:before="152" w:line="264" w:lineRule="auto"/>
        <w:ind w:right="71" w:firstLine="483"/>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 ．投标工作和联合体在中标后工程实施过程中的有关费用按各自承担的工作量分摊。</w:t>
      </w:r>
    </w:p>
    <w:p w14:paraId="16602AE1">
      <w:pPr>
        <w:keepNext w:val="0"/>
        <w:keepLines w:val="0"/>
        <w:pageBreakBefore w:val="0"/>
        <w:widowControl/>
        <w:kinsoku w:val="0"/>
        <w:wordWrap w:val="0"/>
        <w:overflowPunct/>
        <w:topLinePunct w:val="0"/>
        <w:autoSpaceDE w:val="0"/>
        <w:autoSpaceDN w:val="0"/>
        <w:bidi w:val="0"/>
        <w:adjustRightInd w:val="0"/>
        <w:snapToGrid w:val="0"/>
        <w:spacing w:before="153" w:line="264" w:lineRule="auto"/>
        <w:ind w:left="4" w:right="71" w:firstLine="477"/>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 ．联合体中标后，本联合体协议是合同的附件，对联合体各成员单位有合同约束力。</w:t>
      </w:r>
    </w:p>
    <w:p w14:paraId="4A791BDA">
      <w:pPr>
        <w:keepNext w:val="0"/>
        <w:keepLines w:val="0"/>
        <w:pageBreakBefore w:val="0"/>
        <w:widowControl/>
        <w:kinsoku w:val="0"/>
        <w:wordWrap w:val="0"/>
        <w:overflowPunct/>
        <w:topLinePunct w:val="0"/>
        <w:autoSpaceDE w:val="0"/>
        <w:autoSpaceDN w:val="0"/>
        <w:bidi w:val="0"/>
        <w:adjustRightInd w:val="0"/>
        <w:snapToGrid w:val="0"/>
        <w:spacing w:before="157" w:line="264" w:lineRule="auto"/>
        <w:ind w:left="6" w:right="71" w:firstLine="473"/>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 ．本协议书自签署之日起生效，联合体未中标或者中标时合同履行完毕后自动失效。</w:t>
      </w:r>
    </w:p>
    <w:p w14:paraId="45E52A06">
      <w:pPr>
        <w:keepNext w:val="0"/>
        <w:keepLines w:val="0"/>
        <w:pageBreakBefore w:val="0"/>
        <w:widowControl/>
        <w:kinsoku w:val="0"/>
        <w:wordWrap w:val="0"/>
        <w:overflowPunct/>
        <w:topLinePunct w:val="0"/>
        <w:autoSpaceDE w:val="0"/>
        <w:autoSpaceDN w:val="0"/>
        <w:bidi w:val="0"/>
        <w:adjustRightInd w:val="0"/>
        <w:snapToGrid w:val="0"/>
        <w:spacing w:before="152" w:line="264" w:lineRule="auto"/>
        <w:ind w:left="486"/>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246" w:name="_Toc26708"/>
      <w:bookmarkStart w:id="247" w:name="_Toc22612"/>
      <w:r>
        <w:rPr>
          <w:rFonts w:hint="eastAsia" w:ascii="宋体" w:hAnsi="宋体" w:eastAsia="宋体" w:cs="宋体"/>
          <w:color w:val="000000" w:themeColor="text1"/>
          <w:spacing w:val="0"/>
          <w:sz w:val="24"/>
          <w:szCs w:val="24"/>
          <w:highlight w:val="none"/>
          <w14:textFill>
            <w14:solidFill>
              <w14:schemeClr w14:val="tx1"/>
            </w14:solidFill>
          </w14:textFill>
        </w:rPr>
        <w:t>8 ．本协议书一式份，联合体成员和招标人各执一份。</w:t>
      </w:r>
      <w:bookmarkEnd w:id="246"/>
      <w:bookmarkEnd w:id="247"/>
    </w:p>
    <w:p w14:paraId="7383C992">
      <w:pPr>
        <w:keepNext w:val="0"/>
        <w:keepLines w:val="0"/>
        <w:pageBreakBefore w:val="0"/>
        <w:widowControl/>
        <w:kinsoku w:val="0"/>
        <w:wordWrap w:val="0"/>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bookmarkStart w:id="248" w:name="bookmark154"/>
      <w:bookmarkEnd w:id="248"/>
      <w:r>
        <w:rPr>
          <w:rFonts w:hint="eastAsia" w:ascii="宋体" w:hAnsi="宋体" w:eastAsia="宋体" w:cs="宋体"/>
          <w:color w:val="000000" w:themeColor="text1"/>
          <w:spacing w:val="0"/>
          <w:sz w:val="24"/>
          <w:szCs w:val="24"/>
          <w:highlight w:val="none"/>
          <w14:textFill>
            <w14:solidFill>
              <w14:schemeClr w14:val="tx1"/>
            </w14:solidFill>
          </w14:textFill>
        </w:rPr>
        <w:t>牵头人名称：</w:t>
      </w:r>
      <w:r>
        <w:rPr>
          <w:rFonts w:hint="eastAsia" w:ascii="宋体" w:hAnsi="宋体" w:eastAsia="宋体" w:cs="宋体"/>
          <w:snapToGrid w:val="0"/>
          <w:color w:val="000000" w:themeColor="text1"/>
          <w:spacing w:val="0"/>
          <w:kern w:val="0"/>
          <w:sz w:val="24"/>
          <w:szCs w:val="24"/>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（盖单位章）</w:t>
      </w:r>
    </w:p>
    <w:p w14:paraId="473F3796">
      <w:pPr>
        <w:pStyle w:val="5"/>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000000" w:themeColor="text1"/>
          <w:spacing w:val="0"/>
          <w:highlight w:val="none"/>
          <w14:textFill>
            <w14:solidFill>
              <w14:schemeClr w14:val="tx1"/>
            </w14:solidFill>
          </w14:textFill>
        </w:rPr>
      </w:pPr>
    </w:p>
    <w:p w14:paraId="5326D8EF">
      <w:pPr>
        <w:keepNext w:val="0"/>
        <w:keepLines w:val="0"/>
        <w:pageBreakBefore w:val="0"/>
        <w:widowControl/>
        <w:kinsoku w:val="0"/>
        <w:wordWrap w:val="0"/>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法定代表人或其委托代理人：</w:t>
      </w:r>
      <w:r>
        <w:rPr>
          <w:rFonts w:hint="eastAsia" w:ascii="宋体" w:hAnsi="宋体" w:eastAsia="宋体" w:cs="宋体"/>
          <w:snapToGrid w:val="0"/>
          <w:color w:val="000000" w:themeColor="text1"/>
          <w:spacing w:val="0"/>
          <w:kern w:val="0"/>
          <w:sz w:val="24"/>
          <w:szCs w:val="24"/>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（签字或盖章）</w:t>
      </w:r>
    </w:p>
    <w:p w14:paraId="4A50685C">
      <w:pPr>
        <w:keepNext w:val="0"/>
        <w:keepLines w:val="0"/>
        <w:pageBreakBefore w:val="0"/>
        <w:widowControl/>
        <w:kinsoku w:val="0"/>
        <w:wordWrap w:val="0"/>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成员二名称：</w:t>
      </w:r>
      <w:r>
        <w:rPr>
          <w:rFonts w:hint="eastAsia" w:ascii="宋体" w:hAnsi="宋体" w:eastAsia="宋体" w:cs="宋体"/>
          <w:snapToGrid w:val="0"/>
          <w:color w:val="000000" w:themeColor="text1"/>
          <w:spacing w:val="0"/>
          <w:kern w:val="0"/>
          <w:sz w:val="24"/>
          <w:szCs w:val="24"/>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（盖单位章）</w:t>
      </w:r>
    </w:p>
    <w:p w14:paraId="5B247C4F">
      <w:pPr>
        <w:pStyle w:val="5"/>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000000" w:themeColor="text1"/>
          <w:spacing w:val="0"/>
          <w:highlight w:val="none"/>
          <w14:textFill>
            <w14:solidFill>
              <w14:schemeClr w14:val="tx1"/>
            </w14:solidFill>
          </w14:textFill>
        </w:rPr>
      </w:pPr>
    </w:p>
    <w:p w14:paraId="1EC39C4E">
      <w:pPr>
        <w:keepNext w:val="0"/>
        <w:keepLines w:val="0"/>
        <w:pageBreakBefore w:val="0"/>
        <w:widowControl/>
        <w:kinsoku w:val="0"/>
        <w:wordWrap w:val="0"/>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法定代表人或其委托代理人：</w:t>
      </w:r>
      <w:r>
        <w:rPr>
          <w:rFonts w:hint="eastAsia" w:ascii="宋体" w:hAnsi="宋体" w:eastAsia="宋体" w:cs="宋体"/>
          <w:snapToGrid w:val="0"/>
          <w:color w:val="000000" w:themeColor="text1"/>
          <w:spacing w:val="0"/>
          <w:kern w:val="0"/>
          <w:sz w:val="24"/>
          <w:szCs w:val="24"/>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（签字或盖章）</w:t>
      </w:r>
    </w:p>
    <w:p w14:paraId="2C910984">
      <w:pPr>
        <w:keepNext w:val="0"/>
        <w:keepLines w:val="0"/>
        <w:pageBreakBefore w:val="0"/>
        <w:wordWrap w:val="0"/>
        <w:overflowPunct/>
        <w:topLinePunct w:val="0"/>
        <w:bidi w:val="0"/>
        <w:spacing w:before="78" w:line="220" w:lineRule="auto"/>
        <w:ind w:left="6730"/>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年</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月</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日</w:t>
      </w:r>
    </w:p>
    <w:p w14:paraId="53670306">
      <w:pPr>
        <w:pStyle w:val="5"/>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000000" w:themeColor="text1"/>
          <w:spacing w:val="0"/>
          <w:highlight w:val="none"/>
          <w14:textFill>
            <w14:solidFill>
              <w14:schemeClr w14:val="tx1"/>
            </w14:solidFill>
          </w14:textFill>
        </w:rPr>
      </w:pPr>
    </w:p>
    <w:p w14:paraId="7C2788A4">
      <w:pPr>
        <w:keepNext w:val="0"/>
        <w:keepLines w:val="0"/>
        <w:pageBreakBefore w:val="0"/>
        <w:widowControl/>
        <w:kinsoku w:val="0"/>
        <w:wordWrap w:val="0"/>
        <w:overflowPunct/>
        <w:topLinePunct w:val="0"/>
        <w:autoSpaceDE w:val="0"/>
        <w:autoSpaceDN w:val="0"/>
        <w:bidi w:val="0"/>
        <w:adjustRightInd w:val="0"/>
        <w:snapToGrid w:val="0"/>
        <w:spacing w:before="65" w:line="264" w:lineRule="auto"/>
        <w:ind w:right="22"/>
        <w:jc w:val="both"/>
        <w:textAlignment w:val="baseline"/>
        <w:rPr>
          <w:rFonts w:hint="eastAsia" w:ascii="宋体" w:hAnsi="宋体" w:eastAsia="宋体" w:cs="宋体"/>
          <w:color w:val="000000" w:themeColor="text1"/>
          <w:spacing w:val="0"/>
          <w:sz w:val="20"/>
          <w:szCs w:val="20"/>
          <w:highlight w:val="none"/>
          <w14:textFill>
            <w14:solidFill>
              <w14:schemeClr w14:val="tx1"/>
            </w14:solidFill>
          </w14:textFill>
        </w:rPr>
      </w:pPr>
      <w:r>
        <w:rPr>
          <w:rFonts w:hint="eastAsia" w:ascii="宋体" w:hAnsi="宋体" w:eastAsia="宋体" w:cs="宋体"/>
          <w:color w:val="000000" w:themeColor="text1"/>
          <w:spacing w:val="0"/>
          <w:sz w:val="20"/>
          <w:szCs w:val="20"/>
          <w:highlight w:val="none"/>
          <w14:textFill>
            <w14:solidFill>
              <w14:schemeClr w14:val="tx1"/>
            </w14:solidFill>
          </w14:textFill>
        </w:rPr>
        <w:t>说明：《联合体协议书》 由委托代理人签字或盖章的，应附法定代表人签字或盖章的授权委托书。</w:t>
      </w:r>
    </w:p>
    <w:p w14:paraId="1A78BC6F">
      <w:pPr>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000000" w:themeColor="text1"/>
          <w:spacing w:val="0"/>
          <w:sz w:val="20"/>
          <w:szCs w:val="20"/>
          <w:highlight w:val="none"/>
          <w14:textFill>
            <w14:solidFill>
              <w14:schemeClr w14:val="tx1"/>
            </w14:solidFill>
          </w14:textFill>
        </w:rPr>
        <w:sectPr>
          <w:footerReference r:id="rId19"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529AF8C9">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49" w:name="_Toc29268"/>
      <w:r>
        <w:rPr>
          <w:rFonts w:hint="eastAsia" w:ascii="宋体" w:hAnsi="宋体" w:eastAsia="宋体" w:cs="宋体"/>
          <w:b/>
          <w:bCs/>
          <w:color w:val="000000" w:themeColor="text1"/>
          <w:spacing w:val="0"/>
          <w:sz w:val="24"/>
          <w:szCs w:val="24"/>
          <w:highlight w:val="none"/>
          <w14:textFill>
            <w14:solidFill>
              <w14:schemeClr w14:val="tx1"/>
            </w14:solidFill>
          </w14:textFill>
        </w:rPr>
        <w:t>格式七 投标人基本情况表</w:t>
      </w:r>
      <w:bookmarkEnd w:id="249"/>
    </w:p>
    <w:p w14:paraId="3C060929">
      <w:pPr>
        <w:keepNext w:val="0"/>
        <w:keepLines w:val="0"/>
        <w:pageBreakBefore w:val="0"/>
        <w:wordWrap w:val="0"/>
        <w:overflowPunct/>
        <w:topLinePunct w:val="0"/>
        <w:bidi w:val="0"/>
        <w:spacing w:before="333" w:line="219" w:lineRule="auto"/>
        <w:ind w:left="3350"/>
        <w:rPr>
          <w:rFonts w:hint="eastAsia" w:ascii="宋体" w:hAnsi="宋体" w:eastAsia="宋体" w:cs="宋体"/>
          <w:color w:val="000000" w:themeColor="text1"/>
          <w:spacing w:val="0"/>
          <w:sz w:val="30"/>
          <w:szCs w:val="30"/>
          <w:highlight w:val="none"/>
          <w14:textFill>
            <w14:solidFill>
              <w14:schemeClr w14:val="tx1"/>
            </w14:solidFill>
          </w14:textFill>
        </w:rPr>
      </w:pPr>
      <w:r>
        <w:rPr>
          <w:rFonts w:hint="eastAsia" w:ascii="宋体" w:hAnsi="宋体" w:eastAsia="宋体" w:cs="宋体"/>
          <w:b/>
          <w:bCs/>
          <w:color w:val="000000" w:themeColor="text1"/>
          <w:spacing w:val="0"/>
          <w:sz w:val="30"/>
          <w:szCs w:val="30"/>
          <w:highlight w:val="none"/>
          <w14:textFill>
            <w14:solidFill>
              <w14:schemeClr w14:val="tx1"/>
            </w14:solidFill>
          </w14:textFill>
        </w:rPr>
        <w:t>投标人基本情况表</w:t>
      </w:r>
    </w:p>
    <w:p w14:paraId="06DA9422">
      <w:pPr>
        <w:keepNext w:val="0"/>
        <w:keepLines w:val="0"/>
        <w:pageBreakBefore w:val="0"/>
        <w:wordWrap w:val="0"/>
        <w:overflowPunct/>
        <w:topLinePunct w:val="0"/>
        <w:bidi w:val="0"/>
        <w:spacing w:line="239" w:lineRule="exact"/>
        <w:rPr>
          <w:rFonts w:hint="eastAsia" w:ascii="宋体" w:hAnsi="宋体" w:eastAsia="宋体" w:cs="宋体"/>
          <w:color w:val="000000" w:themeColor="text1"/>
          <w:spacing w:val="0"/>
          <w:highlight w:val="none"/>
          <w14:textFill>
            <w14:solidFill>
              <w14:schemeClr w14:val="tx1"/>
            </w14:solidFill>
          </w14:textFill>
        </w:rPr>
      </w:pPr>
    </w:p>
    <w:tbl>
      <w:tblPr>
        <w:tblStyle w:val="14"/>
        <w:tblW w:w="9259" w:type="dxa"/>
        <w:tblInd w:w="28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20"/>
        <w:gridCol w:w="975"/>
        <w:gridCol w:w="1837"/>
        <w:gridCol w:w="872"/>
        <w:gridCol w:w="311"/>
        <w:gridCol w:w="1043"/>
        <w:gridCol w:w="283"/>
        <w:gridCol w:w="770"/>
        <w:gridCol w:w="1548"/>
      </w:tblGrid>
      <w:tr w14:paraId="033E4A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0" w:hRule="atLeast"/>
        </w:trPr>
        <w:tc>
          <w:tcPr>
            <w:tcW w:w="1620" w:type="dxa"/>
            <w:vAlign w:val="center"/>
          </w:tcPr>
          <w:p w14:paraId="74A7C5BF">
            <w:pPr>
              <w:keepNext w:val="0"/>
              <w:keepLines w:val="0"/>
              <w:pageBreakBefore w:val="0"/>
              <w:widowControl/>
              <w:kinsoku w:val="0"/>
              <w:wordWrap w:val="0"/>
              <w:overflowPunct/>
              <w:topLinePunct w:val="0"/>
              <w:autoSpaceDE w:val="0"/>
              <w:autoSpaceDN w:val="0"/>
              <w:bidi w:val="0"/>
              <w:adjustRightInd w:val="0"/>
              <w:snapToGrid w:val="0"/>
              <w:spacing w:before="149"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投标人名称</w:t>
            </w:r>
          </w:p>
        </w:tc>
        <w:tc>
          <w:tcPr>
            <w:tcW w:w="7639" w:type="dxa"/>
            <w:gridSpan w:val="8"/>
            <w:vAlign w:val="center"/>
          </w:tcPr>
          <w:p w14:paraId="0DB2A2CE">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2F10F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65451CF9">
            <w:pPr>
              <w:keepNext w:val="0"/>
              <w:keepLines w:val="0"/>
              <w:pageBreakBefore w:val="0"/>
              <w:widowControl/>
              <w:kinsoku w:val="0"/>
              <w:wordWrap w:val="0"/>
              <w:overflowPunct/>
              <w:topLinePunct w:val="0"/>
              <w:autoSpaceDE w:val="0"/>
              <w:autoSpaceDN w:val="0"/>
              <w:bidi w:val="0"/>
              <w:adjustRightInd w:val="0"/>
              <w:snapToGrid w:val="0"/>
              <w:spacing w:before="144"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注册地址</w:t>
            </w:r>
          </w:p>
        </w:tc>
        <w:tc>
          <w:tcPr>
            <w:tcW w:w="3684" w:type="dxa"/>
            <w:gridSpan w:val="3"/>
            <w:vAlign w:val="center"/>
          </w:tcPr>
          <w:p w14:paraId="7BF1DE63">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54" w:type="dxa"/>
            <w:gridSpan w:val="2"/>
            <w:vAlign w:val="center"/>
          </w:tcPr>
          <w:p w14:paraId="6E7F119C">
            <w:pPr>
              <w:keepNext w:val="0"/>
              <w:keepLines w:val="0"/>
              <w:pageBreakBefore w:val="0"/>
              <w:widowControl/>
              <w:kinsoku w:val="0"/>
              <w:wordWrap w:val="0"/>
              <w:overflowPunct/>
              <w:topLinePunct w:val="0"/>
              <w:autoSpaceDE w:val="0"/>
              <w:autoSpaceDN w:val="0"/>
              <w:bidi w:val="0"/>
              <w:adjustRightInd w:val="0"/>
              <w:snapToGrid w:val="0"/>
              <w:spacing w:before="144" w:line="228"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邮政编码</w:t>
            </w:r>
          </w:p>
        </w:tc>
        <w:tc>
          <w:tcPr>
            <w:tcW w:w="2601" w:type="dxa"/>
            <w:gridSpan w:val="3"/>
            <w:vAlign w:val="center"/>
          </w:tcPr>
          <w:p w14:paraId="047A44F3">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5D48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Merge w:val="restart"/>
            <w:tcBorders>
              <w:bottom w:val="nil"/>
            </w:tcBorders>
            <w:vAlign w:val="center"/>
          </w:tcPr>
          <w:p w14:paraId="0F6ED57E">
            <w:pPr>
              <w:keepNext w:val="0"/>
              <w:keepLines w:val="0"/>
              <w:pageBreakBefore w:val="0"/>
              <w:widowControl/>
              <w:kinsoku w:val="0"/>
              <w:wordWrap w:val="0"/>
              <w:overflowPunct/>
              <w:topLinePunct w:val="0"/>
              <w:autoSpaceDE w:val="0"/>
              <w:autoSpaceDN w:val="0"/>
              <w:bidi w:val="0"/>
              <w:adjustRightInd w:val="0"/>
              <w:snapToGrid w:val="0"/>
              <w:spacing w:before="65"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联系方式</w:t>
            </w:r>
          </w:p>
        </w:tc>
        <w:tc>
          <w:tcPr>
            <w:tcW w:w="975" w:type="dxa"/>
            <w:vAlign w:val="center"/>
          </w:tcPr>
          <w:p w14:paraId="33FA9D06">
            <w:pPr>
              <w:keepNext w:val="0"/>
              <w:keepLines w:val="0"/>
              <w:pageBreakBefore w:val="0"/>
              <w:widowControl/>
              <w:kinsoku w:val="0"/>
              <w:wordWrap w:val="0"/>
              <w:overflowPunct/>
              <w:topLinePunct w:val="0"/>
              <w:autoSpaceDE w:val="0"/>
              <w:autoSpaceDN w:val="0"/>
              <w:bidi w:val="0"/>
              <w:adjustRightInd w:val="0"/>
              <w:snapToGrid w:val="0"/>
              <w:spacing w:before="145" w:line="231"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联系人</w:t>
            </w:r>
          </w:p>
        </w:tc>
        <w:tc>
          <w:tcPr>
            <w:tcW w:w="2709" w:type="dxa"/>
            <w:gridSpan w:val="2"/>
            <w:vAlign w:val="center"/>
          </w:tcPr>
          <w:p w14:paraId="3A1A86D3">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54" w:type="dxa"/>
            <w:gridSpan w:val="2"/>
            <w:vAlign w:val="center"/>
          </w:tcPr>
          <w:p w14:paraId="68D00D84">
            <w:pPr>
              <w:keepNext w:val="0"/>
              <w:keepLines w:val="0"/>
              <w:pageBreakBefore w:val="0"/>
              <w:widowControl/>
              <w:kinsoku w:val="0"/>
              <w:wordWrap w:val="0"/>
              <w:overflowPunct/>
              <w:topLinePunct w:val="0"/>
              <w:autoSpaceDE w:val="0"/>
              <w:autoSpaceDN w:val="0"/>
              <w:bidi w:val="0"/>
              <w:adjustRightInd w:val="0"/>
              <w:snapToGrid w:val="0"/>
              <w:spacing w:before="145" w:line="231"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电  话</w:t>
            </w:r>
          </w:p>
        </w:tc>
        <w:tc>
          <w:tcPr>
            <w:tcW w:w="2601" w:type="dxa"/>
            <w:gridSpan w:val="3"/>
            <w:vAlign w:val="center"/>
          </w:tcPr>
          <w:p w14:paraId="478BD977">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EE24B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Merge w:val="continue"/>
            <w:tcBorders>
              <w:top w:val="nil"/>
            </w:tcBorders>
            <w:vAlign w:val="center"/>
          </w:tcPr>
          <w:p w14:paraId="7E9A5F01">
            <w:pPr>
              <w:pStyle w:val="27"/>
              <w:keepNext w:val="0"/>
              <w:keepLines w:val="0"/>
              <w:pageBreakBefore w:val="0"/>
              <w:widowControl/>
              <w:kinsoku w:val="0"/>
              <w:wordWrap w:val="0"/>
              <w:overflowPunct/>
              <w:topLinePunct w:val="0"/>
              <w:autoSpaceDE w:val="0"/>
              <w:autoSpaceDN w:val="0"/>
              <w:bidi w:val="0"/>
              <w:adjustRightInd w:val="0"/>
              <w:snapToGrid w:val="0"/>
              <w:spacing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975" w:type="dxa"/>
            <w:vAlign w:val="center"/>
          </w:tcPr>
          <w:p w14:paraId="04A5A850">
            <w:pPr>
              <w:keepNext w:val="0"/>
              <w:keepLines w:val="0"/>
              <w:pageBreakBefore w:val="0"/>
              <w:widowControl/>
              <w:kinsoku w:val="0"/>
              <w:wordWrap w:val="0"/>
              <w:overflowPunct/>
              <w:topLinePunct w:val="0"/>
              <w:autoSpaceDE w:val="0"/>
              <w:autoSpaceDN w:val="0"/>
              <w:bidi w:val="0"/>
              <w:adjustRightInd w:val="0"/>
              <w:snapToGrid w:val="0"/>
              <w:spacing w:before="143" w:line="228"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传  真</w:t>
            </w:r>
          </w:p>
        </w:tc>
        <w:tc>
          <w:tcPr>
            <w:tcW w:w="2709" w:type="dxa"/>
            <w:gridSpan w:val="2"/>
            <w:vAlign w:val="center"/>
          </w:tcPr>
          <w:p w14:paraId="408C0231">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54" w:type="dxa"/>
            <w:gridSpan w:val="2"/>
            <w:vAlign w:val="center"/>
          </w:tcPr>
          <w:p w14:paraId="7C350B75">
            <w:pPr>
              <w:keepNext w:val="0"/>
              <w:keepLines w:val="0"/>
              <w:pageBreakBefore w:val="0"/>
              <w:widowControl/>
              <w:kinsoku w:val="0"/>
              <w:wordWrap w:val="0"/>
              <w:overflowPunct/>
              <w:topLinePunct w:val="0"/>
              <w:autoSpaceDE w:val="0"/>
              <w:autoSpaceDN w:val="0"/>
              <w:bidi w:val="0"/>
              <w:adjustRightInd w:val="0"/>
              <w:snapToGrid w:val="0"/>
              <w:spacing w:before="144" w:line="229"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电子邮箱</w:t>
            </w:r>
          </w:p>
        </w:tc>
        <w:tc>
          <w:tcPr>
            <w:tcW w:w="2601" w:type="dxa"/>
            <w:gridSpan w:val="3"/>
            <w:vAlign w:val="center"/>
          </w:tcPr>
          <w:p w14:paraId="717515D4">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0C3FC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233F0792">
            <w:pPr>
              <w:keepNext w:val="0"/>
              <w:keepLines w:val="0"/>
              <w:pageBreakBefore w:val="0"/>
              <w:widowControl/>
              <w:kinsoku w:val="0"/>
              <w:wordWrap w:val="0"/>
              <w:overflowPunct/>
              <w:topLinePunct w:val="0"/>
              <w:autoSpaceDE w:val="0"/>
              <w:autoSpaceDN w:val="0"/>
              <w:bidi w:val="0"/>
              <w:adjustRightInd w:val="0"/>
              <w:snapToGrid w:val="0"/>
              <w:spacing w:before="145"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单位性质</w:t>
            </w:r>
          </w:p>
        </w:tc>
        <w:tc>
          <w:tcPr>
            <w:tcW w:w="7639" w:type="dxa"/>
            <w:gridSpan w:val="8"/>
            <w:vAlign w:val="center"/>
          </w:tcPr>
          <w:p w14:paraId="434E07A5">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C1E85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78583C86">
            <w:pPr>
              <w:keepNext w:val="0"/>
              <w:keepLines w:val="0"/>
              <w:pageBreakBefore w:val="0"/>
              <w:widowControl/>
              <w:kinsoku w:val="0"/>
              <w:wordWrap w:val="0"/>
              <w:overflowPunct/>
              <w:topLinePunct w:val="0"/>
              <w:autoSpaceDE w:val="0"/>
              <w:autoSpaceDN w:val="0"/>
              <w:bidi w:val="0"/>
              <w:adjustRightInd w:val="0"/>
              <w:snapToGrid w:val="0"/>
              <w:spacing w:before="144"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w:t>
            </w:r>
          </w:p>
        </w:tc>
        <w:tc>
          <w:tcPr>
            <w:tcW w:w="975" w:type="dxa"/>
            <w:vAlign w:val="center"/>
          </w:tcPr>
          <w:p w14:paraId="2CF8127D">
            <w:pPr>
              <w:keepNext w:val="0"/>
              <w:keepLines w:val="0"/>
              <w:pageBreakBefore w:val="0"/>
              <w:widowControl/>
              <w:kinsoku w:val="0"/>
              <w:wordWrap w:val="0"/>
              <w:overflowPunct/>
              <w:topLinePunct w:val="0"/>
              <w:autoSpaceDE w:val="0"/>
              <w:autoSpaceDN w:val="0"/>
              <w:bidi w:val="0"/>
              <w:adjustRightInd w:val="0"/>
              <w:snapToGrid w:val="0"/>
              <w:spacing w:before="144" w:line="228"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姓名</w:t>
            </w:r>
          </w:p>
        </w:tc>
        <w:tc>
          <w:tcPr>
            <w:tcW w:w="1837" w:type="dxa"/>
            <w:vAlign w:val="center"/>
          </w:tcPr>
          <w:p w14:paraId="55F10CB7">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183" w:type="dxa"/>
            <w:gridSpan w:val="2"/>
            <w:vAlign w:val="center"/>
          </w:tcPr>
          <w:p w14:paraId="1248557B">
            <w:pPr>
              <w:keepNext w:val="0"/>
              <w:keepLines w:val="0"/>
              <w:pageBreakBefore w:val="0"/>
              <w:widowControl/>
              <w:kinsoku w:val="0"/>
              <w:wordWrap w:val="0"/>
              <w:overflowPunct/>
              <w:topLinePunct w:val="0"/>
              <w:autoSpaceDE w:val="0"/>
              <w:autoSpaceDN w:val="0"/>
              <w:bidi w:val="0"/>
              <w:adjustRightInd w:val="0"/>
              <w:snapToGrid w:val="0"/>
              <w:spacing w:before="144" w:line="228"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技术职称</w:t>
            </w:r>
          </w:p>
        </w:tc>
        <w:tc>
          <w:tcPr>
            <w:tcW w:w="1326" w:type="dxa"/>
            <w:gridSpan w:val="2"/>
            <w:vAlign w:val="center"/>
          </w:tcPr>
          <w:p w14:paraId="345CCE79">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770" w:type="dxa"/>
            <w:vAlign w:val="center"/>
          </w:tcPr>
          <w:p w14:paraId="63CA2C03">
            <w:pPr>
              <w:keepNext w:val="0"/>
              <w:keepLines w:val="0"/>
              <w:pageBreakBefore w:val="0"/>
              <w:widowControl/>
              <w:kinsoku w:val="0"/>
              <w:wordWrap w:val="0"/>
              <w:overflowPunct/>
              <w:topLinePunct w:val="0"/>
              <w:autoSpaceDE w:val="0"/>
              <w:autoSpaceDN w:val="0"/>
              <w:bidi w:val="0"/>
              <w:adjustRightInd w:val="0"/>
              <w:snapToGrid w:val="0"/>
              <w:spacing w:before="143" w:line="231"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电话</w:t>
            </w:r>
          </w:p>
        </w:tc>
        <w:tc>
          <w:tcPr>
            <w:tcW w:w="1548" w:type="dxa"/>
            <w:vAlign w:val="center"/>
          </w:tcPr>
          <w:p w14:paraId="21775F23">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C9B2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2AB30980">
            <w:pPr>
              <w:keepNext w:val="0"/>
              <w:keepLines w:val="0"/>
              <w:pageBreakBefore w:val="0"/>
              <w:widowControl/>
              <w:kinsoku w:val="0"/>
              <w:wordWrap w:val="0"/>
              <w:overflowPunct/>
              <w:topLinePunct w:val="0"/>
              <w:autoSpaceDE w:val="0"/>
              <w:autoSpaceDN w:val="0"/>
              <w:bidi w:val="0"/>
              <w:adjustRightInd w:val="0"/>
              <w:snapToGrid w:val="0"/>
              <w:spacing w:before="145"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成立时间</w:t>
            </w:r>
          </w:p>
        </w:tc>
        <w:tc>
          <w:tcPr>
            <w:tcW w:w="2812" w:type="dxa"/>
            <w:gridSpan w:val="2"/>
            <w:vAlign w:val="center"/>
          </w:tcPr>
          <w:p w14:paraId="1528A619">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4827" w:type="dxa"/>
            <w:gridSpan w:val="6"/>
            <w:vAlign w:val="center"/>
          </w:tcPr>
          <w:p w14:paraId="29648EC6">
            <w:pPr>
              <w:keepNext w:val="0"/>
              <w:keepLines w:val="0"/>
              <w:pageBreakBefore w:val="0"/>
              <w:widowControl/>
              <w:kinsoku w:val="0"/>
              <w:wordWrap w:val="0"/>
              <w:overflowPunct/>
              <w:topLinePunct w:val="0"/>
              <w:autoSpaceDE w:val="0"/>
              <w:autoSpaceDN w:val="0"/>
              <w:bidi w:val="0"/>
              <w:adjustRightInd w:val="0"/>
              <w:snapToGrid w:val="0"/>
              <w:spacing w:before="145" w:line="228"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员工总人数（个）：</w:t>
            </w:r>
          </w:p>
        </w:tc>
      </w:tr>
      <w:tr w14:paraId="1639BB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554FA43F">
            <w:pPr>
              <w:keepNext w:val="0"/>
              <w:keepLines w:val="0"/>
              <w:pageBreakBefore w:val="0"/>
              <w:widowControl/>
              <w:kinsoku w:val="0"/>
              <w:wordWrap w:val="0"/>
              <w:overflowPunct/>
              <w:topLinePunct w:val="0"/>
              <w:autoSpaceDE w:val="0"/>
              <w:autoSpaceDN w:val="0"/>
              <w:bidi w:val="0"/>
              <w:adjustRightInd w:val="0"/>
              <w:snapToGrid w:val="0"/>
              <w:spacing w:before="61"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企业资质  </w:t>
            </w:r>
          </w:p>
          <w:p w14:paraId="4BDC0C8F">
            <w:pPr>
              <w:keepNext w:val="0"/>
              <w:keepLines w:val="0"/>
              <w:pageBreakBefore w:val="0"/>
              <w:widowControl/>
              <w:kinsoku w:val="0"/>
              <w:wordWrap w:val="0"/>
              <w:overflowPunct/>
              <w:topLinePunct w:val="0"/>
              <w:autoSpaceDE w:val="0"/>
              <w:autoSpaceDN w:val="0"/>
              <w:bidi w:val="0"/>
              <w:adjustRightInd w:val="0"/>
              <w:snapToGrid w:val="0"/>
              <w:spacing w:before="61"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类型和等级</w:t>
            </w:r>
          </w:p>
        </w:tc>
        <w:tc>
          <w:tcPr>
            <w:tcW w:w="2812" w:type="dxa"/>
            <w:gridSpan w:val="2"/>
            <w:vAlign w:val="center"/>
          </w:tcPr>
          <w:p w14:paraId="177F1066">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183" w:type="dxa"/>
            <w:gridSpan w:val="2"/>
            <w:vMerge w:val="restart"/>
            <w:tcBorders>
              <w:bottom w:val="nil"/>
            </w:tcBorders>
            <w:vAlign w:val="center"/>
          </w:tcPr>
          <w:p w14:paraId="102DBC66">
            <w:pPr>
              <w:keepNext w:val="0"/>
              <w:keepLines w:val="0"/>
              <w:pageBreakBefore w:val="0"/>
              <w:widowControl/>
              <w:kinsoku w:val="0"/>
              <w:wordWrap w:val="0"/>
              <w:overflowPunct/>
              <w:topLinePunct w:val="0"/>
              <w:autoSpaceDE w:val="0"/>
              <w:autoSpaceDN w:val="0"/>
              <w:bidi w:val="0"/>
              <w:adjustRightInd w:val="0"/>
              <w:snapToGrid w:val="0"/>
              <w:spacing w:before="65" w:line="229"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其中</w:t>
            </w:r>
          </w:p>
        </w:tc>
        <w:tc>
          <w:tcPr>
            <w:tcW w:w="2096" w:type="dxa"/>
            <w:gridSpan w:val="3"/>
            <w:vAlign w:val="center"/>
          </w:tcPr>
          <w:p w14:paraId="2278305A">
            <w:pPr>
              <w:keepNext w:val="0"/>
              <w:keepLines w:val="0"/>
              <w:pageBreakBefore w:val="0"/>
              <w:widowControl/>
              <w:kinsoku w:val="0"/>
              <w:wordWrap w:val="0"/>
              <w:overflowPunct/>
              <w:topLinePunct w:val="0"/>
              <w:autoSpaceDE w:val="0"/>
              <w:autoSpaceDN w:val="0"/>
              <w:bidi w:val="0"/>
              <w:adjustRightInd w:val="0"/>
              <w:snapToGrid w:val="0"/>
              <w:spacing w:before="214" w:line="229"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项目经理</w:t>
            </w:r>
          </w:p>
        </w:tc>
        <w:tc>
          <w:tcPr>
            <w:tcW w:w="1548" w:type="dxa"/>
            <w:vAlign w:val="center"/>
          </w:tcPr>
          <w:p w14:paraId="3262520C">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38EE5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3E310579">
            <w:pPr>
              <w:keepNext w:val="0"/>
              <w:keepLines w:val="0"/>
              <w:pageBreakBefore w:val="0"/>
              <w:widowControl/>
              <w:kinsoku w:val="0"/>
              <w:wordWrap w:val="0"/>
              <w:overflowPunct/>
              <w:topLinePunct w:val="0"/>
              <w:autoSpaceDE w:val="0"/>
              <w:autoSpaceDN w:val="0"/>
              <w:bidi w:val="0"/>
              <w:adjustRightInd w:val="0"/>
              <w:snapToGrid w:val="0"/>
              <w:spacing w:before="146"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营业执照号</w:t>
            </w:r>
          </w:p>
        </w:tc>
        <w:tc>
          <w:tcPr>
            <w:tcW w:w="2812" w:type="dxa"/>
            <w:gridSpan w:val="2"/>
            <w:vAlign w:val="center"/>
          </w:tcPr>
          <w:p w14:paraId="771E0050">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183" w:type="dxa"/>
            <w:gridSpan w:val="2"/>
            <w:vMerge w:val="continue"/>
            <w:tcBorders>
              <w:top w:val="nil"/>
              <w:bottom w:val="nil"/>
            </w:tcBorders>
            <w:vAlign w:val="center"/>
          </w:tcPr>
          <w:p w14:paraId="5949ACF2">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96" w:type="dxa"/>
            <w:gridSpan w:val="3"/>
            <w:vAlign w:val="center"/>
          </w:tcPr>
          <w:p w14:paraId="6C5F1489">
            <w:pPr>
              <w:keepNext w:val="0"/>
              <w:keepLines w:val="0"/>
              <w:pageBreakBefore w:val="0"/>
              <w:widowControl/>
              <w:kinsoku w:val="0"/>
              <w:wordWrap w:val="0"/>
              <w:overflowPunct/>
              <w:topLinePunct w:val="0"/>
              <w:autoSpaceDE w:val="0"/>
              <w:autoSpaceDN w:val="0"/>
              <w:bidi w:val="0"/>
              <w:adjustRightInd w:val="0"/>
              <w:snapToGrid w:val="0"/>
              <w:spacing w:before="146" w:line="228"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高级职称人员</w:t>
            </w:r>
          </w:p>
        </w:tc>
        <w:tc>
          <w:tcPr>
            <w:tcW w:w="1548" w:type="dxa"/>
            <w:vAlign w:val="center"/>
          </w:tcPr>
          <w:p w14:paraId="484C31E4">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7906D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199E82AD">
            <w:pPr>
              <w:keepNext w:val="0"/>
              <w:keepLines w:val="0"/>
              <w:pageBreakBefore w:val="0"/>
              <w:widowControl/>
              <w:kinsoku w:val="0"/>
              <w:wordWrap w:val="0"/>
              <w:overflowPunct/>
              <w:topLinePunct w:val="0"/>
              <w:autoSpaceDE w:val="0"/>
              <w:autoSpaceDN w:val="0"/>
              <w:bidi w:val="0"/>
              <w:adjustRightInd w:val="0"/>
              <w:snapToGrid w:val="0"/>
              <w:spacing w:before="146"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注册资金</w:t>
            </w:r>
          </w:p>
        </w:tc>
        <w:tc>
          <w:tcPr>
            <w:tcW w:w="2812" w:type="dxa"/>
            <w:gridSpan w:val="2"/>
            <w:vAlign w:val="center"/>
          </w:tcPr>
          <w:p w14:paraId="28BB0564">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183" w:type="dxa"/>
            <w:gridSpan w:val="2"/>
            <w:vMerge w:val="continue"/>
            <w:tcBorders>
              <w:top w:val="nil"/>
              <w:bottom w:val="nil"/>
            </w:tcBorders>
            <w:vAlign w:val="center"/>
          </w:tcPr>
          <w:p w14:paraId="2B790690">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96" w:type="dxa"/>
            <w:gridSpan w:val="3"/>
            <w:vAlign w:val="center"/>
          </w:tcPr>
          <w:p w14:paraId="27F06363">
            <w:pPr>
              <w:keepNext w:val="0"/>
              <w:keepLines w:val="0"/>
              <w:pageBreakBefore w:val="0"/>
              <w:widowControl/>
              <w:kinsoku w:val="0"/>
              <w:wordWrap w:val="0"/>
              <w:overflowPunct/>
              <w:topLinePunct w:val="0"/>
              <w:autoSpaceDE w:val="0"/>
              <w:autoSpaceDN w:val="0"/>
              <w:bidi w:val="0"/>
              <w:adjustRightInd w:val="0"/>
              <w:snapToGrid w:val="0"/>
              <w:spacing w:before="147" w:line="229"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中级职称人员</w:t>
            </w:r>
          </w:p>
        </w:tc>
        <w:tc>
          <w:tcPr>
            <w:tcW w:w="1548" w:type="dxa"/>
            <w:vAlign w:val="center"/>
          </w:tcPr>
          <w:p w14:paraId="18CD3973">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53B75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532F27D9">
            <w:pPr>
              <w:keepNext w:val="0"/>
              <w:keepLines w:val="0"/>
              <w:pageBreakBefore w:val="0"/>
              <w:widowControl/>
              <w:kinsoku w:val="0"/>
              <w:wordWrap w:val="0"/>
              <w:overflowPunct/>
              <w:topLinePunct w:val="0"/>
              <w:autoSpaceDE w:val="0"/>
              <w:autoSpaceDN w:val="0"/>
              <w:bidi w:val="0"/>
              <w:adjustRightInd w:val="0"/>
              <w:snapToGrid w:val="0"/>
              <w:spacing w:before="62"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基本账户 </w:t>
            </w:r>
          </w:p>
          <w:p w14:paraId="41955478">
            <w:pPr>
              <w:keepNext w:val="0"/>
              <w:keepLines w:val="0"/>
              <w:pageBreakBefore w:val="0"/>
              <w:widowControl/>
              <w:kinsoku w:val="0"/>
              <w:wordWrap w:val="0"/>
              <w:overflowPunct/>
              <w:topLinePunct w:val="0"/>
              <w:autoSpaceDE w:val="0"/>
              <w:autoSpaceDN w:val="0"/>
              <w:bidi w:val="0"/>
              <w:adjustRightInd w:val="0"/>
              <w:snapToGrid w:val="0"/>
              <w:spacing w:before="62"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开户银行</w:t>
            </w:r>
          </w:p>
        </w:tc>
        <w:tc>
          <w:tcPr>
            <w:tcW w:w="2812" w:type="dxa"/>
            <w:gridSpan w:val="2"/>
            <w:vAlign w:val="center"/>
          </w:tcPr>
          <w:p w14:paraId="65DFBEF7">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183" w:type="dxa"/>
            <w:gridSpan w:val="2"/>
            <w:vMerge w:val="continue"/>
            <w:tcBorders>
              <w:top w:val="nil"/>
              <w:bottom w:val="nil"/>
            </w:tcBorders>
            <w:vAlign w:val="center"/>
          </w:tcPr>
          <w:p w14:paraId="31F677A8">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96" w:type="dxa"/>
            <w:gridSpan w:val="3"/>
            <w:vAlign w:val="center"/>
          </w:tcPr>
          <w:p w14:paraId="0336B438">
            <w:pPr>
              <w:keepNext w:val="0"/>
              <w:keepLines w:val="0"/>
              <w:pageBreakBefore w:val="0"/>
              <w:widowControl/>
              <w:kinsoku w:val="0"/>
              <w:wordWrap w:val="0"/>
              <w:overflowPunct/>
              <w:topLinePunct w:val="0"/>
              <w:autoSpaceDE w:val="0"/>
              <w:autoSpaceDN w:val="0"/>
              <w:bidi w:val="0"/>
              <w:adjustRightInd w:val="0"/>
              <w:snapToGrid w:val="0"/>
              <w:spacing w:before="191" w:line="230"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初级职称人员</w:t>
            </w:r>
          </w:p>
        </w:tc>
        <w:tc>
          <w:tcPr>
            <w:tcW w:w="1548" w:type="dxa"/>
            <w:vAlign w:val="center"/>
          </w:tcPr>
          <w:p w14:paraId="00F898E7">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E7A6E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2E52826A">
            <w:pPr>
              <w:keepNext w:val="0"/>
              <w:keepLines w:val="0"/>
              <w:pageBreakBefore w:val="0"/>
              <w:widowControl/>
              <w:kinsoku w:val="0"/>
              <w:wordWrap w:val="0"/>
              <w:overflowPunct/>
              <w:topLinePunct w:val="0"/>
              <w:autoSpaceDE w:val="0"/>
              <w:autoSpaceDN w:val="0"/>
              <w:bidi w:val="0"/>
              <w:adjustRightInd w:val="0"/>
              <w:snapToGrid w:val="0"/>
              <w:spacing w:before="62"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基本账户 </w:t>
            </w:r>
          </w:p>
          <w:p w14:paraId="33D5D73F">
            <w:pPr>
              <w:keepNext w:val="0"/>
              <w:keepLines w:val="0"/>
              <w:pageBreakBefore w:val="0"/>
              <w:widowControl/>
              <w:kinsoku w:val="0"/>
              <w:wordWrap w:val="0"/>
              <w:overflowPunct/>
              <w:topLinePunct w:val="0"/>
              <w:autoSpaceDE w:val="0"/>
              <w:autoSpaceDN w:val="0"/>
              <w:bidi w:val="0"/>
              <w:adjustRightInd w:val="0"/>
              <w:snapToGrid w:val="0"/>
              <w:spacing w:before="62"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银行账号</w:t>
            </w:r>
          </w:p>
        </w:tc>
        <w:tc>
          <w:tcPr>
            <w:tcW w:w="2812" w:type="dxa"/>
            <w:gridSpan w:val="2"/>
            <w:vAlign w:val="center"/>
          </w:tcPr>
          <w:p w14:paraId="60A346F4">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183" w:type="dxa"/>
            <w:gridSpan w:val="2"/>
            <w:vMerge w:val="continue"/>
            <w:tcBorders>
              <w:top w:val="nil"/>
            </w:tcBorders>
            <w:vAlign w:val="center"/>
          </w:tcPr>
          <w:p w14:paraId="1322C4EB">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96" w:type="dxa"/>
            <w:gridSpan w:val="3"/>
            <w:vAlign w:val="center"/>
          </w:tcPr>
          <w:p w14:paraId="4D44C804">
            <w:pPr>
              <w:keepNext w:val="0"/>
              <w:keepLines w:val="0"/>
              <w:pageBreakBefore w:val="0"/>
              <w:widowControl/>
              <w:kinsoku w:val="0"/>
              <w:wordWrap w:val="0"/>
              <w:overflowPunct/>
              <w:topLinePunct w:val="0"/>
              <w:autoSpaceDE w:val="0"/>
              <w:autoSpaceDN w:val="0"/>
              <w:bidi w:val="0"/>
              <w:adjustRightInd w:val="0"/>
              <w:snapToGrid w:val="0"/>
              <w:spacing w:before="211" w:line="228"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技术员</w:t>
            </w:r>
          </w:p>
        </w:tc>
        <w:tc>
          <w:tcPr>
            <w:tcW w:w="1548" w:type="dxa"/>
            <w:vAlign w:val="center"/>
          </w:tcPr>
          <w:p w14:paraId="46D2B23A">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A626E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1620" w:type="dxa"/>
            <w:vAlign w:val="center"/>
          </w:tcPr>
          <w:p w14:paraId="3BF7B502">
            <w:pPr>
              <w:keepNext w:val="0"/>
              <w:keepLines w:val="0"/>
              <w:pageBreakBefore w:val="0"/>
              <w:widowControl/>
              <w:kinsoku w:val="0"/>
              <w:wordWrap w:val="0"/>
              <w:overflowPunct/>
              <w:topLinePunct w:val="0"/>
              <w:autoSpaceDE w:val="0"/>
              <w:autoSpaceDN w:val="0"/>
              <w:bidi w:val="0"/>
              <w:adjustRightInd w:val="0"/>
              <w:snapToGrid w:val="0"/>
              <w:spacing w:before="65"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经营范围</w:t>
            </w:r>
          </w:p>
        </w:tc>
        <w:tc>
          <w:tcPr>
            <w:tcW w:w="7639" w:type="dxa"/>
            <w:gridSpan w:val="8"/>
            <w:vAlign w:val="center"/>
          </w:tcPr>
          <w:p w14:paraId="07997BAE">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9A8D9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05DF8A32">
            <w:pPr>
              <w:keepNext w:val="0"/>
              <w:keepLines w:val="0"/>
              <w:pageBreakBefore w:val="0"/>
              <w:widowControl/>
              <w:kinsoku w:val="0"/>
              <w:wordWrap w:val="0"/>
              <w:overflowPunct/>
              <w:topLinePunct w:val="0"/>
              <w:autoSpaceDE w:val="0"/>
              <w:autoSpaceDN w:val="0"/>
              <w:bidi w:val="0"/>
              <w:adjustRightInd w:val="0"/>
              <w:snapToGrid w:val="0"/>
              <w:spacing w:before="65"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关联企业情况</w:t>
            </w:r>
          </w:p>
        </w:tc>
        <w:tc>
          <w:tcPr>
            <w:tcW w:w="7639" w:type="dxa"/>
            <w:gridSpan w:val="8"/>
            <w:vAlign w:val="center"/>
          </w:tcPr>
          <w:p w14:paraId="1E7ADE4D">
            <w:pPr>
              <w:keepNext w:val="0"/>
              <w:keepLines w:val="0"/>
              <w:pageBreakBefore w:val="0"/>
              <w:widowControl/>
              <w:kinsoku w:val="0"/>
              <w:wordWrap w:val="0"/>
              <w:overflowPunct/>
              <w:topLinePunct w:val="0"/>
              <w:autoSpaceDE w:val="0"/>
              <w:autoSpaceDN w:val="0"/>
              <w:bidi w:val="0"/>
              <w:adjustRightInd w:val="0"/>
              <w:snapToGrid w:val="0"/>
              <w:spacing w:before="168" w:line="228" w:lineRule="auto"/>
              <w:ind w:left="0" w:right="0"/>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包括但不限于与投标人存在以下关系的不同单位：</w:t>
            </w:r>
          </w:p>
          <w:p w14:paraId="0A579FFA">
            <w:pPr>
              <w:keepNext w:val="0"/>
              <w:keepLines w:val="0"/>
              <w:pageBreakBefore w:val="0"/>
              <w:widowControl/>
              <w:kinsoku w:val="0"/>
              <w:wordWrap w:val="0"/>
              <w:overflowPunct/>
              <w:topLinePunct w:val="0"/>
              <w:autoSpaceDE w:val="0"/>
              <w:autoSpaceDN w:val="0"/>
              <w:bidi w:val="0"/>
              <w:adjustRightInd w:val="0"/>
              <w:snapToGrid w:val="0"/>
              <w:spacing w:before="81" w:line="228" w:lineRule="auto"/>
              <w:ind w:left="0" w:right="0"/>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 ．法定代表人为同一人的。</w:t>
            </w:r>
          </w:p>
          <w:p w14:paraId="20E6965C">
            <w:pPr>
              <w:keepNext w:val="0"/>
              <w:keepLines w:val="0"/>
              <w:pageBreakBefore w:val="0"/>
              <w:widowControl/>
              <w:kinsoku w:val="0"/>
              <w:wordWrap w:val="0"/>
              <w:overflowPunct/>
              <w:topLinePunct w:val="0"/>
              <w:autoSpaceDE w:val="0"/>
              <w:autoSpaceDN w:val="0"/>
              <w:bidi w:val="0"/>
              <w:adjustRightInd w:val="0"/>
              <w:snapToGrid w:val="0"/>
              <w:spacing w:before="81" w:line="228" w:lineRule="auto"/>
              <w:ind w:left="0" w:right="0"/>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 ．存在控股、管理关系的。</w:t>
            </w:r>
          </w:p>
          <w:p w14:paraId="585BD72F">
            <w:pPr>
              <w:keepNext w:val="0"/>
              <w:keepLines w:val="0"/>
              <w:pageBreakBefore w:val="0"/>
              <w:widowControl/>
              <w:kinsoku w:val="0"/>
              <w:wordWrap w:val="0"/>
              <w:overflowPunct/>
              <w:topLinePunct w:val="0"/>
              <w:autoSpaceDE w:val="0"/>
              <w:autoSpaceDN w:val="0"/>
              <w:bidi w:val="0"/>
              <w:adjustRightInd w:val="0"/>
              <w:snapToGrid w:val="0"/>
              <w:spacing w:before="81" w:line="228" w:lineRule="auto"/>
              <w:ind w:left="0" w:right="0"/>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 ．主要人员相互任职的。</w:t>
            </w:r>
          </w:p>
        </w:tc>
      </w:tr>
      <w:tr w14:paraId="28D640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2A94CEF9">
            <w:pPr>
              <w:keepNext w:val="0"/>
              <w:keepLines w:val="0"/>
              <w:pageBreakBefore w:val="0"/>
              <w:widowControl/>
              <w:kinsoku w:val="0"/>
              <w:wordWrap w:val="0"/>
              <w:overflowPunct/>
              <w:topLinePunct w:val="0"/>
              <w:autoSpaceDE w:val="0"/>
              <w:autoSpaceDN w:val="0"/>
              <w:bidi w:val="0"/>
              <w:adjustRightInd w:val="0"/>
              <w:snapToGrid w:val="0"/>
              <w:spacing w:before="235" w:line="230"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备注</w:t>
            </w:r>
          </w:p>
        </w:tc>
        <w:tc>
          <w:tcPr>
            <w:tcW w:w="7639" w:type="dxa"/>
            <w:gridSpan w:val="8"/>
            <w:vAlign w:val="center"/>
          </w:tcPr>
          <w:p w14:paraId="33A69765">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bl>
    <w:p w14:paraId="69B31669">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说明：</w:t>
      </w:r>
    </w:p>
    <w:p w14:paraId="5F7DADAA">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outlineLvl w:val="9"/>
        <w:rPr>
          <w:rFonts w:hint="eastAsia" w:ascii="宋体" w:hAnsi="宋体" w:eastAsia="宋体" w:cs="宋体"/>
          <w:color w:val="000000" w:themeColor="text1"/>
          <w:spacing w:val="0"/>
          <w:sz w:val="21"/>
          <w:szCs w:val="21"/>
          <w:highlight w:val="none"/>
          <w14:textFill>
            <w14:solidFill>
              <w14:schemeClr w14:val="tx1"/>
            </w14:solidFill>
          </w14:textFill>
        </w:rPr>
      </w:pPr>
      <w:bookmarkStart w:id="250" w:name="_Toc5131"/>
      <w:bookmarkStart w:id="251" w:name="_Toc14048"/>
      <w:r>
        <w:rPr>
          <w:rFonts w:hint="eastAsia" w:ascii="宋体" w:hAnsi="宋体" w:eastAsia="宋体" w:cs="宋体"/>
          <w:color w:val="000000" w:themeColor="text1"/>
          <w:spacing w:val="0"/>
          <w:sz w:val="21"/>
          <w:szCs w:val="21"/>
          <w:highlight w:val="none"/>
          <w14:textFill>
            <w14:solidFill>
              <w14:schemeClr w14:val="tx1"/>
            </w14:solidFill>
          </w14:textFill>
        </w:rPr>
        <w:t>1 ．《投标人基本情况表》后应附以下资料：</w:t>
      </w:r>
      <w:bookmarkEnd w:id="250"/>
      <w:bookmarkEnd w:id="251"/>
    </w:p>
    <w:p w14:paraId="230E1626">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lang w:eastAsia="zh-CN"/>
          <w14:textFill>
            <w14:solidFill>
              <w14:schemeClr w14:val="tx1"/>
            </w14:solidFill>
          </w14:textFill>
        </w:rPr>
        <w:t>（1）企业营业执照、资质证书、安全生产许可证的（因推行电子证照，企业的营业执照、资质证书等可以提供电子证照。为实时掌握项目投标单位的是否具备企业安全生产条件，企业的安全生生许可证需提供企业实时网页查询页，实时查询页的打印时间应在项目招标公告发布之日起至开标前。企业的安全生产许可证实时网页查询路径：登录“ 中华人民共和国住房和城乡建设部 ”进入“全国工程质量安全监管信息平台公共服务门户 ”版块，具体网址为：https://zlaq.mohurd.gov.cn，进入后点击“安全生产许可证信息 ”，输入企业名称和统一社会信用代码即可查询。如中标后，投标单位安全生产许可证发生被暂扣情形，需双方另行协商）；</w:t>
      </w:r>
    </w:p>
    <w:p w14:paraId="259B1130">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lang w:eastAsia="zh-CN"/>
          <w14:textFill>
            <w14:solidFill>
              <w14:schemeClr w14:val="tx1"/>
            </w14:solidFill>
          </w14:textFill>
        </w:rPr>
        <w:t>（2）</w:t>
      </w:r>
      <w:r>
        <w:rPr>
          <w:rFonts w:hint="eastAsia" w:ascii="宋体" w:hAnsi="宋体" w:eastAsia="宋体" w:cs="宋体"/>
          <w:color w:val="000000" w:themeColor="text1"/>
          <w:spacing w:val="0"/>
          <w:sz w:val="21"/>
          <w:szCs w:val="21"/>
          <w:highlight w:val="none"/>
          <w14:textFill>
            <w14:solidFill>
              <w14:schemeClr w14:val="tx1"/>
            </w14:solidFill>
          </w14:textFill>
        </w:rPr>
        <w:t>“进粤企业和人员诚信信息登记平台 ”企业信息情况打印页。（适用于省外建筑企业）</w:t>
      </w:r>
    </w:p>
    <w:p w14:paraId="49CB0524">
      <w:pPr>
        <w:keepNext w:val="0"/>
        <w:keepLines w:val="0"/>
        <w:pageBreakBefore w:val="0"/>
        <w:widowControl/>
        <w:kinsoku w:val="0"/>
        <w:wordWrap w:val="0"/>
        <w:overflowPunct/>
        <w:topLinePunct w:val="0"/>
        <w:autoSpaceDE w:val="0"/>
        <w:autoSpaceDN w:val="0"/>
        <w:bidi w:val="0"/>
        <w:adjustRightInd w:val="0"/>
        <w:snapToGrid w:val="0"/>
        <w:spacing w:line="30" w:lineRule="atLeast"/>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lang w:eastAsia="zh-CN"/>
          <w14:textFill>
            <w14:solidFill>
              <w14:schemeClr w14:val="tx1"/>
            </w14:solidFill>
          </w14:textFill>
        </w:rPr>
        <w:t>（3）</w:t>
      </w:r>
      <w:r>
        <w:rPr>
          <w:rFonts w:hint="eastAsia" w:ascii="宋体" w:hAnsi="宋体" w:eastAsia="宋体" w:cs="宋体"/>
          <w:color w:val="000000" w:themeColor="text1"/>
          <w:spacing w:val="0"/>
          <w:sz w:val="21"/>
          <w:szCs w:val="21"/>
          <w:highlight w:val="none"/>
          <w14:textFill>
            <w14:solidFill>
              <w14:schemeClr w14:val="tx1"/>
            </w14:solidFill>
          </w14:textFill>
        </w:rPr>
        <w:t>《法人和非法人组织公共信用信息报告》（在“信用中国 ”网站企业查询界面中下载）。</w:t>
      </w:r>
    </w:p>
    <w:p w14:paraId="2D33B4E2">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 ．联合体投标的，联合体成员单位均应填写《投标人基本情况表》并提供以上所需资料。</w:t>
      </w:r>
    </w:p>
    <w:p w14:paraId="012C8021">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br w:type="page"/>
      </w:r>
    </w:p>
    <w:p w14:paraId="2AB7BED9">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52" w:name="_Toc23002"/>
      <w:r>
        <w:rPr>
          <w:rFonts w:hint="eastAsia" w:ascii="宋体" w:hAnsi="宋体" w:eastAsia="宋体" w:cs="宋体"/>
          <w:b/>
          <w:bCs/>
          <w:color w:val="000000" w:themeColor="text1"/>
          <w:spacing w:val="0"/>
          <w:sz w:val="24"/>
          <w:szCs w:val="24"/>
          <w:highlight w:val="none"/>
          <w14:textFill>
            <w14:solidFill>
              <w14:schemeClr w14:val="tx1"/>
            </w14:solidFill>
          </w14:textFill>
        </w:rPr>
        <w:t>格式八 项目经理简历表</w:t>
      </w:r>
      <w:bookmarkEnd w:id="252"/>
    </w:p>
    <w:p w14:paraId="07245DD0">
      <w:pPr>
        <w:pStyle w:val="5"/>
        <w:keepNext w:val="0"/>
        <w:keepLines w:val="0"/>
        <w:pageBreakBefore w:val="0"/>
        <w:wordWrap w:val="0"/>
        <w:overflowPunct/>
        <w:topLinePunct w:val="0"/>
        <w:bidi w:val="0"/>
        <w:spacing w:line="444" w:lineRule="auto"/>
        <w:rPr>
          <w:rFonts w:hint="eastAsia" w:ascii="宋体" w:hAnsi="宋体" w:eastAsia="宋体" w:cs="宋体"/>
          <w:color w:val="000000" w:themeColor="text1"/>
          <w:spacing w:val="0"/>
          <w:highlight w:val="none"/>
          <w14:textFill>
            <w14:solidFill>
              <w14:schemeClr w14:val="tx1"/>
            </w14:solidFill>
          </w14:textFill>
        </w:rPr>
      </w:pPr>
    </w:p>
    <w:p w14:paraId="0C78A5C7">
      <w:pPr>
        <w:keepNext w:val="0"/>
        <w:keepLines w:val="0"/>
        <w:pageBreakBefore w:val="0"/>
        <w:wordWrap w:val="0"/>
        <w:overflowPunct/>
        <w:topLinePunct w:val="0"/>
        <w:bidi w:val="0"/>
        <w:spacing w:before="97" w:line="219" w:lineRule="auto"/>
        <w:ind w:left="3538"/>
        <w:outlineLvl w:val="9"/>
        <w:rPr>
          <w:rFonts w:hint="eastAsia" w:ascii="宋体" w:hAnsi="宋体" w:eastAsia="宋体" w:cs="宋体"/>
          <w:color w:val="000000" w:themeColor="text1"/>
          <w:spacing w:val="0"/>
          <w:sz w:val="30"/>
          <w:szCs w:val="30"/>
          <w:highlight w:val="none"/>
          <w14:textFill>
            <w14:solidFill>
              <w14:schemeClr w14:val="tx1"/>
            </w14:solidFill>
          </w14:textFill>
        </w:rPr>
      </w:pPr>
      <w:bookmarkStart w:id="253" w:name="bookmark89"/>
      <w:bookmarkEnd w:id="253"/>
      <w:bookmarkStart w:id="254" w:name="bookmark156"/>
      <w:bookmarkEnd w:id="254"/>
      <w:bookmarkStart w:id="255" w:name="_Toc24489"/>
      <w:bookmarkStart w:id="256" w:name="_Toc31533"/>
      <w:r>
        <w:rPr>
          <w:rFonts w:hint="eastAsia" w:ascii="宋体" w:hAnsi="宋体" w:eastAsia="宋体" w:cs="宋体"/>
          <w:b/>
          <w:bCs/>
          <w:color w:val="000000" w:themeColor="text1"/>
          <w:spacing w:val="0"/>
          <w:sz w:val="30"/>
          <w:szCs w:val="30"/>
          <w:highlight w:val="none"/>
          <w14:textFill>
            <w14:solidFill>
              <w14:schemeClr w14:val="tx1"/>
            </w14:solidFill>
          </w14:textFill>
        </w:rPr>
        <w:t>项目经理简历表</w:t>
      </w:r>
      <w:bookmarkEnd w:id="255"/>
      <w:bookmarkEnd w:id="256"/>
    </w:p>
    <w:p w14:paraId="733B316D">
      <w:pPr>
        <w:keepNext w:val="0"/>
        <w:keepLines w:val="0"/>
        <w:pageBreakBefore w:val="0"/>
        <w:wordWrap w:val="0"/>
        <w:overflowPunct/>
        <w:topLinePunct w:val="0"/>
        <w:bidi w:val="0"/>
        <w:spacing w:line="240" w:lineRule="exact"/>
        <w:rPr>
          <w:rFonts w:hint="eastAsia" w:ascii="宋体" w:hAnsi="宋体" w:eastAsia="宋体" w:cs="宋体"/>
          <w:color w:val="000000" w:themeColor="text1"/>
          <w:spacing w:val="0"/>
          <w:highlight w:val="none"/>
          <w14:textFill>
            <w14:solidFill>
              <w14:schemeClr w14:val="tx1"/>
            </w14:solidFill>
          </w14:textFill>
        </w:rPr>
      </w:pPr>
    </w:p>
    <w:tbl>
      <w:tblPr>
        <w:tblStyle w:val="14"/>
        <w:tblW w:w="97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8"/>
        <w:gridCol w:w="1010"/>
        <w:gridCol w:w="614"/>
        <w:gridCol w:w="680"/>
        <w:gridCol w:w="1357"/>
        <w:gridCol w:w="2062"/>
        <w:gridCol w:w="1798"/>
        <w:gridCol w:w="1398"/>
      </w:tblGrid>
      <w:tr w14:paraId="528975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trPr>
        <w:tc>
          <w:tcPr>
            <w:tcW w:w="1828" w:type="dxa"/>
            <w:gridSpan w:val="2"/>
            <w:vAlign w:val="center"/>
          </w:tcPr>
          <w:p w14:paraId="4005FF2B">
            <w:pPr>
              <w:keepNext w:val="0"/>
              <w:keepLines w:val="0"/>
              <w:pageBreakBefore w:val="0"/>
              <w:widowControl/>
              <w:kinsoku w:val="0"/>
              <w:wordWrap w:val="0"/>
              <w:overflowPunct/>
              <w:topLinePunct w:val="0"/>
              <w:autoSpaceDE w:val="0"/>
              <w:autoSpaceDN w:val="0"/>
              <w:bidi w:val="0"/>
              <w:adjustRightInd w:val="0"/>
              <w:snapToGrid w:val="0"/>
              <w:spacing w:before="177"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姓   名</w:t>
            </w:r>
          </w:p>
        </w:tc>
        <w:tc>
          <w:tcPr>
            <w:tcW w:w="1294" w:type="dxa"/>
            <w:gridSpan w:val="2"/>
            <w:vAlign w:val="center"/>
          </w:tcPr>
          <w:p w14:paraId="459C112F">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57" w:type="dxa"/>
            <w:vAlign w:val="center"/>
          </w:tcPr>
          <w:p w14:paraId="1B35C805">
            <w:pPr>
              <w:keepNext w:val="0"/>
              <w:keepLines w:val="0"/>
              <w:pageBreakBefore w:val="0"/>
              <w:widowControl/>
              <w:kinsoku w:val="0"/>
              <w:wordWrap w:val="0"/>
              <w:overflowPunct/>
              <w:topLinePunct w:val="0"/>
              <w:autoSpaceDE w:val="0"/>
              <w:autoSpaceDN w:val="0"/>
              <w:bidi w:val="0"/>
              <w:adjustRightInd w:val="0"/>
              <w:snapToGrid w:val="0"/>
              <w:spacing w:before="177"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性  别</w:t>
            </w:r>
          </w:p>
        </w:tc>
        <w:tc>
          <w:tcPr>
            <w:tcW w:w="2062" w:type="dxa"/>
            <w:vAlign w:val="center"/>
          </w:tcPr>
          <w:p w14:paraId="606F045A">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98" w:type="dxa"/>
            <w:vAlign w:val="center"/>
          </w:tcPr>
          <w:p w14:paraId="144F8EEA">
            <w:pPr>
              <w:keepNext w:val="0"/>
              <w:keepLines w:val="0"/>
              <w:pageBreakBefore w:val="0"/>
              <w:widowControl/>
              <w:kinsoku w:val="0"/>
              <w:wordWrap w:val="0"/>
              <w:overflowPunct/>
              <w:topLinePunct w:val="0"/>
              <w:autoSpaceDE w:val="0"/>
              <w:autoSpaceDN w:val="0"/>
              <w:bidi w:val="0"/>
              <w:adjustRightInd w:val="0"/>
              <w:snapToGrid w:val="0"/>
              <w:spacing w:before="177"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年   龄</w:t>
            </w:r>
          </w:p>
        </w:tc>
        <w:tc>
          <w:tcPr>
            <w:tcW w:w="1398" w:type="dxa"/>
            <w:vAlign w:val="center"/>
          </w:tcPr>
          <w:p w14:paraId="248A87D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C7B6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1828" w:type="dxa"/>
            <w:gridSpan w:val="2"/>
            <w:vAlign w:val="center"/>
          </w:tcPr>
          <w:p w14:paraId="6C5EBB96">
            <w:pPr>
              <w:keepNext w:val="0"/>
              <w:keepLines w:val="0"/>
              <w:pageBreakBefore w:val="0"/>
              <w:widowControl/>
              <w:kinsoku w:val="0"/>
              <w:wordWrap w:val="0"/>
              <w:overflowPunct/>
              <w:topLinePunct w:val="0"/>
              <w:autoSpaceDE w:val="0"/>
              <w:autoSpaceDN w:val="0"/>
              <w:bidi w:val="0"/>
              <w:adjustRightInd w:val="0"/>
              <w:snapToGrid w:val="0"/>
              <w:spacing w:before="175"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职   务</w:t>
            </w:r>
          </w:p>
        </w:tc>
        <w:tc>
          <w:tcPr>
            <w:tcW w:w="1294" w:type="dxa"/>
            <w:gridSpan w:val="2"/>
            <w:vAlign w:val="center"/>
          </w:tcPr>
          <w:p w14:paraId="49703266">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57" w:type="dxa"/>
            <w:vAlign w:val="center"/>
          </w:tcPr>
          <w:p w14:paraId="275BEF66">
            <w:pPr>
              <w:keepNext w:val="0"/>
              <w:keepLines w:val="0"/>
              <w:pageBreakBefore w:val="0"/>
              <w:widowControl/>
              <w:kinsoku w:val="0"/>
              <w:wordWrap w:val="0"/>
              <w:overflowPunct/>
              <w:topLinePunct w:val="0"/>
              <w:autoSpaceDE w:val="0"/>
              <w:autoSpaceDN w:val="0"/>
              <w:bidi w:val="0"/>
              <w:adjustRightInd w:val="0"/>
              <w:snapToGrid w:val="0"/>
              <w:spacing w:before="174" w:line="231"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职  称</w:t>
            </w:r>
          </w:p>
        </w:tc>
        <w:tc>
          <w:tcPr>
            <w:tcW w:w="2062" w:type="dxa"/>
            <w:vAlign w:val="center"/>
          </w:tcPr>
          <w:p w14:paraId="16D1E874">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98" w:type="dxa"/>
            <w:vAlign w:val="center"/>
          </w:tcPr>
          <w:p w14:paraId="3B726250">
            <w:pPr>
              <w:keepNext w:val="0"/>
              <w:keepLines w:val="0"/>
              <w:pageBreakBefore w:val="0"/>
              <w:widowControl/>
              <w:kinsoku w:val="0"/>
              <w:wordWrap w:val="0"/>
              <w:overflowPunct/>
              <w:topLinePunct w:val="0"/>
              <w:autoSpaceDE w:val="0"/>
              <w:autoSpaceDN w:val="0"/>
              <w:bidi w:val="0"/>
              <w:adjustRightInd w:val="0"/>
              <w:snapToGrid w:val="0"/>
              <w:spacing w:before="175" w:line="230"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学   历</w:t>
            </w:r>
          </w:p>
        </w:tc>
        <w:tc>
          <w:tcPr>
            <w:tcW w:w="1398" w:type="dxa"/>
            <w:vAlign w:val="center"/>
          </w:tcPr>
          <w:p w14:paraId="18686FE9">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58DD02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1828" w:type="dxa"/>
            <w:gridSpan w:val="2"/>
            <w:vAlign w:val="center"/>
          </w:tcPr>
          <w:p w14:paraId="6CA0A6E3">
            <w:pPr>
              <w:keepNext w:val="0"/>
              <w:keepLines w:val="0"/>
              <w:pageBreakBefore w:val="0"/>
              <w:widowControl/>
              <w:kinsoku w:val="0"/>
              <w:wordWrap w:val="0"/>
              <w:overflowPunct/>
              <w:topLinePunct w:val="0"/>
              <w:autoSpaceDE w:val="0"/>
              <w:autoSpaceDN w:val="0"/>
              <w:bidi w:val="0"/>
              <w:adjustRightInd w:val="0"/>
              <w:snapToGrid w:val="0"/>
              <w:spacing w:before="175"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参加工作时间</w:t>
            </w:r>
          </w:p>
        </w:tc>
        <w:tc>
          <w:tcPr>
            <w:tcW w:w="2651" w:type="dxa"/>
            <w:gridSpan w:val="3"/>
            <w:vAlign w:val="center"/>
          </w:tcPr>
          <w:p w14:paraId="1D8F273A">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3860" w:type="dxa"/>
            <w:gridSpan w:val="2"/>
            <w:vAlign w:val="center"/>
          </w:tcPr>
          <w:p w14:paraId="1DCA2560">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从事工程建设项目管理工作年限</w:t>
            </w:r>
          </w:p>
        </w:tc>
        <w:tc>
          <w:tcPr>
            <w:tcW w:w="1398" w:type="dxa"/>
            <w:vAlign w:val="center"/>
          </w:tcPr>
          <w:p w14:paraId="55F6DD2C">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52055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9737" w:type="dxa"/>
            <w:gridSpan w:val="8"/>
            <w:vAlign w:val="center"/>
          </w:tcPr>
          <w:p w14:paraId="1985FCD7">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以项目经理身份参与过的主要业绩（已完工项目）</w:t>
            </w:r>
          </w:p>
        </w:tc>
      </w:tr>
      <w:tr w14:paraId="6A55E1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818" w:type="dxa"/>
            <w:vAlign w:val="center"/>
          </w:tcPr>
          <w:p w14:paraId="226DD453">
            <w:pPr>
              <w:keepNext w:val="0"/>
              <w:keepLines w:val="0"/>
              <w:pageBreakBefore w:val="0"/>
              <w:widowControl/>
              <w:kinsoku w:val="0"/>
              <w:wordWrap w:val="0"/>
              <w:overflowPunct/>
              <w:topLinePunct w:val="0"/>
              <w:autoSpaceDE w:val="0"/>
              <w:autoSpaceDN w:val="0"/>
              <w:bidi w:val="0"/>
              <w:adjustRightInd w:val="0"/>
              <w:snapToGrid w:val="0"/>
              <w:spacing w:before="176" w:line="230"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序号</w:t>
            </w:r>
          </w:p>
        </w:tc>
        <w:tc>
          <w:tcPr>
            <w:tcW w:w="1624" w:type="dxa"/>
            <w:gridSpan w:val="2"/>
            <w:vAlign w:val="center"/>
          </w:tcPr>
          <w:p w14:paraId="67B2AAAA">
            <w:pPr>
              <w:keepNext w:val="0"/>
              <w:keepLines w:val="0"/>
              <w:pageBreakBefore w:val="0"/>
              <w:widowControl/>
              <w:kinsoku w:val="0"/>
              <w:wordWrap w:val="0"/>
              <w:overflowPunct/>
              <w:topLinePunct w:val="0"/>
              <w:autoSpaceDE w:val="0"/>
              <w:autoSpaceDN w:val="0"/>
              <w:bidi w:val="0"/>
              <w:adjustRightInd w:val="0"/>
              <w:snapToGrid w:val="0"/>
              <w:spacing w:before="176"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项目名称</w:t>
            </w:r>
          </w:p>
        </w:tc>
        <w:tc>
          <w:tcPr>
            <w:tcW w:w="2037" w:type="dxa"/>
            <w:gridSpan w:val="2"/>
            <w:vAlign w:val="center"/>
          </w:tcPr>
          <w:p w14:paraId="4801985C">
            <w:pPr>
              <w:keepNext w:val="0"/>
              <w:keepLines w:val="0"/>
              <w:pageBreakBefore w:val="0"/>
              <w:widowControl/>
              <w:kinsoku w:val="0"/>
              <w:wordWrap w:val="0"/>
              <w:overflowPunct/>
              <w:topLinePunct w:val="0"/>
              <w:autoSpaceDE w:val="0"/>
              <w:autoSpaceDN w:val="0"/>
              <w:bidi w:val="0"/>
              <w:adjustRightInd w:val="0"/>
              <w:snapToGrid w:val="0"/>
              <w:spacing w:before="176"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建设单位</w:t>
            </w:r>
          </w:p>
        </w:tc>
        <w:tc>
          <w:tcPr>
            <w:tcW w:w="2062" w:type="dxa"/>
            <w:vAlign w:val="center"/>
          </w:tcPr>
          <w:p w14:paraId="027FA0A0">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建设内容和规模</w:t>
            </w:r>
          </w:p>
        </w:tc>
        <w:tc>
          <w:tcPr>
            <w:tcW w:w="1798" w:type="dxa"/>
            <w:vAlign w:val="center"/>
          </w:tcPr>
          <w:p w14:paraId="13665F3A">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开、竣工日期</w:t>
            </w:r>
          </w:p>
        </w:tc>
        <w:tc>
          <w:tcPr>
            <w:tcW w:w="1398" w:type="dxa"/>
            <w:vAlign w:val="center"/>
          </w:tcPr>
          <w:p w14:paraId="1363170B">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质量等级</w:t>
            </w:r>
          </w:p>
        </w:tc>
      </w:tr>
      <w:tr w14:paraId="69665C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818" w:type="dxa"/>
            <w:vAlign w:val="center"/>
          </w:tcPr>
          <w:p w14:paraId="67F61AFB">
            <w:pPr>
              <w:keepNext w:val="0"/>
              <w:keepLines w:val="0"/>
              <w:pageBreakBefore w:val="0"/>
              <w:widowControl/>
              <w:kinsoku w:val="0"/>
              <w:wordWrap w:val="0"/>
              <w:overflowPunct/>
              <w:topLinePunct w:val="0"/>
              <w:autoSpaceDE w:val="0"/>
              <w:autoSpaceDN w:val="0"/>
              <w:bidi w:val="0"/>
              <w:adjustRightInd w:val="0"/>
              <w:snapToGrid w:val="0"/>
              <w:spacing w:before="214"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w:t>
            </w:r>
          </w:p>
        </w:tc>
        <w:tc>
          <w:tcPr>
            <w:tcW w:w="1624" w:type="dxa"/>
            <w:gridSpan w:val="2"/>
            <w:vAlign w:val="center"/>
          </w:tcPr>
          <w:p w14:paraId="6B906EE2">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37" w:type="dxa"/>
            <w:gridSpan w:val="2"/>
            <w:vAlign w:val="center"/>
          </w:tcPr>
          <w:p w14:paraId="39014A66">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62" w:type="dxa"/>
            <w:vAlign w:val="center"/>
          </w:tcPr>
          <w:p w14:paraId="015E44A0">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98" w:type="dxa"/>
            <w:vAlign w:val="center"/>
          </w:tcPr>
          <w:p w14:paraId="191B5C4F">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98" w:type="dxa"/>
            <w:vAlign w:val="center"/>
          </w:tcPr>
          <w:p w14:paraId="5601622C">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ADBD1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818" w:type="dxa"/>
            <w:vAlign w:val="center"/>
          </w:tcPr>
          <w:p w14:paraId="2D37EB61">
            <w:pPr>
              <w:keepNext w:val="0"/>
              <w:keepLines w:val="0"/>
              <w:pageBreakBefore w:val="0"/>
              <w:widowControl/>
              <w:kinsoku w:val="0"/>
              <w:wordWrap w:val="0"/>
              <w:overflowPunct/>
              <w:topLinePunct w:val="0"/>
              <w:autoSpaceDE w:val="0"/>
              <w:autoSpaceDN w:val="0"/>
              <w:bidi w:val="0"/>
              <w:adjustRightInd w:val="0"/>
              <w:snapToGrid w:val="0"/>
              <w:spacing w:before="213"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w:t>
            </w:r>
          </w:p>
        </w:tc>
        <w:tc>
          <w:tcPr>
            <w:tcW w:w="1624" w:type="dxa"/>
            <w:gridSpan w:val="2"/>
            <w:vAlign w:val="center"/>
          </w:tcPr>
          <w:p w14:paraId="3F9424A4">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37" w:type="dxa"/>
            <w:gridSpan w:val="2"/>
            <w:vAlign w:val="center"/>
          </w:tcPr>
          <w:p w14:paraId="5C8C87A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62" w:type="dxa"/>
            <w:vAlign w:val="center"/>
          </w:tcPr>
          <w:p w14:paraId="4B5D2BB4">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98" w:type="dxa"/>
            <w:vAlign w:val="center"/>
          </w:tcPr>
          <w:p w14:paraId="347BC37F">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98" w:type="dxa"/>
            <w:vAlign w:val="center"/>
          </w:tcPr>
          <w:p w14:paraId="0D3458B9">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612B5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818" w:type="dxa"/>
            <w:vAlign w:val="center"/>
          </w:tcPr>
          <w:p w14:paraId="3C8FBE28">
            <w:pPr>
              <w:keepNext w:val="0"/>
              <w:keepLines w:val="0"/>
              <w:pageBreakBefore w:val="0"/>
              <w:widowControl/>
              <w:kinsoku w:val="0"/>
              <w:wordWrap w:val="0"/>
              <w:overflowPunct/>
              <w:topLinePunct w:val="0"/>
              <w:autoSpaceDE w:val="0"/>
              <w:autoSpaceDN w:val="0"/>
              <w:bidi w:val="0"/>
              <w:adjustRightInd w:val="0"/>
              <w:snapToGrid w:val="0"/>
              <w:spacing w:before="213"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w:t>
            </w:r>
          </w:p>
        </w:tc>
        <w:tc>
          <w:tcPr>
            <w:tcW w:w="1624" w:type="dxa"/>
            <w:gridSpan w:val="2"/>
            <w:vAlign w:val="center"/>
          </w:tcPr>
          <w:p w14:paraId="05CB1FA8">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37" w:type="dxa"/>
            <w:gridSpan w:val="2"/>
            <w:vAlign w:val="center"/>
          </w:tcPr>
          <w:p w14:paraId="67C95E4D">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62" w:type="dxa"/>
            <w:vAlign w:val="center"/>
          </w:tcPr>
          <w:p w14:paraId="0F3F3FCD">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98" w:type="dxa"/>
            <w:vAlign w:val="center"/>
          </w:tcPr>
          <w:p w14:paraId="7EEF915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98" w:type="dxa"/>
            <w:vAlign w:val="center"/>
          </w:tcPr>
          <w:p w14:paraId="1073B937">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5BECD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18" w:type="dxa"/>
            <w:vAlign w:val="center"/>
          </w:tcPr>
          <w:p w14:paraId="68FD65E9">
            <w:pPr>
              <w:keepNext w:val="0"/>
              <w:keepLines w:val="0"/>
              <w:pageBreakBefore w:val="0"/>
              <w:widowControl/>
              <w:kinsoku w:val="0"/>
              <w:wordWrap w:val="0"/>
              <w:overflowPunct/>
              <w:topLinePunct w:val="0"/>
              <w:autoSpaceDE w:val="0"/>
              <w:autoSpaceDN w:val="0"/>
              <w:bidi w:val="0"/>
              <w:adjustRightInd w:val="0"/>
              <w:snapToGrid w:val="0"/>
              <w:spacing w:before="177" w:line="325" w:lineRule="exact"/>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position w:val="3"/>
                <w:sz w:val="24"/>
                <w:szCs w:val="24"/>
                <w:highlight w:val="none"/>
                <w14:textFill>
                  <w14:solidFill>
                    <w14:schemeClr w14:val="tx1"/>
                  </w14:solidFill>
                </w14:textFill>
              </w:rPr>
              <w:t>……</w:t>
            </w:r>
          </w:p>
        </w:tc>
        <w:tc>
          <w:tcPr>
            <w:tcW w:w="1624" w:type="dxa"/>
            <w:gridSpan w:val="2"/>
            <w:vAlign w:val="center"/>
          </w:tcPr>
          <w:p w14:paraId="11BEC3EF">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37" w:type="dxa"/>
            <w:gridSpan w:val="2"/>
            <w:vAlign w:val="center"/>
          </w:tcPr>
          <w:p w14:paraId="3178352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62" w:type="dxa"/>
            <w:vAlign w:val="center"/>
          </w:tcPr>
          <w:p w14:paraId="01C4C874">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98" w:type="dxa"/>
            <w:vAlign w:val="center"/>
          </w:tcPr>
          <w:p w14:paraId="7DE5047D">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98" w:type="dxa"/>
            <w:vAlign w:val="center"/>
          </w:tcPr>
          <w:p w14:paraId="26308B2C">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bl>
    <w:p w14:paraId="2A57AD35">
      <w:pPr>
        <w:pStyle w:val="5"/>
        <w:keepNext w:val="0"/>
        <w:keepLines w:val="0"/>
        <w:pageBreakBefore w:val="0"/>
        <w:wordWrap w:val="0"/>
        <w:overflowPunct/>
        <w:topLinePunct w:val="0"/>
        <w:bidi w:val="0"/>
        <w:spacing w:line="315" w:lineRule="auto"/>
        <w:rPr>
          <w:rFonts w:hint="eastAsia" w:ascii="宋体" w:hAnsi="宋体" w:eastAsia="宋体" w:cs="宋体"/>
          <w:color w:val="000000" w:themeColor="text1"/>
          <w:spacing w:val="0"/>
          <w:highlight w:val="none"/>
          <w14:textFill>
            <w14:solidFill>
              <w14:schemeClr w14:val="tx1"/>
            </w14:solidFill>
          </w14:textFill>
        </w:rPr>
      </w:pPr>
    </w:p>
    <w:p w14:paraId="006CE30E">
      <w:pPr>
        <w:keepNext w:val="0"/>
        <w:keepLines w:val="0"/>
        <w:pageBreakBefore w:val="0"/>
        <w:wordWrap w:val="0"/>
        <w:overflowPunct/>
        <w:topLinePunct w:val="0"/>
        <w:bidi w:val="0"/>
        <w:spacing w:before="78" w:line="220" w:lineRule="auto"/>
        <w:ind w:left="69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项目经理：</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w:t>
      </w:r>
    </w:p>
    <w:p w14:paraId="16855C17">
      <w:pPr>
        <w:pStyle w:val="5"/>
        <w:keepNext w:val="0"/>
        <w:keepLines w:val="0"/>
        <w:pageBreakBefore w:val="0"/>
        <w:wordWrap w:val="0"/>
        <w:overflowPunct/>
        <w:topLinePunct w:val="0"/>
        <w:bidi w:val="0"/>
        <w:spacing w:line="256" w:lineRule="auto"/>
        <w:rPr>
          <w:rFonts w:hint="eastAsia" w:ascii="宋体" w:hAnsi="宋体" w:eastAsia="宋体" w:cs="宋体"/>
          <w:color w:val="000000" w:themeColor="text1"/>
          <w:spacing w:val="0"/>
          <w:highlight w:val="none"/>
          <w14:textFill>
            <w14:solidFill>
              <w14:schemeClr w14:val="tx1"/>
            </w14:solidFill>
          </w14:textFill>
        </w:rPr>
      </w:pPr>
    </w:p>
    <w:p w14:paraId="13503D5A">
      <w:pPr>
        <w:pStyle w:val="5"/>
        <w:keepNext w:val="0"/>
        <w:keepLines w:val="0"/>
        <w:pageBreakBefore w:val="0"/>
        <w:wordWrap w:val="0"/>
        <w:overflowPunct/>
        <w:topLinePunct w:val="0"/>
        <w:bidi w:val="0"/>
        <w:spacing w:line="254" w:lineRule="auto"/>
        <w:jc w:val="right"/>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年</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月</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日</w:t>
      </w:r>
    </w:p>
    <w:p w14:paraId="2046C6DB">
      <w:pPr>
        <w:keepNext w:val="0"/>
        <w:keepLines w:val="0"/>
        <w:pageBreakBefore w:val="0"/>
        <w:wordWrap w:val="0"/>
        <w:overflowPunct/>
        <w:topLinePunct w:val="0"/>
        <w:bidi w:val="0"/>
        <w:spacing w:before="78" w:line="220" w:lineRule="auto"/>
        <w:ind w:left="4226"/>
        <w:jc w:val="center"/>
        <w:rPr>
          <w:rFonts w:hint="eastAsia" w:ascii="宋体" w:hAnsi="宋体" w:eastAsia="宋体" w:cs="宋体"/>
          <w:color w:val="000000" w:themeColor="text1"/>
          <w:spacing w:val="0"/>
          <w:highlight w:val="none"/>
          <w14:textFill>
            <w14:solidFill>
              <w14:schemeClr w14:val="tx1"/>
            </w14:solidFill>
          </w14:textFill>
        </w:rPr>
      </w:pPr>
    </w:p>
    <w:p w14:paraId="338141CB">
      <w:pPr>
        <w:pStyle w:val="5"/>
        <w:keepNext w:val="0"/>
        <w:keepLines w:val="0"/>
        <w:pageBreakBefore w:val="0"/>
        <w:wordWrap w:val="0"/>
        <w:overflowPunct/>
        <w:topLinePunct w:val="0"/>
        <w:bidi w:val="0"/>
        <w:spacing w:line="241" w:lineRule="auto"/>
        <w:rPr>
          <w:rFonts w:hint="eastAsia" w:ascii="宋体" w:hAnsi="宋体" w:eastAsia="宋体" w:cs="宋体"/>
          <w:color w:val="000000" w:themeColor="text1"/>
          <w:spacing w:val="0"/>
          <w:highlight w:val="none"/>
          <w14:textFill>
            <w14:solidFill>
              <w14:schemeClr w14:val="tx1"/>
            </w14:solidFill>
          </w14:textFill>
        </w:rPr>
      </w:pPr>
    </w:p>
    <w:p w14:paraId="0D471702">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说明：《项目经理简历表》后应附拟派项目经理以下资料：</w:t>
      </w:r>
    </w:p>
    <w:p w14:paraId="2281CD1D">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257" w:name="_Toc1942"/>
      <w:bookmarkStart w:id="258" w:name="_Toc25271"/>
      <w:r>
        <w:rPr>
          <w:rFonts w:hint="eastAsia" w:ascii="宋体" w:hAnsi="宋体" w:eastAsia="宋体" w:cs="宋体"/>
          <w:color w:val="000000" w:themeColor="text1"/>
          <w:spacing w:val="0"/>
          <w:sz w:val="24"/>
          <w:szCs w:val="24"/>
          <w:highlight w:val="none"/>
          <w14:textFill>
            <w14:solidFill>
              <w14:schemeClr w14:val="tx1"/>
            </w14:solidFill>
          </w14:textFill>
        </w:rPr>
        <w:t>1 ．身份证彩色扫描件；</w:t>
      </w:r>
      <w:bookmarkEnd w:id="257"/>
      <w:bookmarkEnd w:id="258"/>
    </w:p>
    <w:p w14:paraId="256029DB">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 ．建造师电子注册证书（在使用有效期内的有效电子证书）彩色扫描件；</w:t>
      </w:r>
    </w:p>
    <w:p w14:paraId="66281E20">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3．B 类安全生产考核合格证书彩色扫描件或广东省建筑施工企业管理人员安全生产考核系统考核合格信息彩色扫描件；</w:t>
      </w:r>
    </w:p>
    <w:p w14:paraId="76F37EF6">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 ．在本单位缴纳社保</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的证明（至少</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个月，其</w:t>
      </w:r>
      <w:bookmarkStart w:id="259" w:name="OLE_LINK38"/>
      <w:r>
        <w:rPr>
          <w:rFonts w:hint="eastAsia" w:ascii="宋体" w:hAnsi="宋体" w:eastAsia="宋体" w:cs="宋体"/>
          <w:color w:val="000000" w:themeColor="text1"/>
          <w:spacing w:val="0"/>
          <w:sz w:val="24"/>
          <w:szCs w:val="24"/>
          <w:highlight w:val="none"/>
          <w:lang w:eastAsia="zh-CN"/>
          <w14:textFill>
            <w14:solidFill>
              <w14:schemeClr w14:val="tx1"/>
            </w14:solidFill>
          </w14:textFill>
        </w:rPr>
        <w:t>中必须有202</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年</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9</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月</w:t>
      </w:r>
      <w:bookmarkEnd w:id="259"/>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扫描</w:t>
      </w:r>
      <w:r>
        <w:rPr>
          <w:rFonts w:hint="eastAsia" w:ascii="宋体" w:hAnsi="宋体" w:eastAsia="宋体" w:cs="宋体"/>
          <w:color w:val="000000" w:themeColor="text1"/>
          <w:spacing w:val="0"/>
          <w:sz w:val="24"/>
          <w:szCs w:val="24"/>
          <w:highlight w:val="none"/>
          <w14:textFill>
            <w14:solidFill>
              <w14:schemeClr w14:val="tx1"/>
            </w14:solidFill>
          </w14:textFill>
        </w:rPr>
        <w:t>件或打印件。拟派项目经理为退休返聘人员无法提供社保证明的，提供退休证和劳动合同彩色扫描件。</w:t>
      </w:r>
    </w:p>
    <w:p w14:paraId="2A87991E">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 ．“进粤企业和人员诚信信息登记平台 ”个人信息情况截图。（适用于省外建筑企业）</w:t>
      </w:r>
    </w:p>
    <w:p w14:paraId="4BCF539F">
      <w:pPr>
        <w:pStyle w:val="24"/>
        <w:rPr>
          <w:rFonts w:hint="eastAsia" w:ascii="宋体" w:hAnsi="宋体" w:eastAsia="宋体" w:cs="宋体"/>
          <w:color w:val="000000" w:themeColor="text1"/>
          <w:highlight w:val="none"/>
          <w14:textFill>
            <w14:solidFill>
              <w14:schemeClr w14:val="tx1"/>
            </w14:solidFill>
          </w14:textFill>
        </w:rPr>
      </w:pPr>
    </w:p>
    <w:p w14:paraId="00386200">
      <w:pPr>
        <w:keepNext w:val="0"/>
        <w:keepLines w:val="0"/>
        <w:pageBreakBefore w:val="0"/>
        <w:wordWrap w:val="0"/>
        <w:overflowPunct/>
        <w:topLinePunct w:val="0"/>
        <w:bidi w:val="0"/>
        <w:spacing w:line="300" w:lineRule="auto"/>
        <w:rPr>
          <w:rFonts w:hint="eastAsia" w:ascii="宋体" w:hAnsi="宋体" w:eastAsia="宋体" w:cs="宋体"/>
          <w:color w:val="000000" w:themeColor="text1"/>
          <w:spacing w:val="0"/>
          <w:sz w:val="20"/>
          <w:szCs w:val="20"/>
          <w:highlight w:val="none"/>
          <w14:textFill>
            <w14:solidFill>
              <w14:schemeClr w14:val="tx1"/>
            </w14:solidFill>
          </w14:textFill>
        </w:rPr>
        <w:sectPr>
          <w:footerReference r:id="rId20"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5A1871F0">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60" w:name="_Toc6105"/>
      <w:r>
        <w:rPr>
          <w:rFonts w:hint="eastAsia" w:ascii="宋体" w:hAnsi="宋体" w:eastAsia="宋体" w:cs="宋体"/>
          <w:b/>
          <w:bCs/>
          <w:color w:val="000000" w:themeColor="text1"/>
          <w:spacing w:val="0"/>
          <w:sz w:val="24"/>
          <w:szCs w:val="24"/>
          <w:highlight w:val="none"/>
          <w14:textFill>
            <w14:solidFill>
              <w14:schemeClr w14:val="tx1"/>
            </w14:solidFill>
          </w14:textFill>
        </w:rPr>
        <w:t>格式九 项目经理任职声明</w:t>
      </w:r>
      <w:bookmarkEnd w:id="260"/>
    </w:p>
    <w:p w14:paraId="0578F8FA">
      <w:pPr>
        <w:pStyle w:val="5"/>
        <w:keepNext w:val="0"/>
        <w:keepLines w:val="0"/>
        <w:pageBreakBefore w:val="0"/>
        <w:wordWrap w:val="0"/>
        <w:overflowPunct/>
        <w:topLinePunct w:val="0"/>
        <w:bidi w:val="0"/>
        <w:spacing w:line="350" w:lineRule="auto"/>
        <w:rPr>
          <w:rFonts w:hint="eastAsia" w:ascii="宋体" w:hAnsi="宋体" w:eastAsia="宋体" w:cs="宋体"/>
          <w:color w:val="000000" w:themeColor="text1"/>
          <w:spacing w:val="0"/>
          <w:highlight w:val="none"/>
          <w14:textFill>
            <w14:solidFill>
              <w14:schemeClr w14:val="tx1"/>
            </w14:solidFill>
          </w14:textFill>
        </w:rPr>
      </w:pPr>
    </w:p>
    <w:p w14:paraId="18B06342">
      <w:pPr>
        <w:pStyle w:val="5"/>
        <w:keepNext w:val="0"/>
        <w:keepLines w:val="0"/>
        <w:pageBreakBefore w:val="0"/>
        <w:wordWrap w:val="0"/>
        <w:overflowPunct/>
        <w:topLinePunct w:val="0"/>
        <w:bidi w:val="0"/>
        <w:spacing w:line="350" w:lineRule="auto"/>
        <w:rPr>
          <w:rFonts w:hint="eastAsia" w:ascii="宋体" w:hAnsi="宋体" w:eastAsia="宋体" w:cs="宋体"/>
          <w:color w:val="000000" w:themeColor="text1"/>
          <w:spacing w:val="0"/>
          <w:highlight w:val="none"/>
          <w14:textFill>
            <w14:solidFill>
              <w14:schemeClr w14:val="tx1"/>
            </w14:solidFill>
          </w14:textFill>
        </w:rPr>
      </w:pPr>
    </w:p>
    <w:p w14:paraId="40F834AF">
      <w:pPr>
        <w:keepNext w:val="0"/>
        <w:keepLines w:val="0"/>
        <w:pageBreakBefore w:val="0"/>
        <w:wordWrap w:val="0"/>
        <w:overflowPunct/>
        <w:topLinePunct w:val="0"/>
        <w:bidi w:val="0"/>
        <w:spacing w:before="98" w:line="220" w:lineRule="auto"/>
        <w:ind w:left="3338"/>
        <w:rPr>
          <w:rFonts w:hint="eastAsia" w:ascii="宋体" w:hAnsi="宋体" w:eastAsia="宋体" w:cs="宋体"/>
          <w:color w:val="000000" w:themeColor="text1"/>
          <w:spacing w:val="0"/>
          <w:sz w:val="30"/>
          <w:szCs w:val="30"/>
          <w:highlight w:val="none"/>
          <w14:textFill>
            <w14:solidFill>
              <w14:schemeClr w14:val="tx1"/>
            </w14:solidFill>
          </w14:textFill>
        </w:rPr>
      </w:pPr>
      <w:bookmarkStart w:id="261" w:name="bookmark157"/>
      <w:bookmarkEnd w:id="261"/>
      <w:r>
        <w:rPr>
          <w:rFonts w:hint="eastAsia" w:ascii="宋体" w:hAnsi="宋体" w:eastAsia="宋体" w:cs="宋体"/>
          <w:b/>
          <w:bCs/>
          <w:color w:val="000000" w:themeColor="text1"/>
          <w:spacing w:val="0"/>
          <w:sz w:val="30"/>
          <w:szCs w:val="30"/>
          <w:highlight w:val="none"/>
          <w14:textFill>
            <w14:solidFill>
              <w14:schemeClr w14:val="tx1"/>
            </w14:solidFill>
          </w14:textFill>
        </w:rPr>
        <w:t>项目经理任职声明</w:t>
      </w:r>
    </w:p>
    <w:p w14:paraId="532E6150">
      <w:pPr>
        <w:pStyle w:val="5"/>
        <w:keepNext w:val="0"/>
        <w:keepLines w:val="0"/>
        <w:pageBreakBefore w:val="0"/>
        <w:wordWrap w:val="0"/>
        <w:overflowPunct/>
        <w:topLinePunct w:val="0"/>
        <w:bidi w:val="0"/>
        <w:spacing w:line="250" w:lineRule="auto"/>
        <w:rPr>
          <w:rFonts w:hint="eastAsia" w:ascii="宋体" w:hAnsi="宋体" w:eastAsia="宋体" w:cs="宋体"/>
          <w:color w:val="000000" w:themeColor="text1"/>
          <w:spacing w:val="0"/>
          <w:highlight w:val="none"/>
          <w14:textFill>
            <w14:solidFill>
              <w14:schemeClr w14:val="tx1"/>
            </w14:solidFill>
          </w14:textFill>
        </w:rPr>
      </w:pPr>
    </w:p>
    <w:p w14:paraId="5161A470">
      <w:pPr>
        <w:pStyle w:val="5"/>
        <w:keepNext w:val="0"/>
        <w:keepLines w:val="0"/>
        <w:pageBreakBefore w:val="0"/>
        <w:wordWrap w:val="0"/>
        <w:overflowPunct/>
        <w:topLinePunct w:val="0"/>
        <w:bidi w:val="0"/>
        <w:spacing w:line="250" w:lineRule="auto"/>
        <w:rPr>
          <w:rFonts w:hint="eastAsia" w:ascii="宋体" w:hAnsi="宋体" w:eastAsia="宋体" w:cs="宋体"/>
          <w:color w:val="000000" w:themeColor="text1"/>
          <w:spacing w:val="0"/>
          <w:highlight w:val="none"/>
          <w14:textFill>
            <w14:solidFill>
              <w14:schemeClr w14:val="tx1"/>
            </w14:solidFill>
          </w14:textFill>
        </w:rPr>
      </w:pPr>
    </w:p>
    <w:p w14:paraId="641FA575">
      <w:pPr>
        <w:pStyle w:val="5"/>
        <w:keepNext w:val="0"/>
        <w:keepLines w:val="0"/>
        <w:pageBreakBefore w:val="0"/>
        <w:wordWrap w:val="0"/>
        <w:overflowPunct/>
        <w:topLinePunct w:val="0"/>
        <w:bidi w:val="0"/>
        <w:spacing w:line="251" w:lineRule="auto"/>
        <w:rPr>
          <w:rFonts w:hint="eastAsia" w:ascii="宋体" w:hAnsi="宋体" w:eastAsia="宋体" w:cs="宋体"/>
          <w:color w:val="000000" w:themeColor="text1"/>
          <w:spacing w:val="0"/>
          <w:highlight w:val="none"/>
          <w14:textFill>
            <w14:solidFill>
              <w14:schemeClr w14:val="tx1"/>
            </w14:solidFill>
          </w14:textFill>
        </w:rPr>
      </w:pPr>
    </w:p>
    <w:p w14:paraId="5A6A5383">
      <w:pPr>
        <w:keepNext w:val="0"/>
        <w:keepLines w:val="0"/>
        <w:pageBreakBefore w:val="0"/>
        <w:wordWrap w:val="0"/>
        <w:overflowPunct/>
        <w:topLinePunct w:val="0"/>
        <w:bidi w:val="0"/>
        <w:spacing w:before="78" w:line="221" w:lineRule="auto"/>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致：</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（招标人名称）</w:t>
      </w:r>
    </w:p>
    <w:p w14:paraId="6DF111E3">
      <w:pPr>
        <w:keepNext w:val="0"/>
        <w:keepLines w:val="0"/>
        <w:pageBreakBefore w:val="0"/>
        <w:wordWrap w:val="0"/>
        <w:overflowPunct/>
        <w:topLinePunct w:val="0"/>
        <w:bidi w:val="0"/>
        <w:spacing w:before="155" w:line="324" w:lineRule="auto"/>
        <w:ind w:firstLine="4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我方在此声明，我方拟派往</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（项目名称）的项目经理</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（项目经理姓名）现阶段没有担任任何在施（包括已中标未开工、已开工未竣工）建设工程项目的项目经理。</w:t>
      </w:r>
    </w:p>
    <w:p w14:paraId="30B4DC4A">
      <w:pPr>
        <w:keepNext w:val="0"/>
        <w:keepLines w:val="0"/>
        <w:pageBreakBefore w:val="0"/>
        <w:wordWrap w:val="0"/>
        <w:overflowPunct/>
        <w:topLinePunct w:val="0"/>
        <w:bidi w:val="0"/>
        <w:spacing w:before="35" w:line="326" w:lineRule="auto"/>
        <w:ind w:firstLine="48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我方保证上述信息的真实和准确，并愿意承担因我方就此弄虚作假所引起的一切法律后果。</w:t>
      </w:r>
    </w:p>
    <w:p w14:paraId="3FFEA1FE">
      <w:pPr>
        <w:pStyle w:val="5"/>
        <w:keepNext w:val="0"/>
        <w:keepLines w:val="0"/>
        <w:pageBreakBefore w:val="0"/>
        <w:wordWrap w:val="0"/>
        <w:overflowPunct/>
        <w:topLinePunct w:val="0"/>
        <w:bidi w:val="0"/>
        <w:spacing w:line="391" w:lineRule="auto"/>
        <w:rPr>
          <w:rFonts w:hint="eastAsia" w:ascii="宋体" w:hAnsi="宋体" w:eastAsia="宋体" w:cs="宋体"/>
          <w:color w:val="000000" w:themeColor="text1"/>
          <w:spacing w:val="0"/>
          <w:highlight w:val="none"/>
          <w14:textFill>
            <w14:solidFill>
              <w14:schemeClr w14:val="tx1"/>
            </w14:solidFill>
          </w14:textFill>
        </w:rPr>
      </w:pPr>
    </w:p>
    <w:p w14:paraId="2CFADE2D">
      <w:pPr>
        <w:keepNext w:val="0"/>
        <w:keepLines w:val="0"/>
        <w:pageBreakBefore w:val="0"/>
        <w:wordWrap w:val="0"/>
        <w:overflowPunct/>
        <w:topLinePunct w:val="0"/>
        <w:bidi w:val="0"/>
        <w:spacing w:before="78" w:line="220" w:lineRule="auto"/>
        <w:ind w:left="4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特此承诺</w:t>
      </w:r>
    </w:p>
    <w:p w14:paraId="187690F7">
      <w:pPr>
        <w:pStyle w:val="5"/>
        <w:keepNext w:val="0"/>
        <w:keepLines w:val="0"/>
        <w:pageBreakBefore w:val="0"/>
        <w:wordWrap w:val="0"/>
        <w:overflowPunct/>
        <w:topLinePunct w:val="0"/>
        <w:bidi w:val="0"/>
        <w:spacing w:line="316" w:lineRule="auto"/>
        <w:rPr>
          <w:rFonts w:hint="eastAsia" w:ascii="宋体" w:hAnsi="宋体" w:eastAsia="宋体" w:cs="宋体"/>
          <w:color w:val="000000" w:themeColor="text1"/>
          <w:spacing w:val="0"/>
          <w:highlight w:val="none"/>
          <w14:textFill>
            <w14:solidFill>
              <w14:schemeClr w14:val="tx1"/>
            </w14:solidFill>
          </w14:textFill>
        </w:rPr>
      </w:pPr>
    </w:p>
    <w:p w14:paraId="5CA4FAA1">
      <w:pPr>
        <w:pStyle w:val="5"/>
        <w:keepNext w:val="0"/>
        <w:keepLines w:val="0"/>
        <w:pageBreakBefore w:val="0"/>
        <w:wordWrap w:val="0"/>
        <w:overflowPunct/>
        <w:topLinePunct w:val="0"/>
        <w:bidi w:val="0"/>
        <w:spacing w:line="317" w:lineRule="auto"/>
        <w:rPr>
          <w:rFonts w:hint="eastAsia" w:ascii="宋体" w:hAnsi="宋体" w:eastAsia="宋体" w:cs="宋体"/>
          <w:color w:val="000000" w:themeColor="text1"/>
          <w:spacing w:val="0"/>
          <w:highlight w:val="none"/>
          <w14:textFill>
            <w14:solidFill>
              <w14:schemeClr w14:val="tx1"/>
            </w14:solidFill>
          </w14:textFill>
        </w:rPr>
      </w:pPr>
    </w:p>
    <w:p w14:paraId="66166C76">
      <w:pPr>
        <w:pStyle w:val="5"/>
        <w:keepNext w:val="0"/>
        <w:keepLines w:val="0"/>
        <w:pageBreakBefore w:val="0"/>
        <w:wordWrap w:val="0"/>
        <w:overflowPunct/>
        <w:topLinePunct w:val="0"/>
        <w:bidi w:val="0"/>
        <w:spacing w:line="317" w:lineRule="auto"/>
        <w:rPr>
          <w:rFonts w:hint="eastAsia" w:ascii="宋体" w:hAnsi="宋体" w:eastAsia="宋体" w:cs="宋体"/>
          <w:color w:val="000000" w:themeColor="text1"/>
          <w:spacing w:val="0"/>
          <w:highlight w:val="none"/>
          <w14:textFill>
            <w14:solidFill>
              <w14:schemeClr w14:val="tx1"/>
            </w14:solidFill>
          </w14:textFill>
        </w:rPr>
      </w:pPr>
    </w:p>
    <w:p w14:paraId="07DB27C5">
      <w:pPr>
        <w:keepNext w:val="0"/>
        <w:keepLines w:val="0"/>
        <w:pageBreakBefore w:val="0"/>
        <w:wordWrap w:val="0"/>
        <w:overflowPunct/>
        <w:topLinePunct w:val="0"/>
        <w:bidi w:val="0"/>
        <w:spacing w:before="79" w:line="219" w:lineRule="auto"/>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（盖单位章）</w:t>
      </w:r>
    </w:p>
    <w:p w14:paraId="1AF704E9">
      <w:pPr>
        <w:pStyle w:val="5"/>
        <w:keepNext w:val="0"/>
        <w:keepLines w:val="0"/>
        <w:pageBreakBefore w:val="0"/>
        <w:wordWrap w:val="0"/>
        <w:overflowPunct/>
        <w:topLinePunct w:val="0"/>
        <w:bidi w:val="0"/>
        <w:spacing w:line="317" w:lineRule="auto"/>
        <w:rPr>
          <w:rFonts w:hint="eastAsia" w:ascii="宋体" w:hAnsi="宋体" w:eastAsia="宋体" w:cs="宋体"/>
          <w:color w:val="000000" w:themeColor="text1"/>
          <w:spacing w:val="0"/>
          <w:highlight w:val="none"/>
          <w14:textFill>
            <w14:solidFill>
              <w14:schemeClr w14:val="tx1"/>
            </w14:solidFill>
          </w14:textFill>
        </w:rPr>
      </w:pPr>
    </w:p>
    <w:p w14:paraId="4421D560">
      <w:pPr>
        <w:pStyle w:val="5"/>
        <w:keepNext w:val="0"/>
        <w:keepLines w:val="0"/>
        <w:pageBreakBefore w:val="0"/>
        <w:wordWrap w:val="0"/>
        <w:overflowPunct/>
        <w:topLinePunct w:val="0"/>
        <w:bidi w:val="0"/>
        <w:spacing w:line="317" w:lineRule="auto"/>
        <w:rPr>
          <w:rFonts w:hint="eastAsia" w:ascii="宋体" w:hAnsi="宋体" w:eastAsia="宋体" w:cs="宋体"/>
          <w:color w:val="000000" w:themeColor="text1"/>
          <w:spacing w:val="0"/>
          <w:highlight w:val="none"/>
          <w14:textFill>
            <w14:solidFill>
              <w14:schemeClr w14:val="tx1"/>
            </w14:solidFill>
          </w14:textFill>
        </w:rPr>
      </w:pPr>
    </w:p>
    <w:p w14:paraId="7188D609">
      <w:pPr>
        <w:pStyle w:val="5"/>
        <w:keepNext w:val="0"/>
        <w:keepLines w:val="0"/>
        <w:pageBreakBefore w:val="0"/>
        <w:wordWrap w:val="0"/>
        <w:overflowPunct/>
        <w:topLinePunct w:val="0"/>
        <w:bidi w:val="0"/>
        <w:spacing w:line="317" w:lineRule="auto"/>
        <w:rPr>
          <w:rFonts w:hint="eastAsia" w:ascii="宋体" w:hAnsi="宋体" w:eastAsia="宋体" w:cs="宋体"/>
          <w:color w:val="000000" w:themeColor="text1"/>
          <w:spacing w:val="0"/>
          <w:highlight w:val="none"/>
          <w14:textFill>
            <w14:solidFill>
              <w14:schemeClr w14:val="tx1"/>
            </w14:solidFill>
          </w14:textFill>
        </w:rPr>
      </w:pPr>
    </w:p>
    <w:p w14:paraId="6A29B34B">
      <w:pPr>
        <w:keepNext w:val="0"/>
        <w:keepLines w:val="0"/>
        <w:pageBreakBefore w:val="0"/>
        <w:wordWrap w:val="0"/>
        <w:overflowPunct/>
        <w:topLinePunct w:val="0"/>
        <w:bidi w:val="0"/>
        <w:spacing w:before="78" w:line="219" w:lineRule="auto"/>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法定代表人或其委托代理人：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（签字或盖章）</w:t>
      </w:r>
    </w:p>
    <w:p w14:paraId="6AD94480">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234EACCA">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348EEA26">
      <w:pPr>
        <w:pStyle w:val="5"/>
        <w:keepNext w:val="0"/>
        <w:keepLines w:val="0"/>
        <w:pageBreakBefore w:val="0"/>
        <w:wordWrap w:val="0"/>
        <w:overflowPunct/>
        <w:topLinePunct w:val="0"/>
        <w:bidi w:val="0"/>
        <w:spacing w:line="254" w:lineRule="auto"/>
        <w:jc w:val="right"/>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年</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月</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日</w:t>
      </w:r>
    </w:p>
    <w:p w14:paraId="2C2A7387">
      <w:pPr>
        <w:keepNext w:val="0"/>
        <w:keepLines w:val="0"/>
        <w:pageBreakBefore w:val="0"/>
        <w:wordWrap w:val="0"/>
        <w:overflowPunct/>
        <w:topLinePunct w:val="0"/>
        <w:bidi w:val="0"/>
        <w:spacing w:line="220" w:lineRule="auto"/>
        <w:rPr>
          <w:rFonts w:hint="eastAsia" w:ascii="宋体" w:hAnsi="宋体" w:eastAsia="宋体" w:cs="宋体"/>
          <w:color w:val="000000" w:themeColor="text1"/>
          <w:spacing w:val="0"/>
          <w:sz w:val="24"/>
          <w:szCs w:val="24"/>
          <w:highlight w:val="none"/>
          <w14:textFill>
            <w14:solidFill>
              <w14:schemeClr w14:val="tx1"/>
            </w14:solidFill>
          </w14:textFill>
        </w:rPr>
        <w:sectPr>
          <w:footerReference r:id="rId21"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1E9C11AF">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62" w:name="_Toc1750"/>
      <w:r>
        <w:rPr>
          <w:rFonts w:hint="eastAsia" w:ascii="宋体" w:hAnsi="宋体" w:eastAsia="宋体" w:cs="宋体"/>
          <w:b/>
          <w:bCs/>
          <w:color w:val="000000" w:themeColor="text1"/>
          <w:spacing w:val="0"/>
          <w:sz w:val="24"/>
          <w:szCs w:val="24"/>
          <w:highlight w:val="none"/>
          <w14:textFill>
            <w14:solidFill>
              <w14:schemeClr w14:val="tx1"/>
            </w14:solidFill>
          </w14:textFill>
        </w:rPr>
        <w:t>格式十 项目技术负责人简历表</w:t>
      </w:r>
      <w:bookmarkEnd w:id="262"/>
    </w:p>
    <w:p w14:paraId="4A542C8B">
      <w:pPr>
        <w:pStyle w:val="5"/>
        <w:keepNext w:val="0"/>
        <w:keepLines w:val="0"/>
        <w:pageBreakBefore w:val="0"/>
        <w:wordWrap w:val="0"/>
        <w:overflowPunct/>
        <w:topLinePunct w:val="0"/>
        <w:bidi w:val="0"/>
        <w:spacing w:line="444" w:lineRule="auto"/>
        <w:rPr>
          <w:rFonts w:hint="eastAsia" w:ascii="宋体" w:hAnsi="宋体" w:eastAsia="宋体" w:cs="宋体"/>
          <w:color w:val="000000" w:themeColor="text1"/>
          <w:spacing w:val="0"/>
          <w:highlight w:val="none"/>
          <w14:textFill>
            <w14:solidFill>
              <w14:schemeClr w14:val="tx1"/>
            </w14:solidFill>
          </w14:textFill>
        </w:rPr>
      </w:pPr>
    </w:p>
    <w:p w14:paraId="19FD339A">
      <w:pPr>
        <w:keepNext w:val="0"/>
        <w:keepLines w:val="0"/>
        <w:pageBreakBefore w:val="0"/>
        <w:wordWrap w:val="0"/>
        <w:overflowPunct/>
        <w:topLinePunct w:val="0"/>
        <w:bidi w:val="0"/>
        <w:spacing w:before="97" w:line="219" w:lineRule="auto"/>
        <w:ind w:left="3087"/>
        <w:outlineLvl w:val="9"/>
        <w:rPr>
          <w:rFonts w:hint="eastAsia" w:ascii="宋体" w:hAnsi="宋体" w:eastAsia="宋体" w:cs="宋体"/>
          <w:color w:val="000000" w:themeColor="text1"/>
          <w:spacing w:val="0"/>
          <w:sz w:val="30"/>
          <w:szCs w:val="30"/>
          <w:highlight w:val="none"/>
          <w14:textFill>
            <w14:solidFill>
              <w14:schemeClr w14:val="tx1"/>
            </w14:solidFill>
          </w14:textFill>
        </w:rPr>
      </w:pPr>
      <w:bookmarkStart w:id="263" w:name="_Toc25712"/>
      <w:bookmarkStart w:id="264" w:name="_Toc1553"/>
      <w:r>
        <w:rPr>
          <w:rFonts w:hint="eastAsia" w:ascii="宋体" w:hAnsi="宋体" w:eastAsia="宋体" w:cs="宋体"/>
          <w:b/>
          <w:bCs/>
          <w:color w:val="000000" w:themeColor="text1"/>
          <w:spacing w:val="0"/>
          <w:sz w:val="30"/>
          <w:szCs w:val="30"/>
          <w:highlight w:val="none"/>
          <w14:textFill>
            <w14:solidFill>
              <w14:schemeClr w14:val="tx1"/>
            </w14:solidFill>
          </w14:textFill>
        </w:rPr>
        <w:t>项目技术负责人简历表</w:t>
      </w:r>
      <w:bookmarkEnd w:id="263"/>
      <w:bookmarkEnd w:id="264"/>
    </w:p>
    <w:p w14:paraId="76293364">
      <w:pPr>
        <w:keepNext w:val="0"/>
        <w:keepLines w:val="0"/>
        <w:pageBreakBefore w:val="0"/>
        <w:wordWrap w:val="0"/>
        <w:overflowPunct/>
        <w:topLinePunct w:val="0"/>
        <w:bidi w:val="0"/>
        <w:spacing w:line="240" w:lineRule="exact"/>
        <w:rPr>
          <w:rFonts w:hint="eastAsia" w:ascii="宋体" w:hAnsi="宋体" w:eastAsia="宋体" w:cs="宋体"/>
          <w:color w:val="000000" w:themeColor="text1"/>
          <w:spacing w:val="0"/>
          <w:highlight w:val="none"/>
          <w14:textFill>
            <w14:solidFill>
              <w14:schemeClr w14:val="tx1"/>
            </w14:solidFill>
          </w14:textFill>
        </w:rPr>
      </w:pPr>
    </w:p>
    <w:tbl>
      <w:tblPr>
        <w:tblStyle w:val="14"/>
        <w:tblW w:w="965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0"/>
        <w:gridCol w:w="1003"/>
        <w:gridCol w:w="607"/>
        <w:gridCol w:w="675"/>
        <w:gridCol w:w="1346"/>
        <w:gridCol w:w="2047"/>
        <w:gridCol w:w="1783"/>
        <w:gridCol w:w="1386"/>
      </w:tblGrid>
      <w:tr w14:paraId="2EEC3E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jc w:val="center"/>
        </w:trPr>
        <w:tc>
          <w:tcPr>
            <w:tcW w:w="1813" w:type="dxa"/>
            <w:gridSpan w:val="2"/>
            <w:vAlign w:val="center"/>
          </w:tcPr>
          <w:p w14:paraId="202B1A61">
            <w:pPr>
              <w:keepNext w:val="0"/>
              <w:keepLines w:val="0"/>
              <w:pageBreakBefore w:val="0"/>
              <w:widowControl/>
              <w:kinsoku w:val="0"/>
              <w:wordWrap w:val="0"/>
              <w:overflowPunct/>
              <w:topLinePunct w:val="0"/>
              <w:autoSpaceDE w:val="0"/>
              <w:autoSpaceDN w:val="0"/>
              <w:bidi w:val="0"/>
              <w:adjustRightInd w:val="0"/>
              <w:snapToGrid w:val="0"/>
              <w:spacing w:before="177"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姓   名</w:t>
            </w:r>
          </w:p>
        </w:tc>
        <w:tc>
          <w:tcPr>
            <w:tcW w:w="1282" w:type="dxa"/>
            <w:gridSpan w:val="2"/>
            <w:vAlign w:val="center"/>
          </w:tcPr>
          <w:p w14:paraId="35180F15">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pPr>
          </w:p>
        </w:tc>
        <w:tc>
          <w:tcPr>
            <w:tcW w:w="1346" w:type="dxa"/>
            <w:vAlign w:val="center"/>
          </w:tcPr>
          <w:p w14:paraId="411B9C93">
            <w:pPr>
              <w:keepNext w:val="0"/>
              <w:keepLines w:val="0"/>
              <w:pageBreakBefore w:val="0"/>
              <w:widowControl/>
              <w:kinsoku w:val="0"/>
              <w:wordWrap w:val="0"/>
              <w:overflowPunct/>
              <w:topLinePunct w:val="0"/>
              <w:autoSpaceDE w:val="0"/>
              <w:autoSpaceDN w:val="0"/>
              <w:bidi w:val="0"/>
              <w:adjustRightInd w:val="0"/>
              <w:snapToGrid w:val="0"/>
              <w:spacing w:before="177"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性  别</w:t>
            </w:r>
          </w:p>
        </w:tc>
        <w:tc>
          <w:tcPr>
            <w:tcW w:w="2047" w:type="dxa"/>
            <w:vAlign w:val="center"/>
          </w:tcPr>
          <w:p w14:paraId="2F452FFD">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83" w:type="dxa"/>
            <w:vAlign w:val="center"/>
          </w:tcPr>
          <w:p w14:paraId="2A711865">
            <w:pPr>
              <w:keepNext w:val="0"/>
              <w:keepLines w:val="0"/>
              <w:pageBreakBefore w:val="0"/>
              <w:widowControl/>
              <w:kinsoku w:val="0"/>
              <w:wordWrap w:val="0"/>
              <w:overflowPunct/>
              <w:topLinePunct w:val="0"/>
              <w:autoSpaceDE w:val="0"/>
              <w:autoSpaceDN w:val="0"/>
              <w:bidi w:val="0"/>
              <w:adjustRightInd w:val="0"/>
              <w:snapToGrid w:val="0"/>
              <w:spacing w:before="177"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年   龄</w:t>
            </w:r>
          </w:p>
        </w:tc>
        <w:tc>
          <w:tcPr>
            <w:tcW w:w="1386" w:type="dxa"/>
            <w:vAlign w:val="center"/>
          </w:tcPr>
          <w:p w14:paraId="5240B450">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6C2B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1813" w:type="dxa"/>
            <w:gridSpan w:val="2"/>
            <w:vAlign w:val="center"/>
          </w:tcPr>
          <w:p w14:paraId="29B76BC5">
            <w:pPr>
              <w:keepNext w:val="0"/>
              <w:keepLines w:val="0"/>
              <w:pageBreakBefore w:val="0"/>
              <w:widowControl/>
              <w:kinsoku w:val="0"/>
              <w:wordWrap w:val="0"/>
              <w:overflowPunct/>
              <w:topLinePunct w:val="0"/>
              <w:autoSpaceDE w:val="0"/>
              <w:autoSpaceDN w:val="0"/>
              <w:bidi w:val="0"/>
              <w:adjustRightInd w:val="0"/>
              <w:snapToGrid w:val="0"/>
              <w:spacing w:before="175"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职   务</w:t>
            </w:r>
          </w:p>
        </w:tc>
        <w:tc>
          <w:tcPr>
            <w:tcW w:w="1282" w:type="dxa"/>
            <w:gridSpan w:val="2"/>
            <w:vAlign w:val="center"/>
          </w:tcPr>
          <w:p w14:paraId="307065D1">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46" w:type="dxa"/>
            <w:vAlign w:val="center"/>
          </w:tcPr>
          <w:p w14:paraId="2E6461F1">
            <w:pPr>
              <w:keepNext w:val="0"/>
              <w:keepLines w:val="0"/>
              <w:pageBreakBefore w:val="0"/>
              <w:widowControl/>
              <w:kinsoku w:val="0"/>
              <w:wordWrap w:val="0"/>
              <w:overflowPunct/>
              <w:topLinePunct w:val="0"/>
              <w:autoSpaceDE w:val="0"/>
              <w:autoSpaceDN w:val="0"/>
              <w:bidi w:val="0"/>
              <w:adjustRightInd w:val="0"/>
              <w:snapToGrid w:val="0"/>
              <w:spacing w:before="174" w:line="231"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职  称</w:t>
            </w:r>
          </w:p>
        </w:tc>
        <w:tc>
          <w:tcPr>
            <w:tcW w:w="2047" w:type="dxa"/>
            <w:vAlign w:val="center"/>
          </w:tcPr>
          <w:p w14:paraId="59539D9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83" w:type="dxa"/>
            <w:vAlign w:val="center"/>
          </w:tcPr>
          <w:p w14:paraId="1F83FFA8">
            <w:pPr>
              <w:keepNext w:val="0"/>
              <w:keepLines w:val="0"/>
              <w:pageBreakBefore w:val="0"/>
              <w:widowControl/>
              <w:kinsoku w:val="0"/>
              <w:wordWrap w:val="0"/>
              <w:overflowPunct/>
              <w:topLinePunct w:val="0"/>
              <w:autoSpaceDE w:val="0"/>
              <w:autoSpaceDN w:val="0"/>
              <w:bidi w:val="0"/>
              <w:adjustRightInd w:val="0"/>
              <w:snapToGrid w:val="0"/>
              <w:spacing w:before="175" w:line="230"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学   历</w:t>
            </w:r>
          </w:p>
        </w:tc>
        <w:tc>
          <w:tcPr>
            <w:tcW w:w="1386" w:type="dxa"/>
            <w:vAlign w:val="center"/>
          </w:tcPr>
          <w:p w14:paraId="46640CDA">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C17D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jc w:val="center"/>
        </w:trPr>
        <w:tc>
          <w:tcPr>
            <w:tcW w:w="1813" w:type="dxa"/>
            <w:gridSpan w:val="2"/>
            <w:vAlign w:val="center"/>
          </w:tcPr>
          <w:p w14:paraId="2A561424">
            <w:pPr>
              <w:keepNext w:val="0"/>
              <w:keepLines w:val="0"/>
              <w:pageBreakBefore w:val="0"/>
              <w:widowControl/>
              <w:kinsoku w:val="0"/>
              <w:wordWrap w:val="0"/>
              <w:overflowPunct/>
              <w:topLinePunct w:val="0"/>
              <w:autoSpaceDE w:val="0"/>
              <w:autoSpaceDN w:val="0"/>
              <w:bidi w:val="0"/>
              <w:adjustRightInd w:val="0"/>
              <w:snapToGrid w:val="0"/>
              <w:spacing w:before="175"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参加工作时间</w:t>
            </w:r>
          </w:p>
        </w:tc>
        <w:tc>
          <w:tcPr>
            <w:tcW w:w="2628" w:type="dxa"/>
            <w:gridSpan w:val="3"/>
            <w:vAlign w:val="center"/>
          </w:tcPr>
          <w:p w14:paraId="14B00331">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3830" w:type="dxa"/>
            <w:gridSpan w:val="2"/>
            <w:vAlign w:val="center"/>
          </w:tcPr>
          <w:p w14:paraId="0B864845">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从事工程建设项目管理工作年限</w:t>
            </w:r>
          </w:p>
        </w:tc>
        <w:tc>
          <w:tcPr>
            <w:tcW w:w="1386" w:type="dxa"/>
            <w:vAlign w:val="center"/>
          </w:tcPr>
          <w:p w14:paraId="18B2FE92">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C727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9657" w:type="dxa"/>
            <w:gridSpan w:val="8"/>
            <w:vAlign w:val="center"/>
          </w:tcPr>
          <w:p w14:paraId="0F93C385">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以项目技术负责人身份参与过的主要业绩（已完工项目）</w:t>
            </w:r>
          </w:p>
        </w:tc>
      </w:tr>
      <w:tr w14:paraId="259C58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jc w:val="center"/>
        </w:trPr>
        <w:tc>
          <w:tcPr>
            <w:tcW w:w="810" w:type="dxa"/>
            <w:vAlign w:val="center"/>
          </w:tcPr>
          <w:p w14:paraId="23B1418B">
            <w:pPr>
              <w:keepNext w:val="0"/>
              <w:keepLines w:val="0"/>
              <w:pageBreakBefore w:val="0"/>
              <w:widowControl/>
              <w:kinsoku w:val="0"/>
              <w:wordWrap w:val="0"/>
              <w:overflowPunct/>
              <w:topLinePunct w:val="0"/>
              <w:autoSpaceDE w:val="0"/>
              <w:autoSpaceDN w:val="0"/>
              <w:bidi w:val="0"/>
              <w:adjustRightInd w:val="0"/>
              <w:snapToGrid w:val="0"/>
              <w:spacing w:before="176" w:line="230"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序号</w:t>
            </w:r>
          </w:p>
        </w:tc>
        <w:tc>
          <w:tcPr>
            <w:tcW w:w="1610" w:type="dxa"/>
            <w:gridSpan w:val="2"/>
            <w:vAlign w:val="center"/>
          </w:tcPr>
          <w:p w14:paraId="7FF7FF79">
            <w:pPr>
              <w:keepNext w:val="0"/>
              <w:keepLines w:val="0"/>
              <w:pageBreakBefore w:val="0"/>
              <w:widowControl/>
              <w:kinsoku w:val="0"/>
              <w:wordWrap w:val="0"/>
              <w:overflowPunct/>
              <w:topLinePunct w:val="0"/>
              <w:autoSpaceDE w:val="0"/>
              <w:autoSpaceDN w:val="0"/>
              <w:bidi w:val="0"/>
              <w:adjustRightInd w:val="0"/>
              <w:snapToGrid w:val="0"/>
              <w:spacing w:before="176"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项目名称</w:t>
            </w:r>
          </w:p>
        </w:tc>
        <w:tc>
          <w:tcPr>
            <w:tcW w:w="2021" w:type="dxa"/>
            <w:gridSpan w:val="2"/>
            <w:vAlign w:val="center"/>
          </w:tcPr>
          <w:p w14:paraId="7075F8FD">
            <w:pPr>
              <w:keepNext w:val="0"/>
              <w:keepLines w:val="0"/>
              <w:pageBreakBefore w:val="0"/>
              <w:widowControl/>
              <w:kinsoku w:val="0"/>
              <w:wordWrap w:val="0"/>
              <w:overflowPunct/>
              <w:topLinePunct w:val="0"/>
              <w:autoSpaceDE w:val="0"/>
              <w:autoSpaceDN w:val="0"/>
              <w:bidi w:val="0"/>
              <w:adjustRightInd w:val="0"/>
              <w:snapToGrid w:val="0"/>
              <w:spacing w:before="176"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建设单位</w:t>
            </w:r>
          </w:p>
        </w:tc>
        <w:tc>
          <w:tcPr>
            <w:tcW w:w="2047" w:type="dxa"/>
            <w:vAlign w:val="center"/>
          </w:tcPr>
          <w:p w14:paraId="00179D26">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建设内容和规模</w:t>
            </w:r>
          </w:p>
        </w:tc>
        <w:tc>
          <w:tcPr>
            <w:tcW w:w="1783" w:type="dxa"/>
            <w:vAlign w:val="center"/>
          </w:tcPr>
          <w:p w14:paraId="236A707E">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开、竣工日期</w:t>
            </w:r>
          </w:p>
        </w:tc>
        <w:tc>
          <w:tcPr>
            <w:tcW w:w="1386" w:type="dxa"/>
            <w:vAlign w:val="center"/>
          </w:tcPr>
          <w:p w14:paraId="2BE768CF">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质量等级</w:t>
            </w:r>
          </w:p>
        </w:tc>
      </w:tr>
      <w:tr w14:paraId="042386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center"/>
          </w:tcPr>
          <w:p w14:paraId="0F63873B">
            <w:pPr>
              <w:keepNext w:val="0"/>
              <w:keepLines w:val="0"/>
              <w:pageBreakBefore w:val="0"/>
              <w:widowControl/>
              <w:kinsoku w:val="0"/>
              <w:wordWrap w:val="0"/>
              <w:overflowPunct/>
              <w:topLinePunct w:val="0"/>
              <w:autoSpaceDE w:val="0"/>
              <w:autoSpaceDN w:val="0"/>
              <w:bidi w:val="0"/>
              <w:adjustRightInd w:val="0"/>
              <w:snapToGrid w:val="0"/>
              <w:spacing w:before="214"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w:t>
            </w:r>
          </w:p>
        </w:tc>
        <w:tc>
          <w:tcPr>
            <w:tcW w:w="1610" w:type="dxa"/>
            <w:gridSpan w:val="2"/>
            <w:vAlign w:val="center"/>
          </w:tcPr>
          <w:p w14:paraId="578F80B6">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21" w:type="dxa"/>
            <w:gridSpan w:val="2"/>
            <w:vAlign w:val="center"/>
          </w:tcPr>
          <w:p w14:paraId="6F99EC2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47" w:type="dxa"/>
            <w:vAlign w:val="center"/>
          </w:tcPr>
          <w:p w14:paraId="4631B1E5">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83" w:type="dxa"/>
            <w:vAlign w:val="center"/>
          </w:tcPr>
          <w:p w14:paraId="2230ED0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86" w:type="dxa"/>
            <w:vAlign w:val="center"/>
          </w:tcPr>
          <w:p w14:paraId="01694071">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653FE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810" w:type="dxa"/>
            <w:vAlign w:val="center"/>
          </w:tcPr>
          <w:p w14:paraId="7F39EB96">
            <w:pPr>
              <w:keepNext w:val="0"/>
              <w:keepLines w:val="0"/>
              <w:pageBreakBefore w:val="0"/>
              <w:widowControl/>
              <w:kinsoku w:val="0"/>
              <w:wordWrap w:val="0"/>
              <w:overflowPunct/>
              <w:topLinePunct w:val="0"/>
              <w:autoSpaceDE w:val="0"/>
              <w:autoSpaceDN w:val="0"/>
              <w:bidi w:val="0"/>
              <w:adjustRightInd w:val="0"/>
              <w:snapToGrid w:val="0"/>
              <w:spacing w:before="213"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w:t>
            </w:r>
          </w:p>
        </w:tc>
        <w:tc>
          <w:tcPr>
            <w:tcW w:w="1610" w:type="dxa"/>
            <w:gridSpan w:val="2"/>
            <w:vAlign w:val="center"/>
          </w:tcPr>
          <w:p w14:paraId="2429E204">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21" w:type="dxa"/>
            <w:gridSpan w:val="2"/>
            <w:vAlign w:val="center"/>
          </w:tcPr>
          <w:p w14:paraId="21F39687">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47" w:type="dxa"/>
            <w:vAlign w:val="center"/>
          </w:tcPr>
          <w:p w14:paraId="187647C5">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83" w:type="dxa"/>
            <w:vAlign w:val="center"/>
          </w:tcPr>
          <w:p w14:paraId="12E10BA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86" w:type="dxa"/>
            <w:vAlign w:val="center"/>
          </w:tcPr>
          <w:p w14:paraId="2CCF984C">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E2BD1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center"/>
          </w:tcPr>
          <w:p w14:paraId="4C3BEFDC">
            <w:pPr>
              <w:keepNext w:val="0"/>
              <w:keepLines w:val="0"/>
              <w:pageBreakBefore w:val="0"/>
              <w:widowControl/>
              <w:kinsoku w:val="0"/>
              <w:wordWrap w:val="0"/>
              <w:overflowPunct/>
              <w:topLinePunct w:val="0"/>
              <w:autoSpaceDE w:val="0"/>
              <w:autoSpaceDN w:val="0"/>
              <w:bidi w:val="0"/>
              <w:adjustRightInd w:val="0"/>
              <w:snapToGrid w:val="0"/>
              <w:spacing w:before="178" w:line="324" w:lineRule="exact"/>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position w:val="3"/>
                <w:sz w:val="24"/>
                <w:szCs w:val="24"/>
                <w:highlight w:val="none"/>
                <w14:textFill>
                  <w14:solidFill>
                    <w14:schemeClr w14:val="tx1"/>
                  </w14:solidFill>
                </w14:textFill>
              </w:rPr>
              <w:t>……</w:t>
            </w:r>
          </w:p>
        </w:tc>
        <w:tc>
          <w:tcPr>
            <w:tcW w:w="1610" w:type="dxa"/>
            <w:gridSpan w:val="2"/>
            <w:vAlign w:val="center"/>
          </w:tcPr>
          <w:p w14:paraId="4CA19BC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21" w:type="dxa"/>
            <w:gridSpan w:val="2"/>
            <w:vAlign w:val="center"/>
          </w:tcPr>
          <w:p w14:paraId="3B5F7A6D">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47" w:type="dxa"/>
            <w:vAlign w:val="center"/>
          </w:tcPr>
          <w:p w14:paraId="2C82DE69">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83" w:type="dxa"/>
            <w:vAlign w:val="center"/>
          </w:tcPr>
          <w:p w14:paraId="1E92035E">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86" w:type="dxa"/>
            <w:vAlign w:val="center"/>
          </w:tcPr>
          <w:p w14:paraId="0264D791">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F7971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center"/>
          </w:tcPr>
          <w:p w14:paraId="468DEEC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610" w:type="dxa"/>
            <w:gridSpan w:val="2"/>
            <w:vAlign w:val="center"/>
          </w:tcPr>
          <w:p w14:paraId="4D6AC80A">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21" w:type="dxa"/>
            <w:gridSpan w:val="2"/>
            <w:vAlign w:val="center"/>
          </w:tcPr>
          <w:p w14:paraId="477B4007">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47" w:type="dxa"/>
            <w:vAlign w:val="center"/>
          </w:tcPr>
          <w:p w14:paraId="1E64ACA0">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83" w:type="dxa"/>
            <w:vAlign w:val="center"/>
          </w:tcPr>
          <w:p w14:paraId="10A6E2C9">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86" w:type="dxa"/>
            <w:vAlign w:val="center"/>
          </w:tcPr>
          <w:p w14:paraId="262B31D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483FA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jc w:val="center"/>
        </w:trPr>
        <w:tc>
          <w:tcPr>
            <w:tcW w:w="810" w:type="dxa"/>
            <w:vAlign w:val="center"/>
          </w:tcPr>
          <w:p w14:paraId="46E95890">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610" w:type="dxa"/>
            <w:gridSpan w:val="2"/>
            <w:vAlign w:val="center"/>
          </w:tcPr>
          <w:p w14:paraId="6C7700FC">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21" w:type="dxa"/>
            <w:gridSpan w:val="2"/>
            <w:vAlign w:val="center"/>
          </w:tcPr>
          <w:p w14:paraId="7FB1A631">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47" w:type="dxa"/>
            <w:vAlign w:val="center"/>
          </w:tcPr>
          <w:p w14:paraId="748C3361">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83" w:type="dxa"/>
            <w:vAlign w:val="center"/>
          </w:tcPr>
          <w:p w14:paraId="47051D94">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86" w:type="dxa"/>
            <w:vAlign w:val="center"/>
          </w:tcPr>
          <w:p w14:paraId="5DDD3800">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bl>
    <w:p w14:paraId="65A12D51">
      <w:pPr>
        <w:pStyle w:val="5"/>
        <w:keepNext w:val="0"/>
        <w:keepLines w:val="0"/>
        <w:pageBreakBefore w:val="0"/>
        <w:wordWrap w:val="0"/>
        <w:overflowPunct/>
        <w:topLinePunct w:val="0"/>
        <w:bidi w:val="0"/>
        <w:spacing w:line="314"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6CDD6A3">
      <w:pPr>
        <w:pStyle w:val="5"/>
        <w:keepNext w:val="0"/>
        <w:keepLines w:val="0"/>
        <w:pageBreakBefore w:val="0"/>
        <w:wordWrap w:val="0"/>
        <w:overflowPunct/>
        <w:topLinePunct w:val="0"/>
        <w:bidi w:val="0"/>
        <w:spacing w:line="31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3DA4F53">
      <w:pPr>
        <w:keepNext w:val="0"/>
        <w:keepLines w:val="0"/>
        <w:pageBreakBefore w:val="0"/>
        <w:wordWrap w:val="0"/>
        <w:overflowPunct/>
        <w:topLinePunct w:val="0"/>
        <w:bidi w:val="0"/>
        <w:spacing w:before="78" w:line="220" w:lineRule="auto"/>
        <w:ind w:left="5165"/>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项目技术负责人：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w:t>
      </w:r>
    </w:p>
    <w:p w14:paraId="765047AA">
      <w:pPr>
        <w:pStyle w:val="5"/>
        <w:keepNext w:val="0"/>
        <w:keepLines w:val="0"/>
        <w:pageBreakBefore w:val="0"/>
        <w:wordWrap w:val="0"/>
        <w:overflowPunct/>
        <w:topLinePunct w:val="0"/>
        <w:bidi w:val="0"/>
        <w:spacing w:line="256" w:lineRule="auto"/>
        <w:jc w:val="right"/>
        <w:rPr>
          <w:rFonts w:hint="eastAsia" w:ascii="宋体" w:hAnsi="宋体" w:eastAsia="宋体" w:cs="宋体"/>
          <w:color w:val="000000" w:themeColor="text1"/>
          <w:spacing w:val="0"/>
          <w:sz w:val="24"/>
          <w:szCs w:val="24"/>
          <w:highlight w:val="none"/>
          <w14:textFill>
            <w14:solidFill>
              <w14:schemeClr w14:val="tx1"/>
            </w14:solidFill>
          </w14:textFill>
        </w:rPr>
      </w:pPr>
    </w:p>
    <w:p w14:paraId="48E9D4AF">
      <w:pPr>
        <w:pStyle w:val="5"/>
        <w:keepNext w:val="0"/>
        <w:keepLines w:val="0"/>
        <w:pageBreakBefore w:val="0"/>
        <w:wordWrap w:val="0"/>
        <w:overflowPunct/>
        <w:topLinePunct w:val="0"/>
        <w:bidi w:val="0"/>
        <w:spacing w:line="257" w:lineRule="auto"/>
        <w:jc w:val="right"/>
        <w:rPr>
          <w:rFonts w:hint="eastAsia" w:ascii="宋体" w:hAnsi="宋体" w:eastAsia="宋体" w:cs="宋体"/>
          <w:color w:val="000000" w:themeColor="text1"/>
          <w:spacing w:val="0"/>
          <w:sz w:val="24"/>
          <w:szCs w:val="24"/>
          <w:highlight w:val="none"/>
          <w14:textFill>
            <w14:solidFill>
              <w14:schemeClr w14:val="tx1"/>
            </w14:solidFill>
          </w14:textFill>
        </w:rPr>
      </w:pPr>
    </w:p>
    <w:p w14:paraId="7AFA30EA">
      <w:pPr>
        <w:pStyle w:val="5"/>
        <w:keepNext w:val="0"/>
        <w:keepLines w:val="0"/>
        <w:pageBreakBefore w:val="0"/>
        <w:wordWrap w:val="0"/>
        <w:overflowPunct/>
        <w:topLinePunct w:val="0"/>
        <w:bidi w:val="0"/>
        <w:spacing w:line="254" w:lineRule="auto"/>
        <w:jc w:val="right"/>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年</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月</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日</w:t>
      </w:r>
    </w:p>
    <w:p w14:paraId="6EF6B21B">
      <w:pPr>
        <w:keepNext w:val="0"/>
        <w:keepLines w:val="0"/>
        <w:pageBreakBefore w:val="0"/>
        <w:widowControl/>
        <w:kinsoku w:val="0"/>
        <w:wordWrap w:val="0"/>
        <w:overflowPunct/>
        <w:topLinePunct w:val="0"/>
        <w:autoSpaceDE w:val="0"/>
        <w:autoSpaceDN w:val="0"/>
        <w:bidi w:val="0"/>
        <w:adjustRightInd/>
        <w:snapToGrid/>
        <w:spacing w:before="65"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说明：《项目技术负责人简历表》后应附拟派项目技术负责人以下资料：</w:t>
      </w:r>
    </w:p>
    <w:p w14:paraId="5ED95DA0">
      <w:pPr>
        <w:keepNext w:val="0"/>
        <w:keepLines w:val="0"/>
        <w:pageBreakBefore w:val="0"/>
        <w:widowControl/>
        <w:kinsoku w:val="0"/>
        <w:wordWrap w:val="0"/>
        <w:overflowPunct/>
        <w:topLinePunct w:val="0"/>
        <w:autoSpaceDE w:val="0"/>
        <w:autoSpaceDN w:val="0"/>
        <w:bidi w:val="0"/>
        <w:adjustRightInd/>
        <w:snapToGrid/>
        <w:spacing w:before="155"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 ．身份证彩色扫描件；</w:t>
      </w:r>
    </w:p>
    <w:p w14:paraId="1DB79E91">
      <w:pPr>
        <w:keepNext w:val="0"/>
        <w:keepLines w:val="0"/>
        <w:pageBreakBefore w:val="0"/>
        <w:widowControl/>
        <w:kinsoku w:val="0"/>
        <w:wordWrap w:val="0"/>
        <w:overflowPunct/>
        <w:topLinePunct w:val="0"/>
        <w:autoSpaceDE w:val="0"/>
        <w:autoSpaceDN w:val="0"/>
        <w:bidi w:val="0"/>
        <w:adjustRightInd/>
        <w:snapToGrid/>
        <w:spacing w:before="151"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 ．职称证彩色扫描件</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或打印件</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21264357">
      <w:pPr>
        <w:keepNext w:val="0"/>
        <w:keepLines w:val="0"/>
        <w:pageBreakBefore w:val="0"/>
        <w:widowControl/>
        <w:kinsoku w:val="0"/>
        <w:wordWrap w:val="0"/>
        <w:overflowPunct/>
        <w:topLinePunct w:val="0"/>
        <w:autoSpaceDE w:val="0"/>
        <w:autoSpaceDN w:val="0"/>
        <w:bidi w:val="0"/>
        <w:adjustRightInd/>
        <w:snapToGrid/>
        <w:spacing w:before="153"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 ．在本单位缴纳社保的证明（</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至少</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个月</w:t>
      </w:r>
      <w:r>
        <w:rPr>
          <w:rFonts w:hint="eastAsia" w:ascii="宋体" w:hAnsi="宋体" w:eastAsia="宋体" w:cs="宋体"/>
          <w:color w:val="000000" w:themeColor="text1"/>
          <w:spacing w:val="0"/>
          <w:sz w:val="24"/>
          <w:szCs w:val="24"/>
          <w:highlight w:val="none"/>
          <w14:textFill>
            <w14:solidFill>
              <w14:schemeClr w14:val="tx1"/>
            </w14:solidFill>
          </w14:textFill>
        </w:rPr>
        <w:t xml:space="preserve">，其中必须有 </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202</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pacing w:val="0"/>
          <w:sz w:val="24"/>
          <w:szCs w:val="24"/>
          <w:highlight w:val="none"/>
          <w14:textFill>
            <w14:solidFill>
              <w14:schemeClr w14:val="tx1"/>
            </w14:solidFill>
          </w14:textFill>
        </w:rPr>
        <w:t>年</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9</w:t>
      </w:r>
      <w:r>
        <w:rPr>
          <w:rFonts w:hint="eastAsia" w:ascii="宋体" w:hAnsi="宋体" w:eastAsia="宋体" w:cs="宋体"/>
          <w:color w:val="000000" w:themeColor="text1"/>
          <w:spacing w:val="0"/>
          <w:sz w:val="24"/>
          <w:szCs w:val="24"/>
          <w:highlight w:val="none"/>
          <w14:textFill>
            <w14:solidFill>
              <w14:schemeClr w14:val="tx1"/>
            </w14:solidFill>
          </w14:textFill>
        </w:rPr>
        <w:t>月）扫描件</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或打印件</w:t>
      </w:r>
      <w:r>
        <w:rPr>
          <w:rFonts w:hint="eastAsia" w:ascii="宋体" w:hAnsi="宋体" w:eastAsia="宋体" w:cs="宋体"/>
          <w:color w:val="000000" w:themeColor="text1"/>
          <w:spacing w:val="0"/>
          <w:sz w:val="24"/>
          <w:szCs w:val="24"/>
          <w:highlight w:val="none"/>
          <w14:textFill>
            <w14:solidFill>
              <w14:schemeClr w14:val="tx1"/>
            </w14:solidFill>
          </w14:textFill>
        </w:rPr>
        <w:t>。 拟派项目技术负责人为退休返聘人员无法提供社保证明的，提供退休证和劳动合同彩色扫描件。</w:t>
      </w:r>
    </w:p>
    <w:p w14:paraId="6422CCA0">
      <w:pPr>
        <w:keepNext w:val="0"/>
        <w:keepLines w:val="0"/>
        <w:pageBreakBefore w:val="0"/>
        <w:widowControl/>
        <w:kinsoku w:val="0"/>
        <w:wordWrap w:val="0"/>
        <w:overflowPunct/>
        <w:topLinePunct w:val="0"/>
        <w:autoSpaceDE w:val="0"/>
        <w:autoSpaceDN w:val="0"/>
        <w:bidi w:val="0"/>
        <w:adjustRightInd/>
        <w:snapToGrid/>
        <w:spacing w:before="153"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 ．“进粤企业和人员诚信信息登记平台 ”个人信息情况截图。（适用于省外建筑企业）</w:t>
      </w:r>
    </w:p>
    <w:p w14:paraId="2833B1E2">
      <w:pPr>
        <w:keepNext w:val="0"/>
        <w:keepLines w:val="0"/>
        <w:pageBreakBefore w:val="0"/>
        <w:wordWrap w:val="0"/>
        <w:overflowPunct/>
        <w:topLinePunct w:val="0"/>
        <w:bidi w:val="0"/>
        <w:spacing w:line="228" w:lineRule="auto"/>
        <w:rPr>
          <w:rFonts w:hint="eastAsia" w:ascii="宋体" w:hAnsi="宋体" w:eastAsia="宋体" w:cs="宋体"/>
          <w:color w:val="000000" w:themeColor="text1"/>
          <w:spacing w:val="0"/>
          <w:sz w:val="20"/>
          <w:szCs w:val="20"/>
          <w:highlight w:val="none"/>
          <w14:textFill>
            <w14:solidFill>
              <w14:schemeClr w14:val="tx1"/>
            </w14:solidFill>
          </w14:textFill>
        </w:rPr>
        <w:sectPr>
          <w:footerReference r:id="rId22"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40C4B517">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65" w:name="_Toc27361"/>
      <w:r>
        <w:rPr>
          <w:rFonts w:hint="eastAsia" w:ascii="宋体" w:hAnsi="宋体" w:eastAsia="宋体" w:cs="宋体"/>
          <w:b/>
          <w:bCs/>
          <w:color w:val="000000" w:themeColor="text1"/>
          <w:spacing w:val="0"/>
          <w:sz w:val="24"/>
          <w:szCs w:val="24"/>
          <w:highlight w:val="none"/>
          <w14:textFill>
            <w14:solidFill>
              <w14:schemeClr w14:val="tx1"/>
            </w14:solidFill>
          </w14:textFill>
        </w:rPr>
        <w:t>格式十一 项目管理机构组成表</w:t>
      </w:r>
      <w:bookmarkEnd w:id="265"/>
    </w:p>
    <w:p w14:paraId="3B084A82">
      <w:pPr>
        <w:pStyle w:val="5"/>
        <w:keepNext w:val="0"/>
        <w:keepLines w:val="0"/>
        <w:pageBreakBefore w:val="0"/>
        <w:wordWrap w:val="0"/>
        <w:overflowPunct/>
        <w:topLinePunct w:val="0"/>
        <w:bidi w:val="0"/>
        <w:spacing w:line="351" w:lineRule="auto"/>
        <w:rPr>
          <w:rFonts w:hint="eastAsia" w:ascii="宋体" w:hAnsi="宋体" w:eastAsia="宋体" w:cs="宋体"/>
          <w:color w:val="000000" w:themeColor="text1"/>
          <w:spacing w:val="0"/>
          <w:highlight w:val="none"/>
          <w14:textFill>
            <w14:solidFill>
              <w14:schemeClr w14:val="tx1"/>
            </w14:solidFill>
          </w14:textFill>
        </w:rPr>
      </w:pPr>
    </w:p>
    <w:p w14:paraId="25B0F7B1">
      <w:pPr>
        <w:pStyle w:val="5"/>
        <w:keepNext w:val="0"/>
        <w:keepLines w:val="0"/>
        <w:pageBreakBefore w:val="0"/>
        <w:wordWrap w:val="0"/>
        <w:overflowPunct/>
        <w:topLinePunct w:val="0"/>
        <w:bidi w:val="0"/>
        <w:spacing w:line="351" w:lineRule="auto"/>
        <w:rPr>
          <w:rFonts w:hint="eastAsia" w:ascii="宋体" w:hAnsi="宋体" w:eastAsia="宋体" w:cs="宋体"/>
          <w:color w:val="000000" w:themeColor="text1"/>
          <w:spacing w:val="0"/>
          <w:highlight w:val="none"/>
          <w14:textFill>
            <w14:solidFill>
              <w14:schemeClr w14:val="tx1"/>
            </w14:solidFill>
          </w14:textFill>
        </w:rPr>
      </w:pPr>
    </w:p>
    <w:p w14:paraId="4DF3D9BA">
      <w:pPr>
        <w:keepNext w:val="0"/>
        <w:keepLines w:val="0"/>
        <w:pageBreakBefore w:val="0"/>
        <w:wordWrap w:val="0"/>
        <w:overflowPunct/>
        <w:topLinePunct w:val="0"/>
        <w:bidi w:val="0"/>
        <w:spacing w:before="97" w:line="219" w:lineRule="auto"/>
        <w:ind w:left="3200"/>
        <w:outlineLvl w:val="9"/>
        <w:rPr>
          <w:rFonts w:hint="eastAsia" w:ascii="宋体" w:hAnsi="宋体" w:eastAsia="宋体" w:cs="宋体"/>
          <w:color w:val="000000" w:themeColor="text1"/>
          <w:spacing w:val="0"/>
          <w:sz w:val="30"/>
          <w:szCs w:val="30"/>
          <w:highlight w:val="none"/>
          <w14:textFill>
            <w14:solidFill>
              <w14:schemeClr w14:val="tx1"/>
            </w14:solidFill>
          </w14:textFill>
        </w:rPr>
      </w:pPr>
      <w:bookmarkStart w:id="266" w:name="bookmark158"/>
      <w:bookmarkEnd w:id="266"/>
      <w:bookmarkStart w:id="267" w:name="_Toc28765"/>
      <w:bookmarkStart w:id="268" w:name="_Toc19973"/>
      <w:r>
        <w:rPr>
          <w:rFonts w:hint="eastAsia" w:ascii="宋体" w:hAnsi="宋体" w:eastAsia="宋体" w:cs="宋体"/>
          <w:b/>
          <w:bCs/>
          <w:color w:val="000000" w:themeColor="text1"/>
          <w:spacing w:val="0"/>
          <w:sz w:val="30"/>
          <w:szCs w:val="30"/>
          <w:highlight w:val="none"/>
          <w14:textFill>
            <w14:solidFill>
              <w14:schemeClr w14:val="tx1"/>
            </w14:solidFill>
          </w14:textFill>
        </w:rPr>
        <w:t>项目管理机构组成表</w:t>
      </w:r>
      <w:bookmarkEnd w:id="267"/>
      <w:bookmarkEnd w:id="268"/>
    </w:p>
    <w:p w14:paraId="14B78991">
      <w:pPr>
        <w:keepNext w:val="0"/>
        <w:keepLines w:val="0"/>
        <w:pageBreakBefore w:val="0"/>
        <w:wordWrap w:val="0"/>
        <w:overflowPunct/>
        <w:topLinePunct w:val="0"/>
        <w:bidi w:val="0"/>
        <w:spacing w:before="7"/>
        <w:rPr>
          <w:rFonts w:hint="eastAsia" w:ascii="宋体" w:hAnsi="宋体" w:eastAsia="宋体" w:cs="宋体"/>
          <w:color w:val="000000" w:themeColor="text1"/>
          <w:spacing w:val="0"/>
          <w:highlight w:val="none"/>
          <w14:textFill>
            <w14:solidFill>
              <w14:schemeClr w14:val="tx1"/>
            </w14:solidFill>
          </w14:textFill>
        </w:rPr>
      </w:pPr>
    </w:p>
    <w:tbl>
      <w:tblPr>
        <w:tblStyle w:val="14"/>
        <w:tblW w:w="963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4"/>
        <w:gridCol w:w="1939"/>
        <w:gridCol w:w="1567"/>
        <w:gridCol w:w="1017"/>
        <w:gridCol w:w="1002"/>
        <w:gridCol w:w="1551"/>
        <w:gridCol w:w="1926"/>
      </w:tblGrid>
      <w:tr w14:paraId="503260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jc w:val="center"/>
        </w:trPr>
        <w:tc>
          <w:tcPr>
            <w:tcW w:w="634" w:type="dxa"/>
            <w:vAlign w:val="center"/>
          </w:tcPr>
          <w:p w14:paraId="60869D9E">
            <w:pPr>
              <w:keepNext w:val="0"/>
              <w:keepLines w:val="0"/>
              <w:pageBreakBefore w:val="0"/>
              <w:widowControl/>
              <w:kinsoku w:val="0"/>
              <w:wordWrap w:val="0"/>
              <w:overflowPunct/>
              <w:topLinePunct w:val="0"/>
              <w:autoSpaceDE w:val="0"/>
              <w:autoSpaceDN w:val="0"/>
              <w:bidi w:val="0"/>
              <w:adjustRightInd w:val="0"/>
              <w:snapToGrid w:val="0"/>
              <w:spacing w:before="229" w:line="231" w:lineRule="auto"/>
              <w:ind w:left="0"/>
              <w:jc w:val="center"/>
              <w:textAlignment w:val="baseline"/>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序号</w:t>
            </w:r>
          </w:p>
        </w:tc>
        <w:tc>
          <w:tcPr>
            <w:tcW w:w="1939" w:type="dxa"/>
            <w:vAlign w:val="center"/>
          </w:tcPr>
          <w:p w14:paraId="7439BD66">
            <w:pPr>
              <w:keepNext w:val="0"/>
              <w:keepLines w:val="0"/>
              <w:pageBreakBefore w:val="0"/>
              <w:widowControl/>
              <w:kinsoku w:val="0"/>
              <w:wordWrap w:val="0"/>
              <w:overflowPunct/>
              <w:topLinePunct w:val="0"/>
              <w:autoSpaceDE w:val="0"/>
              <w:autoSpaceDN w:val="0"/>
              <w:bidi w:val="0"/>
              <w:adjustRightInd w:val="0"/>
              <w:snapToGrid w:val="0"/>
              <w:spacing w:before="228" w:line="231" w:lineRule="auto"/>
              <w:ind w:left="0"/>
              <w:jc w:val="center"/>
              <w:textAlignment w:val="baseline"/>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岗位</w:t>
            </w:r>
          </w:p>
        </w:tc>
        <w:tc>
          <w:tcPr>
            <w:tcW w:w="1567" w:type="dxa"/>
            <w:vAlign w:val="center"/>
          </w:tcPr>
          <w:p w14:paraId="7EBB74F3">
            <w:pPr>
              <w:keepNext w:val="0"/>
              <w:keepLines w:val="0"/>
              <w:pageBreakBefore w:val="0"/>
              <w:widowControl/>
              <w:kinsoku w:val="0"/>
              <w:wordWrap w:val="0"/>
              <w:overflowPunct/>
              <w:topLinePunct w:val="0"/>
              <w:autoSpaceDE w:val="0"/>
              <w:autoSpaceDN w:val="0"/>
              <w:bidi w:val="0"/>
              <w:adjustRightInd w:val="0"/>
              <w:snapToGrid w:val="0"/>
              <w:spacing w:before="228" w:line="231" w:lineRule="auto"/>
              <w:ind w:left="0"/>
              <w:jc w:val="center"/>
              <w:textAlignment w:val="baseline"/>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姓名</w:t>
            </w:r>
          </w:p>
        </w:tc>
        <w:tc>
          <w:tcPr>
            <w:tcW w:w="1017" w:type="dxa"/>
            <w:vAlign w:val="center"/>
          </w:tcPr>
          <w:p w14:paraId="3DE10A85">
            <w:pPr>
              <w:keepNext w:val="0"/>
              <w:keepLines w:val="0"/>
              <w:pageBreakBefore w:val="0"/>
              <w:widowControl/>
              <w:kinsoku w:val="0"/>
              <w:wordWrap w:val="0"/>
              <w:overflowPunct/>
              <w:topLinePunct w:val="0"/>
              <w:autoSpaceDE w:val="0"/>
              <w:autoSpaceDN w:val="0"/>
              <w:bidi w:val="0"/>
              <w:adjustRightInd w:val="0"/>
              <w:snapToGrid w:val="0"/>
              <w:spacing w:before="228" w:line="230" w:lineRule="auto"/>
              <w:ind w:left="0"/>
              <w:jc w:val="center"/>
              <w:textAlignment w:val="baseline"/>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性别</w:t>
            </w:r>
          </w:p>
        </w:tc>
        <w:tc>
          <w:tcPr>
            <w:tcW w:w="1002" w:type="dxa"/>
            <w:vAlign w:val="center"/>
          </w:tcPr>
          <w:p w14:paraId="3050ABB3">
            <w:pPr>
              <w:keepNext w:val="0"/>
              <w:keepLines w:val="0"/>
              <w:pageBreakBefore w:val="0"/>
              <w:widowControl/>
              <w:kinsoku w:val="0"/>
              <w:wordWrap w:val="0"/>
              <w:overflowPunct/>
              <w:topLinePunct w:val="0"/>
              <w:autoSpaceDE w:val="0"/>
              <w:autoSpaceDN w:val="0"/>
              <w:bidi w:val="0"/>
              <w:adjustRightInd w:val="0"/>
              <w:snapToGrid w:val="0"/>
              <w:spacing w:before="229" w:line="231" w:lineRule="auto"/>
              <w:ind w:left="0"/>
              <w:jc w:val="center"/>
              <w:textAlignment w:val="baseline"/>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年龄</w:t>
            </w:r>
          </w:p>
        </w:tc>
        <w:tc>
          <w:tcPr>
            <w:tcW w:w="1551" w:type="dxa"/>
            <w:vAlign w:val="center"/>
          </w:tcPr>
          <w:p w14:paraId="59C156EA">
            <w:pPr>
              <w:keepNext w:val="0"/>
              <w:keepLines w:val="0"/>
              <w:pageBreakBefore w:val="0"/>
              <w:widowControl/>
              <w:kinsoku w:val="0"/>
              <w:wordWrap w:val="0"/>
              <w:overflowPunct/>
              <w:topLinePunct w:val="0"/>
              <w:autoSpaceDE w:val="0"/>
              <w:autoSpaceDN w:val="0"/>
              <w:bidi w:val="0"/>
              <w:adjustRightInd w:val="0"/>
              <w:snapToGrid w:val="0"/>
              <w:spacing w:before="228" w:line="230" w:lineRule="auto"/>
              <w:ind w:left="0"/>
              <w:jc w:val="center"/>
              <w:textAlignment w:val="baseline"/>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职称</w:t>
            </w:r>
          </w:p>
        </w:tc>
        <w:tc>
          <w:tcPr>
            <w:tcW w:w="1926" w:type="dxa"/>
            <w:vAlign w:val="center"/>
          </w:tcPr>
          <w:p w14:paraId="7FE3C975">
            <w:pPr>
              <w:keepNext w:val="0"/>
              <w:keepLines w:val="0"/>
              <w:pageBreakBefore w:val="0"/>
              <w:widowControl/>
              <w:kinsoku w:val="0"/>
              <w:wordWrap w:val="0"/>
              <w:overflowPunct/>
              <w:topLinePunct w:val="0"/>
              <w:autoSpaceDE w:val="0"/>
              <w:autoSpaceDN w:val="0"/>
              <w:bidi w:val="0"/>
              <w:adjustRightInd w:val="0"/>
              <w:snapToGrid w:val="0"/>
              <w:spacing w:before="228" w:line="230" w:lineRule="auto"/>
              <w:ind w:left="0"/>
              <w:jc w:val="center"/>
              <w:textAlignment w:val="baseline"/>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备注</w:t>
            </w:r>
          </w:p>
        </w:tc>
      </w:tr>
      <w:tr w14:paraId="1711D1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center"/>
          </w:tcPr>
          <w:p w14:paraId="36AB410A">
            <w:pPr>
              <w:keepNext w:val="0"/>
              <w:keepLines w:val="0"/>
              <w:pageBreakBefore w:val="0"/>
              <w:widowControl/>
              <w:kinsoku w:val="0"/>
              <w:wordWrap w:val="0"/>
              <w:overflowPunct/>
              <w:topLinePunct w:val="0"/>
              <w:autoSpaceDE w:val="0"/>
              <w:autoSpaceDN w:val="0"/>
              <w:bidi w:val="0"/>
              <w:adjustRightInd w:val="0"/>
              <w:snapToGrid w:val="0"/>
              <w:spacing w:before="185"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w:t>
            </w:r>
          </w:p>
        </w:tc>
        <w:tc>
          <w:tcPr>
            <w:tcW w:w="1939" w:type="dxa"/>
            <w:vAlign w:val="center"/>
          </w:tcPr>
          <w:p w14:paraId="1997300C">
            <w:pPr>
              <w:keepNext w:val="0"/>
              <w:keepLines w:val="0"/>
              <w:pageBreakBefore w:val="0"/>
              <w:widowControl/>
              <w:kinsoku w:val="0"/>
              <w:wordWrap w:val="0"/>
              <w:overflowPunct/>
              <w:topLinePunct w:val="0"/>
              <w:autoSpaceDE w:val="0"/>
              <w:autoSpaceDN w:val="0"/>
              <w:bidi w:val="0"/>
              <w:adjustRightInd w:val="0"/>
              <w:snapToGrid w:val="0"/>
              <w:spacing w:before="150"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项目经理</w:t>
            </w:r>
          </w:p>
        </w:tc>
        <w:tc>
          <w:tcPr>
            <w:tcW w:w="1567" w:type="dxa"/>
            <w:vAlign w:val="center"/>
          </w:tcPr>
          <w:p w14:paraId="05C5473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17" w:type="dxa"/>
            <w:vAlign w:val="center"/>
          </w:tcPr>
          <w:p w14:paraId="57F30F4D">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02" w:type="dxa"/>
            <w:vAlign w:val="center"/>
          </w:tcPr>
          <w:p w14:paraId="0F1D6EB1">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51" w:type="dxa"/>
            <w:vAlign w:val="center"/>
          </w:tcPr>
          <w:p w14:paraId="41672C6D">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926" w:type="dxa"/>
            <w:vAlign w:val="center"/>
          </w:tcPr>
          <w:p w14:paraId="4DE9F02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165C5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jc w:val="center"/>
        </w:trPr>
        <w:tc>
          <w:tcPr>
            <w:tcW w:w="634" w:type="dxa"/>
            <w:vAlign w:val="center"/>
          </w:tcPr>
          <w:p w14:paraId="31D50A1B">
            <w:pPr>
              <w:keepNext w:val="0"/>
              <w:keepLines w:val="0"/>
              <w:pageBreakBefore w:val="0"/>
              <w:widowControl/>
              <w:kinsoku w:val="0"/>
              <w:wordWrap w:val="0"/>
              <w:overflowPunct/>
              <w:topLinePunct w:val="0"/>
              <w:autoSpaceDE w:val="0"/>
              <w:autoSpaceDN w:val="0"/>
              <w:bidi w:val="0"/>
              <w:adjustRightInd w:val="0"/>
              <w:snapToGrid w:val="0"/>
              <w:spacing w:before="187"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w:t>
            </w:r>
          </w:p>
        </w:tc>
        <w:tc>
          <w:tcPr>
            <w:tcW w:w="1939" w:type="dxa"/>
            <w:vAlign w:val="center"/>
          </w:tcPr>
          <w:p w14:paraId="3A12DDFD">
            <w:pPr>
              <w:keepNext w:val="0"/>
              <w:keepLines w:val="0"/>
              <w:pageBreakBefore w:val="0"/>
              <w:widowControl/>
              <w:kinsoku w:val="0"/>
              <w:wordWrap w:val="0"/>
              <w:overflowPunct/>
              <w:topLinePunct w:val="0"/>
              <w:autoSpaceDE w:val="0"/>
              <w:autoSpaceDN w:val="0"/>
              <w:bidi w:val="0"/>
              <w:adjustRightInd w:val="0"/>
              <w:snapToGrid w:val="0"/>
              <w:spacing w:before="152"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项目技术负责人</w:t>
            </w:r>
          </w:p>
        </w:tc>
        <w:tc>
          <w:tcPr>
            <w:tcW w:w="1567" w:type="dxa"/>
            <w:vAlign w:val="center"/>
          </w:tcPr>
          <w:p w14:paraId="6A048FE5">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17" w:type="dxa"/>
            <w:vAlign w:val="center"/>
          </w:tcPr>
          <w:p w14:paraId="62616D65">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02" w:type="dxa"/>
            <w:vAlign w:val="center"/>
          </w:tcPr>
          <w:p w14:paraId="290403F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51" w:type="dxa"/>
            <w:vAlign w:val="center"/>
          </w:tcPr>
          <w:p w14:paraId="513D5740">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926" w:type="dxa"/>
            <w:vAlign w:val="center"/>
          </w:tcPr>
          <w:p w14:paraId="44350E5E">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C2BE2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center"/>
          </w:tcPr>
          <w:p w14:paraId="7FC001D7">
            <w:pPr>
              <w:keepNext w:val="0"/>
              <w:keepLines w:val="0"/>
              <w:pageBreakBefore w:val="0"/>
              <w:widowControl/>
              <w:kinsoku w:val="0"/>
              <w:wordWrap w:val="0"/>
              <w:overflowPunct/>
              <w:topLinePunct w:val="0"/>
              <w:autoSpaceDE w:val="0"/>
              <w:autoSpaceDN w:val="0"/>
              <w:bidi w:val="0"/>
              <w:adjustRightInd w:val="0"/>
              <w:snapToGrid w:val="0"/>
              <w:spacing w:before="189" w:line="195" w:lineRule="auto"/>
              <w:ind w:left="0"/>
              <w:jc w:val="center"/>
              <w:textAlignment w:val="baseline"/>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3</w:t>
            </w:r>
          </w:p>
        </w:tc>
        <w:tc>
          <w:tcPr>
            <w:tcW w:w="1939" w:type="dxa"/>
            <w:vAlign w:val="center"/>
          </w:tcPr>
          <w:p w14:paraId="35920EAB">
            <w:pPr>
              <w:keepNext w:val="0"/>
              <w:keepLines w:val="0"/>
              <w:pageBreakBefore w:val="0"/>
              <w:widowControl/>
              <w:kinsoku w:val="0"/>
              <w:wordWrap w:val="0"/>
              <w:overflowPunct/>
              <w:topLinePunct w:val="0"/>
              <w:autoSpaceDE w:val="0"/>
              <w:autoSpaceDN w:val="0"/>
              <w:bidi w:val="0"/>
              <w:adjustRightInd w:val="0"/>
              <w:snapToGrid w:val="0"/>
              <w:spacing w:before="153"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专职安全员</w:t>
            </w:r>
          </w:p>
        </w:tc>
        <w:tc>
          <w:tcPr>
            <w:tcW w:w="1567" w:type="dxa"/>
            <w:vAlign w:val="center"/>
          </w:tcPr>
          <w:p w14:paraId="539D56FA">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17" w:type="dxa"/>
            <w:vAlign w:val="center"/>
          </w:tcPr>
          <w:p w14:paraId="106625F6">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02" w:type="dxa"/>
            <w:vAlign w:val="center"/>
          </w:tcPr>
          <w:p w14:paraId="1934B0B9">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51" w:type="dxa"/>
            <w:vAlign w:val="center"/>
          </w:tcPr>
          <w:p w14:paraId="733019E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926" w:type="dxa"/>
            <w:vAlign w:val="center"/>
          </w:tcPr>
          <w:p w14:paraId="2A7AA2A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05593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center"/>
          </w:tcPr>
          <w:p w14:paraId="0773F671">
            <w:pPr>
              <w:keepNext w:val="0"/>
              <w:keepLines w:val="0"/>
              <w:pageBreakBefore w:val="0"/>
              <w:widowControl/>
              <w:kinsoku w:val="0"/>
              <w:wordWrap w:val="0"/>
              <w:overflowPunct/>
              <w:topLinePunct w:val="0"/>
              <w:autoSpaceDE w:val="0"/>
              <w:autoSpaceDN w:val="0"/>
              <w:bidi w:val="0"/>
              <w:adjustRightInd w:val="0"/>
              <w:snapToGrid w:val="0"/>
              <w:spacing w:before="188"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w:t>
            </w:r>
          </w:p>
        </w:tc>
        <w:tc>
          <w:tcPr>
            <w:tcW w:w="1939" w:type="dxa"/>
            <w:vAlign w:val="center"/>
          </w:tcPr>
          <w:p w14:paraId="30C10F88">
            <w:pPr>
              <w:keepNext w:val="0"/>
              <w:keepLines w:val="0"/>
              <w:pageBreakBefore w:val="0"/>
              <w:widowControl/>
              <w:kinsoku w:val="0"/>
              <w:wordWrap w:val="0"/>
              <w:overflowPunct/>
              <w:topLinePunct w:val="0"/>
              <w:autoSpaceDE w:val="0"/>
              <w:autoSpaceDN w:val="0"/>
              <w:bidi w:val="0"/>
              <w:adjustRightInd w:val="0"/>
              <w:snapToGrid w:val="0"/>
              <w:spacing w:before="152" w:line="230"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施工员</w:t>
            </w:r>
          </w:p>
        </w:tc>
        <w:tc>
          <w:tcPr>
            <w:tcW w:w="1567" w:type="dxa"/>
            <w:vAlign w:val="center"/>
          </w:tcPr>
          <w:p w14:paraId="05CA2BD4">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17" w:type="dxa"/>
            <w:vAlign w:val="center"/>
          </w:tcPr>
          <w:p w14:paraId="10108C0F">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02" w:type="dxa"/>
            <w:vAlign w:val="center"/>
          </w:tcPr>
          <w:p w14:paraId="34A0A4E6">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51" w:type="dxa"/>
            <w:vAlign w:val="center"/>
          </w:tcPr>
          <w:p w14:paraId="2D97556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926" w:type="dxa"/>
            <w:vAlign w:val="center"/>
          </w:tcPr>
          <w:p w14:paraId="48296E49">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31EE4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center"/>
          </w:tcPr>
          <w:p w14:paraId="1C720381">
            <w:pPr>
              <w:keepNext w:val="0"/>
              <w:keepLines w:val="0"/>
              <w:pageBreakBefore w:val="0"/>
              <w:widowControl/>
              <w:kinsoku w:val="0"/>
              <w:wordWrap w:val="0"/>
              <w:overflowPunct/>
              <w:topLinePunct w:val="0"/>
              <w:autoSpaceDE w:val="0"/>
              <w:autoSpaceDN w:val="0"/>
              <w:bidi w:val="0"/>
              <w:adjustRightInd w:val="0"/>
              <w:snapToGrid w:val="0"/>
              <w:spacing w:before="193" w:line="192"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w:t>
            </w:r>
          </w:p>
        </w:tc>
        <w:tc>
          <w:tcPr>
            <w:tcW w:w="1939" w:type="dxa"/>
            <w:vAlign w:val="center"/>
          </w:tcPr>
          <w:p w14:paraId="3CAE22C0">
            <w:pPr>
              <w:keepNext w:val="0"/>
              <w:keepLines w:val="0"/>
              <w:pageBreakBefore w:val="0"/>
              <w:widowControl/>
              <w:kinsoku w:val="0"/>
              <w:wordWrap w:val="0"/>
              <w:overflowPunct/>
              <w:topLinePunct w:val="0"/>
              <w:autoSpaceDE w:val="0"/>
              <w:autoSpaceDN w:val="0"/>
              <w:bidi w:val="0"/>
              <w:adjustRightInd w:val="0"/>
              <w:snapToGrid w:val="0"/>
              <w:spacing w:before="154"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质量员</w:t>
            </w:r>
          </w:p>
        </w:tc>
        <w:tc>
          <w:tcPr>
            <w:tcW w:w="1567" w:type="dxa"/>
            <w:vAlign w:val="center"/>
          </w:tcPr>
          <w:p w14:paraId="16086B64">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17" w:type="dxa"/>
            <w:vAlign w:val="center"/>
          </w:tcPr>
          <w:p w14:paraId="203D9B6F">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02" w:type="dxa"/>
            <w:vAlign w:val="center"/>
          </w:tcPr>
          <w:p w14:paraId="465E507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51" w:type="dxa"/>
            <w:vAlign w:val="center"/>
          </w:tcPr>
          <w:p w14:paraId="1AC236B1">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926" w:type="dxa"/>
            <w:vAlign w:val="center"/>
          </w:tcPr>
          <w:p w14:paraId="1B74D74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A35AA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center"/>
          </w:tcPr>
          <w:p w14:paraId="2DD916FB">
            <w:pPr>
              <w:keepNext w:val="0"/>
              <w:keepLines w:val="0"/>
              <w:pageBreakBefore w:val="0"/>
              <w:widowControl/>
              <w:kinsoku w:val="0"/>
              <w:wordWrap w:val="0"/>
              <w:overflowPunct/>
              <w:topLinePunct w:val="0"/>
              <w:autoSpaceDE w:val="0"/>
              <w:autoSpaceDN w:val="0"/>
              <w:bidi w:val="0"/>
              <w:adjustRightInd w:val="0"/>
              <w:snapToGrid w:val="0"/>
              <w:spacing w:before="191"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w:t>
            </w:r>
          </w:p>
        </w:tc>
        <w:tc>
          <w:tcPr>
            <w:tcW w:w="1939" w:type="dxa"/>
            <w:vAlign w:val="center"/>
          </w:tcPr>
          <w:p w14:paraId="00D908A3">
            <w:pPr>
              <w:keepNext w:val="0"/>
              <w:keepLines w:val="0"/>
              <w:pageBreakBefore w:val="0"/>
              <w:widowControl/>
              <w:kinsoku w:val="0"/>
              <w:wordWrap w:val="0"/>
              <w:overflowPunct/>
              <w:topLinePunct w:val="0"/>
              <w:autoSpaceDE w:val="0"/>
              <w:autoSpaceDN w:val="0"/>
              <w:bidi w:val="0"/>
              <w:adjustRightInd w:val="0"/>
              <w:snapToGrid w:val="0"/>
              <w:spacing w:before="155"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材料员</w:t>
            </w:r>
          </w:p>
        </w:tc>
        <w:tc>
          <w:tcPr>
            <w:tcW w:w="1567" w:type="dxa"/>
            <w:vAlign w:val="center"/>
          </w:tcPr>
          <w:p w14:paraId="7A4124E4">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17" w:type="dxa"/>
            <w:vAlign w:val="center"/>
          </w:tcPr>
          <w:p w14:paraId="21B90CFC">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02" w:type="dxa"/>
            <w:vAlign w:val="center"/>
          </w:tcPr>
          <w:p w14:paraId="7429CA6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51" w:type="dxa"/>
            <w:vAlign w:val="center"/>
          </w:tcPr>
          <w:p w14:paraId="355EF2BE">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926" w:type="dxa"/>
            <w:vAlign w:val="center"/>
          </w:tcPr>
          <w:p w14:paraId="3D80AEAF">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596C31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center"/>
          </w:tcPr>
          <w:p w14:paraId="4F1DC0C4">
            <w:pPr>
              <w:keepNext w:val="0"/>
              <w:keepLines w:val="0"/>
              <w:pageBreakBefore w:val="0"/>
              <w:widowControl/>
              <w:kinsoku w:val="0"/>
              <w:wordWrap w:val="0"/>
              <w:overflowPunct/>
              <w:topLinePunct w:val="0"/>
              <w:autoSpaceDE w:val="0"/>
              <w:autoSpaceDN w:val="0"/>
              <w:bidi w:val="0"/>
              <w:adjustRightInd w:val="0"/>
              <w:snapToGrid w:val="0"/>
              <w:spacing w:before="192" w:line="192"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w:t>
            </w:r>
          </w:p>
        </w:tc>
        <w:tc>
          <w:tcPr>
            <w:tcW w:w="1939" w:type="dxa"/>
            <w:vAlign w:val="center"/>
          </w:tcPr>
          <w:p w14:paraId="2B81E2B2">
            <w:pPr>
              <w:keepNext w:val="0"/>
              <w:keepLines w:val="0"/>
              <w:pageBreakBefore w:val="0"/>
              <w:widowControl/>
              <w:kinsoku w:val="0"/>
              <w:wordWrap w:val="0"/>
              <w:overflowPunct/>
              <w:topLinePunct w:val="0"/>
              <w:autoSpaceDE w:val="0"/>
              <w:autoSpaceDN w:val="0"/>
              <w:bidi w:val="0"/>
              <w:adjustRightInd w:val="0"/>
              <w:snapToGrid w:val="0"/>
              <w:spacing w:before="154"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资料员</w:t>
            </w:r>
          </w:p>
        </w:tc>
        <w:tc>
          <w:tcPr>
            <w:tcW w:w="1567" w:type="dxa"/>
            <w:vAlign w:val="center"/>
          </w:tcPr>
          <w:p w14:paraId="5830ACFC">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17" w:type="dxa"/>
            <w:vAlign w:val="center"/>
          </w:tcPr>
          <w:p w14:paraId="2BE2E7C7">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02" w:type="dxa"/>
            <w:vAlign w:val="center"/>
          </w:tcPr>
          <w:p w14:paraId="1AEE4D9D">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51" w:type="dxa"/>
            <w:vAlign w:val="center"/>
          </w:tcPr>
          <w:p w14:paraId="462B06F0">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926" w:type="dxa"/>
            <w:vAlign w:val="center"/>
          </w:tcPr>
          <w:p w14:paraId="75D8694A">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6E88A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jc w:val="center"/>
        </w:trPr>
        <w:tc>
          <w:tcPr>
            <w:tcW w:w="634" w:type="dxa"/>
            <w:vAlign w:val="center"/>
          </w:tcPr>
          <w:p w14:paraId="01C28551">
            <w:pPr>
              <w:keepNext w:val="0"/>
              <w:keepLines w:val="0"/>
              <w:pageBreakBefore w:val="0"/>
              <w:widowControl/>
              <w:kinsoku w:val="0"/>
              <w:wordWrap w:val="0"/>
              <w:overflowPunct/>
              <w:topLinePunct w:val="0"/>
              <w:autoSpaceDE w:val="0"/>
              <w:autoSpaceDN w:val="0"/>
              <w:bidi w:val="0"/>
              <w:adjustRightInd w:val="0"/>
              <w:snapToGrid w:val="0"/>
              <w:spacing w:before="154" w:line="325" w:lineRule="exact"/>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position w:val="3"/>
                <w:sz w:val="24"/>
                <w:szCs w:val="24"/>
                <w:highlight w:val="none"/>
                <w14:textFill>
                  <w14:solidFill>
                    <w14:schemeClr w14:val="tx1"/>
                  </w14:solidFill>
                </w14:textFill>
              </w:rPr>
              <w:t>……</w:t>
            </w:r>
          </w:p>
        </w:tc>
        <w:tc>
          <w:tcPr>
            <w:tcW w:w="1939" w:type="dxa"/>
            <w:vAlign w:val="center"/>
          </w:tcPr>
          <w:p w14:paraId="40723A72">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67" w:type="dxa"/>
            <w:vAlign w:val="center"/>
          </w:tcPr>
          <w:p w14:paraId="7F1F6AE8">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17" w:type="dxa"/>
            <w:vAlign w:val="center"/>
          </w:tcPr>
          <w:p w14:paraId="77322F0D">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02" w:type="dxa"/>
            <w:vAlign w:val="center"/>
          </w:tcPr>
          <w:p w14:paraId="62FB4EA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51" w:type="dxa"/>
            <w:vAlign w:val="center"/>
          </w:tcPr>
          <w:p w14:paraId="2D6E46A7">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926" w:type="dxa"/>
            <w:vAlign w:val="center"/>
          </w:tcPr>
          <w:p w14:paraId="5245007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bl>
    <w:p w14:paraId="1A2216AD">
      <w:pPr>
        <w:pStyle w:val="5"/>
        <w:keepNext w:val="0"/>
        <w:keepLines w:val="0"/>
        <w:pageBreakBefore w:val="0"/>
        <w:wordWrap w:val="0"/>
        <w:overflowPunct/>
        <w:topLinePunct w:val="0"/>
        <w:bidi w:val="0"/>
        <w:spacing w:line="39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469D01B">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说明：</w:t>
      </w:r>
    </w:p>
    <w:p w14:paraId="39CA077E">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jc w:val="left"/>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 ．《项目管理机构组成表》后应附表中拟派人员（项目经理、项目技术负责人除外）以下资料：</w:t>
      </w:r>
    </w:p>
    <w:p w14:paraId="0CE589C1">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jc w:val="left"/>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身份证彩色扫描件；</w:t>
      </w:r>
    </w:p>
    <w:p w14:paraId="02AA64CE">
      <w:pPr>
        <w:keepNext w:val="0"/>
        <w:keepLines w:val="0"/>
        <w:pageBreakBefore w:val="0"/>
        <w:widowControl/>
        <w:kinsoku w:val="0"/>
        <w:wordWrap w:val="0"/>
        <w:overflowPunct/>
        <w:topLinePunct w:val="0"/>
        <w:autoSpaceDE w:val="0"/>
        <w:autoSpaceDN w:val="0"/>
        <w:bidi w:val="0"/>
        <w:adjustRightInd/>
        <w:snapToGrid/>
        <w:spacing w:line="360" w:lineRule="auto"/>
        <w:ind w:left="0" w:leftChars="0" w:right="0" w:firstLine="48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专职安全员须提供C类安全生产考核合格证书扫描件或“建筑施工企业管理人员安全生产考核信息系统”考核合格信息扫描件；施工员、质量员、材料员、资料员附岗位证书或培训证书彩色扫描件或打印件；</w:t>
      </w:r>
    </w:p>
    <w:p w14:paraId="3CEAFCD3">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在本单位缴纳社保的证明（</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至少</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个月</w:t>
      </w:r>
      <w:r>
        <w:rPr>
          <w:rFonts w:hint="eastAsia" w:ascii="宋体" w:hAnsi="宋体" w:eastAsia="宋体" w:cs="宋体"/>
          <w:color w:val="000000" w:themeColor="text1"/>
          <w:spacing w:val="0"/>
          <w:sz w:val="24"/>
          <w:szCs w:val="24"/>
          <w:highlight w:val="none"/>
          <w14:textFill>
            <w14:solidFill>
              <w14:schemeClr w14:val="tx1"/>
            </w14:solidFill>
          </w14:textFill>
        </w:rPr>
        <w:t>，其中必须有</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202</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pacing w:val="0"/>
          <w:sz w:val="24"/>
          <w:szCs w:val="24"/>
          <w:highlight w:val="none"/>
          <w14:textFill>
            <w14:solidFill>
              <w14:schemeClr w14:val="tx1"/>
            </w14:solidFill>
          </w14:textFill>
        </w:rPr>
        <w:t>年</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9</w:t>
      </w:r>
      <w:r>
        <w:rPr>
          <w:rFonts w:hint="eastAsia" w:ascii="宋体" w:hAnsi="宋体" w:eastAsia="宋体" w:cs="宋体"/>
          <w:color w:val="000000" w:themeColor="text1"/>
          <w:spacing w:val="0"/>
          <w:sz w:val="24"/>
          <w:szCs w:val="24"/>
          <w:highlight w:val="none"/>
          <w14:textFill>
            <w14:solidFill>
              <w14:schemeClr w14:val="tx1"/>
            </w14:solidFill>
          </w14:textFill>
        </w:rPr>
        <w:t>月）扫描件</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或打印件</w:t>
      </w:r>
      <w:r>
        <w:rPr>
          <w:rFonts w:hint="eastAsia" w:ascii="宋体" w:hAnsi="宋体" w:eastAsia="宋体" w:cs="宋体"/>
          <w:color w:val="000000" w:themeColor="text1"/>
          <w:spacing w:val="0"/>
          <w:sz w:val="24"/>
          <w:szCs w:val="24"/>
          <w:highlight w:val="none"/>
          <w14:textFill>
            <w14:solidFill>
              <w14:schemeClr w14:val="tx1"/>
            </w14:solidFill>
          </w14:textFill>
        </w:rPr>
        <w:t>。拟派</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人员</w:t>
      </w:r>
      <w:r>
        <w:rPr>
          <w:rFonts w:hint="eastAsia" w:ascii="宋体" w:hAnsi="宋体" w:eastAsia="宋体" w:cs="宋体"/>
          <w:color w:val="000000" w:themeColor="text1"/>
          <w:spacing w:val="0"/>
          <w:sz w:val="24"/>
          <w:szCs w:val="24"/>
          <w:highlight w:val="none"/>
          <w14:textFill>
            <w14:solidFill>
              <w14:schemeClr w14:val="tx1"/>
            </w14:solidFill>
          </w14:textFill>
        </w:rPr>
        <w:t>为退休返聘人员无法提供社保证明的，提供退休证和劳动合同彩色扫描件。</w:t>
      </w:r>
    </w:p>
    <w:p w14:paraId="61E286EA">
      <w:pPr>
        <w:keepNext w:val="0"/>
        <w:keepLines w:val="0"/>
        <w:pageBreakBefore w:val="0"/>
        <w:widowControl/>
        <w:kinsoku w:val="0"/>
        <w:wordWrap w:val="0"/>
        <w:overflowPunct/>
        <w:topLinePunct w:val="0"/>
        <w:autoSpaceDE w:val="0"/>
        <w:autoSpaceDN w:val="0"/>
        <w:bidi w:val="0"/>
        <w:adjustRightInd/>
        <w:snapToGrid/>
        <w:spacing w:line="360" w:lineRule="auto"/>
        <w:ind w:left="0" w:leftChars="0" w:right="0" w:firstLine="48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（4）“进粤企业和人员诚信信息登记平台”个人信息情况截图。（适用于省外建筑企业）</w:t>
      </w:r>
    </w:p>
    <w:p w14:paraId="73BD7082">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pacing w:val="0"/>
          <w:sz w:val="24"/>
          <w:szCs w:val="24"/>
          <w:highlight w:val="none"/>
          <w14:textFill>
            <w14:solidFill>
              <w14:schemeClr w14:val="tx1"/>
            </w14:solidFill>
          </w14:textFill>
        </w:rPr>
        <w:t>联合体投标的，《项目管理机构组成表》应包括联合体成员单位参与项目管理机构的人员，并提供以上所需资料。</w:t>
      </w:r>
    </w:p>
    <w:p w14:paraId="487C8DAA">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69" w:name="_Toc26605"/>
      <w:r>
        <w:rPr>
          <w:rFonts w:hint="eastAsia" w:ascii="宋体" w:hAnsi="宋体" w:eastAsia="宋体" w:cs="宋体"/>
          <w:b/>
          <w:bCs/>
          <w:color w:val="000000" w:themeColor="text1"/>
          <w:spacing w:val="0"/>
          <w:sz w:val="24"/>
          <w:szCs w:val="24"/>
          <w:highlight w:val="none"/>
          <w14:textFill>
            <w14:solidFill>
              <w14:schemeClr w14:val="tx1"/>
            </w14:solidFill>
          </w14:textFill>
        </w:rPr>
        <w:t>格式十二 建造师查询页（有效期+建造师签字）</w:t>
      </w:r>
      <w:bookmarkEnd w:id="269"/>
    </w:p>
    <w:p w14:paraId="734EE390">
      <w:pPr>
        <w:keepNext w:val="0"/>
        <w:keepLines w:val="0"/>
        <w:pageBreakBefore w:val="0"/>
        <w:wordWrap w:val="0"/>
        <w:overflowPunct/>
        <w:topLinePunct w:val="0"/>
        <w:bidi w:val="0"/>
        <w:outlineLvl w:val="9"/>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position w:val="-235"/>
          <w:highlight w:val="none"/>
          <w14:textFill>
            <w14:solidFill>
              <w14:schemeClr w14:val="tx1"/>
            </w14:solidFill>
          </w14:textFill>
        </w:rPr>
        <w:drawing>
          <wp:inline distT="0" distB="0" distL="114300" distR="114300">
            <wp:extent cx="6239510" cy="8013700"/>
            <wp:effectExtent l="0" t="0" r="8890" b="6350"/>
            <wp:docPr id="6" name="图片 8"/>
            <wp:cNvGraphicFramePr/>
            <a:graphic xmlns:a="http://schemas.openxmlformats.org/drawingml/2006/main">
              <a:graphicData uri="http://schemas.openxmlformats.org/drawingml/2006/picture">
                <pic:pic xmlns:pic="http://schemas.openxmlformats.org/drawingml/2006/picture">
                  <pic:nvPicPr>
                    <pic:cNvPr id="6" name="图片 8"/>
                    <pic:cNvPicPr/>
                  </pic:nvPicPr>
                  <pic:blipFill>
                    <a:blip r:embed="rId57"/>
                    <a:stretch>
                      <a:fillRect/>
                    </a:stretch>
                  </pic:blipFill>
                  <pic:spPr>
                    <a:xfrm>
                      <a:off x="0" y="0"/>
                      <a:ext cx="6239510" cy="8013700"/>
                    </a:xfrm>
                    <a:prstGeom prst="rect">
                      <a:avLst/>
                    </a:prstGeom>
                    <a:noFill/>
                    <a:ln>
                      <a:noFill/>
                    </a:ln>
                  </pic:spPr>
                </pic:pic>
              </a:graphicData>
            </a:graphic>
          </wp:inline>
        </w:drawing>
      </w:r>
    </w:p>
    <w:p w14:paraId="64B4C367">
      <w:pPr>
        <w:keepNext w:val="0"/>
        <w:keepLines w:val="0"/>
        <w:pageBreakBefore w:val="0"/>
        <w:wordWrap w:val="0"/>
        <w:overflowPunct/>
        <w:topLinePunct w:val="0"/>
        <w:bidi w:val="0"/>
        <w:spacing w:line="220" w:lineRule="auto"/>
        <w:rPr>
          <w:rFonts w:hint="eastAsia" w:ascii="宋体" w:hAnsi="宋体" w:eastAsia="宋体" w:cs="宋体"/>
          <w:color w:val="000000" w:themeColor="text1"/>
          <w:spacing w:val="0"/>
          <w:sz w:val="24"/>
          <w:szCs w:val="24"/>
          <w:highlight w:val="none"/>
          <w14:textFill>
            <w14:solidFill>
              <w14:schemeClr w14:val="tx1"/>
            </w14:solidFill>
          </w14:textFill>
        </w:rPr>
        <w:sectPr>
          <w:footerReference r:id="rId23"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1D37CFE7">
      <w:pPr>
        <w:keepNext w:val="0"/>
        <w:keepLines w:val="0"/>
        <w:pageBreakBefore w:val="0"/>
        <w:wordWrap w:val="0"/>
        <w:overflowPunct/>
        <w:topLinePunct w:val="0"/>
        <w:bidi w:val="0"/>
        <w:spacing w:line="10744" w:lineRule="exact"/>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position w:val="-214"/>
          <w:highlight w:val="none"/>
          <w14:textFill>
            <w14:solidFill>
              <w14:schemeClr w14:val="tx1"/>
            </w14:solidFill>
          </w14:textFill>
        </w:rPr>
        <w:drawing>
          <wp:inline distT="0" distB="0" distL="114300" distR="114300">
            <wp:extent cx="6285865" cy="6925310"/>
            <wp:effectExtent l="0" t="0" r="635" b="8890"/>
            <wp:docPr id="4" name="图片 9"/>
            <wp:cNvGraphicFramePr/>
            <a:graphic xmlns:a="http://schemas.openxmlformats.org/drawingml/2006/main">
              <a:graphicData uri="http://schemas.openxmlformats.org/drawingml/2006/picture">
                <pic:pic xmlns:pic="http://schemas.openxmlformats.org/drawingml/2006/picture">
                  <pic:nvPicPr>
                    <pic:cNvPr id="4" name="图片 9"/>
                    <pic:cNvPicPr/>
                  </pic:nvPicPr>
                  <pic:blipFill>
                    <a:blip r:embed="rId58"/>
                    <a:stretch>
                      <a:fillRect/>
                    </a:stretch>
                  </pic:blipFill>
                  <pic:spPr>
                    <a:xfrm>
                      <a:off x="0" y="0"/>
                      <a:ext cx="6285865" cy="6925310"/>
                    </a:xfrm>
                    <a:prstGeom prst="rect">
                      <a:avLst/>
                    </a:prstGeom>
                    <a:noFill/>
                    <a:ln>
                      <a:noFill/>
                    </a:ln>
                  </pic:spPr>
                </pic:pic>
              </a:graphicData>
            </a:graphic>
          </wp:inline>
        </w:drawing>
      </w:r>
    </w:p>
    <w:p w14:paraId="174F9627">
      <w:pPr>
        <w:keepNext w:val="0"/>
        <w:keepLines w:val="0"/>
        <w:pageBreakBefore w:val="0"/>
        <w:wordWrap w:val="0"/>
        <w:overflowPunct/>
        <w:topLinePunct w:val="0"/>
        <w:bidi w:val="0"/>
        <w:spacing w:line="10744" w:lineRule="exact"/>
        <w:rPr>
          <w:rFonts w:hint="eastAsia" w:ascii="宋体" w:hAnsi="宋体" w:eastAsia="宋体" w:cs="宋体"/>
          <w:color w:val="000000" w:themeColor="text1"/>
          <w:spacing w:val="0"/>
          <w:highlight w:val="none"/>
          <w14:textFill>
            <w14:solidFill>
              <w14:schemeClr w14:val="tx1"/>
            </w14:solidFill>
          </w14:textFill>
        </w:rPr>
        <w:sectPr>
          <w:footerReference r:id="rId24"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79F1B678">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70" w:name="_Toc181"/>
      <w:r>
        <w:rPr>
          <w:rFonts w:hint="eastAsia" w:ascii="宋体" w:hAnsi="宋体" w:eastAsia="宋体" w:cs="宋体"/>
          <w:b/>
          <w:bCs/>
          <w:color w:val="000000" w:themeColor="text1"/>
          <w:spacing w:val="0"/>
          <w:sz w:val="24"/>
          <w:szCs w:val="24"/>
          <w:highlight w:val="none"/>
          <w14:textFill>
            <w14:solidFill>
              <w14:schemeClr w14:val="tx1"/>
            </w14:solidFill>
          </w14:textFill>
        </w:rPr>
        <w:t>格式十三</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pacing w:val="0"/>
          <w:sz w:val="22"/>
          <w:szCs w:val="22"/>
          <w:highlight w:val="none"/>
          <w14:textFill>
            <w14:solidFill>
              <w14:schemeClr w14:val="tx1"/>
            </w14:solidFill>
          </w14:textFill>
        </w:rPr>
        <w:t>危险性较大的分部分项工程清单及超过一定规模的危险性较大的分部分项工程清单</w:t>
      </w:r>
      <w:bookmarkEnd w:id="270"/>
    </w:p>
    <w:p w14:paraId="4E20E0E7">
      <w:pPr>
        <w:pStyle w:val="5"/>
        <w:keepNext w:val="0"/>
        <w:keepLines w:val="0"/>
        <w:pageBreakBefore w:val="0"/>
        <w:wordWrap w:val="0"/>
        <w:overflowPunct/>
        <w:topLinePunct w:val="0"/>
        <w:bidi w:val="0"/>
        <w:spacing w:line="269" w:lineRule="auto"/>
        <w:rPr>
          <w:rFonts w:hint="eastAsia" w:ascii="宋体" w:hAnsi="宋体" w:eastAsia="宋体" w:cs="宋体"/>
          <w:color w:val="000000" w:themeColor="text1"/>
          <w:spacing w:val="0"/>
          <w:highlight w:val="none"/>
          <w14:textFill>
            <w14:solidFill>
              <w14:schemeClr w14:val="tx1"/>
            </w14:solidFill>
          </w14:textFill>
        </w:rPr>
      </w:pPr>
    </w:p>
    <w:p w14:paraId="0DB6A583">
      <w:pPr>
        <w:keepNext w:val="0"/>
        <w:keepLines w:val="0"/>
        <w:pageBreakBefore w:val="0"/>
        <w:tabs>
          <w:tab w:val="left" w:pos="2940"/>
        </w:tabs>
        <w:wordWrap w:val="0"/>
        <w:overflowPunct/>
        <w:topLinePunct w:val="0"/>
        <w:bidi w:val="0"/>
        <w:spacing w:before="101" w:line="377" w:lineRule="auto"/>
        <w:ind w:left="3179" w:leftChars="0" w:right="41" w:hanging="3133" w:firstLineChars="0"/>
        <w:rPr>
          <w:rFonts w:hint="eastAsia" w:ascii="宋体" w:hAnsi="宋体" w:eastAsia="宋体" w:cs="宋体"/>
          <w:color w:val="000000" w:themeColor="text1"/>
          <w:spacing w:val="0"/>
          <w:sz w:val="31"/>
          <w:szCs w:val="31"/>
          <w:highlight w:val="none"/>
          <w14:textFill>
            <w14:solidFill>
              <w14:schemeClr w14:val="tx1"/>
            </w14:solidFill>
          </w14:textFill>
        </w:rPr>
      </w:pPr>
      <w:bookmarkStart w:id="271" w:name="bookmark160"/>
      <w:bookmarkEnd w:id="271"/>
      <w:bookmarkStart w:id="272" w:name="OLE_LINK41"/>
      <w:r>
        <w:rPr>
          <w:rFonts w:hint="eastAsia" w:ascii="宋体" w:hAnsi="宋体" w:eastAsia="宋体" w:cs="宋体"/>
          <w:b/>
          <w:bCs/>
          <w:color w:val="000000" w:themeColor="text1"/>
          <w:spacing w:val="0"/>
          <w:sz w:val="31"/>
          <w:szCs w:val="31"/>
          <w:highlight w:val="none"/>
          <w14:textFill>
            <w14:solidFill>
              <w14:schemeClr w14:val="tx1"/>
            </w14:solidFill>
          </w14:textFill>
        </w:rPr>
        <w:t>危险性较大的分部分项工程清单及超过一定规模的危险性较大的分部分项工程清单</w:t>
      </w:r>
    </w:p>
    <w:bookmarkEnd w:id="272"/>
    <w:p w14:paraId="5004DA81">
      <w:pPr>
        <w:keepNext w:val="0"/>
        <w:keepLines w:val="0"/>
        <w:pageBreakBefore w:val="0"/>
        <w:wordWrap w:val="0"/>
        <w:overflowPunct/>
        <w:topLinePunct w:val="0"/>
        <w:bidi w:val="0"/>
        <w:spacing w:before="6" w:line="326" w:lineRule="auto"/>
        <w:ind w:left="5" w:firstLine="49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1、根据中华人民共和国住房和城乡建设部令第37号《危险性较大的分部分项工程安全管理规定》（以下简称“37号文 ”），投标人在投标时须补充完善危大工程清单并明确相应的安全管理措施。</w:t>
      </w:r>
    </w:p>
    <w:p w14:paraId="39C98E84">
      <w:pPr>
        <w:keepNext w:val="0"/>
        <w:keepLines w:val="0"/>
        <w:pageBreakBefore w:val="0"/>
        <w:wordWrap w:val="0"/>
        <w:overflowPunct/>
        <w:topLinePunct w:val="0"/>
        <w:bidi w:val="0"/>
        <w:spacing w:before="208" w:line="326" w:lineRule="auto"/>
        <w:ind w:left="1" w:firstLine="48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2、招标人根据设计文件的要求及37号文、粤建规范〔2019〕2号文的规定列出“危险性较大的分部分项工程清单及超过一定规模的危险性较大的分部分项工程清单 ”中与 本招标项目相关的清单项，具体详见第5点“打 √ ”标识。</w:t>
      </w:r>
    </w:p>
    <w:p w14:paraId="3676768B">
      <w:pPr>
        <w:keepNext w:val="0"/>
        <w:keepLines w:val="0"/>
        <w:pageBreakBefore w:val="0"/>
        <w:wordWrap w:val="0"/>
        <w:overflowPunct/>
        <w:topLinePunct w:val="0"/>
        <w:bidi w:val="0"/>
        <w:spacing w:before="209" w:line="299" w:lineRule="auto"/>
        <w:ind w:left="3" w:right="72" w:firstLine="48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（1）投标单位同意建设单位在清单中标识的该项请在对应项打“ √ ”标识，并与投标文件中提供相应的安全管理措施。</w:t>
      </w:r>
    </w:p>
    <w:p w14:paraId="1C2AFCFC">
      <w:pPr>
        <w:keepNext w:val="0"/>
        <w:keepLines w:val="0"/>
        <w:pageBreakBefore w:val="0"/>
        <w:wordWrap w:val="0"/>
        <w:overflowPunct/>
        <w:topLinePunct w:val="0"/>
        <w:bidi w:val="0"/>
        <w:spacing w:before="208" w:line="299" w:lineRule="auto"/>
        <w:ind w:left="2" w:right="72"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（2）投标单位对清单中认为需要补充的该项请在对应项打“ √ ”标识，并与投标文件中提供相应的安全管理措施。</w:t>
      </w:r>
    </w:p>
    <w:p w14:paraId="2C57E579">
      <w:pPr>
        <w:keepNext w:val="0"/>
        <w:keepLines w:val="0"/>
        <w:pageBreakBefore w:val="0"/>
        <w:wordWrap w:val="0"/>
        <w:overflowPunct/>
        <w:topLinePunct w:val="0"/>
        <w:bidi w:val="0"/>
        <w:spacing w:before="210" w:line="300" w:lineRule="auto"/>
        <w:ind w:right="72" w:firstLine="49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（3）投标单位不同意建设单位在清单中标识的该项请在对应项打“ × ”标识，并在备注栏填上相关说明。</w:t>
      </w:r>
    </w:p>
    <w:p w14:paraId="14B36F6D">
      <w:pPr>
        <w:keepNext w:val="0"/>
        <w:keepLines w:val="0"/>
        <w:pageBreakBefore w:val="0"/>
        <w:wordWrap w:val="0"/>
        <w:overflowPunct/>
        <w:topLinePunct w:val="0"/>
        <w:bidi w:val="0"/>
        <w:spacing w:before="207" w:line="371" w:lineRule="auto"/>
        <w:ind w:firstLine="484"/>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u w:val="single"/>
          <w14:textFill>
            <w14:solidFill>
              <w14:schemeClr w14:val="tx1"/>
            </w14:solidFill>
          </w14:textFill>
        </w:rPr>
        <w:t>3、投标单位应当在投标时根据招标人提供的下述第5点清单，在投标施工组织中回应建设单位提供的危大工程清单，补充相应的安全管理措施。（为减轻标书编制的工作量，投标单位回应的危大工程清单该部分的页数应控制在3页内）</w:t>
      </w:r>
    </w:p>
    <w:p w14:paraId="74C7E91A">
      <w:pPr>
        <w:keepNext w:val="0"/>
        <w:keepLines w:val="0"/>
        <w:pageBreakBefore w:val="0"/>
        <w:wordWrap w:val="0"/>
        <w:overflowPunct/>
        <w:topLinePunct w:val="0"/>
        <w:bidi w:val="0"/>
        <w:spacing w:before="33" w:line="326" w:lineRule="auto"/>
        <w:ind w:left="1" w:firstLine="47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对于超过一定规模的危大工程，中标单位应当组织召开专家论证会对专项施工方案进行论证。实行施工总承包的，由施工总承包单位组织召开专家论证会。专家论证前专项施工方案应当通过施工总承包单位审核和总监理工程师审查。</w:t>
      </w:r>
    </w:p>
    <w:p w14:paraId="798FF3E3">
      <w:pPr>
        <w:keepNext w:val="0"/>
        <w:keepLines w:val="0"/>
        <w:pageBreakBefore w:val="0"/>
        <w:wordWrap w:val="0"/>
        <w:overflowPunct/>
        <w:topLinePunct w:val="0"/>
        <w:bidi w:val="0"/>
        <w:spacing w:before="208" w:line="301" w:lineRule="auto"/>
        <w:ind w:firstLine="484"/>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5、危险性较大的分部分项工程清单及超过一定规模的危险性较大的分部分项工程清单</w:t>
      </w:r>
    </w:p>
    <w:p w14:paraId="211A5215">
      <w:pPr>
        <w:keepNext w:val="0"/>
        <w:keepLines w:val="0"/>
        <w:pageBreakBefore w:val="0"/>
        <w:wordWrap w:val="0"/>
        <w:overflowPunct/>
        <w:topLinePunct w:val="0"/>
        <w:bidi w:val="0"/>
        <w:spacing w:before="40"/>
        <w:rPr>
          <w:rFonts w:hint="eastAsia" w:ascii="宋体" w:hAnsi="宋体" w:eastAsia="宋体" w:cs="宋体"/>
          <w:color w:val="000000" w:themeColor="text1"/>
          <w:spacing w:val="0"/>
          <w:highlight w:val="none"/>
          <w14:textFill>
            <w14:solidFill>
              <w14:schemeClr w14:val="tx1"/>
            </w14:solidFill>
          </w14:textFill>
        </w:rPr>
      </w:pPr>
    </w:p>
    <w:tbl>
      <w:tblPr>
        <w:tblStyle w:val="14"/>
        <w:tblW w:w="988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
        <w:gridCol w:w="4862"/>
        <w:gridCol w:w="1294"/>
        <w:gridCol w:w="1294"/>
        <w:gridCol w:w="2428"/>
      </w:tblGrid>
      <w:tr w14:paraId="1D6B37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1C0C1314">
            <w:pPr>
              <w:keepNext w:val="0"/>
              <w:keepLines w:val="0"/>
              <w:pageBreakBefore w:val="0"/>
              <w:wordWrap w:val="0"/>
              <w:overflowPunct/>
              <w:topLinePunct w:val="0"/>
              <w:bidi w:val="0"/>
              <w:spacing w:before="133" w:line="220" w:lineRule="auto"/>
              <w:ind w:firstLine="241" w:firstLineChars="1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一、危险性较大的分部分项工程清单</w:t>
            </w:r>
          </w:p>
        </w:tc>
        <w:tc>
          <w:tcPr>
            <w:tcW w:w="1294" w:type="dxa"/>
            <w:vAlign w:val="top"/>
          </w:tcPr>
          <w:p w14:paraId="786821EB">
            <w:pPr>
              <w:keepNext w:val="0"/>
              <w:keepLines w:val="0"/>
              <w:pageBreakBefore w:val="0"/>
              <w:wordWrap w:val="0"/>
              <w:overflowPunct/>
              <w:topLinePunct w:val="0"/>
              <w:bidi w:val="0"/>
              <w:spacing w:before="133" w:line="221" w:lineRule="auto"/>
              <w:ind w:left="206" w:leftChars="0"/>
              <w:rPr>
                <w:rFonts w:hint="eastAsia" w:ascii="宋体" w:hAnsi="宋体" w:eastAsia="宋体" w:cs="宋体"/>
                <w:color w:val="000000" w:themeColor="text1"/>
                <w:spacing w:val="0"/>
                <w:w w:val="94"/>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建设单位</w:t>
            </w:r>
          </w:p>
        </w:tc>
        <w:tc>
          <w:tcPr>
            <w:tcW w:w="1294" w:type="dxa"/>
            <w:vAlign w:val="top"/>
          </w:tcPr>
          <w:p w14:paraId="088710BC">
            <w:pPr>
              <w:keepNext w:val="0"/>
              <w:keepLines w:val="0"/>
              <w:pageBreakBefore w:val="0"/>
              <w:wordWrap w:val="0"/>
              <w:overflowPunct/>
              <w:topLinePunct w:val="0"/>
              <w:bidi w:val="0"/>
              <w:spacing w:before="133" w:line="221" w:lineRule="auto"/>
              <w:ind w:left="205" w:leftChars="0"/>
              <w:rPr>
                <w:rFonts w:hint="eastAsia" w:ascii="宋体" w:hAnsi="宋体" w:eastAsia="宋体" w:cs="宋体"/>
                <w:color w:val="000000" w:themeColor="text1"/>
                <w:spacing w:val="0"/>
                <w:w w:val="94"/>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投标单位</w:t>
            </w:r>
          </w:p>
        </w:tc>
        <w:tc>
          <w:tcPr>
            <w:tcW w:w="2428" w:type="dxa"/>
            <w:vAlign w:val="top"/>
          </w:tcPr>
          <w:p w14:paraId="5305F236">
            <w:pPr>
              <w:keepNext w:val="0"/>
              <w:keepLines w:val="0"/>
              <w:pageBreakBefore w:val="0"/>
              <w:wordWrap w:val="0"/>
              <w:overflowPunct/>
              <w:topLinePunct w:val="0"/>
              <w:bidi w:val="0"/>
              <w:spacing w:before="133" w:line="222" w:lineRule="auto"/>
              <w:ind w:left="360" w:leftChars="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备注</w:t>
            </w:r>
          </w:p>
        </w:tc>
      </w:tr>
      <w:tr w14:paraId="7851F8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712B4333">
            <w:pPr>
              <w:keepNext w:val="0"/>
              <w:keepLines w:val="0"/>
              <w:pageBreakBefore w:val="0"/>
              <w:wordWrap w:val="0"/>
              <w:overflowPunct/>
              <w:topLinePunct w:val="0"/>
              <w:bidi w:val="0"/>
              <w:spacing w:before="128" w:line="221" w:lineRule="auto"/>
              <w:ind w:left="120" w:leftChars="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一、基坑支护</w:t>
            </w:r>
          </w:p>
        </w:tc>
        <w:tc>
          <w:tcPr>
            <w:tcW w:w="1294" w:type="dxa"/>
            <w:vAlign w:val="top"/>
          </w:tcPr>
          <w:p w14:paraId="40D210A2">
            <w:pPr>
              <w:keepNext w:val="0"/>
              <w:keepLines w:val="0"/>
              <w:pageBreakBefore w:val="0"/>
              <w:wordWrap w:val="0"/>
              <w:overflowPunct/>
              <w:topLinePunct w:val="0"/>
              <w:bidi w:val="0"/>
              <w:spacing w:before="128" w:line="223" w:lineRule="auto"/>
              <w:jc w:val="center"/>
              <w:rPr>
                <w:rFonts w:hint="eastAsia" w:ascii="宋体" w:hAnsi="宋体" w:eastAsia="宋体" w:cs="宋体"/>
                <w:color w:val="000000" w:themeColor="text1"/>
                <w:spacing w:val="0"/>
                <w:w w:val="94"/>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bookmarkStart w:id="273" w:name="OLE_LINK39"/>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bookmarkEnd w:id="273"/>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790D24ED">
            <w:pPr>
              <w:keepNext w:val="0"/>
              <w:keepLines w:val="0"/>
              <w:pageBreakBefore w:val="0"/>
              <w:wordWrap w:val="0"/>
              <w:overflowPunct/>
              <w:topLinePunct w:val="0"/>
              <w:bidi w:val="0"/>
              <w:spacing w:before="128" w:line="223" w:lineRule="auto"/>
              <w:ind w:left="367" w:leftChars="0"/>
              <w:rPr>
                <w:rFonts w:hint="eastAsia" w:ascii="宋体" w:hAnsi="宋体" w:eastAsia="宋体" w:cs="宋体"/>
                <w:color w:val="000000" w:themeColor="text1"/>
                <w:spacing w:val="0"/>
                <w:w w:val="94"/>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5DE86A91">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75329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59197831">
            <w:pPr>
              <w:keepNext w:val="0"/>
              <w:keepLines w:val="0"/>
              <w:pageBreakBefore w:val="0"/>
              <w:wordWrap w:val="0"/>
              <w:overflowPunct/>
              <w:topLinePunct w:val="0"/>
              <w:bidi w:val="0"/>
              <w:spacing w:before="129" w:line="328" w:lineRule="auto"/>
              <w:ind w:left="135" w:leftChars="0" w:right="68" w:rightChars="0" w:hanging="8" w:firstLineChars="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（一）开挖深度超过 3m（含 3m）的基坑（槽） 的土方开挖、支护、降水工程。</w:t>
            </w:r>
          </w:p>
        </w:tc>
        <w:tc>
          <w:tcPr>
            <w:tcW w:w="1294" w:type="dxa"/>
            <w:vAlign w:val="top"/>
          </w:tcPr>
          <w:p w14:paraId="5B778EA3">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80472A7">
            <w:pPr>
              <w:keepNext w:val="0"/>
              <w:keepLines w:val="0"/>
              <w:pageBreakBefore w:val="0"/>
              <w:wordWrap w:val="0"/>
              <w:overflowPunct/>
              <w:topLinePunct w:val="0"/>
              <w:bidi w:val="0"/>
              <w:spacing w:before="78" w:line="223" w:lineRule="auto"/>
              <w:ind w:left="396" w:leftChars="0"/>
              <w:rPr>
                <w:rFonts w:hint="eastAsia" w:ascii="宋体" w:hAnsi="宋体" w:eastAsia="宋体" w:cs="宋体"/>
                <w:color w:val="000000" w:themeColor="text1"/>
                <w:spacing w:val="0"/>
                <w:w w:val="94"/>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2CF74172">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E2C041A">
            <w:pPr>
              <w:keepNext w:val="0"/>
              <w:keepLines w:val="0"/>
              <w:pageBreakBefore w:val="0"/>
              <w:wordWrap w:val="0"/>
              <w:overflowPunct/>
              <w:topLinePunct w:val="0"/>
              <w:bidi w:val="0"/>
              <w:spacing w:before="78" w:line="223" w:lineRule="auto"/>
              <w:ind w:left="367" w:leftChars="0"/>
              <w:rPr>
                <w:rFonts w:hint="eastAsia" w:ascii="宋体" w:hAnsi="宋体" w:eastAsia="宋体" w:cs="宋体"/>
                <w:color w:val="000000" w:themeColor="text1"/>
                <w:spacing w:val="0"/>
                <w:w w:val="94"/>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577920F0">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C1807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75D2C12B">
            <w:pPr>
              <w:keepNext w:val="0"/>
              <w:keepLines w:val="0"/>
              <w:pageBreakBefore w:val="0"/>
              <w:wordWrap w:val="0"/>
              <w:overflowPunct/>
              <w:topLinePunct w:val="0"/>
              <w:bidi w:val="0"/>
              <w:spacing w:before="132" w:line="354" w:lineRule="auto"/>
              <w:ind w:left="116" w:right="108" w:firstLine="11"/>
              <w:jc w:val="both"/>
              <w:rPr>
                <w:rFonts w:hint="eastAsia" w:ascii="宋体" w:hAnsi="宋体" w:eastAsia="宋体" w:cs="宋体"/>
                <w:color w:val="000000" w:themeColor="text1"/>
                <w:spacing w:val="0"/>
                <w:sz w:val="24"/>
                <w:szCs w:val="24"/>
                <w:highlight w:val="none"/>
                <w14:textFill>
                  <w14:solidFill>
                    <w14:schemeClr w14:val="tx1"/>
                  </w14:solidFill>
                </w14:textFill>
              </w:rPr>
            </w:pPr>
            <w:bookmarkStart w:id="274" w:name="bookmark161"/>
            <w:bookmarkEnd w:id="274"/>
            <w:r>
              <w:rPr>
                <w:rFonts w:hint="eastAsia" w:ascii="宋体" w:hAnsi="宋体" w:eastAsia="宋体" w:cs="宋体"/>
                <w:color w:val="000000" w:themeColor="text1"/>
                <w:spacing w:val="0"/>
                <w:sz w:val="24"/>
                <w:szCs w:val="24"/>
                <w:highlight w:val="none"/>
                <w14:textFill>
                  <w14:solidFill>
                    <w14:schemeClr w14:val="tx1"/>
                  </w14:solidFill>
                </w14:textFill>
              </w:rPr>
              <w:t>（二）开挖深度虽未超过 3m，但地质条件、周 围环境和地下管线复杂，或影响毗邻建、构筑 物安全的基坑（槽）的土方开挖、支护、降水 工程。</w:t>
            </w:r>
          </w:p>
        </w:tc>
        <w:tc>
          <w:tcPr>
            <w:tcW w:w="1294" w:type="dxa"/>
            <w:vAlign w:val="top"/>
          </w:tcPr>
          <w:p w14:paraId="678E3335">
            <w:pPr>
              <w:pStyle w:val="27"/>
              <w:keepNext w:val="0"/>
              <w:keepLines w:val="0"/>
              <w:pageBreakBefore w:val="0"/>
              <w:wordWrap w:val="0"/>
              <w:overflowPunct/>
              <w:topLinePunct w:val="0"/>
              <w:bidi w:val="0"/>
              <w:spacing w:line="263"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3E3E37B">
            <w:pPr>
              <w:pStyle w:val="27"/>
              <w:keepNext w:val="0"/>
              <w:keepLines w:val="0"/>
              <w:pageBreakBefore w:val="0"/>
              <w:wordWrap w:val="0"/>
              <w:overflowPunct/>
              <w:topLinePunct w:val="0"/>
              <w:bidi w:val="0"/>
              <w:spacing w:line="263"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7B348AA">
            <w:pPr>
              <w:pStyle w:val="27"/>
              <w:keepNext w:val="0"/>
              <w:keepLines w:val="0"/>
              <w:pageBreakBefore w:val="0"/>
              <w:wordWrap w:val="0"/>
              <w:overflowPunct/>
              <w:topLinePunct w:val="0"/>
              <w:bidi w:val="0"/>
              <w:spacing w:line="264"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9F5F156">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bookmarkStart w:id="275" w:name="OLE_LINK40"/>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bookmarkEnd w:id="275"/>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49FC468F">
            <w:pPr>
              <w:pStyle w:val="27"/>
              <w:keepNext w:val="0"/>
              <w:keepLines w:val="0"/>
              <w:pageBreakBefore w:val="0"/>
              <w:wordWrap w:val="0"/>
              <w:overflowPunct/>
              <w:topLinePunct w:val="0"/>
              <w:bidi w:val="0"/>
              <w:spacing w:line="263"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573D6FDA">
            <w:pPr>
              <w:pStyle w:val="27"/>
              <w:keepNext w:val="0"/>
              <w:keepLines w:val="0"/>
              <w:pageBreakBefore w:val="0"/>
              <w:wordWrap w:val="0"/>
              <w:overflowPunct/>
              <w:topLinePunct w:val="0"/>
              <w:bidi w:val="0"/>
              <w:spacing w:line="263"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B2551ED">
            <w:pPr>
              <w:pStyle w:val="27"/>
              <w:keepNext w:val="0"/>
              <w:keepLines w:val="0"/>
              <w:pageBreakBefore w:val="0"/>
              <w:wordWrap w:val="0"/>
              <w:overflowPunct/>
              <w:topLinePunct w:val="0"/>
              <w:bidi w:val="0"/>
              <w:spacing w:line="264"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36E5E26">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45D403E2">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4CB8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7FF3CCA3">
            <w:pPr>
              <w:keepNext w:val="0"/>
              <w:keepLines w:val="0"/>
              <w:pageBreakBefore w:val="0"/>
              <w:wordWrap w:val="0"/>
              <w:overflowPunct/>
              <w:topLinePunct w:val="0"/>
              <w:bidi w:val="0"/>
              <w:spacing w:before="128" w:line="219" w:lineRule="auto"/>
              <w:ind w:left="12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二、模板工程及支撑体系</w:t>
            </w:r>
          </w:p>
        </w:tc>
        <w:tc>
          <w:tcPr>
            <w:tcW w:w="1294" w:type="dxa"/>
            <w:vAlign w:val="top"/>
          </w:tcPr>
          <w:p w14:paraId="4F83F1A7">
            <w:pPr>
              <w:keepNext w:val="0"/>
              <w:keepLines w:val="0"/>
              <w:pageBreakBefore w:val="0"/>
              <w:wordWrap w:val="0"/>
              <w:overflowPunct/>
              <w:topLinePunct w:val="0"/>
              <w:bidi w:val="0"/>
              <w:spacing w:before="12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21DEA9D7">
            <w:pPr>
              <w:keepNext w:val="0"/>
              <w:keepLines w:val="0"/>
              <w:pageBreakBefore w:val="0"/>
              <w:wordWrap w:val="0"/>
              <w:overflowPunct/>
              <w:topLinePunct w:val="0"/>
              <w:bidi w:val="0"/>
              <w:spacing w:before="12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3E66751">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5F756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2B42EF94">
            <w:pPr>
              <w:keepNext w:val="0"/>
              <w:keepLines w:val="0"/>
              <w:pageBreakBefore w:val="0"/>
              <w:wordWrap w:val="0"/>
              <w:overflowPunct/>
              <w:topLinePunct w:val="0"/>
              <w:bidi w:val="0"/>
              <w:spacing w:before="128" w:line="328" w:lineRule="auto"/>
              <w:ind w:left="123" w:right="25" w:firstLine="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（一）各类工具式模板工程：包括滑模、爬模、 飞模、隧道模等工程。</w:t>
            </w:r>
          </w:p>
        </w:tc>
        <w:tc>
          <w:tcPr>
            <w:tcW w:w="1294" w:type="dxa"/>
            <w:vAlign w:val="top"/>
          </w:tcPr>
          <w:p w14:paraId="62BE616C">
            <w:pPr>
              <w:pStyle w:val="27"/>
              <w:keepNext w:val="0"/>
              <w:keepLines w:val="0"/>
              <w:pageBreakBefore w:val="0"/>
              <w:wordWrap w:val="0"/>
              <w:overflowPunct/>
              <w:topLinePunct w:val="0"/>
              <w:bidi w:val="0"/>
              <w:spacing w:line="293"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0787877">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0A3A5B2">
            <w:pPr>
              <w:pStyle w:val="27"/>
              <w:keepNext w:val="0"/>
              <w:keepLines w:val="0"/>
              <w:pageBreakBefore w:val="0"/>
              <w:wordWrap w:val="0"/>
              <w:overflowPunct/>
              <w:topLinePunct w:val="0"/>
              <w:bidi w:val="0"/>
              <w:spacing w:line="293"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BAF713B">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76A6A71B">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1E755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6F44FF8A">
            <w:pPr>
              <w:keepNext w:val="0"/>
              <w:keepLines w:val="0"/>
              <w:pageBreakBefore w:val="0"/>
              <w:wordWrap w:val="0"/>
              <w:overflowPunct/>
              <w:topLinePunct w:val="0"/>
              <w:bidi w:val="0"/>
              <w:spacing w:before="131" w:line="362" w:lineRule="auto"/>
              <w:ind w:left="115" w:right="105" w:firstLine="1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（二）混凝土模板支撑工程：搭设高度 5m 及以 上，或搭设跨度 10m 及以上，或施工总荷载（荷 载效应基本组合的设计值，以下简称设计值） 10kN/m2 及以上，或集中线荷载（设计值）15kN/m 及以上，或高度大于支撑水平投影宽度且相对 独立无联系构件的混凝土模板支撑工程。</w:t>
            </w:r>
          </w:p>
        </w:tc>
        <w:tc>
          <w:tcPr>
            <w:tcW w:w="1294" w:type="dxa"/>
            <w:vAlign w:val="top"/>
          </w:tcPr>
          <w:p w14:paraId="06D081D3">
            <w:pPr>
              <w:pStyle w:val="27"/>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A16BFFE">
            <w:pPr>
              <w:pStyle w:val="27"/>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A0F5923">
            <w:pPr>
              <w:pStyle w:val="27"/>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E04FF9F">
            <w:pPr>
              <w:pStyle w:val="27"/>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4B37184">
            <w:pPr>
              <w:pStyle w:val="27"/>
              <w:keepNext w:val="0"/>
              <w:keepLines w:val="0"/>
              <w:pageBreakBefore w:val="0"/>
              <w:wordWrap w:val="0"/>
              <w:overflowPunct/>
              <w:topLinePunct w:val="0"/>
              <w:bidi w:val="0"/>
              <w:spacing w:line="25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5A4F6FF6">
            <w:pPr>
              <w:keepNext w:val="0"/>
              <w:keepLines w:val="0"/>
              <w:pageBreakBefore w:val="0"/>
              <w:wordWrap w:val="0"/>
              <w:overflowPunct/>
              <w:topLinePunct w:val="0"/>
              <w:bidi w:val="0"/>
              <w:spacing w:before="78" w:line="223" w:lineRule="auto"/>
              <w:ind w:left="42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2BC45176">
            <w:pPr>
              <w:pStyle w:val="27"/>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D487157">
            <w:pPr>
              <w:pStyle w:val="27"/>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E1CE66E">
            <w:pPr>
              <w:pStyle w:val="27"/>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A7FA7A1">
            <w:pPr>
              <w:pStyle w:val="27"/>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2434D3D">
            <w:pPr>
              <w:pStyle w:val="27"/>
              <w:keepNext w:val="0"/>
              <w:keepLines w:val="0"/>
              <w:pageBreakBefore w:val="0"/>
              <w:wordWrap w:val="0"/>
              <w:overflowPunct/>
              <w:topLinePunct w:val="0"/>
              <w:bidi w:val="0"/>
              <w:spacing w:line="25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980D964">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1456E965">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EC0EB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3F43D72D">
            <w:pPr>
              <w:keepNext w:val="0"/>
              <w:keepLines w:val="0"/>
              <w:pageBreakBefore w:val="0"/>
              <w:wordWrap w:val="0"/>
              <w:overflowPunct/>
              <w:topLinePunct w:val="0"/>
              <w:bidi w:val="0"/>
              <w:spacing w:before="130" w:line="327" w:lineRule="auto"/>
              <w:ind w:left="117" w:right="168" w:firstLine="1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（三）承重支撑体系：用于钢结构安装等满堂 支撑体系。</w:t>
            </w:r>
          </w:p>
        </w:tc>
        <w:tc>
          <w:tcPr>
            <w:tcW w:w="1294" w:type="dxa"/>
            <w:vAlign w:val="top"/>
          </w:tcPr>
          <w:p w14:paraId="511D615D">
            <w:pPr>
              <w:pStyle w:val="27"/>
              <w:keepNext w:val="0"/>
              <w:keepLines w:val="0"/>
              <w:pageBreakBefore w:val="0"/>
              <w:wordWrap w:val="0"/>
              <w:overflowPunct/>
              <w:topLinePunct w:val="0"/>
              <w:bidi w:val="0"/>
              <w:spacing w:line="29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5F0F42D">
            <w:pPr>
              <w:keepNext w:val="0"/>
              <w:keepLines w:val="0"/>
              <w:pageBreakBefore w:val="0"/>
              <w:wordWrap w:val="0"/>
              <w:overflowPunct/>
              <w:topLinePunct w:val="0"/>
              <w:bidi w:val="0"/>
              <w:spacing w:before="78" w:line="223" w:lineRule="auto"/>
              <w:ind w:left="3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433D5358">
            <w:pPr>
              <w:pStyle w:val="27"/>
              <w:keepNext w:val="0"/>
              <w:keepLines w:val="0"/>
              <w:pageBreakBefore w:val="0"/>
              <w:wordWrap w:val="0"/>
              <w:overflowPunct/>
              <w:topLinePunct w:val="0"/>
              <w:bidi w:val="0"/>
              <w:spacing w:line="29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B3D0D91">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4DF9CE6A">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A4563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0E79A01C">
            <w:pPr>
              <w:keepNext w:val="0"/>
              <w:keepLines w:val="0"/>
              <w:pageBreakBefore w:val="0"/>
              <w:wordWrap w:val="0"/>
              <w:overflowPunct/>
              <w:topLinePunct w:val="0"/>
              <w:bidi w:val="0"/>
              <w:spacing w:before="130" w:line="219" w:lineRule="auto"/>
              <w:ind w:left="3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三、起重吊装及起重机械安装拆卸工程</w:t>
            </w:r>
          </w:p>
        </w:tc>
        <w:tc>
          <w:tcPr>
            <w:tcW w:w="1294" w:type="dxa"/>
            <w:vAlign w:val="top"/>
          </w:tcPr>
          <w:p w14:paraId="76D8EB27">
            <w:pPr>
              <w:keepNext w:val="0"/>
              <w:keepLines w:val="0"/>
              <w:pageBreakBefore w:val="0"/>
              <w:wordWrap w:val="0"/>
              <w:overflowPunct/>
              <w:topLinePunct w:val="0"/>
              <w:bidi w:val="0"/>
              <w:spacing w:before="129"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684F6761">
            <w:pPr>
              <w:keepNext w:val="0"/>
              <w:keepLines w:val="0"/>
              <w:pageBreakBefore w:val="0"/>
              <w:wordWrap w:val="0"/>
              <w:overflowPunct/>
              <w:topLinePunct w:val="0"/>
              <w:bidi w:val="0"/>
              <w:spacing w:before="129"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1AB0041E">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C2E0F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7CDD2F61">
            <w:pPr>
              <w:keepNext w:val="0"/>
              <w:keepLines w:val="0"/>
              <w:pageBreakBefore w:val="0"/>
              <w:wordWrap w:val="0"/>
              <w:overflowPunct/>
              <w:topLinePunct w:val="0"/>
              <w:bidi w:val="0"/>
              <w:spacing w:before="131" w:line="327" w:lineRule="auto"/>
              <w:ind w:left="144" w:right="168" w:hanging="1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（一）采用非常规起重设备、方法，且单件起 吊重量在 10kN 及以上的起重吊装工程。</w:t>
            </w:r>
          </w:p>
        </w:tc>
        <w:tc>
          <w:tcPr>
            <w:tcW w:w="1294" w:type="dxa"/>
            <w:vAlign w:val="top"/>
          </w:tcPr>
          <w:p w14:paraId="29DAD9F8">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99CF0AA">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537BA4B">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107995C">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189630F">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CF080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00DA6BEA">
            <w:pPr>
              <w:keepNext w:val="0"/>
              <w:keepLines w:val="0"/>
              <w:pageBreakBefore w:val="0"/>
              <w:wordWrap w:val="0"/>
              <w:overflowPunct/>
              <w:topLinePunct w:val="0"/>
              <w:bidi w:val="0"/>
              <w:spacing w:before="132" w:line="219"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（二）采用起重机械进行安装的工程。</w:t>
            </w:r>
          </w:p>
        </w:tc>
        <w:tc>
          <w:tcPr>
            <w:tcW w:w="1294" w:type="dxa"/>
            <w:vAlign w:val="top"/>
          </w:tcPr>
          <w:p w14:paraId="05D8A463">
            <w:pPr>
              <w:keepNext w:val="0"/>
              <w:keepLines w:val="0"/>
              <w:pageBreakBefore w:val="0"/>
              <w:wordWrap w:val="0"/>
              <w:overflowPunct/>
              <w:topLinePunct w:val="0"/>
              <w:bidi w:val="0"/>
              <w:spacing w:before="131" w:line="223" w:lineRule="auto"/>
              <w:ind w:left="3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0902B328">
            <w:pPr>
              <w:keepNext w:val="0"/>
              <w:keepLines w:val="0"/>
              <w:pageBreakBefore w:val="0"/>
              <w:wordWrap w:val="0"/>
              <w:overflowPunct/>
              <w:topLinePunct w:val="0"/>
              <w:bidi w:val="0"/>
              <w:spacing w:before="131"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363D3528">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DB159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12F4B30C">
            <w:pPr>
              <w:keepNext w:val="0"/>
              <w:keepLines w:val="0"/>
              <w:pageBreakBefore w:val="0"/>
              <w:wordWrap w:val="0"/>
              <w:overflowPunct/>
              <w:topLinePunct w:val="0"/>
              <w:bidi w:val="0"/>
              <w:spacing w:before="130" w:line="219"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（三）起重机械安装和拆卸工程。</w:t>
            </w:r>
          </w:p>
        </w:tc>
        <w:tc>
          <w:tcPr>
            <w:tcW w:w="1294" w:type="dxa"/>
            <w:vAlign w:val="top"/>
          </w:tcPr>
          <w:p w14:paraId="429C4D99">
            <w:pPr>
              <w:keepNext w:val="0"/>
              <w:keepLines w:val="0"/>
              <w:pageBreakBefore w:val="0"/>
              <w:wordWrap w:val="0"/>
              <w:overflowPunct/>
              <w:topLinePunct w:val="0"/>
              <w:bidi w:val="0"/>
              <w:spacing w:before="129" w:line="223" w:lineRule="auto"/>
              <w:ind w:left="3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6E377759">
            <w:pPr>
              <w:keepNext w:val="0"/>
              <w:keepLines w:val="0"/>
              <w:pageBreakBefore w:val="0"/>
              <w:wordWrap w:val="0"/>
              <w:overflowPunct/>
              <w:topLinePunct w:val="0"/>
              <w:bidi w:val="0"/>
              <w:spacing w:before="129"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D68036D">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9A8E6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13B4E193">
            <w:pPr>
              <w:keepNext w:val="0"/>
              <w:keepLines w:val="0"/>
              <w:pageBreakBefore w:val="0"/>
              <w:wordWrap w:val="0"/>
              <w:overflowPunct/>
              <w:topLinePunct w:val="0"/>
              <w:bidi w:val="0"/>
              <w:spacing w:before="131" w:line="219" w:lineRule="auto"/>
              <w:ind w:left="13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四、脚手架工程</w:t>
            </w:r>
          </w:p>
        </w:tc>
        <w:tc>
          <w:tcPr>
            <w:tcW w:w="1294" w:type="dxa"/>
            <w:vAlign w:val="top"/>
          </w:tcPr>
          <w:p w14:paraId="4B0E76C9">
            <w:pPr>
              <w:keepNext w:val="0"/>
              <w:keepLines w:val="0"/>
              <w:pageBreakBefore w:val="0"/>
              <w:wordWrap w:val="0"/>
              <w:overflowPunct/>
              <w:topLinePunct w:val="0"/>
              <w:bidi w:val="0"/>
              <w:spacing w:before="130" w:line="223" w:lineRule="auto"/>
              <w:ind w:left="48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5E1DB8D">
            <w:pPr>
              <w:keepNext w:val="0"/>
              <w:keepLines w:val="0"/>
              <w:pageBreakBefore w:val="0"/>
              <w:wordWrap w:val="0"/>
              <w:overflowPunct/>
              <w:topLinePunct w:val="0"/>
              <w:bidi w:val="0"/>
              <w:spacing w:before="130"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1596A5DC">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50A150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615C7215">
            <w:pPr>
              <w:keepNext w:val="0"/>
              <w:keepLines w:val="0"/>
              <w:pageBreakBefore w:val="0"/>
              <w:wordWrap w:val="0"/>
              <w:overflowPunct/>
              <w:topLinePunct w:val="0"/>
              <w:bidi w:val="0"/>
              <w:spacing w:before="130" w:line="327" w:lineRule="auto"/>
              <w:ind w:left="117" w:right="168" w:firstLine="1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（一）搭设高度 24m 及以上的落地式钢管脚手 架工程（包括采光井、电梯井脚手架）。</w:t>
            </w:r>
          </w:p>
        </w:tc>
        <w:tc>
          <w:tcPr>
            <w:tcW w:w="1294" w:type="dxa"/>
            <w:vAlign w:val="top"/>
          </w:tcPr>
          <w:p w14:paraId="321FD4AD">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79F5793">
            <w:pPr>
              <w:keepNext w:val="0"/>
              <w:keepLines w:val="0"/>
              <w:pageBreakBefore w:val="0"/>
              <w:wordWrap w:val="0"/>
              <w:overflowPunct/>
              <w:topLinePunct w:val="0"/>
              <w:bidi w:val="0"/>
              <w:spacing w:before="78" w:line="223" w:lineRule="auto"/>
              <w:ind w:left="42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0CD0218D">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34A98EC">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5D925227">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9B470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079A4E32">
            <w:pPr>
              <w:keepNext w:val="0"/>
              <w:keepLines w:val="0"/>
              <w:pageBreakBefore w:val="0"/>
              <w:wordWrap w:val="0"/>
              <w:overflowPunct/>
              <w:topLinePunct w:val="0"/>
              <w:bidi w:val="0"/>
              <w:spacing w:before="131" w:line="219"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（二）附着式升降脚手架工程。</w:t>
            </w:r>
          </w:p>
        </w:tc>
        <w:tc>
          <w:tcPr>
            <w:tcW w:w="1294" w:type="dxa"/>
            <w:vAlign w:val="top"/>
          </w:tcPr>
          <w:p w14:paraId="2834041E">
            <w:pPr>
              <w:keepNext w:val="0"/>
              <w:keepLines w:val="0"/>
              <w:pageBreakBefore w:val="0"/>
              <w:wordWrap w:val="0"/>
              <w:overflowPunct/>
              <w:topLinePunct w:val="0"/>
              <w:bidi w:val="0"/>
              <w:spacing w:before="130" w:line="223" w:lineRule="auto"/>
              <w:ind w:left="24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19E1B740">
            <w:pPr>
              <w:keepNext w:val="0"/>
              <w:keepLines w:val="0"/>
              <w:pageBreakBefore w:val="0"/>
              <w:wordWrap w:val="0"/>
              <w:overflowPunct/>
              <w:topLinePunct w:val="0"/>
              <w:bidi w:val="0"/>
              <w:spacing w:before="130"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0CAC225D">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36F1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474FFC9B">
            <w:pPr>
              <w:keepNext w:val="0"/>
              <w:keepLines w:val="0"/>
              <w:pageBreakBefore w:val="0"/>
              <w:wordWrap w:val="0"/>
              <w:overflowPunct/>
              <w:topLinePunct w:val="0"/>
              <w:bidi w:val="0"/>
              <w:spacing w:before="132" w:line="219"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（三）悬挑式脚手架工程。</w:t>
            </w:r>
          </w:p>
        </w:tc>
        <w:tc>
          <w:tcPr>
            <w:tcW w:w="1294" w:type="dxa"/>
            <w:vAlign w:val="top"/>
          </w:tcPr>
          <w:p w14:paraId="5E7432E5">
            <w:pPr>
              <w:keepNext w:val="0"/>
              <w:keepLines w:val="0"/>
              <w:pageBreakBefore w:val="0"/>
              <w:wordWrap w:val="0"/>
              <w:overflowPunct/>
              <w:topLinePunct w:val="0"/>
              <w:bidi w:val="0"/>
              <w:spacing w:before="131" w:line="223" w:lineRule="auto"/>
              <w:ind w:left="24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07D49CBE">
            <w:pPr>
              <w:keepNext w:val="0"/>
              <w:keepLines w:val="0"/>
              <w:pageBreakBefore w:val="0"/>
              <w:wordWrap w:val="0"/>
              <w:overflowPunct/>
              <w:topLinePunct w:val="0"/>
              <w:bidi w:val="0"/>
              <w:spacing w:before="131"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06E687F2">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5EB78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40A65585">
            <w:pPr>
              <w:keepNext w:val="0"/>
              <w:keepLines w:val="0"/>
              <w:pageBreakBefore w:val="0"/>
              <w:wordWrap w:val="0"/>
              <w:overflowPunct/>
              <w:topLinePunct w:val="0"/>
              <w:bidi w:val="0"/>
              <w:spacing w:before="131" w:line="220"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（四）高处作业吊篮。</w:t>
            </w:r>
          </w:p>
        </w:tc>
        <w:tc>
          <w:tcPr>
            <w:tcW w:w="1294" w:type="dxa"/>
            <w:vAlign w:val="top"/>
          </w:tcPr>
          <w:p w14:paraId="14F1C253">
            <w:pPr>
              <w:keepNext w:val="0"/>
              <w:keepLines w:val="0"/>
              <w:pageBreakBefore w:val="0"/>
              <w:wordWrap w:val="0"/>
              <w:overflowPunct/>
              <w:topLinePunct w:val="0"/>
              <w:bidi w:val="0"/>
              <w:spacing w:before="131"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55D4A21">
            <w:pPr>
              <w:keepNext w:val="0"/>
              <w:keepLines w:val="0"/>
              <w:pageBreakBefore w:val="0"/>
              <w:wordWrap w:val="0"/>
              <w:overflowPunct/>
              <w:topLinePunct w:val="0"/>
              <w:bidi w:val="0"/>
              <w:spacing w:before="131"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671AEFFD">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5BFCB7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36D85820">
            <w:pPr>
              <w:keepNext w:val="0"/>
              <w:keepLines w:val="0"/>
              <w:pageBreakBefore w:val="0"/>
              <w:wordWrap w:val="0"/>
              <w:overflowPunct/>
              <w:topLinePunct w:val="0"/>
              <w:bidi w:val="0"/>
              <w:spacing w:before="132" w:line="220"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（五）卸料平台、操作平台工程。</w:t>
            </w:r>
          </w:p>
        </w:tc>
        <w:tc>
          <w:tcPr>
            <w:tcW w:w="1294" w:type="dxa"/>
            <w:vAlign w:val="top"/>
          </w:tcPr>
          <w:p w14:paraId="24DA6B96">
            <w:pPr>
              <w:keepNext w:val="0"/>
              <w:keepLines w:val="0"/>
              <w:pageBreakBefore w:val="0"/>
              <w:wordWrap w:val="0"/>
              <w:overflowPunct/>
              <w:topLinePunct w:val="0"/>
              <w:bidi w:val="0"/>
              <w:spacing w:before="132" w:line="223" w:lineRule="auto"/>
              <w:ind w:left="24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5972CBB8">
            <w:pPr>
              <w:keepNext w:val="0"/>
              <w:keepLines w:val="0"/>
              <w:pageBreakBefore w:val="0"/>
              <w:wordWrap w:val="0"/>
              <w:overflowPunct/>
              <w:topLinePunct w:val="0"/>
              <w:bidi w:val="0"/>
              <w:spacing w:before="132"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3D335B2E">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9049B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3C96EB0E">
            <w:pPr>
              <w:keepNext w:val="0"/>
              <w:keepLines w:val="0"/>
              <w:pageBreakBefore w:val="0"/>
              <w:wordWrap w:val="0"/>
              <w:overflowPunct/>
              <w:topLinePunct w:val="0"/>
              <w:bidi w:val="0"/>
              <w:spacing w:before="133" w:line="219"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（六）异型脚手架工程。</w:t>
            </w:r>
          </w:p>
        </w:tc>
        <w:tc>
          <w:tcPr>
            <w:tcW w:w="1294" w:type="dxa"/>
            <w:vAlign w:val="top"/>
          </w:tcPr>
          <w:p w14:paraId="2920519C">
            <w:pPr>
              <w:keepNext w:val="0"/>
              <w:keepLines w:val="0"/>
              <w:pageBreakBefore w:val="0"/>
              <w:wordWrap w:val="0"/>
              <w:overflowPunct/>
              <w:topLinePunct w:val="0"/>
              <w:bidi w:val="0"/>
              <w:spacing w:before="132"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66F0ED25">
            <w:pPr>
              <w:keepNext w:val="0"/>
              <w:keepLines w:val="0"/>
              <w:pageBreakBefore w:val="0"/>
              <w:wordWrap w:val="0"/>
              <w:overflowPunct/>
              <w:topLinePunct w:val="0"/>
              <w:bidi w:val="0"/>
              <w:spacing w:before="132"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616F9989">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684BF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DB2BD6B">
            <w:pPr>
              <w:keepNext w:val="0"/>
              <w:keepLines w:val="0"/>
              <w:pageBreakBefore w:val="0"/>
              <w:wordWrap w:val="0"/>
              <w:overflowPunct/>
              <w:topLinePunct w:val="0"/>
              <w:bidi w:val="0"/>
              <w:spacing w:before="131" w:line="220" w:lineRule="auto"/>
              <w:ind w:left="120"/>
              <w:rPr>
                <w:rFonts w:hint="eastAsia" w:ascii="宋体" w:hAnsi="宋体" w:eastAsia="宋体" w:cs="宋体"/>
                <w:color w:val="000000" w:themeColor="text1"/>
                <w:spacing w:val="0"/>
                <w:sz w:val="24"/>
                <w:szCs w:val="24"/>
                <w:highlight w:val="none"/>
                <w14:textFill>
                  <w14:solidFill>
                    <w14:schemeClr w14:val="tx1"/>
                  </w14:solidFill>
                </w14:textFill>
              </w:rPr>
            </w:pPr>
            <w:bookmarkStart w:id="276" w:name="bookmark162"/>
            <w:bookmarkEnd w:id="276"/>
            <w:r>
              <w:rPr>
                <w:rFonts w:hint="eastAsia" w:ascii="宋体" w:hAnsi="宋体" w:eastAsia="宋体" w:cs="宋体"/>
                <w:color w:val="000000" w:themeColor="text1"/>
                <w:spacing w:val="0"/>
                <w:sz w:val="24"/>
                <w:szCs w:val="24"/>
                <w:highlight w:val="none"/>
                <w14:textFill>
                  <w14:solidFill>
                    <w14:schemeClr w14:val="tx1"/>
                  </w14:solidFill>
                </w14:textFill>
              </w:rPr>
              <w:t>五、拆除工程</w:t>
            </w:r>
          </w:p>
        </w:tc>
        <w:tc>
          <w:tcPr>
            <w:tcW w:w="1294" w:type="dxa"/>
            <w:vAlign w:val="top"/>
          </w:tcPr>
          <w:p w14:paraId="1F592663">
            <w:pPr>
              <w:keepNext w:val="0"/>
              <w:keepLines w:val="0"/>
              <w:pageBreakBefore w:val="0"/>
              <w:wordWrap w:val="0"/>
              <w:overflowPunct/>
              <w:topLinePunct w:val="0"/>
              <w:bidi w:val="0"/>
              <w:spacing w:before="131" w:line="223" w:lineRule="auto"/>
              <w:ind w:left="48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97AE92B">
            <w:pPr>
              <w:keepNext w:val="0"/>
              <w:keepLines w:val="0"/>
              <w:pageBreakBefore w:val="0"/>
              <w:wordWrap w:val="0"/>
              <w:overflowPunct/>
              <w:topLinePunct w:val="0"/>
              <w:bidi w:val="0"/>
              <w:spacing w:before="131"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6B23CF5F">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E835D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355B08F">
            <w:pPr>
              <w:keepNext w:val="0"/>
              <w:keepLines w:val="0"/>
              <w:pageBreakBefore w:val="0"/>
              <w:wordWrap w:val="0"/>
              <w:overflowPunct/>
              <w:topLinePunct w:val="0"/>
              <w:bidi w:val="0"/>
              <w:spacing w:before="126" w:line="329" w:lineRule="auto"/>
              <w:ind w:left="117" w:right="16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可能影响行人、交通、电力设施、通讯设施或 其它建、构筑物安全的拆除工程。</w:t>
            </w:r>
          </w:p>
        </w:tc>
        <w:tc>
          <w:tcPr>
            <w:tcW w:w="1294" w:type="dxa"/>
            <w:vAlign w:val="top"/>
          </w:tcPr>
          <w:p w14:paraId="0A9FAFF7">
            <w:pPr>
              <w:pStyle w:val="27"/>
              <w:keepNext w:val="0"/>
              <w:keepLines w:val="0"/>
              <w:pageBreakBefore w:val="0"/>
              <w:wordWrap w:val="0"/>
              <w:overflowPunct/>
              <w:topLinePunct w:val="0"/>
              <w:bidi w:val="0"/>
              <w:spacing w:line="294"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4B3FB96">
            <w:pPr>
              <w:keepNext w:val="0"/>
              <w:keepLines w:val="0"/>
              <w:pageBreakBefore w:val="0"/>
              <w:wordWrap w:val="0"/>
              <w:overflowPunct/>
              <w:topLinePunct w:val="0"/>
              <w:bidi w:val="0"/>
              <w:spacing w:before="78" w:line="223" w:lineRule="auto"/>
              <w:ind w:left="3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6D9904E6">
            <w:pPr>
              <w:pStyle w:val="27"/>
              <w:keepNext w:val="0"/>
              <w:keepLines w:val="0"/>
              <w:pageBreakBefore w:val="0"/>
              <w:wordWrap w:val="0"/>
              <w:overflowPunct/>
              <w:topLinePunct w:val="0"/>
              <w:bidi w:val="0"/>
              <w:spacing w:line="294"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D0D520C">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650FEA8A">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6C117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0BEE0B8">
            <w:pPr>
              <w:keepNext w:val="0"/>
              <w:keepLines w:val="0"/>
              <w:pageBreakBefore w:val="0"/>
              <w:wordWrap w:val="0"/>
              <w:overflowPunct/>
              <w:topLinePunct w:val="0"/>
              <w:bidi w:val="0"/>
              <w:spacing w:before="126" w:line="221" w:lineRule="auto"/>
              <w:ind w:left="35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六、暗挖工程</w:t>
            </w:r>
          </w:p>
        </w:tc>
        <w:tc>
          <w:tcPr>
            <w:tcW w:w="1294" w:type="dxa"/>
            <w:vAlign w:val="top"/>
          </w:tcPr>
          <w:p w14:paraId="096738AD">
            <w:pPr>
              <w:keepNext w:val="0"/>
              <w:keepLines w:val="0"/>
              <w:pageBreakBefore w:val="0"/>
              <w:wordWrap w:val="0"/>
              <w:overflowPunct/>
              <w:topLinePunct w:val="0"/>
              <w:bidi w:val="0"/>
              <w:spacing w:before="126"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62FCEA97">
            <w:pPr>
              <w:keepNext w:val="0"/>
              <w:keepLines w:val="0"/>
              <w:pageBreakBefore w:val="0"/>
              <w:wordWrap w:val="0"/>
              <w:overflowPunct/>
              <w:topLinePunct w:val="0"/>
              <w:bidi w:val="0"/>
              <w:spacing w:before="126"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5EFB7B18">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50D5B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DD12E32">
            <w:pPr>
              <w:keepNext w:val="0"/>
              <w:keepLines w:val="0"/>
              <w:pageBreakBefore w:val="0"/>
              <w:wordWrap w:val="0"/>
              <w:overflowPunct/>
              <w:topLinePunct w:val="0"/>
              <w:bidi w:val="0"/>
              <w:spacing w:before="128" w:line="328" w:lineRule="auto"/>
              <w:ind w:left="119" w:right="168" w:hanging="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采用矿山法、盾构法、顶管法施工的隧道、洞 室工程。</w:t>
            </w:r>
          </w:p>
        </w:tc>
        <w:tc>
          <w:tcPr>
            <w:tcW w:w="1294" w:type="dxa"/>
            <w:vAlign w:val="top"/>
          </w:tcPr>
          <w:p w14:paraId="41A2393E">
            <w:pPr>
              <w:pStyle w:val="27"/>
              <w:keepNext w:val="0"/>
              <w:keepLines w:val="0"/>
              <w:pageBreakBefore w:val="0"/>
              <w:wordWrap w:val="0"/>
              <w:overflowPunct/>
              <w:topLinePunct w:val="0"/>
              <w:bidi w:val="0"/>
              <w:spacing w:line="294"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183CE4F">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2B4F68CC">
            <w:pPr>
              <w:pStyle w:val="27"/>
              <w:keepNext w:val="0"/>
              <w:keepLines w:val="0"/>
              <w:pageBreakBefore w:val="0"/>
              <w:wordWrap w:val="0"/>
              <w:overflowPunct/>
              <w:topLinePunct w:val="0"/>
              <w:bidi w:val="0"/>
              <w:spacing w:line="294"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E79BD64">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A19A2ED">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5B294F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FE7E493">
            <w:pPr>
              <w:keepNext w:val="0"/>
              <w:keepLines w:val="0"/>
              <w:pageBreakBefore w:val="0"/>
              <w:wordWrap w:val="0"/>
              <w:overflowPunct/>
              <w:topLinePunct w:val="0"/>
              <w:bidi w:val="0"/>
              <w:spacing w:before="129" w:line="222" w:lineRule="auto"/>
              <w:ind w:left="11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七、其它</w:t>
            </w:r>
          </w:p>
        </w:tc>
        <w:tc>
          <w:tcPr>
            <w:tcW w:w="1294" w:type="dxa"/>
            <w:vAlign w:val="top"/>
          </w:tcPr>
          <w:p w14:paraId="277DB7A9">
            <w:pPr>
              <w:keepNext w:val="0"/>
              <w:keepLines w:val="0"/>
              <w:pageBreakBefore w:val="0"/>
              <w:wordWrap w:val="0"/>
              <w:overflowPunct/>
              <w:topLinePunct w:val="0"/>
              <w:bidi w:val="0"/>
              <w:spacing w:before="129"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45BBDAB4">
            <w:pPr>
              <w:keepNext w:val="0"/>
              <w:keepLines w:val="0"/>
              <w:pageBreakBefore w:val="0"/>
              <w:wordWrap w:val="0"/>
              <w:overflowPunct/>
              <w:topLinePunct w:val="0"/>
              <w:bidi w:val="0"/>
              <w:spacing w:before="129"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9140078">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87065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247EBC8">
            <w:pPr>
              <w:keepNext w:val="0"/>
              <w:keepLines w:val="0"/>
              <w:pageBreakBefore w:val="0"/>
              <w:wordWrap w:val="0"/>
              <w:overflowPunct/>
              <w:topLinePunct w:val="0"/>
              <w:bidi w:val="0"/>
              <w:spacing w:before="128" w:line="219"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（一）建筑幕墙安装工程。</w:t>
            </w:r>
          </w:p>
        </w:tc>
        <w:tc>
          <w:tcPr>
            <w:tcW w:w="1294" w:type="dxa"/>
            <w:vAlign w:val="top"/>
          </w:tcPr>
          <w:p w14:paraId="594F7240">
            <w:pPr>
              <w:keepNext w:val="0"/>
              <w:keepLines w:val="0"/>
              <w:pageBreakBefore w:val="0"/>
              <w:wordWrap w:val="0"/>
              <w:overflowPunct/>
              <w:topLinePunct w:val="0"/>
              <w:bidi w:val="0"/>
              <w:spacing w:before="127"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63358343">
            <w:pPr>
              <w:keepNext w:val="0"/>
              <w:keepLines w:val="0"/>
              <w:pageBreakBefore w:val="0"/>
              <w:wordWrap w:val="0"/>
              <w:overflowPunct/>
              <w:topLinePunct w:val="0"/>
              <w:bidi w:val="0"/>
              <w:spacing w:before="127"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1A6B694E">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0834B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6116876">
            <w:pPr>
              <w:keepNext w:val="0"/>
              <w:keepLines w:val="0"/>
              <w:pageBreakBefore w:val="0"/>
              <w:wordWrap w:val="0"/>
              <w:overflowPunct/>
              <w:topLinePunct w:val="0"/>
              <w:bidi w:val="0"/>
              <w:spacing w:before="128" w:line="221"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（二）钢结构、网架和索膜结构安装工程。</w:t>
            </w:r>
          </w:p>
        </w:tc>
        <w:tc>
          <w:tcPr>
            <w:tcW w:w="1294" w:type="dxa"/>
            <w:vAlign w:val="top"/>
          </w:tcPr>
          <w:p w14:paraId="571DD0F6">
            <w:pPr>
              <w:keepNext w:val="0"/>
              <w:keepLines w:val="0"/>
              <w:pageBreakBefore w:val="0"/>
              <w:wordWrap w:val="0"/>
              <w:overflowPunct/>
              <w:topLinePunct w:val="0"/>
              <w:bidi w:val="0"/>
              <w:spacing w:before="12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7B1AA7CA">
            <w:pPr>
              <w:keepNext w:val="0"/>
              <w:keepLines w:val="0"/>
              <w:pageBreakBefore w:val="0"/>
              <w:wordWrap w:val="0"/>
              <w:overflowPunct/>
              <w:topLinePunct w:val="0"/>
              <w:bidi w:val="0"/>
              <w:spacing w:before="12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56810C91">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E9BE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0279A1D">
            <w:pPr>
              <w:keepNext w:val="0"/>
              <w:keepLines w:val="0"/>
              <w:pageBreakBefore w:val="0"/>
              <w:wordWrap w:val="0"/>
              <w:overflowPunct/>
              <w:topLinePunct w:val="0"/>
              <w:bidi w:val="0"/>
              <w:spacing w:before="128" w:line="220"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（三）人工挖孔桩工程。</w:t>
            </w:r>
          </w:p>
        </w:tc>
        <w:tc>
          <w:tcPr>
            <w:tcW w:w="1294" w:type="dxa"/>
            <w:vAlign w:val="top"/>
          </w:tcPr>
          <w:p w14:paraId="68A4C3FD">
            <w:pPr>
              <w:keepNext w:val="0"/>
              <w:keepLines w:val="0"/>
              <w:pageBreakBefore w:val="0"/>
              <w:wordWrap w:val="0"/>
              <w:overflowPunct/>
              <w:topLinePunct w:val="0"/>
              <w:bidi w:val="0"/>
              <w:spacing w:before="12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0D9EDFFA">
            <w:pPr>
              <w:keepNext w:val="0"/>
              <w:keepLines w:val="0"/>
              <w:pageBreakBefore w:val="0"/>
              <w:wordWrap w:val="0"/>
              <w:overflowPunct/>
              <w:topLinePunct w:val="0"/>
              <w:bidi w:val="0"/>
              <w:spacing w:before="12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628B0F19">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81731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7968F35">
            <w:pPr>
              <w:keepNext w:val="0"/>
              <w:keepLines w:val="0"/>
              <w:pageBreakBefore w:val="0"/>
              <w:wordWrap w:val="0"/>
              <w:overflowPunct/>
              <w:topLinePunct w:val="0"/>
              <w:bidi w:val="0"/>
              <w:spacing w:before="129" w:line="220"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（四）水下作业工程。</w:t>
            </w:r>
          </w:p>
        </w:tc>
        <w:tc>
          <w:tcPr>
            <w:tcW w:w="1294" w:type="dxa"/>
            <w:vAlign w:val="top"/>
          </w:tcPr>
          <w:p w14:paraId="5BBFC845">
            <w:pPr>
              <w:keepNext w:val="0"/>
              <w:keepLines w:val="0"/>
              <w:pageBreakBefore w:val="0"/>
              <w:wordWrap w:val="0"/>
              <w:overflowPunct/>
              <w:topLinePunct w:val="0"/>
              <w:bidi w:val="0"/>
              <w:spacing w:before="129"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211E41E3">
            <w:pPr>
              <w:keepNext w:val="0"/>
              <w:keepLines w:val="0"/>
              <w:pageBreakBefore w:val="0"/>
              <w:wordWrap w:val="0"/>
              <w:overflowPunct/>
              <w:topLinePunct w:val="0"/>
              <w:bidi w:val="0"/>
              <w:spacing w:before="129"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287899C">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CE425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E2EB51E">
            <w:pPr>
              <w:keepNext w:val="0"/>
              <w:keepLines w:val="0"/>
              <w:pageBreakBefore w:val="0"/>
              <w:wordWrap w:val="0"/>
              <w:overflowPunct/>
              <w:topLinePunct w:val="0"/>
              <w:bidi w:val="0"/>
              <w:spacing w:before="129" w:line="220"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（五）装配式建筑混凝土预制构件安装工程。</w:t>
            </w:r>
          </w:p>
        </w:tc>
        <w:tc>
          <w:tcPr>
            <w:tcW w:w="1294" w:type="dxa"/>
            <w:vAlign w:val="top"/>
          </w:tcPr>
          <w:p w14:paraId="0335193E">
            <w:pPr>
              <w:keepNext w:val="0"/>
              <w:keepLines w:val="0"/>
              <w:pageBreakBefore w:val="0"/>
              <w:wordWrap w:val="0"/>
              <w:overflowPunct/>
              <w:topLinePunct w:val="0"/>
              <w:bidi w:val="0"/>
              <w:spacing w:before="129"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288C26DB">
            <w:pPr>
              <w:keepNext w:val="0"/>
              <w:keepLines w:val="0"/>
              <w:pageBreakBefore w:val="0"/>
              <w:wordWrap w:val="0"/>
              <w:overflowPunct/>
              <w:topLinePunct w:val="0"/>
              <w:bidi w:val="0"/>
              <w:spacing w:before="129"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0AE26D27">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0BACE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242918A5">
            <w:pPr>
              <w:keepNext w:val="0"/>
              <w:keepLines w:val="0"/>
              <w:pageBreakBefore w:val="0"/>
              <w:wordWrap w:val="0"/>
              <w:overflowPunct/>
              <w:topLinePunct w:val="0"/>
              <w:bidi w:val="0"/>
              <w:spacing w:before="129" w:line="345" w:lineRule="auto"/>
              <w:ind w:left="117" w:right="168" w:firstLine="1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（六）采用新技术、新工艺、新材料、新设备 可能影响工程施工安全，尚无国家、行业及地 方技术标准的分部分项工程。</w:t>
            </w:r>
          </w:p>
        </w:tc>
        <w:tc>
          <w:tcPr>
            <w:tcW w:w="1294" w:type="dxa"/>
            <w:vAlign w:val="top"/>
          </w:tcPr>
          <w:p w14:paraId="496F222B">
            <w:pPr>
              <w:pStyle w:val="27"/>
              <w:keepNext w:val="0"/>
              <w:keepLines w:val="0"/>
              <w:pageBreakBefore w:val="0"/>
              <w:wordWrap w:val="0"/>
              <w:overflowPunct/>
              <w:topLinePunct w:val="0"/>
              <w:bidi w:val="0"/>
              <w:spacing w:line="270"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BE76F41">
            <w:pPr>
              <w:pStyle w:val="27"/>
              <w:keepNext w:val="0"/>
              <w:keepLines w:val="0"/>
              <w:pageBreakBefore w:val="0"/>
              <w:wordWrap w:val="0"/>
              <w:overflowPunct/>
              <w:topLinePunct w:val="0"/>
              <w:bidi w:val="0"/>
              <w:spacing w:line="271"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39AC87B">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82C1EFD">
            <w:pPr>
              <w:pStyle w:val="27"/>
              <w:keepNext w:val="0"/>
              <w:keepLines w:val="0"/>
              <w:pageBreakBefore w:val="0"/>
              <w:wordWrap w:val="0"/>
              <w:overflowPunct/>
              <w:topLinePunct w:val="0"/>
              <w:bidi w:val="0"/>
              <w:spacing w:line="270"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7FBE4FE4">
            <w:pPr>
              <w:pStyle w:val="27"/>
              <w:keepNext w:val="0"/>
              <w:keepLines w:val="0"/>
              <w:pageBreakBefore w:val="0"/>
              <w:wordWrap w:val="0"/>
              <w:overflowPunct/>
              <w:topLinePunct w:val="0"/>
              <w:bidi w:val="0"/>
              <w:spacing w:line="271"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32EE85F">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0D9EE8AB">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13E82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264981E">
            <w:pPr>
              <w:keepNext w:val="0"/>
              <w:keepLines w:val="0"/>
              <w:pageBreakBefore w:val="0"/>
              <w:wordWrap w:val="0"/>
              <w:overflowPunct/>
              <w:topLinePunct w:val="0"/>
              <w:bidi w:val="0"/>
              <w:spacing w:before="129" w:line="328" w:lineRule="auto"/>
              <w:ind w:left="115" w:right="108" w:firstLine="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二、超过一定规模的危险性较大的分部分项工程清单</w:t>
            </w:r>
          </w:p>
        </w:tc>
        <w:tc>
          <w:tcPr>
            <w:tcW w:w="1294" w:type="dxa"/>
            <w:vAlign w:val="top"/>
          </w:tcPr>
          <w:p w14:paraId="52EDDCE6">
            <w:pPr>
              <w:pStyle w:val="27"/>
              <w:keepNext w:val="0"/>
              <w:keepLines w:val="0"/>
              <w:pageBreakBefore w:val="0"/>
              <w:wordWrap w:val="0"/>
              <w:overflowPunct/>
              <w:topLinePunct w:val="0"/>
              <w:bidi w:val="0"/>
              <w:spacing w:line="29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5015D35">
            <w:pPr>
              <w:keepNext w:val="0"/>
              <w:keepLines w:val="0"/>
              <w:pageBreakBefore w:val="0"/>
              <w:wordWrap w:val="0"/>
              <w:overflowPunct/>
              <w:topLinePunct w:val="0"/>
              <w:bidi w:val="0"/>
              <w:spacing w:before="78" w:line="221" w:lineRule="auto"/>
              <w:ind w:left="20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建设单位</w:t>
            </w:r>
          </w:p>
        </w:tc>
        <w:tc>
          <w:tcPr>
            <w:tcW w:w="1294" w:type="dxa"/>
            <w:vAlign w:val="top"/>
          </w:tcPr>
          <w:p w14:paraId="7D2CDEE2">
            <w:pPr>
              <w:pStyle w:val="27"/>
              <w:keepNext w:val="0"/>
              <w:keepLines w:val="0"/>
              <w:pageBreakBefore w:val="0"/>
              <w:wordWrap w:val="0"/>
              <w:overflowPunct/>
              <w:topLinePunct w:val="0"/>
              <w:bidi w:val="0"/>
              <w:spacing w:line="29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9D2C904">
            <w:pPr>
              <w:keepNext w:val="0"/>
              <w:keepLines w:val="0"/>
              <w:pageBreakBefore w:val="0"/>
              <w:wordWrap w:val="0"/>
              <w:overflowPunct/>
              <w:topLinePunct w:val="0"/>
              <w:bidi w:val="0"/>
              <w:spacing w:before="78" w:line="221" w:lineRule="auto"/>
              <w:ind w:left="11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投标单位</w:t>
            </w:r>
          </w:p>
        </w:tc>
        <w:tc>
          <w:tcPr>
            <w:tcW w:w="2428" w:type="dxa"/>
            <w:vAlign w:val="top"/>
          </w:tcPr>
          <w:p w14:paraId="0E9BBCA9">
            <w:pPr>
              <w:pStyle w:val="27"/>
              <w:keepNext w:val="0"/>
              <w:keepLines w:val="0"/>
              <w:pageBreakBefore w:val="0"/>
              <w:wordWrap w:val="0"/>
              <w:overflowPunct/>
              <w:topLinePunct w:val="0"/>
              <w:bidi w:val="0"/>
              <w:spacing w:line="29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562A97E9">
            <w:pPr>
              <w:keepNext w:val="0"/>
              <w:keepLines w:val="0"/>
              <w:pageBreakBefore w:val="0"/>
              <w:wordWrap w:val="0"/>
              <w:overflowPunct/>
              <w:topLinePunct w:val="0"/>
              <w:bidi w:val="0"/>
              <w:spacing w:before="78" w:line="222" w:lineRule="auto"/>
              <w:ind w:left="3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备注</w:t>
            </w:r>
          </w:p>
        </w:tc>
      </w:tr>
      <w:tr w14:paraId="093837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2FC6A74">
            <w:pPr>
              <w:keepNext w:val="0"/>
              <w:keepLines w:val="0"/>
              <w:pageBreakBefore w:val="0"/>
              <w:wordWrap w:val="0"/>
              <w:overflowPunct/>
              <w:topLinePunct w:val="0"/>
              <w:bidi w:val="0"/>
              <w:spacing w:before="129" w:line="221" w:lineRule="auto"/>
              <w:ind w:left="12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一、深基坑工程</w:t>
            </w:r>
          </w:p>
        </w:tc>
        <w:tc>
          <w:tcPr>
            <w:tcW w:w="1294" w:type="dxa"/>
            <w:vAlign w:val="top"/>
          </w:tcPr>
          <w:p w14:paraId="0FD5C757">
            <w:pPr>
              <w:keepNext w:val="0"/>
              <w:keepLines w:val="0"/>
              <w:pageBreakBefore w:val="0"/>
              <w:wordWrap w:val="0"/>
              <w:overflowPunct/>
              <w:topLinePunct w:val="0"/>
              <w:bidi w:val="0"/>
              <w:spacing w:before="129" w:line="223" w:lineRule="auto"/>
              <w:ind w:left="3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15D0C9B">
            <w:pPr>
              <w:keepNext w:val="0"/>
              <w:keepLines w:val="0"/>
              <w:pageBreakBefore w:val="0"/>
              <w:wordWrap w:val="0"/>
              <w:overflowPunct/>
              <w:topLinePunct w:val="0"/>
              <w:bidi w:val="0"/>
              <w:spacing w:before="129"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1CBB58B3">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3503D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045EE0E">
            <w:pPr>
              <w:keepNext w:val="0"/>
              <w:keepLines w:val="0"/>
              <w:pageBreakBefore w:val="0"/>
              <w:wordWrap w:val="0"/>
              <w:overflowPunct/>
              <w:topLinePunct w:val="0"/>
              <w:bidi w:val="0"/>
              <w:spacing w:before="131" w:line="327" w:lineRule="auto"/>
              <w:ind w:left="117" w:right="1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开挖深度超过 5m（含 5m）的基坑（槽）的土方 开挖、支护、降水工程。</w:t>
            </w:r>
          </w:p>
        </w:tc>
        <w:tc>
          <w:tcPr>
            <w:tcW w:w="1294" w:type="dxa"/>
            <w:vAlign w:val="top"/>
          </w:tcPr>
          <w:p w14:paraId="507AE1DC">
            <w:pPr>
              <w:pStyle w:val="27"/>
              <w:keepNext w:val="0"/>
              <w:keepLines w:val="0"/>
              <w:pageBreakBefore w:val="0"/>
              <w:wordWrap w:val="0"/>
              <w:overflowPunct/>
              <w:topLinePunct w:val="0"/>
              <w:bidi w:val="0"/>
              <w:spacing w:line="29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F469623">
            <w:pPr>
              <w:keepNext w:val="0"/>
              <w:keepLines w:val="0"/>
              <w:pageBreakBefore w:val="0"/>
              <w:wordWrap w:val="0"/>
              <w:overflowPunct/>
              <w:topLinePunct w:val="0"/>
              <w:bidi w:val="0"/>
              <w:spacing w:before="78" w:line="223" w:lineRule="auto"/>
              <w:ind w:left="3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021BD327">
            <w:pPr>
              <w:pStyle w:val="27"/>
              <w:keepNext w:val="0"/>
              <w:keepLines w:val="0"/>
              <w:pageBreakBefore w:val="0"/>
              <w:wordWrap w:val="0"/>
              <w:overflowPunct/>
              <w:topLinePunct w:val="0"/>
              <w:bidi w:val="0"/>
              <w:spacing w:line="29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51AD1680">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5FCDD85F">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328A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627481A">
            <w:pPr>
              <w:keepNext w:val="0"/>
              <w:keepLines w:val="0"/>
              <w:pageBreakBefore w:val="0"/>
              <w:wordWrap w:val="0"/>
              <w:overflowPunct/>
              <w:topLinePunct w:val="0"/>
              <w:bidi w:val="0"/>
              <w:spacing w:before="130" w:line="219" w:lineRule="auto"/>
              <w:ind w:left="12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二、模板工程及支撑体系</w:t>
            </w:r>
          </w:p>
        </w:tc>
        <w:tc>
          <w:tcPr>
            <w:tcW w:w="1294" w:type="dxa"/>
            <w:vAlign w:val="top"/>
          </w:tcPr>
          <w:p w14:paraId="4297BDAC">
            <w:pPr>
              <w:keepNext w:val="0"/>
              <w:keepLines w:val="0"/>
              <w:pageBreakBefore w:val="0"/>
              <w:wordWrap w:val="0"/>
              <w:overflowPunct/>
              <w:topLinePunct w:val="0"/>
              <w:bidi w:val="0"/>
              <w:spacing w:before="129" w:line="223" w:lineRule="auto"/>
              <w:ind w:left="3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1E5FCAEB">
            <w:pPr>
              <w:keepNext w:val="0"/>
              <w:keepLines w:val="0"/>
              <w:pageBreakBefore w:val="0"/>
              <w:wordWrap w:val="0"/>
              <w:overflowPunct/>
              <w:topLinePunct w:val="0"/>
              <w:bidi w:val="0"/>
              <w:spacing w:before="129"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63E9C002">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1D0BB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2D300C9C">
            <w:pPr>
              <w:keepNext w:val="0"/>
              <w:keepLines w:val="0"/>
              <w:pageBreakBefore w:val="0"/>
              <w:wordWrap w:val="0"/>
              <w:overflowPunct/>
              <w:topLinePunct w:val="0"/>
              <w:bidi w:val="0"/>
              <w:spacing w:before="130" w:line="327" w:lineRule="auto"/>
              <w:ind w:left="123" w:right="25" w:firstLine="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（一）各类工具式模板工程：包括滑模、爬模、 飞模、隧道模等工程。</w:t>
            </w:r>
          </w:p>
        </w:tc>
        <w:tc>
          <w:tcPr>
            <w:tcW w:w="1294" w:type="dxa"/>
            <w:vAlign w:val="top"/>
          </w:tcPr>
          <w:p w14:paraId="01D661E1">
            <w:pPr>
              <w:pStyle w:val="27"/>
              <w:keepNext w:val="0"/>
              <w:keepLines w:val="0"/>
              <w:pageBreakBefore w:val="0"/>
              <w:wordWrap w:val="0"/>
              <w:overflowPunct/>
              <w:topLinePunct w:val="0"/>
              <w:bidi w:val="0"/>
              <w:spacing w:line="294"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DDA3CCD">
            <w:pPr>
              <w:keepNext w:val="0"/>
              <w:keepLines w:val="0"/>
              <w:pageBreakBefore w:val="0"/>
              <w:wordWrap w:val="0"/>
              <w:overflowPunct/>
              <w:topLinePunct w:val="0"/>
              <w:bidi w:val="0"/>
              <w:spacing w:before="78" w:line="223" w:lineRule="auto"/>
              <w:ind w:left="3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44A02DEB">
            <w:pPr>
              <w:pStyle w:val="27"/>
              <w:keepNext w:val="0"/>
              <w:keepLines w:val="0"/>
              <w:pageBreakBefore w:val="0"/>
              <w:wordWrap w:val="0"/>
              <w:overflowPunct/>
              <w:topLinePunct w:val="0"/>
              <w:bidi w:val="0"/>
              <w:spacing w:line="294"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514A516E">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E381ED2">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5FC89D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92E50BC">
            <w:pPr>
              <w:keepNext w:val="0"/>
              <w:keepLines w:val="0"/>
              <w:pageBreakBefore w:val="0"/>
              <w:wordWrap w:val="0"/>
              <w:overflowPunct/>
              <w:topLinePunct w:val="0"/>
              <w:bidi w:val="0"/>
              <w:spacing w:before="132" w:line="353" w:lineRule="auto"/>
              <w:ind w:left="116" w:right="6" w:firstLine="11"/>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（二）混凝土模板支撑工程：搭设高度8m 及以 上，或搭设跨度 18m 及以上，或施工总荷载（设计值）15kN/m2 及以上，或集中线荷载（设计值） 20kN/m 及以上。</w:t>
            </w:r>
          </w:p>
        </w:tc>
        <w:tc>
          <w:tcPr>
            <w:tcW w:w="1294" w:type="dxa"/>
            <w:vAlign w:val="top"/>
          </w:tcPr>
          <w:p w14:paraId="6C626011">
            <w:pPr>
              <w:pStyle w:val="27"/>
              <w:keepNext w:val="0"/>
              <w:keepLines w:val="0"/>
              <w:pageBreakBefore w:val="0"/>
              <w:wordWrap w:val="0"/>
              <w:overflowPunct/>
              <w:topLinePunct w:val="0"/>
              <w:bidi w:val="0"/>
              <w:spacing w:line="26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3B16BE2">
            <w:pPr>
              <w:pStyle w:val="27"/>
              <w:keepNext w:val="0"/>
              <w:keepLines w:val="0"/>
              <w:pageBreakBefore w:val="0"/>
              <w:wordWrap w:val="0"/>
              <w:overflowPunct/>
              <w:topLinePunct w:val="0"/>
              <w:bidi w:val="0"/>
              <w:spacing w:line="263"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DC2A742">
            <w:pPr>
              <w:pStyle w:val="27"/>
              <w:keepNext w:val="0"/>
              <w:keepLines w:val="0"/>
              <w:pageBreakBefore w:val="0"/>
              <w:wordWrap w:val="0"/>
              <w:overflowPunct/>
              <w:topLinePunct w:val="0"/>
              <w:bidi w:val="0"/>
              <w:spacing w:line="263"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401A348">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7D4918F3">
            <w:pPr>
              <w:pStyle w:val="27"/>
              <w:keepNext w:val="0"/>
              <w:keepLines w:val="0"/>
              <w:pageBreakBefore w:val="0"/>
              <w:wordWrap w:val="0"/>
              <w:overflowPunct/>
              <w:topLinePunct w:val="0"/>
              <w:bidi w:val="0"/>
              <w:spacing w:line="26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2A75233">
            <w:pPr>
              <w:pStyle w:val="27"/>
              <w:keepNext w:val="0"/>
              <w:keepLines w:val="0"/>
              <w:pageBreakBefore w:val="0"/>
              <w:wordWrap w:val="0"/>
              <w:overflowPunct/>
              <w:topLinePunct w:val="0"/>
              <w:bidi w:val="0"/>
              <w:spacing w:line="263"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835FC2C">
            <w:pPr>
              <w:pStyle w:val="27"/>
              <w:keepNext w:val="0"/>
              <w:keepLines w:val="0"/>
              <w:pageBreakBefore w:val="0"/>
              <w:wordWrap w:val="0"/>
              <w:overflowPunct/>
              <w:topLinePunct w:val="0"/>
              <w:bidi w:val="0"/>
              <w:spacing w:line="263"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65FF7AF">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7B509C14">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18BD5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 w:hRule="atLeast"/>
          <w:jc w:val="center"/>
        </w:trPr>
        <w:tc>
          <w:tcPr>
            <w:tcW w:w="4864" w:type="dxa"/>
            <w:gridSpan w:val="2"/>
            <w:vAlign w:val="top"/>
          </w:tcPr>
          <w:p w14:paraId="49E32F9C">
            <w:pPr>
              <w:keepNext w:val="0"/>
              <w:keepLines w:val="0"/>
              <w:pageBreakBefore w:val="0"/>
              <w:wordWrap w:val="0"/>
              <w:overflowPunct/>
              <w:topLinePunct w:val="0"/>
              <w:bidi w:val="0"/>
              <w:spacing w:before="131" w:line="220"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（三）承重支撑体系：用于钢结构安装等满堂</w:t>
            </w:r>
          </w:p>
          <w:p w14:paraId="78F9700A">
            <w:pPr>
              <w:keepNext w:val="0"/>
              <w:keepLines w:val="0"/>
              <w:pageBreakBefore w:val="0"/>
              <w:wordWrap w:val="0"/>
              <w:overflowPunct/>
              <w:topLinePunct w:val="0"/>
              <w:bidi w:val="0"/>
              <w:spacing w:before="131" w:line="220" w:lineRule="auto"/>
              <w:ind w:left="11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支撑体系，承受单点集中荷载 7kN 及以上。</w:t>
            </w:r>
          </w:p>
        </w:tc>
        <w:tc>
          <w:tcPr>
            <w:tcW w:w="1294" w:type="dxa"/>
            <w:vAlign w:val="top"/>
          </w:tcPr>
          <w:p w14:paraId="553E2DF0">
            <w:pPr>
              <w:keepNext w:val="0"/>
              <w:keepLines w:val="0"/>
              <w:pageBreakBefore w:val="0"/>
              <w:wordWrap w:val="0"/>
              <w:overflowPunct/>
              <w:topLinePunct w:val="0"/>
              <w:bidi w:val="0"/>
              <w:spacing w:before="131"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1C72B68A">
            <w:pPr>
              <w:keepNext w:val="0"/>
              <w:keepLines w:val="0"/>
              <w:pageBreakBefore w:val="0"/>
              <w:wordWrap w:val="0"/>
              <w:overflowPunct/>
              <w:topLinePunct w:val="0"/>
              <w:bidi w:val="0"/>
              <w:spacing w:before="131"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1BCEDFE2">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2615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543B4A7F">
            <w:pPr>
              <w:keepNext w:val="0"/>
              <w:keepLines w:val="0"/>
              <w:pageBreakBefore w:val="0"/>
              <w:wordWrap w:val="0"/>
              <w:overflowPunct/>
              <w:topLinePunct w:val="0"/>
              <w:bidi w:val="0"/>
              <w:spacing w:before="128" w:line="219" w:lineRule="auto"/>
              <w:ind w:left="3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三、起重吊装及起重机械安装拆卸工程</w:t>
            </w:r>
          </w:p>
        </w:tc>
        <w:tc>
          <w:tcPr>
            <w:tcW w:w="1294" w:type="dxa"/>
            <w:vAlign w:val="top"/>
          </w:tcPr>
          <w:p w14:paraId="7C46839F">
            <w:pPr>
              <w:keepNext w:val="0"/>
              <w:keepLines w:val="0"/>
              <w:pageBreakBefore w:val="0"/>
              <w:wordWrap w:val="0"/>
              <w:overflowPunct/>
              <w:topLinePunct w:val="0"/>
              <w:bidi w:val="0"/>
              <w:spacing w:before="127" w:line="223" w:lineRule="auto"/>
              <w:ind w:left="42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1E954BA4">
            <w:pPr>
              <w:keepNext w:val="0"/>
              <w:keepLines w:val="0"/>
              <w:pageBreakBefore w:val="0"/>
              <w:wordWrap w:val="0"/>
              <w:overflowPunct/>
              <w:topLinePunct w:val="0"/>
              <w:bidi w:val="0"/>
              <w:spacing w:before="127"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3BEF426E">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8715D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8715B81">
            <w:pPr>
              <w:keepNext w:val="0"/>
              <w:keepLines w:val="0"/>
              <w:pageBreakBefore w:val="0"/>
              <w:wordWrap w:val="0"/>
              <w:overflowPunct/>
              <w:topLinePunct w:val="0"/>
              <w:bidi w:val="0"/>
              <w:spacing w:before="129" w:line="328" w:lineRule="auto"/>
              <w:ind w:left="144" w:right="168" w:hanging="1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（一）采用非常规起重设备、方法，且单件起 吊重量在 100kN 及以上的起重吊装工程。</w:t>
            </w:r>
          </w:p>
        </w:tc>
        <w:tc>
          <w:tcPr>
            <w:tcW w:w="1294" w:type="dxa"/>
            <w:vAlign w:val="top"/>
          </w:tcPr>
          <w:p w14:paraId="62176862">
            <w:pPr>
              <w:pStyle w:val="27"/>
              <w:keepNext w:val="0"/>
              <w:keepLines w:val="0"/>
              <w:pageBreakBefore w:val="0"/>
              <w:wordWrap w:val="0"/>
              <w:overflowPunct/>
              <w:topLinePunct w:val="0"/>
              <w:bidi w:val="0"/>
              <w:spacing w:line="29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8EFCFE9">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23FF28E">
            <w:pPr>
              <w:pStyle w:val="27"/>
              <w:keepNext w:val="0"/>
              <w:keepLines w:val="0"/>
              <w:pageBreakBefore w:val="0"/>
              <w:wordWrap w:val="0"/>
              <w:overflowPunct/>
              <w:topLinePunct w:val="0"/>
              <w:bidi w:val="0"/>
              <w:spacing w:line="29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385602F">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778E792E">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819CD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32EB0C9">
            <w:pPr>
              <w:keepNext w:val="0"/>
              <w:keepLines w:val="0"/>
              <w:pageBreakBefore w:val="0"/>
              <w:wordWrap w:val="0"/>
              <w:overflowPunct/>
              <w:topLinePunct w:val="0"/>
              <w:bidi w:val="0"/>
              <w:spacing w:before="129" w:line="345" w:lineRule="auto"/>
              <w:ind w:left="115" w:right="105" w:firstLine="1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（二）起重量 300kN 及以上，或搭设总高度 200m 及以上，或搭设基础标高在 200m 及以上的起重 机械安装和拆卸工程。</w:t>
            </w:r>
          </w:p>
        </w:tc>
        <w:tc>
          <w:tcPr>
            <w:tcW w:w="1294" w:type="dxa"/>
            <w:vAlign w:val="top"/>
          </w:tcPr>
          <w:p w14:paraId="5762D0E9">
            <w:pPr>
              <w:pStyle w:val="27"/>
              <w:keepNext w:val="0"/>
              <w:keepLines w:val="0"/>
              <w:pageBreakBefore w:val="0"/>
              <w:wordWrap w:val="0"/>
              <w:overflowPunct/>
              <w:topLinePunct w:val="0"/>
              <w:bidi w:val="0"/>
              <w:spacing w:line="270"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40C634B">
            <w:pPr>
              <w:pStyle w:val="27"/>
              <w:keepNext w:val="0"/>
              <w:keepLines w:val="0"/>
              <w:pageBreakBefore w:val="0"/>
              <w:wordWrap w:val="0"/>
              <w:overflowPunct/>
              <w:topLinePunct w:val="0"/>
              <w:bidi w:val="0"/>
              <w:spacing w:line="270"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85B83EE">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529E055E">
            <w:pPr>
              <w:pStyle w:val="27"/>
              <w:keepNext w:val="0"/>
              <w:keepLines w:val="0"/>
              <w:pageBreakBefore w:val="0"/>
              <w:wordWrap w:val="0"/>
              <w:overflowPunct/>
              <w:topLinePunct w:val="0"/>
              <w:bidi w:val="0"/>
              <w:spacing w:line="270"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92B70A0">
            <w:pPr>
              <w:pStyle w:val="27"/>
              <w:keepNext w:val="0"/>
              <w:keepLines w:val="0"/>
              <w:pageBreakBefore w:val="0"/>
              <w:wordWrap w:val="0"/>
              <w:overflowPunct/>
              <w:topLinePunct w:val="0"/>
              <w:bidi w:val="0"/>
              <w:spacing w:line="270"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6C60C1D">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47ACFA6F">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1C3B0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F30D083">
            <w:pPr>
              <w:keepNext w:val="0"/>
              <w:keepLines w:val="0"/>
              <w:pageBreakBefore w:val="0"/>
              <w:wordWrap w:val="0"/>
              <w:overflowPunct/>
              <w:topLinePunct w:val="0"/>
              <w:bidi w:val="0"/>
              <w:spacing w:before="128" w:line="219" w:lineRule="auto"/>
              <w:ind w:left="13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四、脚手架工程</w:t>
            </w:r>
          </w:p>
        </w:tc>
        <w:tc>
          <w:tcPr>
            <w:tcW w:w="1294" w:type="dxa"/>
            <w:vAlign w:val="top"/>
          </w:tcPr>
          <w:p w14:paraId="2881CCAF">
            <w:pPr>
              <w:keepNext w:val="0"/>
              <w:keepLines w:val="0"/>
              <w:pageBreakBefore w:val="0"/>
              <w:wordWrap w:val="0"/>
              <w:overflowPunct/>
              <w:topLinePunct w:val="0"/>
              <w:bidi w:val="0"/>
              <w:spacing w:before="127"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7B9B1B91">
            <w:pPr>
              <w:keepNext w:val="0"/>
              <w:keepLines w:val="0"/>
              <w:pageBreakBefore w:val="0"/>
              <w:wordWrap w:val="0"/>
              <w:overflowPunct/>
              <w:topLinePunct w:val="0"/>
              <w:bidi w:val="0"/>
              <w:spacing w:before="127"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0DC304E">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B14BB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28AA96E6">
            <w:pPr>
              <w:keepNext w:val="0"/>
              <w:keepLines w:val="0"/>
              <w:pageBreakBefore w:val="0"/>
              <w:wordWrap w:val="0"/>
              <w:overflowPunct/>
              <w:topLinePunct w:val="0"/>
              <w:bidi w:val="0"/>
              <w:spacing w:before="128" w:line="328" w:lineRule="auto"/>
              <w:ind w:left="117" w:right="168" w:firstLine="1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（一）搭设高度 50m 及以上的落地式钢管脚手 架工程。</w:t>
            </w:r>
          </w:p>
        </w:tc>
        <w:tc>
          <w:tcPr>
            <w:tcW w:w="1294" w:type="dxa"/>
            <w:vAlign w:val="top"/>
          </w:tcPr>
          <w:p w14:paraId="38CA0E74">
            <w:pPr>
              <w:pStyle w:val="27"/>
              <w:keepNext w:val="0"/>
              <w:keepLines w:val="0"/>
              <w:pageBreakBefore w:val="0"/>
              <w:wordWrap w:val="0"/>
              <w:overflowPunct/>
              <w:topLinePunct w:val="0"/>
              <w:bidi w:val="0"/>
              <w:spacing w:line="29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4F42D08">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486B799">
            <w:pPr>
              <w:pStyle w:val="27"/>
              <w:keepNext w:val="0"/>
              <w:keepLines w:val="0"/>
              <w:pageBreakBefore w:val="0"/>
              <w:wordWrap w:val="0"/>
              <w:overflowPunct/>
              <w:topLinePunct w:val="0"/>
              <w:bidi w:val="0"/>
              <w:spacing w:line="29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9F43BD7">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0DCFD441">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5FA034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DA8149A">
            <w:pPr>
              <w:keepNext w:val="0"/>
              <w:keepLines w:val="0"/>
              <w:pageBreakBefore w:val="0"/>
              <w:wordWrap w:val="0"/>
              <w:overflowPunct/>
              <w:topLinePunct w:val="0"/>
              <w:bidi w:val="0"/>
              <w:spacing w:before="131" w:line="327" w:lineRule="auto"/>
              <w:ind w:left="116" w:right="105" w:firstLine="1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（二）提升高度在 </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450</w:t>
            </w:r>
            <w:r>
              <w:rPr>
                <w:rFonts w:hint="eastAsia" w:ascii="宋体" w:hAnsi="宋体" w:eastAsia="宋体" w:cs="宋体"/>
                <w:color w:val="000000" w:themeColor="text1"/>
                <w:spacing w:val="0"/>
                <w:sz w:val="24"/>
                <w:szCs w:val="24"/>
                <w:highlight w:val="none"/>
                <w14:textFill>
                  <w14:solidFill>
                    <w14:schemeClr w14:val="tx1"/>
                  </w14:solidFill>
                </w14:textFill>
              </w:rPr>
              <w:t>m 及以上的附着式升降脚 手架工程或附着式升降操作平台工程。</w:t>
            </w:r>
          </w:p>
        </w:tc>
        <w:tc>
          <w:tcPr>
            <w:tcW w:w="1294" w:type="dxa"/>
            <w:vAlign w:val="top"/>
          </w:tcPr>
          <w:p w14:paraId="6C44A919">
            <w:pPr>
              <w:pStyle w:val="27"/>
              <w:keepNext w:val="0"/>
              <w:keepLines w:val="0"/>
              <w:pageBreakBefore w:val="0"/>
              <w:wordWrap w:val="0"/>
              <w:overflowPunct/>
              <w:topLinePunct w:val="0"/>
              <w:bidi w:val="0"/>
              <w:spacing w:line="29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5C3F305">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14626CA">
            <w:pPr>
              <w:pStyle w:val="27"/>
              <w:keepNext w:val="0"/>
              <w:keepLines w:val="0"/>
              <w:pageBreakBefore w:val="0"/>
              <w:wordWrap w:val="0"/>
              <w:overflowPunct/>
              <w:topLinePunct w:val="0"/>
              <w:bidi w:val="0"/>
              <w:spacing w:line="29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77E009AF">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6D109652">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5BD5D6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5B1E5B3D">
            <w:pPr>
              <w:keepNext w:val="0"/>
              <w:keepLines w:val="0"/>
              <w:pageBreakBefore w:val="0"/>
              <w:wordWrap w:val="0"/>
              <w:overflowPunct/>
              <w:topLinePunct w:val="0"/>
              <w:bidi w:val="0"/>
              <w:spacing w:before="129" w:line="328" w:lineRule="auto"/>
              <w:ind w:left="115" w:right="168" w:firstLine="1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（三）分段架体搭设高度 20m 及以上的悬挑式 脚手架工程。</w:t>
            </w:r>
          </w:p>
        </w:tc>
        <w:tc>
          <w:tcPr>
            <w:tcW w:w="1294" w:type="dxa"/>
            <w:vAlign w:val="top"/>
          </w:tcPr>
          <w:p w14:paraId="4AB79A12">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7005039">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4ACFD169">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F5EF920">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662CF69C">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4E8EF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C785A81">
            <w:pPr>
              <w:keepNext w:val="0"/>
              <w:keepLines w:val="0"/>
              <w:pageBreakBefore w:val="0"/>
              <w:wordWrap w:val="0"/>
              <w:overflowPunct/>
              <w:topLinePunct w:val="0"/>
              <w:bidi w:val="0"/>
              <w:spacing w:before="131" w:line="220" w:lineRule="auto"/>
              <w:ind w:left="12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五、拆除工程</w:t>
            </w:r>
          </w:p>
        </w:tc>
        <w:tc>
          <w:tcPr>
            <w:tcW w:w="1294" w:type="dxa"/>
            <w:vAlign w:val="top"/>
          </w:tcPr>
          <w:p w14:paraId="2B410AE1">
            <w:pPr>
              <w:keepNext w:val="0"/>
              <w:keepLines w:val="0"/>
              <w:pageBreakBefore w:val="0"/>
              <w:wordWrap w:val="0"/>
              <w:overflowPunct/>
              <w:topLinePunct w:val="0"/>
              <w:bidi w:val="0"/>
              <w:spacing w:before="158" w:line="223" w:lineRule="auto"/>
              <w:ind w:left="42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57B38F25">
            <w:pPr>
              <w:keepNext w:val="0"/>
              <w:keepLines w:val="0"/>
              <w:pageBreakBefore w:val="0"/>
              <w:wordWrap w:val="0"/>
              <w:overflowPunct/>
              <w:topLinePunct w:val="0"/>
              <w:bidi w:val="0"/>
              <w:spacing w:before="15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18E3645D">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31985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2D620B92">
            <w:pPr>
              <w:keepNext w:val="0"/>
              <w:keepLines w:val="0"/>
              <w:pageBreakBefore w:val="0"/>
              <w:wordWrap w:val="0"/>
              <w:overflowPunct/>
              <w:topLinePunct w:val="0"/>
              <w:bidi w:val="0"/>
              <w:spacing w:before="132" w:line="353" w:lineRule="auto"/>
              <w:ind w:left="115" w:right="168" w:firstLine="1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（一）码头、桥梁、高架、烟囱、水塔或拆除 中容易引起有毒有害气（液）体或粉尘扩散、 易燃易爆事故发生的特殊建、构筑物的拆除工 程。</w:t>
            </w:r>
          </w:p>
        </w:tc>
        <w:tc>
          <w:tcPr>
            <w:tcW w:w="1294" w:type="dxa"/>
            <w:vAlign w:val="top"/>
          </w:tcPr>
          <w:p w14:paraId="62837129">
            <w:pPr>
              <w:pStyle w:val="27"/>
              <w:keepNext w:val="0"/>
              <w:keepLines w:val="0"/>
              <w:pageBreakBefore w:val="0"/>
              <w:wordWrap w:val="0"/>
              <w:overflowPunct/>
              <w:topLinePunct w:val="0"/>
              <w:bidi w:val="0"/>
              <w:spacing w:line="26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5E2C6B65">
            <w:pPr>
              <w:pStyle w:val="27"/>
              <w:keepNext w:val="0"/>
              <w:keepLines w:val="0"/>
              <w:pageBreakBefore w:val="0"/>
              <w:wordWrap w:val="0"/>
              <w:overflowPunct/>
              <w:topLinePunct w:val="0"/>
              <w:bidi w:val="0"/>
              <w:spacing w:line="26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237685B">
            <w:pPr>
              <w:pStyle w:val="27"/>
              <w:keepNext w:val="0"/>
              <w:keepLines w:val="0"/>
              <w:pageBreakBefore w:val="0"/>
              <w:wordWrap w:val="0"/>
              <w:overflowPunct/>
              <w:topLinePunct w:val="0"/>
              <w:bidi w:val="0"/>
              <w:spacing w:line="26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5E1C9159">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42F70B0D">
            <w:pPr>
              <w:pStyle w:val="27"/>
              <w:keepNext w:val="0"/>
              <w:keepLines w:val="0"/>
              <w:pageBreakBefore w:val="0"/>
              <w:wordWrap w:val="0"/>
              <w:overflowPunct/>
              <w:topLinePunct w:val="0"/>
              <w:bidi w:val="0"/>
              <w:spacing w:line="26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459CE9C">
            <w:pPr>
              <w:pStyle w:val="27"/>
              <w:keepNext w:val="0"/>
              <w:keepLines w:val="0"/>
              <w:pageBreakBefore w:val="0"/>
              <w:wordWrap w:val="0"/>
              <w:overflowPunct/>
              <w:topLinePunct w:val="0"/>
              <w:bidi w:val="0"/>
              <w:spacing w:line="26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7D26B224">
            <w:pPr>
              <w:pStyle w:val="27"/>
              <w:keepNext w:val="0"/>
              <w:keepLines w:val="0"/>
              <w:pageBreakBefore w:val="0"/>
              <w:wordWrap w:val="0"/>
              <w:overflowPunct/>
              <w:topLinePunct w:val="0"/>
              <w:bidi w:val="0"/>
              <w:spacing w:line="26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ABE716F">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4E13D582">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7EF3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250F9E3">
            <w:pPr>
              <w:keepNext w:val="0"/>
              <w:keepLines w:val="0"/>
              <w:pageBreakBefore w:val="0"/>
              <w:wordWrap w:val="0"/>
              <w:overflowPunct/>
              <w:topLinePunct w:val="0"/>
              <w:bidi w:val="0"/>
              <w:spacing w:before="131" w:line="327" w:lineRule="auto"/>
              <w:ind w:left="117" w:right="168" w:firstLine="1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（二）文物保护建筑、优秀历史建筑或历史文 化风貌区影响范围内的拆除工程。</w:t>
            </w:r>
          </w:p>
        </w:tc>
        <w:tc>
          <w:tcPr>
            <w:tcW w:w="1294" w:type="dxa"/>
            <w:vAlign w:val="top"/>
          </w:tcPr>
          <w:p w14:paraId="1D4EC9B1">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3A03CFE">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02888C22">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B856F29">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43226493">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AB334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FB23701">
            <w:pPr>
              <w:keepNext w:val="0"/>
              <w:keepLines w:val="0"/>
              <w:pageBreakBefore w:val="0"/>
              <w:wordWrap w:val="0"/>
              <w:overflowPunct/>
              <w:topLinePunct w:val="0"/>
              <w:bidi w:val="0"/>
              <w:spacing w:before="131" w:line="221" w:lineRule="auto"/>
              <w:ind w:left="11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六、暗挖工程</w:t>
            </w:r>
          </w:p>
        </w:tc>
        <w:tc>
          <w:tcPr>
            <w:tcW w:w="1294" w:type="dxa"/>
            <w:vAlign w:val="top"/>
          </w:tcPr>
          <w:p w14:paraId="3B13018B">
            <w:pPr>
              <w:keepNext w:val="0"/>
              <w:keepLines w:val="0"/>
              <w:pageBreakBefore w:val="0"/>
              <w:wordWrap w:val="0"/>
              <w:overflowPunct/>
              <w:topLinePunct w:val="0"/>
              <w:bidi w:val="0"/>
              <w:spacing w:before="140"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51E32A96">
            <w:pPr>
              <w:keepNext w:val="0"/>
              <w:keepLines w:val="0"/>
              <w:pageBreakBefore w:val="0"/>
              <w:wordWrap w:val="0"/>
              <w:overflowPunct/>
              <w:topLinePunct w:val="0"/>
              <w:bidi w:val="0"/>
              <w:spacing w:before="140"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BEFE76D">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5277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C421DB8">
            <w:pPr>
              <w:keepNext w:val="0"/>
              <w:keepLines w:val="0"/>
              <w:pageBreakBefore w:val="0"/>
              <w:wordWrap w:val="0"/>
              <w:overflowPunct/>
              <w:topLinePunct w:val="0"/>
              <w:bidi w:val="0"/>
              <w:spacing w:before="131" w:line="327" w:lineRule="auto"/>
              <w:ind w:left="119" w:right="168" w:hanging="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采用矿山法、盾构法、顶管法施工的隧道、洞 室工程。</w:t>
            </w:r>
          </w:p>
        </w:tc>
        <w:tc>
          <w:tcPr>
            <w:tcW w:w="1294" w:type="dxa"/>
            <w:vAlign w:val="top"/>
          </w:tcPr>
          <w:p w14:paraId="2955C1FF">
            <w:pPr>
              <w:pStyle w:val="27"/>
              <w:keepNext w:val="0"/>
              <w:keepLines w:val="0"/>
              <w:pageBreakBefore w:val="0"/>
              <w:wordWrap w:val="0"/>
              <w:overflowPunct/>
              <w:topLinePunct w:val="0"/>
              <w:bidi w:val="0"/>
              <w:spacing w:line="298"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C4C9825">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37FC5FC">
            <w:pPr>
              <w:pStyle w:val="27"/>
              <w:keepNext w:val="0"/>
              <w:keepLines w:val="0"/>
              <w:pageBreakBefore w:val="0"/>
              <w:wordWrap w:val="0"/>
              <w:overflowPunct/>
              <w:topLinePunct w:val="0"/>
              <w:bidi w:val="0"/>
              <w:spacing w:line="298"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7873351B">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0739747C">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3CBEE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F3B8926">
            <w:pPr>
              <w:keepNext w:val="0"/>
              <w:keepLines w:val="0"/>
              <w:pageBreakBefore w:val="0"/>
              <w:wordWrap w:val="0"/>
              <w:overflowPunct/>
              <w:topLinePunct w:val="0"/>
              <w:bidi w:val="0"/>
              <w:spacing w:before="130" w:line="222" w:lineRule="auto"/>
              <w:ind w:left="11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七、其它</w:t>
            </w:r>
          </w:p>
        </w:tc>
        <w:tc>
          <w:tcPr>
            <w:tcW w:w="1294" w:type="dxa"/>
            <w:vAlign w:val="top"/>
          </w:tcPr>
          <w:p w14:paraId="4D77A95B">
            <w:pPr>
              <w:keepNext w:val="0"/>
              <w:keepLines w:val="0"/>
              <w:pageBreakBefore w:val="0"/>
              <w:wordWrap w:val="0"/>
              <w:overflowPunct/>
              <w:topLinePunct w:val="0"/>
              <w:bidi w:val="0"/>
              <w:spacing w:before="130"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2185F8E5">
            <w:pPr>
              <w:keepNext w:val="0"/>
              <w:keepLines w:val="0"/>
              <w:pageBreakBefore w:val="0"/>
              <w:wordWrap w:val="0"/>
              <w:overflowPunct/>
              <w:topLinePunct w:val="0"/>
              <w:bidi w:val="0"/>
              <w:spacing w:before="130"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8A326B1">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62141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FF8FAEC">
            <w:pPr>
              <w:keepNext w:val="0"/>
              <w:keepLines w:val="0"/>
              <w:pageBreakBefore w:val="0"/>
              <w:wordWrap w:val="0"/>
              <w:overflowPunct/>
              <w:topLinePunct w:val="0"/>
              <w:bidi w:val="0"/>
              <w:spacing w:before="130" w:line="327" w:lineRule="auto"/>
              <w:ind w:left="115" w:right="168" w:firstLine="1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（一）施工高度 50m 及以上的建筑幕墙安装工 程。</w:t>
            </w:r>
          </w:p>
        </w:tc>
        <w:tc>
          <w:tcPr>
            <w:tcW w:w="1294" w:type="dxa"/>
            <w:vAlign w:val="top"/>
          </w:tcPr>
          <w:p w14:paraId="79731486">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6B1EF7E">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0F023B34">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642A23D">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39FC3417">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255E0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5A9370B">
            <w:pPr>
              <w:keepNext w:val="0"/>
              <w:keepLines w:val="0"/>
              <w:pageBreakBefore w:val="0"/>
              <w:wordWrap w:val="0"/>
              <w:overflowPunct/>
              <w:topLinePunct w:val="0"/>
              <w:bidi w:val="0"/>
              <w:spacing w:before="130" w:line="221"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（二）跨度 36m 及以上的钢结构安装工程，或</w:t>
            </w:r>
          </w:p>
        </w:tc>
        <w:tc>
          <w:tcPr>
            <w:tcW w:w="1294" w:type="dxa"/>
            <w:vAlign w:val="top"/>
          </w:tcPr>
          <w:p w14:paraId="0E28B8BF">
            <w:pPr>
              <w:keepNext w:val="0"/>
              <w:keepLines w:val="0"/>
              <w:pageBreakBefore w:val="0"/>
              <w:wordWrap w:val="0"/>
              <w:overflowPunct/>
              <w:topLinePunct w:val="0"/>
              <w:bidi w:val="0"/>
              <w:spacing w:before="130"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65DB057B">
            <w:pPr>
              <w:keepNext w:val="0"/>
              <w:keepLines w:val="0"/>
              <w:pageBreakBefore w:val="0"/>
              <w:wordWrap w:val="0"/>
              <w:overflowPunct/>
              <w:topLinePunct w:val="0"/>
              <w:bidi w:val="0"/>
              <w:spacing w:before="130"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3DB903A">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48D89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41E2AF4">
            <w:pPr>
              <w:keepNext w:val="0"/>
              <w:keepLines w:val="0"/>
              <w:pageBreakBefore w:val="0"/>
              <w:wordWrap w:val="0"/>
              <w:overflowPunct/>
              <w:topLinePunct w:val="0"/>
              <w:bidi w:val="0"/>
              <w:spacing w:before="131" w:line="221" w:lineRule="auto"/>
              <w:ind w:left="11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跨度 60m 及以上的网架和索膜结构安装工程。</w:t>
            </w:r>
          </w:p>
        </w:tc>
        <w:tc>
          <w:tcPr>
            <w:tcW w:w="1294" w:type="dxa"/>
            <w:vAlign w:val="top"/>
          </w:tcPr>
          <w:p w14:paraId="64B97050">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294" w:type="dxa"/>
            <w:vAlign w:val="top"/>
          </w:tcPr>
          <w:p w14:paraId="002E0645">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428" w:type="dxa"/>
            <w:vAlign w:val="top"/>
          </w:tcPr>
          <w:p w14:paraId="044C4BAC">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EB4FB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1B8FBFF">
            <w:pPr>
              <w:keepNext w:val="0"/>
              <w:keepLines w:val="0"/>
              <w:pageBreakBefore w:val="0"/>
              <w:wordWrap w:val="0"/>
              <w:overflowPunct/>
              <w:topLinePunct w:val="0"/>
              <w:bidi w:val="0"/>
              <w:spacing w:before="127" w:line="220" w:lineRule="auto"/>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（三）开挖深度 16m 及以上的人工挖孔桩工程。</w:t>
            </w:r>
          </w:p>
        </w:tc>
        <w:tc>
          <w:tcPr>
            <w:tcW w:w="1294" w:type="dxa"/>
            <w:vAlign w:val="top"/>
          </w:tcPr>
          <w:p w14:paraId="62C02099">
            <w:pPr>
              <w:keepNext w:val="0"/>
              <w:keepLines w:val="0"/>
              <w:pageBreakBefore w:val="0"/>
              <w:wordWrap w:val="0"/>
              <w:overflowPunct/>
              <w:topLinePunct w:val="0"/>
              <w:bidi w:val="0"/>
              <w:spacing w:before="127"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241BE568">
            <w:pPr>
              <w:keepNext w:val="0"/>
              <w:keepLines w:val="0"/>
              <w:pageBreakBefore w:val="0"/>
              <w:wordWrap w:val="0"/>
              <w:overflowPunct/>
              <w:topLinePunct w:val="0"/>
              <w:bidi w:val="0"/>
              <w:spacing w:before="127"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1B3ECDA4">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A9F4D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C8AFDA4">
            <w:pPr>
              <w:keepNext w:val="0"/>
              <w:keepLines w:val="0"/>
              <w:pageBreakBefore w:val="0"/>
              <w:wordWrap w:val="0"/>
              <w:overflowPunct/>
              <w:topLinePunct w:val="0"/>
              <w:bidi w:val="0"/>
              <w:spacing w:before="129" w:line="220"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（四）水下作业工程。</w:t>
            </w:r>
          </w:p>
        </w:tc>
        <w:tc>
          <w:tcPr>
            <w:tcW w:w="1294" w:type="dxa"/>
            <w:vAlign w:val="top"/>
          </w:tcPr>
          <w:p w14:paraId="3067C02F">
            <w:pPr>
              <w:keepNext w:val="0"/>
              <w:keepLines w:val="0"/>
              <w:pageBreakBefore w:val="0"/>
              <w:wordWrap w:val="0"/>
              <w:overflowPunct/>
              <w:topLinePunct w:val="0"/>
              <w:bidi w:val="0"/>
              <w:spacing w:before="163"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52CEF54C">
            <w:pPr>
              <w:keepNext w:val="0"/>
              <w:keepLines w:val="0"/>
              <w:pageBreakBefore w:val="0"/>
              <w:wordWrap w:val="0"/>
              <w:overflowPunct/>
              <w:topLinePunct w:val="0"/>
              <w:bidi w:val="0"/>
              <w:spacing w:before="163"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4B56A100">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A1F8C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BCC59C5">
            <w:pPr>
              <w:keepNext w:val="0"/>
              <w:keepLines w:val="0"/>
              <w:pageBreakBefore w:val="0"/>
              <w:wordWrap w:val="0"/>
              <w:overflowPunct/>
              <w:topLinePunct w:val="0"/>
              <w:bidi w:val="0"/>
              <w:spacing w:before="130" w:line="327" w:lineRule="auto"/>
              <w:ind w:left="115" w:right="25" w:firstLine="1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（五）重量 1000kN及以上的大型结构整体顶升、 平移、转体等施工工艺。</w:t>
            </w:r>
          </w:p>
        </w:tc>
        <w:tc>
          <w:tcPr>
            <w:tcW w:w="1294" w:type="dxa"/>
            <w:vAlign w:val="top"/>
          </w:tcPr>
          <w:p w14:paraId="3F86B10F">
            <w:pPr>
              <w:pStyle w:val="27"/>
              <w:keepNext w:val="0"/>
              <w:keepLines w:val="0"/>
              <w:pageBreakBefore w:val="0"/>
              <w:wordWrap w:val="0"/>
              <w:overflowPunct/>
              <w:topLinePunct w:val="0"/>
              <w:bidi w:val="0"/>
              <w:spacing w:line="29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DAFD05C">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77CFDEAB">
            <w:pPr>
              <w:pStyle w:val="27"/>
              <w:keepNext w:val="0"/>
              <w:keepLines w:val="0"/>
              <w:pageBreakBefore w:val="0"/>
              <w:wordWrap w:val="0"/>
              <w:overflowPunct/>
              <w:topLinePunct w:val="0"/>
              <w:bidi w:val="0"/>
              <w:spacing w:line="29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83652C7">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4FC5E233">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6CCFF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9C5CBEE">
            <w:pPr>
              <w:keepNext w:val="0"/>
              <w:keepLines w:val="0"/>
              <w:pageBreakBefore w:val="0"/>
              <w:wordWrap w:val="0"/>
              <w:overflowPunct/>
              <w:topLinePunct w:val="0"/>
              <w:bidi w:val="0"/>
              <w:spacing w:before="129" w:line="346" w:lineRule="auto"/>
              <w:ind w:left="117" w:right="168" w:firstLine="1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（六）采用新技术、新工艺、新材料、新设备 可能影响工程施工安全，尚无国家、行业及地 方技术标准的分部分项工程。</w:t>
            </w:r>
          </w:p>
        </w:tc>
        <w:tc>
          <w:tcPr>
            <w:tcW w:w="1294" w:type="dxa"/>
            <w:vAlign w:val="top"/>
          </w:tcPr>
          <w:p w14:paraId="7BFE5A71">
            <w:pPr>
              <w:pStyle w:val="27"/>
              <w:keepNext w:val="0"/>
              <w:keepLines w:val="0"/>
              <w:pageBreakBefore w:val="0"/>
              <w:wordWrap w:val="0"/>
              <w:overflowPunct/>
              <w:topLinePunct w:val="0"/>
              <w:bidi w:val="0"/>
              <w:spacing w:line="27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56661FE2">
            <w:pPr>
              <w:pStyle w:val="27"/>
              <w:keepNext w:val="0"/>
              <w:keepLines w:val="0"/>
              <w:pageBreakBefore w:val="0"/>
              <w:wordWrap w:val="0"/>
              <w:overflowPunct/>
              <w:topLinePunct w:val="0"/>
              <w:bidi w:val="0"/>
              <w:spacing w:line="27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1A5B130">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094A60A">
            <w:pPr>
              <w:pStyle w:val="27"/>
              <w:keepNext w:val="0"/>
              <w:keepLines w:val="0"/>
              <w:pageBreakBefore w:val="0"/>
              <w:wordWrap w:val="0"/>
              <w:overflowPunct/>
              <w:topLinePunct w:val="0"/>
              <w:bidi w:val="0"/>
              <w:spacing w:line="27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8F5358C">
            <w:pPr>
              <w:pStyle w:val="27"/>
              <w:keepNext w:val="0"/>
              <w:keepLines w:val="0"/>
              <w:pageBreakBefore w:val="0"/>
              <w:wordWrap w:val="0"/>
              <w:overflowPunct/>
              <w:topLinePunct w:val="0"/>
              <w:bidi w:val="0"/>
              <w:spacing w:line="27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33F0501">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0B0949F0">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bl>
    <w:p w14:paraId="6E7F6BBB">
      <w:pPr>
        <w:pStyle w:val="5"/>
        <w:keepNext w:val="0"/>
        <w:keepLines w:val="0"/>
        <w:pageBreakBefore w:val="0"/>
        <w:wordWrap w:val="0"/>
        <w:overflowPunct/>
        <w:topLinePunct w:val="0"/>
        <w:bidi w:val="0"/>
        <w:spacing w:line="288" w:lineRule="auto"/>
        <w:rPr>
          <w:rFonts w:hint="eastAsia" w:ascii="宋体" w:hAnsi="宋体" w:eastAsia="宋体" w:cs="宋体"/>
          <w:color w:val="000000" w:themeColor="text1"/>
          <w:spacing w:val="0"/>
          <w:highlight w:val="none"/>
          <w14:textFill>
            <w14:solidFill>
              <w14:schemeClr w14:val="tx1"/>
            </w14:solidFill>
          </w14:textFill>
        </w:rPr>
      </w:pPr>
    </w:p>
    <w:p w14:paraId="548C332F">
      <w:pPr>
        <w:pStyle w:val="5"/>
        <w:keepNext w:val="0"/>
        <w:keepLines w:val="0"/>
        <w:pageBreakBefore w:val="0"/>
        <w:wordWrap w:val="0"/>
        <w:overflowPunct/>
        <w:topLinePunct w:val="0"/>
        <w:bidi w:val="0"/>
        <w:spacing w:line="288" w:lineRule="auto"/>
        <w:rPr>
          <w:rFonts w:hint="eastAsia" w:ascii="宋体" w:hAnsi="宋体" w:eastAsia="宋体" w:cs="宋体"/>
          <w:color w:val="000000" w:themeColor="text1"/>
          <w:spacing w:val="0"/>
          <w:highlight w:val="none"/>
          <w14:textFill>
            <w14:solidFill>
              <w14:schemeClr w14:val="tx1"/>
            </w14:solidFill>
          </w14:textFill>
        </w:rPr>
      </w:pPr>
    </w:p>
    <w:p w14:paraId="4D9ADF52">
      <w:pPr>
        <w:keepNext w:val="0"/>
        <w:keepLines w:val="0"/>
        <w:pageBreakBefore w:val="0"/>
        <w:wordWrap w:val="0"/>
        <w:overflowPunct/>
        <w:topLinePunct w:val="0"/>
        <w:bidi w:val="0"/>
        <w:spacing w:before="21" w:line="360" w:lineRule="auto"/>
        <w:ind w:firstLine="420" w:firstLineChars="200"/>
        <w:rPr>
          <w:rFonts w:hint="eastAsia" w:ascii="宋体" w:hAnsi="宋体" w:eastAsia="宋体" w:cs="宋体"/>
          <w:color w:val="000000" w:themeColor="text1"/>
          <w:spacing w:val="0"/>
          <w:sz w:val="21"/>
          <w:szCs w:val="21"/>
          <w:highlight w:val="none"/>
          <w:lang w:eastAsia="zh-CN"/>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备注：1.根据《危险性较大的分部分项工程安全管理规定》，该《危险性较大的分部分项工程清单及超过一定规模的危险性较大的分部分项工程清单》</w:t>
      </w:r>
      <w:r>
        <w:rPr>
          <w:rFonts w:hint="eastAsia" w:ascii="宋体" w:hAnsi="宋体" w:eastAsia="宋体" w:cs="宋体"/>
          <w:color w:val="000000" w:themeColor="text1"/>
          <w:spacing w:val="0"/>
          <w:sz w:val="21"/>
          <w:szCs w:val="21"/>
          <w:highlight w:val="none"/>
          <w:lang w:eastAsia="zh-CN"/>
          <w14:textFill>
            <w14:solidFill>
              <w14:schemeClr w14:val="tx1"/>
            </w14:solidFill>
          </w14:textFill>
        </w:rPr>
        <w:t>应由建设单位组织勘察、设计等单位在招标文件中“勾选（对应项打“√”标识”危险性较大的分部分项工程）。</w:t>
      </w:r>
    </w:p>
    <w:p w14:paraId="0C4D1AF6">
      <w:pPr>
        <w:keepNext w:val="0"/>
        <w:keepLines w:val="0"/>
        <w:pageBreakBefore w:val="0"/>
        <w:wordWrap w:val="0"/>
        <w:overflowPunct/>
        <w:topLinePunct w:val="0"/>
        <w:bidi w:val="0"/>
        <w:spacing w:before="21" w:line="360" w:lineRule="auto"/>
        <w:ind w:firstLine="420" w:firstLineChars="200"/>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2.该《危险性较大的分部分项工程清单及超过一定规模的危险性较大的分部分项工程清单》在办理建设项目施工许可时必须提供，且各地建设行政主管部门可按照《广东省建设工程项目招标中标后监督 检查办法》相关规定开展检查。</w:t>
      </w:r>
    </w:p>
    <w:p w14:paraId="631FDCC1">
      <w:pPr>
        <w:keepNext w:val="0"/>
        <w:keepLines w:val="0"/>
        <w:pageBreakBefore w:val="0"/>
        <w:wordWrap w:val="0"/>
        <w:overflowPunct/>
        <w:topLinePunct w:val="0"/>
        <w:bidi w:val="0"/>
        <w:spacing w:before="28" w:line="360" w:lineRule="auto"/>
        <w:ind w:left="545" w:leftChars="244" w:hanging="33" w:hangingChars="16"/>
        <w:rPr>
          <w:rFonts w:hint="eastAsia" w:ascii="宋体" w:hAnsi="宋体" w:eastAsia="宋体" w:cs="宋体"/>
          <w:color w:val="000000" w:themeColor="text1"/>
          <w:spacing w:val="0"/>
          <w:sz w:val="21"/>
          <w:szCs w:val="21"/>
          <w:highlight w:val="none"/>
          <w:lang w:eastAsia="zh-CN"/>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3.如果需要（如需要通过计算编制专项方案，或者需要专家论证），可中标后提供</w:t>
      </w:r>
      <w:r>
        <w:rPr>
          <w:rFonts w:hint="eastAsia" w:ascii="宋体" w:hAnsi="宋体" w:eastAsia="宋体" w:cs="宋体"/>
          <w:color w:val="000000" w:themeColor="text1"/>
          <w:spacing w:val="0"/>
          <w:sz w:val="21"/>
          <w:szCs w:val="21"/>
          <w:highlight w:val="none"/>
          <w:lang w:eastAsia="zh-CN"/>
          <w14:textFill>
            <w14:solidFill>
              <w14:schemeClr w14:val="tx1"/>
            </w14:solidFill>
          </w14:textFill>
        </w:rPr>
        <w:t>详细版。</w:t>
      </w:r>
    </w:p>
    <w:p w14:paraId="4F0F2A5C">
      <w:pPr>
        <w:keepNext w:val="0"/>
        <w:keepLines w:val="0"/>
        <w:pageBreakBefore w:val="0"/>
        <w:wordWrap w:val="0"/>
        <w:overflowPunct/>
        <w:topLinePunct w:val="0"/>
        <w:bidi w:val="0"/>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br w:type="page"/>
      </w:r>
    </w:p>
    <w:p w14:paraId="749D726F">
      <w:pPr>
        <w:keepNext w:val="0"/>
        <w:keepLines w:val="0"/>
        <w:pageBreakBefore w:val="0"/>
        <w:wordWrap w:val="0"/>
        <w:overflowPunct/>
        <w:topLinePunct w:val="0"/>
        <w:bidi w:val="0"/>
        <w:spacing w:before="78" w:line="220" w:lineRule="auto"/>
        <w:jc w:val="both"/>
        <w:outlineLvl w:val="2"/>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pPr>
      <w:bookmarkStart w:id="277" w:name="_Toc9289"/>
      <w:r>
        <w:rPr>
          <w:rFonts w:hint="eastAsia" w:ascii="宋体" w:hAnsi="宋体" w:eastAsia="宋体" w:cs="宋体"/>
          <w:b/>
          <w:bCs/>
          <w:color w:val="000000" w:themeColor="text1"/>
          <w:spacing w:val="0"/>
          <w:sz w:val="24"/>
          <w:szCs w:val="24"/>
          <w:highlight w:val="none"/>
          <w14:textFill>
            <w14:solidFill>
              <w14:schemeClr w14:val="tx1"/>
            </w14:solidFill>
          </w14:textFill>
        </w:rPr>
        <w:t>格式十四</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pacing w:val="0"/>
          <w:position w:val="3"/>
          <w:sz w:val="21"/>
          <w:szCs w:val="21"/>
          <w:highlight w:val="none"/>
          <w14:textFill>
            <w14:solidFill>
              <w14:schemeClr w14:val="tx1"/>
            </w14:solidFill>
          </w14:textFill>
        </w:rPr>
        <w:t>投标保证金信用承诺函</w:t>
      </w:r>
      <w:bookmarkEnd w:id="277"/>
    </w:p>
    <w:p w14:paraId="0C4BB798">
      <w:pPr>
        <w:keepNext w:val="0"/>
        <w:keepLines w:val="0"/>
        <w:pageBreakBefore w:val="0"/>
        <w:wordWrap w:val="0"/>
        <w:overflowPunct/>
        <w:topLinePunct w:val="0"/>
        <w:bidi w:val="0"/>
        <w:spacing w:before="140" w:line="604" w:lineRule="exact"/>
        <w:jc w:val="center"/>
        <w:rPr>
          <w:rFonts w:hint="eastAsia" w:ascii="宋体" w:hAnsi="宋体" w:eastAsia="宋体" w:cs="宋体"/>
          <w:color w:val="000000" w:themeColor="text1"/>
          <w:spacing w:val="0"/>
          <w:sz w:val="28"/>
          <w:szCs w:val="28"/>
          <w:highlight w:val="none"/>
          <w14:textFill>
            <w14:solidFill>
              <w14:schemeClr w14:val="tx1"/>
            </w14:solidFill>
          </w14:textFill>
        </w:rPr>
      </w:pPr>
      <w:r>
        <w:rPr>
          <w:rFonts w:hint="eastAsia" w:ascii="宋体" w:hAnsi="宋体" w:eastAsia="宋体" w:cs="宋体"/>
          <w:b/>
          <w:bCs/>
          <w:color w:val="000000" w:themeColor="text1"/>
          <w:spacing w:val="0"/>
          <w:position w:val="3"/>
          <w:sz w:val="28"/>
          <w:szCs w:val="28"/>
          <w:highlight w:val="none"/>
          <w14:textFill>
            <w14:solidFill>
              <w14:schemeClr w14:val="tx1"/>
            </w14:solidFill>
          </w14:textFill>
        </w:rPr>
        <w:t>投标保证金信用承诺函</w:t>
      </w:r>
    </w:p>
    <w:p w14:paraId="63DA26AC">
      <w:pPr>
        <w:pStyle w:val="5"/>
        <w:keepNext w:val="0"/>
        <w:keepLines w:val="0"/>
        <w:pageBreakBefore w:val="0"/>
        <w:wordWrap w:val="0"/>
        <w:overflowPunct/>
        <w:topLinePunct w:val="0"/>
        <w:bidi w:val="0"/>
        <w:spacing w:line="408" w:lineRule="auto"/>
        <w:rPr>
          <w:rFonts w:hint="eastAsia" w:ascii="宋体" w:hAnsi="宋体" w:eastAsia="宋体" w:cs="宋体"/>
          <w:color w:val="000000" w:themeColor="text1"/>
          <w:spacing w:val="0"/>
          <w:highlight w:val="none"/>
          <w14:textFill>
            <w14:solidFill>
              <w14:schemeClr w14:val="tx1"/>
            </w14:solidFill>
          </w14:textFill>
        </w:rPr>
      </w:pPr>
    </w:p>
    <w:p w14:paraId="2318544C">
      <w:pPr>
        <w:keepNext w:val="0"/>
        <w:keepLines w:val="0"/>
        <w:pageBreakBefore w:val="0"/>
        <w:wordWrap w:val="0"/>
        <w:overflowPunct/>
        <w:topLinePunct w:val="0"/>
        <w:bidi w:val="0"/>
        <w:spacing w:before="101" w:line="257" w:lineRule="auto"/>
        <w:ind w:left="3" w:firstLine="965"/>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一、</w:t>
      </w:r>
      <w:r>
        <w:rPr>
          <w:rFonts w:hint="eastAsia" w:ascii="宋体" w:hAnsi="宋体" w:eastAsia="宋体" w:cs="宋体"/>
          <w:color w:val="000000" w:themeColor="text1"/>
          <w:spacing w:val="0"/>
          <w:sz w:val="24"/>
          <w:szCs w:val="24"/>
          <w:highlight w:val="none"/>
          <w14:textFill>
            <w14:solidFill>
              <w14:schemeClr w14:val="tx1"/>
            </w14:solidFill>
          </w14:textFill>
        </w:rPr>
        <w:t>我单位参加</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（工程项目名称）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的投标活动，现承诺：将严格按照法律法规规定参与交易活动，按照招标文件要求依法履行投标人义务；我方若出现违反《中华人民共和国招标投标法》、《中华人民共和国招标投标法实施条例》、《电子招标投标办法》等有关法律法规的行为，将于投标有效期内全额付清招标文件规定的投标保证金 </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元。</w:t>
      </w:r>
    </w:p>
    <w:p w14:paraId="2B9D0EA5">
      <w:pPr>
        <w:keepNext w:val="0"/>
        <w:keepLines w:val="0"/>
        <w:pageBreakBefore w:val="0"/>
        <w:wordWrap w:val="0"/>
        <w:overflowPunct/>
        <w:topLinePunct w:val="0"/>
        <w:bidi w:val="0"/>
        <w:spacing w:before="48" w:line="252" w:lineRule="auto"/>
        <w:ind w:left="1" w:firstLine="647"/>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二、至投标文件提交当天，本公司无严重不良信用记录或存在曾作出虚假承诺的情形，且不属于韶关市建筑市场信用管理平台公布的信用等级为 B 级、C 级、D 级的企业。</w:t>
      </w:r>
    </w:p>
    <w:p w14:paraId="1EFDE8F2">
      <w:pPr>
        <w:keepNext w:val="0"/>
        <w:keepLines w:val="0"/>
        <w:pageBreakBefore w:val="0"/>
        <w:wordWrap w:val="0"/>
        <w:overflowPunct/>
        <w:topLinePunct w:val="0"/>
        <w:bidi w:val="0"/>
        <w:spacing w:before="52" w:line="247" w:lineRule="auto"/>
        <w:ind w:left="6" w:right="2" w:firstLine="63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本企业对以上承诺和声明负责。如有虚假，愿接受行政主管部门作出的处罚，并承担以下后果：</w:t>
      </w:r>
    </w:p>
    <w:p w14:paraId="28F04F87">
      <w:pPr>
        <w:keepNext w:val="0"/>
        <w:keepLines w:val="0"/>
        <w:pageBreakBefore w:val="0"/>
        <w:wordWrap w:val="0"/>
        <w:overflowPunct/>
        <w:topLinePunct w:val="0"/>
        <w:bidi w:val="0"/>
        <w:spacing w:before="48" w:line="225" w:lineRule="auto"/>
        <w:ind w:left="6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（一）取消本单位在本项目中的投标资格或中标资格；</w:t>
      </w:r>
    </w:p>
    <w:p w14:paraId="64420808">
      <w:pPr>
        <w:keepNext w:val="0"/>
        <w:keepLines w:val="0"/>
        <w:pageBreakBefore w:val="0"/>
        <w:wordWrap w:val="0"/>
        <w:overflowPunct/>
        <w:topLinePunct w:val="0"/>
        <w:bidi w:val="0"/>
        <w:spacing w:before="64" w:line="225" w:lineRule="auto"/>
        <w:ind w:left="6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（二）将本单位不良行为纳入信用信息管理系统；</w:t>
      </w:r>
    </w:p>
    <w:p w14:paraId="30729E54">
      <w:pPr>
        <w:keepNext w:val="0"/>
        <w:keepLines w:val="0"/>
        <w:pageBreakBefore w:val="0"/>
        <w:wordWrap w:val="0"/>
        <w:overflowPunct/>
        <w:topLinePunct w:val="0"/>
        <w:bidi w:val="0"/>
        <w:spacing w:before="60" w:line="244" w:lineRule="auto"/>
        <w:ind w:left="41" w:right="2" w:firstLine="61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（三）主动在产生不良行为所在的各县（市、区）行政区域内不参加房建市政工程项目的投标活动一年；</w:t>
      </w:r>
    </w:p>
    <w:p w14:paraId="0761697F">
      <w:pPr>
        <w:keepNext w:val="0"/>
        <w:keepLines w:val="0"/>
        <w:pageBreakBefore w:val="0"/>
        <w:wordWrap w:val="0"/>
        <w:overflowPunct/>
        <w:topLinePunct w:val="0"/>
        <w:bidi w:val="0"/>
        <w:spacing w:before="63" w:line="225" w:lineRule="auto"/>
        <w:ind w:left="6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（四）应付的赔偿责任和相应法律责任。</w:t>
      </w:r>
    </w:p>
    <w:p w14:paraId="71665105">
      <w:pPr>
        <w:pStyle w:val="5"/>
        <w:keepNext w:val="0"/>
        <w:keepLines w:val="0"/>
        <w:pageBreakBefore w:val="0"/>
        <w:wordWrap w:val="0"/>
        <w:overflowPunct/>
        <w:topLinePunct w:val="0"/>
        <w:bidi w:val="0"/>
        <w:spacing w:line="329"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01930B0">
      <w:pPr>
        <w:keepNext w:val="0"/>
        <w:keepLines w:val="0"/>
        <w:pageBreakBefore w:val="0"/>
        <w:wordWrap w:val="0"/>
        <w:overflowPunct/>
        <w:topLinePunct w:val="0"/>
        <w:bidi w:val="0"/>
        <w:spacing w:before="102" w:line="225" w:lineRule="auto"/>
        <w:ind w:left="84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单位名称（公章）：</w:t>
      </w:r>
    </w:p>
    <w:p w14:paraId="2C853675">
      <w:pPr>
        <w:pStyle w:val="5"/>
        <w:keepNext w:val="0"/>
        <w:keepLines w:val="0"/>
        <w:pageBreakBefore w:val="0"/>
        <w:wordWrap w:val="0"/>
        <w:overflowPunct/>
        <w:topLinePunct w:val="0"/>
        <w:bidi w:val="0"/>
        <w:spacing w:line="45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304A271">
      <w:pPr>
        <w:keepNext w:val="0"/>
        <w:keepLines w:val="0"/>
        <w:pageBreakBefore w:val="0"/>
        <w:wordWrap w:val="0"/>
        <w:overflowPunct/>
        <w:topLinePunct w:val="0"/>
        <w:bidi w:val="0"/>
        <w:spacing w:before="100" w:line="225" w:lineRule="auto"/>
        <w:ind w:left="85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统一社会信用代码：</w:t>
      </w:r>
    </w:p>
    <w:p w14:paraId="1892BA66">
      <w:pPr>
        <w:pStyle w:val="5"/>
        <w:keepNext w:val="0"/>
        <w:keepLines w:val="0"/>
        <w:pageBreakBefore w:val="0"/>
        <w:wordWrap w:val="0"/>
        <w:overflowPunct/>
        <w:topLinePunct w:val="0"/>
        <w:bidi w:val="0"/>
        <w:spacing w:line="45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5DBB6F71">
      <w:pPr>
        <w:keepNext w:val="0"/>
        <w:keepLines w:val="0"/>
        <w:pageBreakBefore w:val="0"/>
        <w:wordWrap w:val="0"/>
        <w:overflowPunct/>
        <w:topLinePunct w:val="0"/>
        <w:bidi w:val="0"/>
        <w:spacing w:before="102" w:line="543" w:lineRule="auto"/>
        <w:ind w:left="844" w:right="50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法定代表人（签字）：</w:t>
      </w:r>
    </w:p>
    <w:p w14:paraId="2D5FF0AE">
      <w:pPr>
        <w:keepNext w:val="0"/>
        <w:keepLines w:val="0"/>
        <w:pageBreakBefore w:val="0"/>
        <w:wordWrap w:val="0"/>
        <w:overflowPunct/>
        <w:topLinePunct w:val="0"/>
        <w:bidi w:val="0"/>
        <w:spacing w:before="102" w:line="543" w:lineRule="auto"/>
        <w:ind w:left="844" w:right="50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 年   月 </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日</w:t>
      </w:r>
    </w:p>
    <w:p w14:paraId="0CF3EB86">
      <w:pPr>
        <w:pStyle w:val="13"/>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352EA194">
      <w:pPr>
        <w:pStyle w:val="13"/>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lang w:eastAsia="zh-CN"/>
          <w14:textFill>
            <w14:solidFill>
              <w14:schemeClr w14:val="tx1"/>
            </w14:solidFill>
          </w14:textFill>
        </w:rPr>
        <w:sectPr>
          <w:footerReference r:id="rId25"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5367075C">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78" w:name="_Toc22197"/>
      <w:r>
        <w:rPr>
          <w:rFonts w:hint="eastAsia" w:ascii="宋体" w:hAnsi="宋体" w:eastAsia="宋体" w:cs="宋体"/>
          <w:b/>
          <w:bCs/>
          <w:color w:val="000000" w:themeColor="text1"/>
          <w:spacing w:val="0"/>
          <w:sz w:val="24"/>
          <w:szCs w:val="24"/>
          <w:highlight w:val="none"/>
          <w14:textFill>
            <w14:solidFill>
              <w14:schemeClr w14:val="tx1"/>
            </w14:solidFill>
          </w14:textFill>
        </w:rPr>
        <w:t>格式十</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五</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原件一览表</w:t>
      </w:r>
      <w:bookmarkEnd w:id="278"/>
    </w:p>
    <w:tbl>
      <w:tblPr>
        <w:tblStyle w:val="14"/>
        <w:tblW w:w="9440" w:type="dxa"/>
        <w:tblInd w:w="1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8"/>
        <w:gridCol w:w="1896"/>
        <w:gridCol w:w="1725"/>
        <w:gridCol w:w="964"/>
        <w:gridCol w:w="719"/>
        <w:gridCol w:w="780"/>
        <w:gridCol w:w="991"/>
        <w:gridCol w:w="1637"/>
      </w:tblGrid>
      <w:tr w14:paraId="5F244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9440" w:type="dxa"/>
            <w:gridSpan w:val="8"/>
            <w:vAlign w:val="top"/>
          </w:tcPr>
          <w:p w14:paraId="2B40EF1C">
            <w:pPr>
              <w:keepNext w:val="0"/>
              <w:keepLines w:val="0"/>
              <w:pageBreakBefore w:val="0"/>
              <w:wordWrap w:val="0"/>
              <w:overflowPunct/>
              <w:topLinePunct w:val="0"/>
              <w:bidi w:val="0"/>
              <w:spacing w:before="132" w:line="220" w:lineRule="auto"/>
              <w:ind w:left="39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原件一览表</w:t>
            </w:r>
          </w:p>
        </w:tc>
      </w:tr>
      <w:tr w14:paraId="6C17CE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2624" w:type="dxa"/>
            <w:gridSpan w:val="2"/>
            <w:vAlign w:val="center"/>
          </w:tcPr>
          <w:p w14:paraId="03FBA86E">
            <w:pPr>
              <w:keepNext w:val="0"/>
              <w:keepLines w:val="0"/>
              <w:pageBreakBefore w:val="0"/>
              <w:wordWrap w:val="0"/>
              <w:overflowPunct/>
              <w:topLinePunct w:val="0"/>
              <w:bidi w:val="0"/>
              <w:spacing w:before="62" w:line="230" w:lineRule="auto"/>
              <w:jc w:val="center"/>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工程名称</w:t>
            </w:r>
          </w:p>
        </w:tc>
        <w:tc>
          <w:tcPr>
            <w:tcW w:w="6816" w:type="dxa"/>
            <w:gridSpan w:val="6"/>
            <w:vAlign w:val="top"/>
          </w:tcPr>
          <w:p w14:paraId="5F792F2C">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87BEE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0" w:hRule="atLeast"/>
        </w:trPr>
        <w:tc>
          <w:tcPr>
            <w:tcW w:w="2624" w:type="dxa"/>
            <w:gridSpan w:val="2"/>
            <w:vAlign w:val="top"/>
          </w:tcPr>
          <w:p w14:paraId="254D3CCA">
            <w:pPr>
              <w:keepNext w:val="0"/>
              <w:keepLines w:val="0"/>
              <w:pageBreakBefore w:val="0"/>
              <w:wordWrap w:val="0"/>
              <w:overflowPunct/>
              <w:topLinePunct w:val="0"/>
              <w:bidi w:val="0"/>
              <w:spacing w:before="150" w:line="230" w:lineRule="auto"/>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投标人名称(请务必填写单位全称)</w:t>
            </w:r>
          </w:p>
        </w:tc>
        <w:tc>
          <w:tcPr>
            <w:tcW w:w="6816" w:type="dxa"/>
            <w:gridSpan w:val="6"/>
            <w:vAlign w:val="top"/>
          </w:tcPr>
          <w:p w14:paraId="0F353D01">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2EC74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2624" w:type="dxa"/>
            <w:gridSpan w:val="2"/>
            <w:vAlign w:val="top"/>
          </w:tcPr>
          <w:p w14:paraId="6683BB0E">
            <w:pPr>
              <w:keepNext w:val="0"/>
              <w:keepLines w:val="0"/>
              <w:pageBreakBefore w:val="0"/>
              <w:wordWrap w:val="0"/>
              <w:overflowPunct/>
              <w:topLinePunct w:val="0"/>
              <w:bidi w:val="0"/>
              <w:spacing w:before="151"/>
              <w:ind w:right="14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投标人法定代表人或其委托代理人签名</w:t>
            </w:r>
          </w:p>
        </w:tc>
        <w:tc>
          <w:tcPr>
            <w:tcW w:w="2689" w:type="dxa"/>
            <w:gridSpan w:val="2"/>
            <w:vAlign w:val="top"/>
          </w:tcPr>
          <w:p w14:paraId="79697200">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499" w:type="dxa"/>
            <w:gridSpan w:val="2"/>
            <w:vAlign w:val="top"/>
          </w:tcPr>
          <w:p w14:paraId="58C1E63A">
            <w:pPr>
              <w:keepNext w:val="0"/>
              <w:keepLines w:val="0"/>
              <w:pageBreakBefore w:val="0"/>
              <w:wordWrap w:val="0"/>
              <w:overflowPunct/>
              <w:topLinePunct w:val="0"/>
              <w:bidi w:val="0"/>
              <w:spacing w:before="151" w:line="312" w:lineRule="auto"/>
              <w:ind w:right="17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手机号码</w:t>
            </w:r>
          </w:p>
        </w:tc>
        <w:tc>
          <w:tcPr>
            <w:tcW w:w="2628" w:type="dxa"/>
            <w:gridSpan w:val="2"/>
            <w:vAlign w:val="top"/>
          </w:tcPr>
          <w:p w14:paraId="460A230E">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064FC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9440" w:type="dxa"/>
            <w:gridSpan w:val="8"/>
            <w:vAlign w:val="top"/>
          </w:tcPr>
          <w:p w14:paraId="5B16BEA7">
            <w:pPr>
              <w:keepNext w:val="0"/>
              <w:keepLines w:val="0"/>
              <w:pageBreakBefore w:val="0"/>
              <w:wordWrap w:val="0"/>
              <w:overflowPunct/>
              <w:topLinePunct w:val="0"/>
              <w:bidi w:val="0"/>
              <w:spacing w:before="62" w:line="228" w:lineRule="auto"/>
              <w:ind w:left="336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递交的证明材料原件如下：</w:t>
            </w:r>
          </w:p>
        </w:tc>
      </w:tr>
      <w:tr w14:paraId="6562FA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trPr>
        <w:tc>
          <w:tcPr>
            <w:tcW w:w="728" w:type="dxa"/>
            <w:vAlign w:val="top"/>
          </w:tcPr>
          <w:p w14:paraId="47F8E8A8">
            <w:pPr>
              <w:pStyle w:val="27"/>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022230E">
            <w:pPr>
              <w:keepNext w:val="0"/>
              <w:keepLines w:val="0"/>
              <w:pageBreakBefore w:val="0"/>
              <w:wordWrap w:val="0"/>
              <w:overflowPunct/>
              <w:topLinePunct w:val="0"/>
              <w:bidi w:val="0"/>
              <w:spacing w:before="62" w:line="230" w:lineRule="auto"/>
              <w:ind w:left="15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序号</w:t>
            </w:r>
          </w:p>
        </w:tc>
        <w:tc>
          <w:tcPr>
            <w:tcW w:w="5304" w:type="dxa"/>
            <w:gridSpan w:val="4"/>
            <w:vAlign w:val="top"/>
          </w:tcPr>
          <w:p w14:paraId="35D769FC">
            <w:pPr>
              <w:pStyle w:val="27"/>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EEA02B2">
            <w:pPr>
              <w:keepNext w:val="0"/>
              <w:keepLines w:val="0"/>
              <w:pageBreakBefore w:val="0"/>
              <w:wordWrap w:val="0"/>
              <w:overflowPunct/>
              <w:topLinePunct w:val="0"/>
              <w:bidi w:val="0"/>
              <w:spacing w:before="61" w:line="228" w:lineRule="auto"/>
              <w:ind w:left="17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证明材料原件名称</w:t>
            </w:r>
          </w:p>
        </w:tc>
        <w:tc>
          <w:tcPr>
            <w:tcW w:w="1771" w:type="dxa"/>
            <w:gridSpan w:val="2"/>
            <w:vAlign w:val="top"/>
          </w:tcPr>
          <w:p w14:paraId="66A03B25">
            <w:pPr>
              <w:pStyle w:val="27"/>
              <w:keepNext w:val="0"/>
              <w:keepLines w:val="0"/>
              <w:pageBreakBefore w:val="0"/>
              <w:wordWrap w:val="0"/>
              <w:overflowPunct/>
              <w:topLinePunct w:val="0"/>
              <w:bidi w:val="0"/>
              <w:spacing w:line="25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92559B5">
            <w:pPr>
              <w:keepNext w:val="0"/>
              <w:keepLines w:val="0"/>
              <w:pageBreakBefore w:val="0"/>
              <w:wordWrap w:val="0"/>
              <w:overflowPunct/>
              <w:topLinePunct w:val="0"/>
              <w:bidi w:val="0"/>
              <w:spacing w:before="62" w:line="230" w:lineRule="auto"/>
              <w:ind w:left="66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单位</w:t>
            </w:r>
          </w:p>
        </w:tc>
        <w:tc>
          <w:tcPr>
            <w:tcW w:w="1637" w:type="dxa"/>
            <w:vAlign w:val="top"/>
          </w:tcPr>
          <w:p w14:paraId="3BEEA542">
            <w:pPr>
              <w:pStyle w:val="27"/>
              <w:keepNext w:val="0"/>
              <w:keepLines w:val="0"/>
              <w:pageBreakBefore w:val="0"/>
              <w:wordWrap w:val="0"/>
              <w:overflowPunct/>
              <w:topLinePunct w:val="0"/>
              <w:bidi w:val="0"/>
              <w:spacing w:line="25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CE3B1D0">
            <w:pPr>
              <w:keepNext w:val="0"/>
              <w:keepLines w:val="0"/>
              <w:pageBreakBefore w:val="0"/>
              <w:wordWrap w:val="0"/>
              <w:overflowPunct/>
              <w:topLinePunct w:val="0"/>
              <w:bidi w:val="0"/>
              <w:spacing w:before="62" w:line="229" w:lineRule="auto"/>
              <w:ind w:left="59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数量</w:t>
            </w:r>
          </w:p>
        </w:tc>
      </w:tr>
      <w:tr w14:paraId="4F82DE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3BE58E00">
            <w:pPr>
              <w:keepNext w:val="0"/>
              <w:keepLines w:val="0"/>
              <w:pageBreakBefore w:val="0"/>
              <w:wordWrap w:val="0"/>
              <w:overflowPunct/>
              <w:topLinePunct w:val="0"/>
              <w:bidi w:val="0"/>
              <w:spacing w:before="287" w:line="184" w:lineRule="auto"/>
              <w:ind w:left="31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w:t>
            </w:r>
          </w:p>
        </w:tc>
        <w:tc>
          <w:tcPr>
            <w:tcW w:w="5304" w:type="dxa"/>
            <w:gridSpan w:val="4"/>
            <w:vAlign w:val="top"/>
          </w:tcPr>
          <w:p w14:paraId="48BEE8B0">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71" w:type="dxa"/>
            <w:gridSpan w:val="2"/>
            <w:vAlign w:val="top"/>
          </w:tcPr>
          <w:p w14:paraId="69FF32C9">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637" w:type="dxa"/>
            <w:vAlign w:val="top"/>
          </w:tcPr>
          <w:p w14:paraId="23FE9655">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DB2F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439F9AE2">
            <w:pPr>
              <w:keepNext w:val="0"/>
              <w:keepLines w:val="0"/>
              <w:pageBreakBefore w:val="0"/>
              <w:wordWrap w:val="0"/>
              <w:overflowPunct/>
              <w:topLinePunct w:val="0"/>
              <w:bidi w:val="0"/>
              <w:spacing w:before="288" w:line="183" w:lineRule="auto"/>
              <w:ind w:left="30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w:t>
            </w:r>
          </w:p>
        </w:tc>
        <w:tc>
          <w:tcPr>
            <w:tcW w:w="5304" w:type="dxa"/>
            <w:gridSpan w:val="4"/>
            <w:vAlign w:val="top"/>
          </w:tcPr>
          <w:p w14:paraId="4F70EA65">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71" w:type="dxa"/>
            <w:gridSpan w:val="2"/>
            <w:vAlign w:val="top"/>
          </w:tcPr>
          <w:p w14:paraId="72C3C76C">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637" w:type="dxa"/>
            <w:vAlign w:val="top"/>
          </w:tcPr>
          <w:p w14:paraId="1969C218">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3152E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4F34003A">
            <w:pPr>
              <w:keepNext w:val="0"/>
              <w:keepLines w:val="0"/>
              <w:pageBreakBefore w:val="0"/>
              <w:wordWrap w:val="0"/>
              <w:overflowPunct/>
              <w:topLinePunct w:val="0"/>
              <w:bidi w:val="0"/>
              <w:spacing w:before="287" w:line="183" w:lineRule="auto"/>
              <w:ind w:left="30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w:t>
            </w:r>
          </w:p>
        </w:tc>
        <w:tc>
          <w:tcPr>
            <w:tcW w:w="5304" w:type="dxa"/>
            <w:gridSpan w:val="4"/>
            <w:vAlign w:val="top"/>
          </w:tcPr>
          <w:p w14:paraId="32F8469F">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71" w:type="dxa"/>
            <w:gridSpan w:val="2"/>
            <w:vAlign w:val="top"/>
          </w:tcPr>
          <w:p w14:paraId="7AD8029B">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637" w:type="dxa"/>
            <w:vAlign w:val="top"/>
          </w:tcPr>
          <w:p w14:paraId="6E7CE753">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0948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336DFC70">
            <w:pPr>
              <w:pStyle w:val="27"/>
              <w:keepNext w:val="0"/>
              <w:keepLines w:val="0"/>
              <w:pageBreakBefore w:val="0"/>
              <w:wordWrap w:val="0"/>
              <w:overflowPunct/>
              <w:topLinePunct w:val="0"/>
              <w:bidi w:val="0"/>
              <w:spacing w:line="348"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EBABEED">
            <w:pPr>
              <w:keepNext w:val="0"/>
              <w:keepLines w:val="0"/>
              <w:pageBreakBefore w:val="0"/>
              <w:wordWrap w:val="0"/>
              <w:overflowPunct/>
              <w:topLinePunct w:val="0"/>
              <w:bidi w:val="0"/>
              <w:spacing w:before="78" w:line="99" w:lineRule="exact"/>
              <w:ind w:left="18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position w:val="1"/>
                <w:sz w:val="24"/>
                <w:szCs w:val="24"/>
                <w:highlight w:val="none"/>
                <w14:textFill>
                  <w14:solidFill>
                    <w14:schemeClr w14:val="tx1"/>
                  </w14:solidFill>
                </w14:textFill>
              </w:rPr>
              <w:t>...</w:t>
            </w:r>
          </w:p>
        </w:tc>
        <w:tc>
          <w:tcPr>
            <w:tcW w:w="5304" w:type="dxa"/>
            <w:gridSpan w:val="4"/>
            <w:vAlign w:val="top"/>
          </w:tcPr>
          <w:p w14:paraId="78AEE5FA">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71" w:type="dxa"/>
            <w:gridSpan w:val="2"/>
            <w:vAlign w:val="top"/>
          </w:tcPr>
          <w:p w14:paraId="56A6BE9F">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637" w:type="dxa"/>
            <w:vAlign w:val="top"/>
          </w:tcPr>
          <w:p w14:paraId="15AD4B06">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40673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7" w:hRule="atLeast"/>
        </w:trPr>
        <w:tc>
          <w:tcPr>
            <w:tcW w:w="728" w:type="dxa"/>
            <w:vAlign w:val="top"/>
          </w:tcPr>
          <w:p w14:paraId="5E70F2C3">
            <w:pPr>
              <w:pStyle w:val="27"/>
              <w:keepNext w:val="0"/>
              <w:keepLines w:val="0"/>
              <w:pageBreakBefore w:val="0"/>
              <w:wordWrap w:val="0"/>
              <w:overflowPunct/>
              <w:topLinePunct w:val="0"/>
              <w:bidi w:val="0"/>
              <w:spacing w:line="274"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2A84F17">
            <w:pPr>
              <w:pStyle w:val="27"/>
              <w:keepNext w:val="0"/>
              <w:keepLines w:val="0"/>
              <w:pageBreakBefore w:val="0"/>
              <w:wordWrap w:val="0"/>
              <w:overflowPunct/>
              <w:topLinePunct w:val="0"/>
              <w:bidi w:val="0"/>
              <w:spacing w:line="27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DCB2179">
            <w:pPr>
              <w:pStyle w:val="27"/>
              <w:keepNext w:val="0"/>
              <w:keepLines w:val="0"/>
              <w:pageBreakBefore w:val="0"/>
              <w:wordWrap w:val="0"/>
              <w:overflowPunct/>
              <w:topLinePunct w:val="0"/>
              <w:bidi w:val="0"/>
              <w:spacing w:line="27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A613965">
            <w:pPr>
              <w:keepNext w:val="0"/>
              <w:keepLines w:val="0"/>
              <w:pageBreakBefore w:val="0"/>
              <w:wordWrap w:val="0"/>
              <w:overflowPunct/>
              <w:topLinePunct w:val="0"/>
              <w:bidi w:val="0"/>
              <w:spacing w:before="62" w:line="233" w:lineRule="auto"/>
              <w:ind w:left="2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注意：</w:t>
            </w:r>
          </w:p>
        </w:tc>
        <w:tc>
          <w:tcPr>
            <w:tcW w:w="8712" w:type="dxa"/>
            <w:gridSpan w:val="7"/>
            <w:vAlign w:val="top"/>
          </w:tcPr>
          <w:p w14:paraId="04434907">
            <w:pPr>
              <w:keepNext w:val="0"/>
              <w:keepLines w:val="0"/>
              <w:pageBreakBefore w:val="0"/>
              <w:wordWrap w:val="0"/>
              <w:overflowPunct/>
              <w:topLinePunct w:val="0"/>
              <w:bidi w:val="0"/>
              <w:spacing w:before="148"/>
              <w:ind w:left="111" w:right="107" w:firstLine="483"/>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 内容及真实性负责。</w:t>
            </w:r>
          </w:p>
        </w:tc>
      </w:tr>
      <w:tr w14:paraId="1CF264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6" w:hRule="atLeast"/>
        </w:trPr>
        <w:tc>
          <w:tcPr>
            <w:tcW w:w="2624" w:type="dxa"/>
            <w:gridSpan w:val="2"/>
            <w:vAlign w:val="top"/>
          </w:tcPr>
          <w:p w14:paraId="761E9651">
            <w:pPr>
              <w:pStyle w:val="27"/>
              <w:keepNext w:val="0"/>
              <w:keepLines w:val="0"/>
              <w:pageBreakBefore w:val="0"/>
              <w:wordWrap w:val="0"/>
              <w:overflowPunct/>
              <w:topLinePunct w:val="0"/>
              <w:bidi w:val="0"/>
              <w:spacing w:line="240"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A419AAE">
            <w:pPr>
              <w:keepNext w:val="0"/>
              <w:keepLines w:val="0"/>
              <w:pageBreakBefore w:val="0"/>
              <w:wordWrap w:val="0"/>
              <w:overflowPunct/>
              <w:topLinePunct w:val="0"/>
              <w:bidi w:val="0"/>
              <w:spacing w:before="61" w:line="240" w:lineRule="auto"/>
              <w:ind w:left="760" w:right="153" w:hanging="6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接收原件经办人</w:t>
            </w:r>
          </w:p>
          <w:p w14:paraId="1690E6DB">
            <w:pPr>
              <w:keepNext w:val="0"/>
              <w:keepLines w:val="0"/>
              <w:pageBreakBefore w:val="0"/>
              <w:wordWrap w:val="0"/>
              <w:overflowPunct/>
              <w:topLinePunct w:val="0"/>
              <w:bidi w:val="0"/>
              <w:spacing w:before="61" w:line="240" w:lineRule="auto"/>
              <w:ind w:left="760" w:right="153" w:hanging="6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(招标代理)：</w:t>
            </w:r>
          </w:p>
        </w:tc>
        <w:tc>
          <w:tcPr>
            <w:tcW w:w="1725" w:type="dxa"/>
            <w:vAlign w:val="top"/>
          </w:tcPr>
          <w:p w14:paraId="275A8985">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683" w:type="dxa"/>
            <w:gridSpan w:val="2"/>
            <w:vAlign w:val="top"/>
          </w:tcPr>
          <w:p w14:paraId="1474D634">
            <w:pPr>
              <w:pStyle w:val="27"/>
              <w:keepNext w:val="0"/>
              <w:keepLines w:val="0"/>
              <w:pageBreakBefore w:val="0"/>
              <w:wordWrap w:val="0"/>
              <w:overflowPunct/>
              <w:topLinePunct w:val="0"/>
              <w:bidi w:val="0"/>
              <w:spacing w:line="288"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DC3DCF2">
            <w:pPr>
              <w:pStyle w:val="27"/>
              <w:keepNext w:val="0"/>
              <w:keepLines w:val="0"/>
              <w:pageBreakBefore w:val="0"/>
              <w:wordWrap w:val="0"/>
              <w:overflowPunct/>
              <w:topLinePunct w:val="0"/>
              <w:bidi w:val="0"/>
              <w:spacing w:line="289"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674EC6F">
            <w:pPr>
              <w:keepNext w:val="0"/>
              <w:keepLines w:val="0"/>
              <w:pageBreakBefore w:val="0"/>
              <w:wordWrap w:val="0"/>
              <w:overflowPunct/>
              <w:topLinePunct w:val="0"/>
              <w:bidi w:val="0"/>
              <w:spacing w:before="62" w:line="229" w:lineRule="auto"/>
              <w:ind w:left="31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接收时间：</w:t>
            </w:r>
          </w:p>
        </w:tc>
        <w:tc>
          <w:tcPr>
            <w:tcW w:w="3408" w:type="dxa"/>
            <w:gridSpan w:val="3"/>
            <w:vAlign w:val="top"/>
          </w:tcPr>
          <w:p w14:paraId="14CF6FE5">
            <w:pPr>
              <w:pStyle w:val="27"/>
              <w:keepNext w:val="0"/>
              <w:keepLines w:val="0"/>
              <w:pageBreakBefore w:val="0"/>
              <w:wordWrap w:val="0"/>
              <w:overflowPunct/>
              <w:topLinePunct w:val="0"/>
              <w:bidi w:val="0"/>
              <w:spacing w:line="288"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D2D58A7">
            <w:pPr>
              <w:pStyle w:val="27"/>
              <w:keepNext w:val="0"/>
              <w:keepLines w:val="0"/>
              <w:pageBreakBefore w:val="0"/>
              <w:wordWrap w:val="0"/>
              <w:overflowPunct/>
              <w:topLinePunct w:val="0"/>
              <w:bidi w:val="0"/>
              <w:spacing w:line="289"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705600D0">
            <w:pPr>
              <w:keepNext w:val="0"/>
              <w:keepLines w:val="0"/>
              <w:pageBreakBefore w:val="0"/>
              <w:wordWrap w:val="0"/>
              <w:overflowPunct/>
              <w:topLinePunct w:val="0"/>
              <w:bidi w:val="0"/>
              <w:spacing w:before="62" w:line="229" w:lineRule="auto"/>
              <w:ind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年   月   日   时  分</w:t>
            </w:r>
          </w:p>
        </w:tc>
      </w:tr>
      <w:tr w14:paraId="25E6CF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2624" w:type="dxa"/>
            <w:gridSpan w:val="2"/>
            <w:vAlign w:val="top"/>
          </w:tcPr>
          <w:p w14:paraId="2EB55666">
            <w:pPr>
              <w:keepNext w:val="0"/>
              <w:keepLines w:val="0"/>
              <w:pageBreakBefore w:val="0"/>
              <w:wordWrap w:val="0"/>
              <w:overflowPunct/>
              <w:topLinePunct w:val="0"/>
              <w:bidi w:val="0"/>
              <w:spacing w:before="155" w:line="240" w:lineRule="auto"/>
              <w:ind w:left="861" w:right="153" w:hanging="69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退还原件接收人</w:t>
            </w:r>
          </w:p>
          <w:p w14:paraId="1CDD5251">
            <w:pPr>
              <w:keepNext w:val="0"/>
              <w:keepLines w:val="0"/>
              <w:pageBreakBefore w:val="0"/>
              <w:wordWrap w:val="0"/>
              <w:overflowPunct/>
              <w:topLinePunct w:val="0"/>
              <w:bidi w:val="0"/>
              <w:spacing w:before="155" w:line="240" w:lineRule="auto"/>
              <w:ind w:left="861" w:right="153" w:hanging="69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w:t>
            </w:r>
          </w:p>
        </w:tc>
        <w:tc>
          <w:tcPr>
            <w:tcW w:w="1725" w:type="dxa"/>
            <w:vAlign w:val="top"/>
          </w:tcPr>
          <w:p w14:paraId="66FA3EB1">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683" w:type="dxa"/>
            <w:gridSpan w:val="2"/>
            <w:vAlign w:val="top"/>
          </w:tcPr>
          <w:p w14:paraId="37AC43BC">
            <w:pPr>
              <w:pStyle w:val="27"/>
              <w:keepNext w:val="0"/>
              <w:keepLines w:val="0"/>
              <w:pageBreakBefore w:val="0"/>
              <w:wordWrap w:val="0"/>
              <w:overflowPunct/>
              <w:topLinePunct w:val="0"/>
              <w:bidi w:val="0"/>
              <w:spacing w:line="33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C24FA50">
            <w:pPr>
              <w:keepNext w:val="0"/>
              <w:keepLines w:val="0"/>
              <w:pageBreakBefore w:val="0"/>
              <w:wordWrap w:val="0"/>
              <w:overflowPunct/>
              <w:topLinePunct w:val="0"/>
              <w:bidi w:val="0"/>
              <w:spacing w:before="61" w:line="231" w:lineRule="auto"/>
              <w:ind w:left="31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退还时间：</w:t>
            </w:r>
          </w:p>
        </w:tc>
        <w:tc>
          <w:tcPr>
            <w:tcW w:w="3408" w:type="dxa"/>
            <w:gridSpan w:val="3"/>
            <w:vAlign w:val="top"/>
          </w:tcPr>
          <w:p w14:paraId="7DD435CD">
            <w:pPr>
              <w:pStyle w:val="27"/>
              <w:keepNext w:val="0"/>
              <w:keepLines w:val="0"/>
              <w:pageBreakBefore w:val="0"/>
              <w:wordWrap w:val="0"/>
              <w:overflowPunct/>
              <w:topLinePunct w:val="0"/>
              <w:bidi w:val="0"/>
              <w:spacing w:line="33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83946A7">
            <w:pPr>
              <w:keepNext w:val="0"/>
              <w:keepLines w:val="0"/>
              <w:pageBreakBefore w:val="0"/>
              <w:wordWrap w:val="0"/>
              <w:overflowPunct/>
              <w:topLinePunct w:val="0"/>
              <w:bidi w:val="0"/>
              <w:spacing w:before="62" w:line="229" w:lineRule="auto"/>
              <w:ind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年   月   日  时   分</w:t>
            </w:r>
          </w:p>
        </w:tc>
      </w:tr>
    </w:tbl>
    <w:p w14:paraId="7FF2268B">
      <w:pPr>
        <w:keepNext w:val="0"/>
        <w:keepLines w:val="0"/>
        <w:pageBreakBefore w:val="0"/>
        <w:wordWrap w:val="0"/>
        <w:overflowPunct/>
        <w:topLinePunct w:val="0"/>
        <w:bidi w:val="0"/>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79" w:name="bookmark107"/>
      <w:bookmarkEnd w:id="279"/>
      <w:r>
        <w:rPr>
          <w:rFonts w:hint="eastAsia" w:ascii="宋体" w:hAnsi="宋体" w:eastAsia="宋体" w:cs="宋体"/>
          <w:b/>
          <w:bCs/>
          <w:color w:val="000000" w:themeColor="text1"/>
          <w:spacing w:val="0"/>
          <w:sz w:val="24"/>
          <w:szCs w:val="24"/>
          <w:highlight w:val="none"/>
          <w14:textFill>
            <w14:solidFill>
              <w14:schemeClr w14:val="tx1"/>
            </w14:solidFill>
          </w14:textFill>
        </w:rPr>
        <w:br w:type="page"/>
      </w:r>
    </w:p>
    <w:p w14:paraId="4B0574CF">
      <w:pPr>
        <w:pStyle w:val="53"/>
        <w:snapToGrid w:val="0"/>
        <w:spacing w:line="440" w:lineRule="exact"/>
        <w:ind w:firstLine="0"/>
        <w:outlineLvl w:val="2"/>
        <w:rPr>
          <w:rStyle w:val="26"/>
          <w:rFonts w:hint="eastAsia" w:ascii="Times New Roman" w:hAnsi="宋体"/>
          <w:b/>
          <w:bCs/>
          <w:color w:val="000000" w:themeColor="text1"/>
          <w:sz w:val="21"/>
          <w:szCs w:val="21"/>
          <w:highlight w:val="none"/>
          <w14:textFill>
            <w14:solidFill>
              <w14:schemeClr w14:val="tx1"/>
            </w14:solidFill>
          </w14:textFill>
        </w:rPr>
      </w:pPr>
      <w:bookmarkStart w:id="280" w:name="_Toc26911"/>
      <w:bookmarkStart w:id="281" w:name="_Toc26133"/>
      <w:bookmarkStart w:id="282" w:name="_Toc29477"/>
      <w:bookmarkStart w:id="283" w:name="_Toc22112"/>
      <w:r>
        <w:rPr>
          <w:rStyle w:val="26"/>
          <w:rFonts w:hint="eastAsia" w:ascii="Times New Roman" w:hAnsi="宋体" w:eastAsia="Arial" w:cs="Arial"/>
          <w:b/>
          <w:bCs/>
          <w:snapToGrid w:val="0"/>
          <w:color w:val="000000" w:themeColor="text1"/>
          <w:kern w:val="2"/>
          <w:sz w:val="21"/>
          <w:szCs w:val="21"/>
          <w:highlight w:val="none"/>
          <w:lang w:eastAsia="en-US"/>
          <w14:textFill>
            <w14:solidFill>
              <w14:schemeClr w14:val="tx1"/>
            </w14:solidFill>
          </w14:textFill>
        </w:rPr>
        <w:t>格式十六 定标因素评审资料</w:t>
      </w:r>
      <w:bookmarkEnd w:id="280"/>
      <w:bookmarkEnd w:id="281"/>
      <w:bookmarkEnd w:id="282"/>
      <w:bookmarkEnd w:id="283"/>
    </w:p>
    <w:p w14:paraId="3FDDD85F">
      <w:pPr>
        <w:kinsoku/>
        <w:autoSpaceDE/>
        <w:autoSpaceDN/>
        <w:adjustRightInd/>
        <w:snapToGrid/>
        <w:spacing w:line="500" w:lineRule="exact"/>
        <w:jc w:val="center"/>
        <w:rPr>
          <w:rFonts w:hint="eastAsia" w:ascii="宋体" w:hAnsi="宋体" w:eastAsia="宋体" w:cs="宋体"/>
          <w:b/>
          <w:bCs/>
          <w:snapToGrid/>
          <w:color w:val="000000" w:themeColor="text1"/>
          <w:kern w:val="2"/>
          <w:sz w:val="30"/>
          <w:szCs w:val="30"/>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定标因素评审资料</w:t>
      </w:r>
    </w:p>
    <w:p w14:paraId="6DCF793B">
      <w:pPr>
        <w:kinsoku/>
        <w:autoSpaceDE/>
        <w:autoSpaceDN/>
        <w:adjustRightInd/>
        <w:snapToGrid/>
        <w:spacing w:line="360" w:lineRule="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p>
    <w:p w14:paraId="7AB4D12E">
      <w:pPr>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投标人根据“第一章 第五节 定标规定及细则”载明的定标因素，提交评审资料。</w:t>
      </w:r>
    </w:p>
    <w:p w14:paraId="1A80573E">
      <w:pPr>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br w:type="page"/>
      </w:r>
    </w:p>
    <w:p w14:paraId="3E438A30">
      <w:pPr>
        <w:keepNext w:val="0"/>
        <w:keepLines w:val="0"/>
        <w:pageBreakBefore w:val="0"/>
        <w:wordWrap w:val="0"/>
        <w:overflowPunct/>
        <w:topLinePunct w:val="0"/>
        <w:bidi w:val="0"/>
        <w:spacing w:before="78" w:line="219" w:lineRule="auto"/>
        <w:jc w:val="center"/>
        <w:outlineLvl w:val="1"/>
        <w:rPr>
          <w:rFonts w:hint="eastAsia" w:ascii="宋体" w:hAnsi="宋体" w:eastAsia="宋体" w:cs="宋体"/>
          <w:color w:val="000000" w:themeColor="text1"/>
          <w:spacing w:val="0"/>
          <w:highlight w:val="none"/>
          <w14:textFill>
            <w14:solidFill>
              <w14:schemeClr w14:val="tx1"/>
            </w14:solidFill>
          </w14:textFill>
        </w:rPr>
      </w:pPr>
      <w:bookmarkStart w:id="284" w:name="_Toc8487"/>
      <w:r>
        <w:rPr>
          <w:rFonts w:hint="eastAsia" w:ascii="宋体" w:hAnsi="宋体" w:eastAsia="宋体" w:cs="宋体"/>
          <w:b/>
          <w:bCs/>
          <w:color w:val="000000" w:themeColor="text1"/>
          <w:spacing w:val="0"/>
          <w:sz w:val="24"/>
          <w:szCs w:val="24"/>
          <w:highlight w:val="none"/>
          <w14:textFill>
            <w14:solidFill>
              <w14:schemeClr w14:val="tx1"/>
            </w14:solidFill>
          </w14:textFill>
        </w:rPr>
        <w:t>第七章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建设工程施工合同</w:t>
      </w:r>
      <w:bookmarkEnd w:id="284"/>
    </w:p>
    <w:p w14:paraId="0F14ACDF">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151CC36E">
      <w:pPr>
        <w:keepNext w:val="0"/>
        <w:keepLines w:val="0"/>
        <w:pageBreakBefore w:val="0"/>
        <w:wordWrap w:val="0"/>
        <w:overflowPunct/>
        <w:topLinePunct w:val="0"/>
        <w:bidi w:val="0"/>
        <w:spacing w:before="78" w:line="324" w:lineRule="auto"/>
        <w:ind w:firstLine="4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（略），按《广东省建设工程标准施工合同》（2009 年版）或《建设工程施工合同（示范文本）》（GF—2017—0201）执行。</w:t>
      </w:r>
    </w:p>
    <w:p w14:paraId="01801F5B">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sectPr>
      <w:footerReference r:id="rId26"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0A288">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6E4A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0A77C8">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00A77C8">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A2642">
    <w:pPr>
      <w:spacing w:line="179" w:lineRule="auto"/>
      <w:ind w:left="4353"/>
      <w:rPr>
        <w:rFonts w:ascii="宋体" w:hAnsi="宋体" w:eastAsia="宋体" w:cs="宋体"/>
        <w:sz w:val="19"/>
        <w:szCs w:val="19"/>
      </w:rPr>
    </w:pPr>
    <w:r>
      <w:rPr>
        <w:sz w:val="19"/>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53644F">
                          <w:pPr>
                            <w:pStyle w:val="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B53644F">
                    <w:pPr>
                      <w:pStyle w:val="8"/>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ascii="宋体" w:hAnsi="宋体" w:eastAsia="宋体" w:cs="宋体"/>
        <w:sz w:val="19"/>
        <w:szCs w:val="19"/>
        <w:lang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6D71C">
    <w:pPr>
      <w:pStyle w:val="8"/>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4F71FC">
                          <w:pPr>
                            <w:pStyle w:val="8"/>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D4F71FC">
                    <w:pPr>
                      <w:pStyle w:val="8"/>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83137">
    <w:pPr>
      <w:pStyle w:val="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B65B2D">
                          <w:pPr>
                            <w:pStyle w:val="8"/>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2B65B2D">
                    <w:pPr>
                      <w:pStyle w:val="8"/>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1E147">
    <w:pPr>
      <w:pStyle w:val="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0DBAC9">
                          <w:pPr>
                            <w:pStyle w:val="8"/>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40DBAC9">
                    <w:pPr>
                      <w:pStyle w:val="8"/>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BFC2D">
    <w:pPr>
      <w:pStyle w:val="8"/>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091286">
                          <w:pPr>
                            <w:pStyle w:val="8"/>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F091286">
                    <w:pPr>
                      <w:pStyle w:val="8"/>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DF844">
    <w:pPr>
      <w:pStyle w:val="8"/>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DB81C9">
                          <w:pPr>
                            <w:pStyle w:val="8"/>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8DB81C9">
                    <w:pPr>
                      <w:pStyle w:val="8"/>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67EE6">
    <w:pPr>
      <w:pStyle w:val="8"/>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B08799">
                          <w:pPr>
                            <w:pStyle w:val="8"/>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23B08799">
                    <w:pPr>
                      <w:pStyle w:val="8"/>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111AF">
    <w:pPr>
      <w:pStyle w:val="8"/>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EB88D6">
                          <w:pPr>
                            <w:pStyle w:val="8"/>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4AEB88D6">
                    <w:pPr>
                      <w:pStyle w:val="8"/>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B3D4B">
    <w:pPr>
      <w:pStyle w:val="8"/>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C9540B">
                          <w:pPr>
                            <w:pStyle w:val="8"/>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15C9540B">
                    <w:pPr>
                      <w:pStyle w:val="8"/>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CA7E8">
    <w:pPr>
      <w:pStyle w:val="8"/>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FA68BB">
                          <w:pPr>
                            <w:pStyle w:val="8"/>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BFA68BB">
                    <w:pPr>
                      <w:pStyle w:val="8"/>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B6E0A">
    <w:pPr>
      <w:pStyle w:val="8"/>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5CEF52">
                          <w:pPr>
                            <w:pStyle w:val="8"/>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755CEF52">
                    <w:pPr>
                      <w:pStyle w:val="8"/>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D6CBA">
    <w:pPr>
      <w:pStyle w:val="8"/>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393DF6">
                          <w:pPr>
                            <w:pStyle w:val="8"/>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4C393DF6">
                    <w:pPr>
                      <w:pStyle w:val="8"/>
                    </w:pPr>
                    <w:r>
                      <w:fldChar w:fldCharType="begin"/>
                    </w:r>
                    <w:r>
                      <w:instrText xml:space="preserve"> PAGE  \* MERGEFORMAT </w:instrText>
                    </w:r>
                    <w:r>
                      <w:fldChar w:fldCharType="separate"/>
                    </w:r>
                    <w:r>
                      <w:t>67</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4F25A">
    <w:pPr>
      <w:pStyle w:val="8"/>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158473">
                          <w:pPr>
                            <w:pStyle w:val="8"/>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15158473">
                    <w:pPr>
                      <w:pStyle w:val="8"/>
                    </w:pPr>
                    <w:r>
                      <w:fldChar w:fldCharType="begin"/>
                    </w:r>
                    <w:r>
                      <w:instrText xml:space="preserve"> PAGE  \* MERGEFORMAT </w:instrText>
                    </w:r>
                    <w:r>
                      <w:fldChar w:fldCharType="separate"/>
                    </w:r>
                    <w:r>
                      <w:t>69</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3A765">
    <w:pPr>
      <w:pStyle w:val="8"/>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68E82C">
                          <w:pPr>
                            <w:pStyle w:val="8"/>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4A68E82C">
                    <w:pPr>
                      <w:pStyle w:val="8"/>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30510">
    <w:pPr>
      <w:pStyle w:val="8"/>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235F8D">
                          <w:pPr>
                            <w:pStyle w:val="8"/>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16235F8D">
                    <w:pPr>
                      <w:pStyle w:val="8"/>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0073A">
    <w:pPr>
      <w:pStyle w:val="8"/>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16AC4E">
                          <w:pPr>
                            <w:pStyle w:val="8"/>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3B16AC4E">
                    <w:pPr>
                      <w:pStyle w:val="8"/>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FF30B">
    <w:pPr>
      <w:pStyle w:val="8"/>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8FFB92">
                          <w:pPr>
                            <w:pStyle w:val="8"/>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388FFB92">
                    <w:pPr>
                      <w:pStyle w:val="8"/>
                    </w:pPr>
                    <w:r>
                      <w:fldChar w:fldCharType="begin"/>
                    </w:r>
                    <w:r>
                      <w:instrText xml:space="preserve"> PAGE  \* MERGEFORMAT </w:instrText>
                    </w:r>
                    <w:r>
                      <w:fldChar w:fldCharType="separate"/>
                    </w:r>
                    <w:r>
                      <w:t>74</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4F5C4">
    <w:pPr>
      <w:pStyle w:val="8"/>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40A844">
                          <w:pPr>
                            <w:pStyle w:val="8"/>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7F40A844">
                    <w:pPr>
                      <w:pStyle w:val="8"/>
                    </w:pPr>
                    <w:r>
                      <w:fldChar w:fldCharType="begin"/>
                    </w:r>
                    <w:r>
                      <w:instrText xml:space="preserve"> PAGE  \* MERGEFORMAT </w:instrText>
                    </w:r>
                    <w:r>
                      <w:fldChar w:fldCharType="separate"/>
                    </w:r>
                    <w:r>
                      <w:t>80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2A64E">
    <w:pPr>
      <w:pStyle w:val="5"/>
      <w:spacing w:line="50"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A3C7A">
    <w:pPr>
      <w:pStyle w:val="5"/>
      <w:spacing w:line="50"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2D440">
    <w:pPr>
      <w:pStyle w:val="5"/>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978D7">
    <w:pPr>
      <w:pStyle w:val="5"/>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C9BDCA"/>
    <w:multiLevelType w:val="singleLevel"/>
    <w:tmpl w:val="E6C9BDCA"/>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VkZmUxYzUwZTk0YWQ4OWIxZDY5YjRhZmIwMjUzNzMifQ=="/>
  </w:docVars>
  <w:rsids>
    <w:rsidRoot w:val="4F582EF7"/>
    <w:rsid w:val="000D6A89"/>
    <w:rsid w:val="0012211A"/>
    <w:rsid w:val="003F512F"/>
    <w:rsid w:val="00473031"/>
    <w:rsid w:val="004F4B45"/>
    <w:rsid w:val="00D61DC8"/>
    <w:rsid w:val="00E53F8E"/>
    <w:rsid w:val="00F661CB"/>
    <w:rsid w:val="010D6029"/>
    <w:rsid w:val="01203FAE"/>
    <w:rsid w:val="012A2737"/>
    <w:rsid w:val="013C246A"/>
    <w:rsid w:val="013F232E"/>
    <w:rsid w:val="014B09BB"/>
    <w:rsid w:val="014C6B51"/>
    <w:rsid w:val="016471F9"/>
    <w:rsid w:val="01916C5A"/>
    <w:rsid w:val="01995B0E"/>
    <w:rsid w:val="019A0A09"/>
    <w:rsid w:val="01B841E6"/>
    <w:rsid w:val="01D95F0B"/>
    <w:rsid w:val="01DB7ED5"/>
    <w:rsid w:val="01E5225A"/>
    <w:rsid w:val="02337D11"/>
    <w:rsid w:val="026E699E"/>
    <w:rsid w:val="0273635F"/>
    <w:rsid w:val="02AA30B8"/>
    <w:rsid w:val="02B7625C"/>
    <w:rsid w:val="02BF0C55"/>
    <w:rsid w:val="03091250"/>
    <w:rsid w:val="032C4E8C"/>
    <w:rsid w:val="0358304C"/>
    <w:rsid w:val="03696A9E"/>
    <w:rsid w:val="037C563F"/>
    <w:rsid w:val="0391457A"/>
    <w:rsid w:val="039E06FB"/>
    <w:rsid w:val="03B524C9"/>
    <w:rsid w:val="03C5042E"/>
    <w:rsid w:val="03E26ED3"/>
    <w:rsid w:val="04021749"/>
    <w:rsid w:val="041A2998"/>
    <w:rsid w:val="041A2F36"/>
    <w:rsid w:val="04200D92"/>
    <w:rsid w:val="043C0BB8"/>
    <w:rsid w:val="04540333"/>
    <w:rsid w:val="046917C8"/>
    <w:rsid w:val="048719B2"/>
    <w:rsid w:val="04B51863"/>
    <w:rsid w:val="04B67F25"/>
    <w:rsid w:val="04BF763A"/>
    <w:rsid w:val="04C07235"/>
    <w:rsid w:val="04C52712"/>
    <w:rsid w:val="04C93D12"/>
    <w:rsid w:val="04C95B8C"/>
    <w:rsid w:val="04CE00F8"/>
    <w:rsid w:val="05031C1C"/>
    <w:rsid w:val="05654685"/>
    <w:rsid w:val="05E30CAA"/>
    <w:rsid w:val="05E732EC"/>
    <w:rsid w:val="05EC614B"/>
    <w:rsid w:val="05FE0636"/>
    <w:rsid w:val="0633208D"/>
    <w:rsid w:val="06342423"/>
    <w:rsid w:val="063C112F"/>
    <w:rsid w:val="066642EF"/>
    <w:rsid w:val="066C1D20"/>
    <w:rsid w:val="066E18CA"/>
    <w:rsid w:val="069B537E"/>
    <w:rsid w:val="06B156A8"/>
    <w:rsid w:val="06B9200C"/>
    <w:rsid w:val="06C70A28"/>
    <w:rsid w:val="06C929F2"/>
    <w:rsid w:val="06E67100"/>
    <w:rsid w:val="06EE2458"/>
    <w:rsid w:val="07133987"/>
    <w:rsid w:val="071C3295"/>
    <w:rsid w:val="073360BD"/>
    <w:rsid w:val="074B3407"/>
    <w:rsid w:val="07A1396F"/>
    <w:rsid w:val="07A71DAB"/>
    <w:rsid w:val="07B90CB8"/>
    <w:rsid w:val="07CA36B7"/>
    <w:rsid w:val="07EC510E"/>
    <w:rsid w:val="08000695"/>
    <w:rsid w:val="082A5712"/>
    <w:rsid w:val="083D3697"/>
    <w:rsid w:val="08412974"/>
    <w:rsid w:val="085602B5"/>
    <w:rsid w:val="087E6262"/>
    <w:rsid w:val="08B35707"/>
    <w:rsid w:val="08C55606"/>
    <w:rsid w:val="08CD7283"/>
    <w:rsid w:val="08DB07BA"/>
    <w:rsid w:val="08EB6C4F"/>
    <w:rsid w:val="08FC70AE"/>
    <w:rsid w:val="0908136C"/>
    <w:rsid w:val="09120B77"/>
    <w:rsid w:val="092D5890"/>
    <w:rsid w:val="094817DD"/>
    <w:rsid w:val="09692AB6"/>
    <w:rsid w:val="09695CAE"/>
    <w:rsid w:val="09AD381B"/>
    <w:rsid w:val="09C339A8"/>
    <w:rsid w:val="09F06AB0"/>
    <w:rsid w:val="09FA34EB"/>
    <w:rsid w:val="0A182626"/>
    <w:rsid w:val="0A2763AD"/>
    <w:rsid w:val="0A581BBF"/>
    <w:rsid w:val="0A620AA0"/>
    <w:rsid w:val="0A62467A"/>
    <w:rsid w:val="0A7D4664"/>
    <w:rsid w:val="0A7F29CE"/>
    <w:rsid w:val="0AC57974"/>
    <w:rsid w:val="0ACC2AB1"/>
    <w:rsid w:val="0AD33307"/>
    <w:rsid w:val="0ADA523C"/>
    <w:rsid w:val="0AEE3BCC"/>
    <w:rsid w:val="0AF8049C"/>
    <w:rsid w:val="0AFA761E"/>
    <w:rsid w:val="0AFB0342"/>
    <w:rsid w:val="0B094DFD"/>
    <w:rsid w:val="0B3866B7"/>
    <w:rsid w:val="0B3B5F5C"/>
    <w:rsid w:val="0B644CDF"/>
    <w:rsid w:val="0BB9622B"/>
    <w:rsid w:val="0BD240F7"/>
    <w:rsid w:val="0BE1277B"/>
    <w:rsid w:val="0C0A3890"/>
    <w:rsid w:val="0C120997"/>
    <w:rsid w:val="0C350433"/>
    <w:rsid w:val="0C3D67FB"/>
    <w:rsid w:val="0C4153D2"/>
    <w:rsid w:val="0C4E3A2A"/>
    <w:rsid w:val="0CA07D76"/>
    <w:rsid w:val="0CA247B5"/>
    <w:rsid w:val="0CC51EAD"/>
    <w:rsid w:val="0CEB3524"/>
    <w:rsid w:val="0CED0068"/>
    <w:rsid w:val="0CFE2CC9"/>
    <w:rsid w:val="0D0364DD"/>
    <w:rsid w:val="0D03679A"/>
    <w:rsid w:val="0D410E67"/>
    <w:rsid w:val="0D786450"/>
    <w:rsid w:val="0DB97443"/>
    <w:rsid w:val="0DCB0DFD"/>
    <w:rsid w:val="0DD203DE"/>
    <w:rsid w:val="0DDC125D"/>
    <w:rsid w:val="0DF525DE"/>
    <w:rsid w:val="0DF61CE0"/>
    <w:rsid w:val="0DF96CCF"/>
    <w:rsid w:val="0E122ED0"/>
    <w:rsid w:val="0E1E1875"/>
    <w:rsid w:val="0E2579C3"/>
    <w:rsid w:val="0E54719F"/>
    <w:rsid w:val="0E8E37ED"/>
    <w:rsid w:val="0E925DBF"/>
    <w:rsid w:val="0EAF2E14"/>
    <w:rsid w:val="0EBC0E48"/>
    <w:rsid w:val="0ECF0348"/>
    <w:rsid w:val="0EDB59B8"/>
    <w:rsid w:val="0EE40AE9"/>
    <w:rsid w:val="0EF30E7F"/>
    <w:rsid w:val="0EFE54A8"/>
    <w:rsid w:val="0F1B4006"/>
    <w:rsid w:val="0F312AB7"/>
    <w:rsid w:val="0F4920A4"/>
    <w:rsid w:val="0F693ECA"/>
    <w:rsid w:val="0FB35FED"/>
    <w:rsid w:val="0FB775B8"/>
    <w:rsid w:val="0FF44D8A"/>
    <w:rsid w:val="103425BC"/>
    <w:rsid w:val="10433815"/>
    <w:rsid w:val="10484987"/>
    <w:rsid w:val="105858FC"/>
    <w:rsid w:val="1069143D"/>
    <w:rsid w:val="108156F9"/>
    <w:rsid w:val="108403E2"/>
    <w:rsid w:val="109275A9"/>
    <w:rsid w:val="10945E1E"/>
    <w:rsid w:val="10C15734"/>
    <w:rsid w:val="10E2541E"/>
    <w:rsid w:val="10E36DA6"/>
    <w:rsid w:val="110D36CE"/>
    <w:rsid w:val="11183B29"/>
    <w:rsid w:val="11533574"/>
    <w:rsid w:val="11785740"/>
    <w:rsid w:val="117874EE"/>
    <w:rsid w:val="117A18FA"/>
    <w:rsid w:val="1183141E"/>
    <w:rsid w:val="11862732"/>
    <w:rsid w:val="118F278E"/>
    <w:rsid w:val="119105B0"/>
    <w:rsid w:val="11994D85"/>
    <w:rsid w:val="11A47985"/>
    <w:rsid w:val="11D80D88"/>
    <w:rsid w:val="11F50B3F"/>
    <w:rsid w:val="120B3EBE"/>
    <w:rsid w:val="12906AB9"/>
    <w:rsid w:val="12B46AE6"/>
    <w:rsid w:val="12C7072D"/>
    <w:rsid w:val="12E60B15"/>
    <w:rsid w:val="12E7492B"/>
    <w:rsid w:val="12E74FC1"/>
    <w:rsid w:val="12F27F6E"/>
    <w:rsid w:val="12F53397"/>
    <w:rsid w:val="131A26A8"/>
    <w:rsid w:val="132A4818"/>
    <w:rsid w:val="13313DF9"/>
    <w:rsid w:val="133D279D"/>
    <w:rsid w:val="13842E04"/>
    <w:rsid w:val="1385172F"/>
    <w:rsid w:val="13AC5F03"/>
    <w:rsid w:val="13AD4B58"/>
    <w:rsid w:val="13B14A56"/>
    <w:rsid w:val="13B36C86"/>
    <w:rsid w:val="13C438FA"/>
    <w:rsid w:val="13E34C75"/>
    <w:rsid w:val="140D46BB"/>
    <w:rsid w:val="14141B79"/>
    <w:rsid w:val="147C72F5"/>
    <w:rsid w:val="148650F4"/>
    <w:rsid w:val="14A01146"/>
    <w:rsid w:val="14DF394F"/>
    <w:rsid w:val="1505553D"/>
    <w:rsid w:val="150579F2"/>
    <w:rsid w:val="150D2643"/>
    <w:rsid w:val="15192D96"/>
    <w:rsid w:val="155663AB"/>
    <w:rsid w:val="15575392"/>
    <w:rsid w:val="15674B8D"/>
    <w:rsid w:val="15B605E5"/>
    <w:rsid w:val="15BC5601"/>
    <w:rsid w:val="15DC13FE"/>
    <w:rsid w:val="15F3699E"/>
    <w:rsid w:val="16005D04"/>
    <w:rsid w:val="16157A01"/>
    <w:rsid w:val="161F618A"/>
    <w:rsid w:val="16223ECC"/>
    <w:rsid w:val="162C256D"/>
    <w:rsid w:val="16351E52"/>
    <w:rsid w:val="16371982"/>
    <w:rsid w:val="16737FC1"/>
    <w:rsid w:val="16BF171B"/>
    <w:rsid w:val="16C60CFC"/>
    <w:rsid w:val="16DF591A"/>
    <w:rsid w:val="1722468F"/>
    <w:rsid w:val="172C4685"/>
    <w:rsid w:val="173157BB"/>
    <w:rsid w:val="175C172B"/>
    <w:rsid w:val="1767428D"/>
    <w:rsid w:val="17707100"/>
    <w:rsid w:val="1776627E"/>
    <w:rsid w:val="17C50FB3"/>
    <w:rsid w:val="17EA767E"/>
    <w:rsid w:val="181E51C8"/>
    <w:rsid w:val="18226406"/>
    <w:rsid w:val="182A472E"/>
    <w:rsid w:val="182F6009"/>
    <w:rsid w:val="1862610F"/>
    <w:rsid w:val="18710487"/>
    <w:rsid w:val="188B4D90"/>
    <w:rsid w:val="18AE7C99"/>
    <w:rsid w:val="18C06D07"/>
    <w:rsid w:val="18C13F1E"/>
    <w:rsid w:val="18D45952"/>
    <w:rsid w:val="18E16A7D"/>
    <w:rsid w:val="190B3062"/>
    <w:rsid w:val="192D6E10"/>
    <w:rsid w:val="192E77AB"/>
    <w:rsid w:val="19355CC5"/>
    <w:rsid w:val="19597C05"/>
    <w:rsid w:val="1963464B"/>
    <w:rsid w:val="197764F6"/>
    <w:rsid w:val="19AA7BE3"/>
    <w:rsid w:val="19C3794D"/>
    <w:rsid w:val="1A200723"/>
    <w:rsid w:val="1A277D03"/>
    <w:rsid w:val="1A2C70C8"/>
    <w:rsid w:val="1A3A6836"/>
    <w:rsid w:val="1A4A3FE0"/>
    <w:rsid w:val="1A5B5BFF"/>
    <w:rsid w:val="1A6040D2"/>
    <w:rsid w:val="1A6E5932"/>
    <w:rsid w:val="1A845156"/>
    <w:rsid w:val="1A9521AB"/>
    <w:rsid w:val="1AE57555"/>
    <w:rsid w:val="1B2B0B2B"/>
    <w:rsid w:val="1B9C202B"/>
    <w:rsid w:val="1BB32838"/>
    <w:rsid w:val="1BC25F36"/>
    <w:rsid w:val="1BCD48DA"/>
    <w:rsid w:val="1C116575"/>
    <w:rsid w:val="1C2A3ADB"/>
    <w:rsid w:val="1C324211"/>
    <w:rsid w:val="1C441279"/>
    <w:rsid w:val="1C623275"/>
    <w:rsid w:val="1C7F3E27"/>
    <w:rsid w:val="1C977356"/>
    <w:rsid w:val="1CEE68B6"/>
    <w:rsid w:val="1CFE11EF"/>
    <w:rsid w:val="1D1C4C74"/>
    <w:rsid w:val="1D4666F2"/>
    <w:rsid w:val="1D526E45"/>
    <w:rsid w:val="1D807E56"/>
    <w:rsid w:val="1DAB6BCE"/>
    <w:rsid w:val="1DC85359"/>
    <w:rsid w:val="1DED3012"/>
    <w:rsid w:val="1DFB74DD"/>
    <w:rsid w:val="1E02178A"/>
    <w:rsid w:val="1E193F3A"/>
    <w:rsid w:val="1E3B5065"/>
    <w:rsid w:val="1E3B5B2B"/>
    <w:rsid w:val="1E491296"/>
    <w:rsid w:val="1E504393"/>
    <w:rsid w:val="1E544E3F"/>
    <w:rsid w:val="1E5D49E3"/>
    <w:rsid w:val="1E6432D4"/>
    <w:rsid w:val="1E7D3C36"/>
    <w:rsid w:val="1E9F430C"/>
    <w:rsid w:val="1EB53B18"/>
    <w:rsid w:val="1EBD4792"/>
    <w:rsid w:val="1EE461C3"/>
    <w:rsid w:val="1F2962CC"/>
    <w:rsid w:val="1F297E9B"/>
    <w:rsid w:val="1F3C3740"/>
    <w:rsid w:val="1F487665"/>
    <w:rsid w:val="1F4E5D32"/>
    <w:rsid w:val="1F5E1AA4"/>
    <w:rsid w:val="1F683A66"/>
    <w:rsid w:val="1F793D64"/>
    <w:rsid w:val="1F82221D"/>
    <w:rsid w:val="1FA6791C"/>
    <w:rsid w:val="1FB65DB1"/>
    <w:rsid w:val="1FDA1374"/>
    <w:rsid w:val="20210F16"/>
    <w:rsid w:val="203767C6"/>
    <w:rsid w:val="2039253E"/>
    <w:rsid w:val="205C7FDB"/>
    <w:rsid w:val="206770AC"/>
    <w:rsid w:val="206C2F78"/>
    <w:rsid w:val="208714FC"/>
    <w:rsid w:val="20AD68C4"/>
    <w:rsid w:val="20B41F4E"/>
    <w:rsid w:val="20B73CE8"/>
    <w:rsid w:val="20CB1F07"/>
    <w:rsid w:val="20E76E0C"/>
    <w:rsid w:val="21244F9D"/>
    <w:rsid w:val="216E1E9C"/>
    <w:rsid w:val="218B6DCA"/>
    <w:rsid w:val="220C2760"/>
    <w:rsid w:val="2211309A"/>
    <w:rsid w:val="222C2B90"/>
    <w:rsid w:val="22457E73"/>
    <w:rsid w:val="224726A9"/>
    <w:rsid w:val="2248233E"/>
    <w:rsid w:val="22592440"/>
    <w:rsid w:val="22614D52"/>
    <w:rsid w:val="227D2BB6"/>
    <w:rsid w:val="229E3272"/>
    <w:rsid w:val="22C97BAA"/>
    <w:rsid w:val="22E70030"/>
    <w:rsid w:val="22EC3898"/>
    <w:rsid w:val="22F866E1"/>
    <w:rsid w:val="23260E04"/>
    <w:rsid w:val="233953DA"/>
    <w:rsid w:val="2345488C"/>
    <w:rsid w:val="234F2844"/>
    <w:rsid w:val="235102BE"/>
    <w:rsid w:val="23515DF1"/>
    <w:rsid w:val="237613B4"/>
    <w:rsid w:val="23790749"/>
    <w:rsid w:val="237B4B25"/>
    <w:rsid w:val="23834AD2"/>
    <w:rsid w:val="23931F66"/>
    <w:rsid w:val="24782AD4"/>
    <w:rsid w:val="2499362A"/>
    <w:rsid w:val="249C3951"/>
    <w:rsid w:val="249F17D3"/>
    <w:rsid w:val="24A10C0D"/>
    <w:rsid w:val="24A2425B"/>
    <w:rsid w:val="251351C1"/>
    <w:rsid w:val="251E59E0"/>
    <w:rsid w:val="254479BB"/>
    <w:rsid w:val="254C2D14"/>
    <w:rsid w:val="256D06AE"/>
    <w:rsid w:val="2582242A"/>
    <w:rsid w:val="259077D0"/>
    <w:rsid w:val="25AF7A72"/>
    <w:rsid w:val="25B20381"/>
    <w:rsid w:val="25CB3C39"/>
    <w:rsid w:val="25DB33C1"/>
    <w:rsid w:val="25F25669"/>
    <w:rsid w:val="260357AC"/>
    <w:rsid w:val="26081331"/>
    <w:rsid w:val="260B6FC2"/>
    <w:rsid w:val="2624159B"/>
    <w:rsid w:val="264763B7"/>
    <w:rsid w:val="266B541C"/>
    <w:rsid w:val="26727723"/>
    <w:rsid w:val="268B2A3A"/>
    <w:rsid w:val="268B3DAD"/>
    <w:rsid w:val="26A61FB0"/>
    <w:rsid w:val="26B13700"/>
    <w:rsid w:val="26E1530D"/>
    <w:rsid w:val="275131CB"/>
    <w:rsid w:val="277025E4"/>
    <w:rsid w:val="27734537"/>
    <w:rsid w:val="279B1E5B"/>
    <w:rsid w:val="27A54DB7"/>
    <w:rsid w:val="27BF3F2A"/>
    <w:rsid w:val="28035CB8"/>
    <w:rsid w:val="280F14ED"/>
    <w:rsid w:val="282B4E63"/>
    <w:rsid w:val="282B6C11"/>
    <w:rsid w:val="28541BD2"/>
    <w:rsid w:val="28884FF7"/>
    <w:rsid w:val="28B60B0F"/>
    <w:rsid w:val="28BC1F5F"/>
    <w:rsid w:val="28BC32AA"/>
    <w:rsid w:val="28E16404"/>
    <w:rsid w:val="28F60FCD"/>
    <w:rsid w:val="290F389D"/>
    <w:rsid w:val="291572CF"/>
    <w:rsid w:val="293033DF"/>
    <w:rsid w:val="293D2CA4"/>
    <w:rsid w:val="293E21D3"/>
    <w:rsid w:val="29567CBD"/>
    <w:rsid w:val="2962542C"/>
    <w:rsid w:val="296F1102"/>
    <w:rsid w:val="296F65CE"/>
    <w:rsid w:val="297C2ABA"/>
    <w:rsid w:val="29820AB2"/>
    <w:rsid w:val="298E56BA"/>
    <w:rsid w:val="299D769A"/>
    <w:rsid w:val="29A9794B"/>
    <w:rsid w:val="29CF181E"/>
    <w:rsid w:val="29D67050"/>
    <w:rsid w:val="2A557F75"/>
    <w:rsid w:val="2A58372E"/>
    <w:rsid w:val="2A7228D5"/>
    <w:rsid w:val="2A97233B"/>
    <w:rsid w:val="2AD73080"/>
    <w:rsid w:val="2B160E6F"/>
    <w:rsid w:val="2B351DFD"/>
    <w:rsid w:val="2B367172"/>
    <w:rsid w:val="2B784A6E"/>
    <w:rsid w:val="2B883EAF"/>
    <w:rsid w:val="2B9A7B07"/>
    <w:rsid w:val="2BAE2033"/>
    <w:rsid w:val="2BB37649"/>
    <w:rsid w:val="2BB82A63"/>
    <w:rsid w:val="2BC730F4"/>
    <w:rsid w:val="2BE42462"/>
    <w:rsid w:val="2BFA2F81"/>
    <w:rsid w:val="2BFD3113"/>
    <w:rsid w:val="2BFD6B16"/>
    <w:rsid w:val="2C0003B4"/>
    <w:rsid w:val="2C15160E"/>
    <w:rsid w:val="2C3A068B"/>
    <w:rsid w:val="2C4A1770"/>
    <w:rsid w:val="2CA156F3"/>
    <w:rsid w:val="2CBA1C4C"/>
    <w:rsid w:val="2D087FC0"/>
    <w:rsid w:val="2D236108"/>
    <w:rsid w:val="2D906B09"/>
    <w:rsid w:val="2D9C5EBB"/>
    <w:rsid w:val="2D9E1C33"/>
    <w:rsid w:val="2DAC0A59"/>
    <w:rsid w:val="2DC154FE"/>
    <w:rsid w:val="2DCE076A"/>
    <w:rsid w:val="2DF314FE"/>
    <w:rsid w:val="2E4D5985"/>
    <w:rsid w:val="2E620EB2"/>
    <w:rsid w:val="2E887C76"/>
    <w:rsid w:val="2E8A241A"/>
    <w:rsid w:val="2E8E7DCA"/>
    <w:rsid w:val="2E9A689E"/>
    <w:rsid w:val="2ED7388A"/>
    <w:rsid w:val="2EDD4BB1"/>
    <w:rsid w:val="2EE212D0"/>
    <w:rsid w:val="2F2729AC"/>
    <w:rsid w:val="2F3C0F4C"/>
    <w:rsid w:val="2F5A6566"/>
    <w:rsid w:val="2F7259B8"/>
    <w:rsid w:val="2F840E78"/>
    <w:rsid w:val="2FB82F9F"/>
    <w:rsid w:val="2FCC6F2B"/>
    <w:rsid w:val="2FE14784"/>
    <w:rsid w:val="2FE5383E"/>
    <w:rsid w:val="302A3C52"/>
    <w:rsid w:val="304E08DD"/>
    <w:rsid w:val="305F0957"/>
    <w:rsid w:val="306929CC"/>
    <w:rsid w:val="30E67B79"/>
    <w:rsid w:val="313C778B"/>
    <w:rsid w:val="319C13AD"/>
    <w:rsid w:val="31BB1005"/>
    <w:rsid w:val="31BF2D37"/>
    <w:rsid w:val="31D9592F"/>
    <w:rsid w:val="32105FF7"/>
    <w:rsid w:val="321A2D0F"/>
    <w:rsid w:val="322E1126"/>
    <w:rsid w:val="32414869"/>
    <w:rsid w:val="324D664C"/>
    <w:rsid w:val="32504AC8"/>
    <w:rsid w:val="32814191"/>
    <w:rsid w:val="32943604"/>
    <w:rsid w:val="32BE6EB2"/>
    <w:rsid w:val="32C616FD"/>
    <w:rsid w:val="32C7154E"/>
    <w:rsid w:val="32D46E8A"/>
    <w:rsid w:val="3317207A"/>
    <w:rsid w:val="331A6B7B"/>
    <w:rsid w:val="33204F95"/>
    <w:rsid w:val="33294383"/>
    <w:rsid w:val="33396D39"/>
    <w:rsid w:val="33643EF5"/>
    <w:rsid w:val="33D77C4D"/>
    <w:rsid w:val="33D80BF4"/>
    <w:rsid w:val="33E57C5B"/>
    <w:rsid w:val="340D366E"/>
    <w:rsid w:val="34124B0B"/>
    <w:rsid w:val="345705E4"/>
    <w:rsid w:val="346F60D7"/>
    <w:rsid w:val="348F605A"/>
    <w:rsid w:val="349B511E"/>
    <w:rsid w:val="34A357B5"/>
    <w:rsid w:val="34AA1521"/>
    <w:rsid w:val="34B1049E"/>
    <w:rsid w:val="34C22379"/>
    <w:rsid w:val="34CC177B"/>
    <w:rsid w:val="34D5735F"/>
    <w:rsid w:val="34D80120"/>
    <w:rsid w:val="34EF2E71"/>
    <w:rsid w:val="34F206CA"/>
    <w:rsid w:val="34F51A33"/>
    <w:rsid w:val="35233259"/>
    <w:rsid w:val="352769B2"/>
    <w:rsid w:val="357E4769"/>
    <w:rsid w:val="358636D8"/>
    <w:rsid w:val="35A3428A"/>
    <w:rsid w:val="35B20971"/>
    <w:rsid w:val="35C7280A"/>
    <w:rsid w:val="35F03248"/>
    <w:rsid w:val="360A255B"/>
    <w:rsid w:val="361E1B63"/>
    <w:rsid w:val="365D08DD"/>
    <w:rsid w:val="36791FB9"/>
    <w:rsid w:val="369F27CF"/>
    <w:rsid w:val="36B60605"/>
    <w:rsid w:val="36C73FA8"/>
    <w:rsid w:val="36CF7301"/>
    <w:rsid w:val="36DB3EF8"/>
    <w:rsid w:val="3701395E"/>
    <w:rsid w:val="3727713D"/>
    <w:rsid w:val="375B199A"/>
    <w:rsid w:val="37704A11"/>
    <w:rsid w:val="379538CC"/>
    <w:rsid w:val="379D2F5B"/>
    <w:rsid w:val="37BB7471"/>
    <w:rsid w:val="37C45ACE"/>
    <w:rsid w:val="37E335F2"/>
    <w:rsid w:val="37E76AA3"/>
    <w:rsid w:val="38125B90"/>
    <w:rsid w:val="3835053A"/>
    <w:rsid w:val="38442273"/>
    <w:rsid w:val="387463B2"/>
    <w:rsid w:val="38BE1535"/>
    <w:rsid w:val="38D3500A"/>
    <w:rsid w:val="38F77C64"/>
    <w:rsid w:val="395A2DA3"/>
    <w:rsid w:val="3960046C"/>
    <w:rsid w:val="397A7B42"/>
    <w:rsid w:val="3985506D"/>
    <w:rsid w:val="39A15914"/>
    <w:rsid w:val="39B4157B"/>
    <w:rsid w:val="39DF785B"/>
    <w:rsid w:val="39FA28E7"/>
    <w:rsid w:val="3A1A0893"/>
    <w:rsid w:val="3A5C534F"/>
    <w:rsid w:val="3A5E69D2"/>
    <w:rsid w:val="3A60099C"/>
    <w:rsid w:val="3A751F07"/>
    <w:rsid w:val="3A8B1791"/>
    <w:rsid w:val="3AA16B06"/>
    <w:rsid w:val="3AC72565"/>
    <w:rsid w:val="3AD969A0"/>
    <w:rsid w:val="3ADB44C6"/>
    <w:rsid w:val="3B2C2F74"/>
    <w:rsid w:val="3B351E28"/>
    <w:rsid w:val="3B78218B"/>
    <w:rsid w:val="3B8B205B"/>
    <w:rsid w:val="3BA174BE"/>
    <w:rsid w:val="3BAE1FDB"/>
    <w:rsid w:val="3BAE3989"/>
    <w:rsid w:val="3BC05FBD"/>
    <w:rsid w:val="3BC74A4B"/>
    <w:rsid w:val="3BCC3E0F"/>
    <w:rsid w:val="3BD258C9"/>
    <w:rsid w:val="3C123FA5"/>
    <w:rsid w:val="3C242530"/>
    <w:rsid w:val="3C607CD7"/>
    <w:rsid w:val="3C8B7826"/>
    <w:rsid w:val="3C8D17F0"/>
    <w:rsid w:val="3C965E23"/>
    <w:rsid w:val="3CA078D1"/>
    <w:rsid w:val="3CCA02B2"/>
    <w:rsid w:val="3CD243F0"/>
    <w:rsid w:val="3CE62383"/>
    <w:rsid w:val="3CEC7A2A"/>
    <w:rsid w:val="3D0433A8"/>
    <w:rsid w:val="3D15699B"/>
    <w:rsid w:val="3D6600F0"/>
    <w:rsid w:val="3D6A66B2"/>
    <w:rsid w:val="3D867B10"/>
    <w:rsid w:val="3DA07301"/>
    <w:rsid w:val="3DA74B34"/>
    <w:rsid w:val="3DBF44D4"/>
    <w:rsid w:val="3DC207FD"/>
    <w:rsid w:val="3DCE35B6"/>
    <w:rsid w:val="3DD136B5"/>
    <w:rsid w:val="3DF14E3C"/>
    <w:rsid w:val="3DFC6C2D"/>
    <w:rsid w:val="3E043D34"/>
    <w:rsid w:val="3E0A3EC6"/>
    <w:rsid w:val="3E0D6740"/>
    <w:rsid w:val="3E2609B2"/>
    <w:rsid w:val="3E7F6463"/>
    <w:rsid w:val="3EAF459C"/>
    <w:rsid w:val="3ECB4852"/>
    <w:rsid w:val="3EDB4A95"/>
    <w:rsid w:val="3EEB0292"/>
    <w:rsid w:val="3EF142B8"/>
    <w:rsid w:val="3EF313C9"/>
    <w:rsid w:val="3F0D3980"/>
    <w:rsid w:val="3F281B00"/>
    <w:rsid w:val="3F401EB9"/>
    <w:rsid w:val="3F4D76DD"/>
    <w:rsid w:val="3F5B5BD6"/>
    <w:rsid w:val="3F930BE9"/>
    <w:rsid w:val="3F952DC8"/>
    <w:rsid w:val="3FC63CF0"/>
    <w:rsid w:val="3FCD30FD"/>
    <w:rsid w:val="3FE15005"/>
    <w:rsid w:val="3FE77469"/>
    <w:rsid w:val="400E2C48"/>
    <w:rsid w:val="401B4FB0"/>
    <w:rsid w:val="401C11D4"/>
    <w:rsid w:val="40300E10"/>
    <w:rsid w:val="40324B88"/>
    <w:rsid w:val="403D2804"/>
    <w:rsid w:val="40515615"/>
    <w:rsid w:val="40B21825"/>
    <w:rsid w:val="40BE641C"/>
    <w:rsid w:val="40C14BE6"/>
    <w:rsid w:val="40E85E9C"/>
    <w:rsid w:val="410748AA"/>
    <w:rsid w:val="41173D7E"/>
    <w:rsid w:val="41711C4E"/>
    <w:rsid w:val="417778B2"/>
    <w:rsid w:val="41B50A70"/>
    <w:rsid w:val="41CB2246"/>
    <w:rsid w:val="42056C09"/>
    <w:rsid w:val="42056EE1"/>
    <w:rsid w:val="428D039F"/>
    <w:rsid w:val="428E0070"/>
    <w:rsid w:val="42C7159E"/>
    <w:rsid w:val="42D77BC6"/>
    <w:rsid w:val="42FC0E58"/>
    <w:rsid w:val="430B35E3"/>
    <w:rsid w:val="431379ED"/>
    <w:rsid w:val="4315253F"/>
    <w:rsid w:val="435C54A2"/>
    <w:rsid w:val="436C6603"/>
    <w:rsid w:val="437454B8"/>
    <w:rsid w:val="43947908"/>
    <w:rsid w:val="43AA0EDA"/>
    <w:rsid w:val="43BB6C43"/>
    <w:rsid w:val="43CC2BFE"/>
    <w:rsid w:val="43CC429C"/>
    <w:rsid w:val="43D25E53"/>
    <w:rsid w:val="440138A0"/>
    <w:rsid w:val="441F3562"/>
    <w:rsid w:val="44246EDE"/>
    <w:rsid w:val="44384737"/>
    <w:rsid w:val="44692B43"/>
    <w:rsid w:val="44740E09"/>
    <w:rsid w:val="44983428"/>
    <w:rsid w:val="44A91191"/>
    <w:rsid w:val="44C32FE7"/>
    <w:rsid w:val="44C47D79"/>
    <w:rsid w:val="44D34460"/>
    <w:rsid w:val="450F07D9"/>
    <w:rsid w:val="451A208F"/>
    <w:rsid w:val="453170D2"/>
    <w:rsid w:val="453E5D7D"/>
    <w:rsid w:val="45464C32"/>
    <w:rsid w:val="45AD2F03"/>
    <w:rsid w:val="45BE2A1A"/>
    <w:rsid w:val="45BE47A3"/>
    <w:rsid w:val="45D60635"/>
    <w:rsid w:val="46053F44"/>
    <w:rsid w:val="460B7B64"/>
    <w:rsid w:val="4612476D"/>
    <w:rsid w:val="461A251E"/>
    <w:rsid w:val="46276812"/>
    <w:rsid w:val="462F50FB"/>
    <w:rsid w:val="46617E0B"/>
    <w:rsid w:val="468F5CB4"/>
    <w:rsid w:val="46953618"/>
    <w:rsid w:val="46C027C2"/>
    <w:rsid w:val="46E75FA1"/>
    <w:rsid w:val="474820C5"/>
    <w:rsid w:val="47513C75"/>
    <w:rsid w:val="47514BAE"/>
    <w:rsid w:val="475B13E7"/>
    <w:rsid w:val="475D7F74"/>
    <w:rsid w:val="476B2262"/>
    <w:rsid w:val="477411BB"/>
    <w:rsid w:val="477A7EE5"/>
    <w:rsid w:val="477C5396"/>
    <w:rsid w:val="47A0687C"/>
    <w:rsid w:val="47AE710A"/>
    <w:rsid w:val="47D44BAB"/>
    <w:rsid w:val="47DD7AD0"/>
    <w:rsid w:val="47F0715F"/>
    <w:rsid w:val="47F51E94"/>
    <w:rsid w:val="48075279"/>
    <w:rsid w:val="481D611E"/>
    <w:rsid w:val="481E3C44"/>
    <w:rsid w:val="4851130F"/>
    <w:rsid w:val="485D476D"/>
    <w:rsid w:val="48665BDE"/>
    <w:rsid w:val="487B1097"/>
    <w:rsid w:val="48AB008C"/>
    <w:rsid w:val="48B545A9"/>
    <w:rsid w:val="48B979EC"/>
    <w:rsid w:val="48D34790"/>
    <w:rsid w:val="48DE4B3F"/>
    <w:rsid w:val="494D6EBA"/>
    <w:rsid w:val="49557B3A"/>
    <w:rsid w:val="498C348F"/>
    <w:rsid w:val="49910E1C"/>
    <w:rsid w:val="49A12900"/>
    <w:rsid w:val="49BA4655"/>
    <w:rsid w:val="49CD757C"/>
    <w:rsid w:val="49DA3B9B"/>
    <w:rsid w:val="49EF5898"/>
    <w:rsid w:val="49FA5FEB"/>
    <w:rsid w:val="4A286278"/>
    <w:rsid w:val="4A30081A"/>
    <w:rsid w:val="4A3C6BE3"/>
    <w:rsid w:val="4A62606A"/>
    <w:rsid w:val="4A6F0787"/>
    <w:rsid w:val="4A7638C4"/>
    <w:rsid w:val="4A98226A"/>
    <w:rsid w:val="4AA76173"/>
    <w:rsid w:val="4AAE1013"/>
    <w:rsid w:val="4ADE1878"/>
    <w:rsid w:val="4ADE2E23"/>
    <w:rsid w:val="4AE64EED"/>
    <w:rsid w:val="4B380D6F"/>
    <w:rsid w:val="4B5400FE"/>
    <w:rsid w:val="4B675822"/>
    <w:rsid w:val="4BA47B1F"/>
    <w:rsid w:val="4BBC29D4"/>
    <w:rsid w:val="4BE0105E"/>
    <w:rsid w:val="4C560DCF"/>
    <w:rsid w:val="4CA73452"/>
    <w:rsid w:val="4CBE77A4"/>
    <w:rsid w:val="4CC32763"/>
    <w:rsid w:val="4D0F1621"/>
    <w:rsid w:val="4D24354A"/>
    <w:rsid w:val="4D2E0486"/>
    <w:rsid w:val="4D4E6D7A"/>
    <w:rsid w:val="4D785BA5"/>
    <w:rsid w:val="4D86664A"/>
    <w:rsid w:val="4DB20B35"/>
    <w:rsid w:val="4DB33DE2"/>
    <w:rsid w:val="4DEC52A8"/>
    <w:rsid w:val="4DEF09C3"/>
    <w:rsid w:val="4DF97234"/>
    <w:rsid w:val="4E157897"/>
    <w:rsid w:val="4E42339D"/>
    <w:rsid w:val="4E437F61"/>
    <w:rsid w:val="4E4C36AA"/>
    <w:rsid w:val="4E4F6531"/>
    <w:rsid w:val="4EAB1CE6"/>
    <w:rsid w:val="4EB7021F"/>
    <w:rsid w:val="4F377967"/>
    <w:rsid w:val="4F411EB6"/>
    <w:rsid w:val="4F42646A"/>
    <w:rsid w:val="4F447BCB"/>
    <w:rsid w:val="4F582EF7"/>
    <w:rsid w:val="4F5D5E43"/>
    <w:rsid w:val="4F5F63A7"/>
    <w:rsid w:val="4F7E3B05"/>
    <w:rsid w:val="4FA72E0F"/>
    <w:rsid w:val="4FBA24A4"/>
    <w:rsid w:val="4FC357FD"/>
    <w:rsid w:val="4FDA6E22"/>
    <w:rsid w:val="4FE237A9"/>
    <w:rsid w:val="4FFD0EF1"/>
    <w:rsid w:val="50091D29"/>
    <w:rsid w:val="501E0C85"/>
    <w:rsid w:val="501E2A33"/>
    <w:rsid w:val="502F4C40"/>
    <w:rsid w:val="50353716"/>
    <w:rsid w:val="506D7517"/>
    <w:rsid w:val="50AA2519"/>
    <w:rsid w:val="50AC44E3"/>
    <w:rsid w:val="51022209"/>
    <w:rsid w:val="510E3C07"/>
    <w:rsid w:val="5135755A"/>
    <w:rsid w:val="513D3FD1"/>
    <w:rsid w:val="514F12D7"/>
    <w:rsid w:val="51754B1B"/>
    <w:rsid w:val="517B73AD"/>
    <w:rsid w:val="51805B95"/>
    <w:rsid w:val="518A5306"/>
    <w:rsid w:val="51A37E3C"/>
    <w:rsid w:val="51B66656"/>
    <w:rsid w:val="51D16F4E"/>
    <w:rsid w:val="51D610EC"/>
    <w:rsid w:val="521045FE"/>
    <w:rsid w:val="52534816"/>
    <w:rsid w:val="5261672F"/>
    <w:rsid w:val="52634928"/>
    <w:rsid w:val="52E2243E"/>
    <w:rsid w:val="52FB705C"/>
    <w:rsid w:val="53277999"/>
    <w:rsid w:val="53353269"/>
    <w:rsid w:val="533B7DA0"/>
    <w:rsid w:val="536746F1"/>
    <w:rsid w:val="53751DF0"/>
    <w:rsid w:val="53764934"/>
    <w:rsid w:val="53A35FB7"/>
    <w:rsid w:val="53B536AF"/>
    <w:rsid w:val="53C80FD0"/>
    <w:rsid w:val="53E30294"/>
    <w:rsid w:val="540B1521"/>
    <w:rsid w:val="544B3A05"/>
    <w:rsid w:val="5472334E"/>
    <w:rsid w:val="549269FE"/>
    <w:rsid w:val="54A86D6F"/>
    <w:rsid w:val="54D9161F"/>
    <w:rsid w:val="54F74640"/>
    <w:rsid w:val="550F1330"/>
    <w:rsid w:val="556829A3"/>
    <w:rsid w:val="55782BE6"/>
    <w:rsid w:val="558566E7"/>
    <w:rsid w:val="55A34512"/>
    <w:rsid w:val="55B415BA"/>
    <w:rsid w:val="55D46448"/>
    <w:rsid w:val="55F70334"/>
    <w:rsid w:val="560E3442"/>
    <w:rsid w:val="56111251"/>
    <w:rsid w:val="56193729"/>
    <w:rsid w:val="56252ADC"/>
    <w:rsid w:val="56327239"/>
    <w:rsid w:val="56426E9F"/>
    <w:rsid w:val="564725B8"/>
    <w:rsid w:val="565D1FD4"/>
    <w:rsid w:val="566078D0"/>
    <w:rsid w:val="56652099"/>
    <w:rsid w:val="56680EAC"/>
    <w:rsid w:val="566D353C"/>
    <w:rsid w:val="569B3338"/>
    <w:rsid w:val="56DF14D7"/>
    <w:rsid w:val="56F269C8"/>
    <w:rsid w:val="57580F21"/>
    <w:rsid w:val="576176AA"/>
    <w:rsid w:val="5765355C"/>
    <w:rsid w:val="57690BD0"/>
    <w:rsid w:val="5779071D"/>
    <w:rsid w:val="57A10E39"/>
    <w:rsid w:val="57CA1153"/>
    <w:rsid w:val="57EE53E1"/>
    <w:rsid w:val="582F6823"/>
    <w:rsid w:val="58460B49"/>
    <w:rsid w:val="584A495B"/>
    <w:rsid w:val="584E40D2"/>
    <w:rsid w:val="586675E4"/>
    <w:rsid w:val="587162C9"/>
    <w:rsid w:val="58765D26"/>
    <w:rsid w:val="58947716"/>
    <w:rsid w:val="58B66C06"/>
    <w:rsid w:val="58D345D7"/>
    <w:rsid w:val="59152645"/>
    <w:rsid w:val="591E25B4"/>
    <w:rsid w:val="591F4A55"/>
    <w:rsid w:val="59407EBE"/>
    <w:rsid w:val="59495785"/>
    <w:rsid w:val="59816B33"/>
    <w:rsid w:val="599C2C1B"/>
    <w:rsid w:val="59B605EE"/>
    <w:rsid w:val="59BE5287"/>
    <w:rsid w:val="59BF67D8"/>
    <w:rsid w:val="59BF6E54"/>
    <w:rsid w:val="59C96098"/>
    <w:rsid w:val="59CD22DC"/>
    <w:rsid w:val="59F86D18"/>
    <w:rsid w:val="5A2F2D66"/>
    <w:rsid w:val="5A3B2A23"/>
    <w:rsid w:val="5A9467BF"/>
    <w:rsid w:val="5AAE69DB"/>
    <w:rsid w:val="5AB26B9A"/>
    <w:rsid w:val="5AC261B4"/>
    <w:rsid w:val="5AC474BB"/>
    <w:rsid w:val="5ACA056B"/>
    <w:rsid w:val="5AEC0684"/>
    <w:rsid w:val="5AF0582F"/>
    <w:rsid w:val="5B1B6AA6"/>
    <w:rsid w:val="5B224E28"/>
    <w:rsid w:val="5B9C02BE"/>
    <w:rsid w:val="5BAF7B56"/>
    <w:rsid w:val="5BF611E3"/>
    <w:rsid w:val="5C0E6052"/>
    <w:rsid w:val="5C313AEE"/>
    <w:rsid w:val="5C7D4F86"/>
    <w:rsid w:val="5C86208C"/>
    <w:rsid w:val="5CA72002"/>
    <w:rsid w:val="5CAC7619"/>
    <w:rsid w:val="5CAF35B1"/>
    <w:rsid w:val="5CC02210"/>
    <w:rsid w:val="5D072AA1"/>
    <w:rsid w:val="5D211242"/>
    <w:rsid w:val="5D2B49E2"/>
    <w:rsid w:val="5D5F28DD"/>
    <w:rsid w:val="5D730EDB"/>
    <w:rsid w:val="5D7C18C6"/>
    <w:rsid w:val="5D902A97"/>
    <w:rsid w:val="5D916BB6"/>
    <w:rsid w:val="5DB5461A"/>
    <w:rsid w:val="5DC32E6C"/>
    <w:rsid w:val="5DCD2F01"/>
    <w:rsid w:val="5DE3467B"/>
    <w:rsid w:val="5E000678"/>
    <w:rsid w:val="5E367A57"/>
    <w:rsid w:val="5E371164"/>
    <w:rsid w:val="5E634018"/>
    <w:rsid w:val="5E7B54F5"/>
    <w:rsid w:val="5EB639EA"/>
    <w:rsid w:val="5F0537AA"/>
    <w:rsid w:val="5F0B5B73"/>
    <w:rsid w:val="5F1267B5"/>
    <w:rsid w:val="5F13572D"/>
    <w:rsid w:val="5F1D47FE"/>
    <w:rsid w:val="5F2B3E04"/>
    <w:rsid w:val="5F3833E6"/>
    <w:rsid w:val="5F4A1A8C"/>
    <w:rsid w:val="5F760F40"/>
    <w:rsid w:val="5FD21144"/>
    <w:rsid w:val="5FD9212E"/>
    <w:rsid w:val="5FF52077"/>
    <w:rsid w:val="5FFF5CB2"/>
    <w:rsid w:val="600532C8"/>
    <w:rsid w:val="60673F83"/>
    <w:rsid w:val="606E1F64"/>
    <w:rsid w:val="60CE0B25"/>
    <w:rsid w:val="61113EEE"/>
    <w:rsid w:val="611C2FBF"/>
    <w:rsid w:val="61555832"/>
    <w:rsid w:val="6194560C"/>
    <w:rsid w:val="619C4100"/>
    <w:rsid w:val="61A30FEA"/>
    <w:rsid w:val="61BE5E24"/>
    <w:rsid w:val="61D5316E"/>
    <w:rsid w:val="61DB6D9C"/>
    <w:rsid w:val="61DE0EB4"/>
    <w:rsid w:val="623C3CCB"/>
    <w:rsid w:val="6277131B"/>
    <w:rsid w:val="62894736"/>
    <w:rsid w:val="62A274F4"/>
    <w:rsid w:val="62A72D5C"/>
    <w:rsid w:val="62DC02C2"/>
    <w:rsid w:val="62E51579"/>
    <w:rsid w:val="62F16356"/>
    <w:rsid w:val="632E6FDA"/>
    <w:rsid w:val="63381C06"/>
    <w:rsid w:val="6345292E"/>
    <w:rsid w:val="635D5082"/>
    <w:rsid w:val="63964B41"/>
    <w:rsid w:val="63CD05A1"/>
    <w:rsid w:val="6410048D"/>
    <w:rsid w:val="64234664"/>
    <w:rsid w:val="64421F3D"/>
    <w:rsid w:val="64487C27"/>
    <w:rsid w:val="647838E3"/>
    <w:rsid w:val="647C3D75"/>
    <w:rsid w:val="648570CD"/>
    <w:rsid w:val="64AC3E47"/>
    <w:rsid w:val="64AD03D2"/>
    <w:rsid w:val="64B66E59"/>
    <w:rsid w:val="64CC5E52"/>
    <w:rsid w:val="650F4B9B"/>
    <w:rsid w:val="654E657D"/>
    <w:rsid w:val="65864EAB"/>
    <w:rsid w:val="65AC2438"/>
    <w:rsid w:val="65B768E4"/>
    <w:rsid w:val="65BF216B"/>
    <w:rsid w:val="65C57872"/>
    <w:rsid w:val="65D8147F"/>
    <w:rsid w:val="65DA0D53"/>
    <w:rsid w:val="65EF0F14"/>
    <w:rsid w:val="65FB4B21"/>
    <w:rsid w:val="6601664A"/>
    <w:rsid w:val="66042274"/>
    <w:rsid w:val="66043DF1"/>
    <w:rsid w:val="6614083B"/>
    <w:rsid w:val="661D46CA"/>
    <w:rsid w:val="667473F9"/>
    <w:rsid w:val="667B0788"/>
    <w:rsid w:val="66887A48"/>
    <w:rsid w:val="669F48C5"/>
    <w:rsid w:val="66A10636"/>
    <w:rsid w:val="66B94E0C"/>
    <w:rsid w:val="66BB1AFB"/>
    <w:rsid w:val="66C8643E"/>
    <w:rsid w:val="66CA0DC7"/>
    <w:rsid w:val="66F0707E"/>
    <w:rsid w:val="66F20D2E"/>
    <w:rsid w:val="66F95B50"/>
    <w:rsid w:val="67005F7E"/>
    <w:rsid w:val="6720747F"/>
    <w:rsid w:val="673D6A15"/>
    <w:rsid w:val="67492634"/>
    <w:rsid w:val="67960780"/>
    <w:rsid w:val="67BB2DBB"/>
    <w:rsid w:val="682E5386"/>
    <w:rsid w:val="683F57E5"/>
    <w:rsid w:val="68415A7C"/>
    <w:rsid w:val="688D47A2"/>
    <w:rsid w:val="68B27D65"/>
    <w:rsid w:val="68BF3CEC"/>
    <w:rsid w:val="68CD623B"/>
    <w:rsid w:val="68FD36D6"/>
    <w:rsid w:val="694D7A8E"/>
    <w:rsid w:val="69562DE6"/>
    <w:rsid w:val="696012B6"/>
    <w:rsid w:val="69642093"/>
    <w:rsid w:val="6985191D"/>
    <w:rsid w:val="69BD2E65"/>
    <w:rsid w:val="69CA6B08"/>
    <w:rsid w:val="69E95A08"/>
    <w:rsid w:val="6A042666"/>
    <w:rsid w:val="6A4E3ABD"/>
    <w:rsid w:val="6A9736F0"/>
    <w:rsid w:val="6AB214EC"/>
    <w:rsid w:val="6AB26742"/>
    <w:rsid w:val="6ADE08A2"/>
    <w:rsid w:val="6AF97ECD"/>
    <w:rsid w:val="6B2B243E"/>
    <w:rsid w:val="6B680BAF"/>
    <w:rsid w:val="6B6C68F1"/>
    <w:rsid w:val="6B8D0FD1"/>
    <w:rsid w:val="6BA17D14"/>
    <w:rsid w:val="6BCC55E2"/>
    <w:rsid w:val="6BD25936"/>
    <w:rsid w:val="6BE41292"/>
    <w:rsid w:val="6BF43D6E"/>
    <w:rsid w:val="6BF43F27"/>
    <w:rsid w:val="6C3A781B"/>
    <w:rsid w:val="6C7D4B2E"/>
    <w:rsid w:val="6C884442"/>
    <w:rsid w:val="6C8D4D71"/>
    <w:rsid w:val="6CB33F44"/>
    <w:rsid w:val="6CB340FA"/>
    <w:rsid w:val="6CC77785"/>
    <w:rsid w:val="6CDC3602"/>
    <w:rsid w:val="6CF25FA0"/>
    <w:rsid w:val="6CF3094C"/>
    <w:rsid w:val="6CF3436B"/>
    <w:rsid w:val="6D257FA0"/>
    <w:rsid w:val="6D5B6316"/>
    <w:rsid w:val="6D5D0BE7"/>
    <w:rsid w:val="6D73512C"/>
    <w:rsid w:val="6D77157D"/>
    <w:rsid w:val="6D9143ED"/>
    <w:rsid w:val="6DC40A12"/>
    <w:rsid w:val="6DC74A88"/>
    <w:rsid w:val="6DDD7C5D"/>
    <w:rsid w:val="6DDE1B2C"/>
    <w:rsid w:val="6DEA2117"/>
    <w:rsid w:val="6E113780"/>
    <w:rsid w:val="6E2178BF"/>
    <w:rsid w:val="6E3C4469"/>
    <w:rsid w:val="6E62222D"/>
    <w:rsid w:val="6E6C4C84"/>
    <w:rsid w:val="6E8C1058"/>
    <w:rsid w:val="6EBF142E"/>
    <w:rsid w:val="6F0F5F11"/>
    <w:rsid w:val="6F120DB6"/>
    <w:rsid w:val="6F2946DA"/>
    <w:rsid w:val="6F550DE0"/>
    <w:rsid w:val="6FD1766A"/>
    <w:rsid w:val="6FEA2615"/>
    <w:rsid w:val="70057314"/>
    <w:rsid w:val="70294E19"/>
    <w:rsid w:val="70531E2E"/>
    <w:rsid w:val="707443AD"/>
    <w:rsid w:val="70990122"/>
    <w:rsid w:val="70AC7790"/>
    <w:rsid w:val="70AE36D8"/>
    <w:rsid w:val="70C60851"/>
    <w:rsid w:val="70CE7706"/>
    <w:rsid w:val="70D00980"/>
    <w:rsid w:val="70E51DA8"/>
    <w:rsid w:val="70F96E79"/>
    <w:rsid w:val="71213150"/>
    <w:rsid w:val="712D267F"/>
    <w:rsid w:val="712F47EA"/>
    <w:rsid w:val="713C6679"/>
    <w:rsid w:val="714802B0"/>
    <w:rsid w:val="71812600"/>
    <w:rsid w:val="71815AFA"/>
    <w:rsid w:val="71946BA2"/>
    <w:rsid w:val="719C15B2"/>
    <w:rsid w:val="71A843FB"/>
    <w:rsid w:val="71A9542C"/>
    <w:rsid w:val="71CB76F2"/>
    <w:rsid w:val="71D82792"/>
    <w:rsid w:val="71F94EA8"/>
    <w:rsid w:val="721E450C"/>
    <w:rsid w:val="72514A93"/>
    <w:rsid w:val="7262278F"/>
    <w:rsid w:val="72BC63B0"/>
    <w:rsid w:val="730C2768"/>
    <w:rsid w:val="7329331A"/>
    <w:rsid w:val="732A300A"/>
    <w:rsid w:val="733A0A1E"/>
    <w:rsid w:val="73A429A0"/>
    <w:rsid w:val="73B93EE5"/>
    <w:rsid w:val="73BE1CB4"/>
    <w:rsid w:val="73CC7691"/>
    <w:rsid w:val="73D85A6B"/>
    <w:rsid w:val="74AE1D28"/>
    <w:rsid w:val="74C2331D"/>
    <w:rsid w:val="74CF1255"/>
    <w:rsid w:val="74E7523A"/>
    <w:rsid w:val="74F24A8E"/>
    <w:rsid w:val="74FB54A4"/>
    <w:rsid w:val="7507768A"/>
    <w:rsid w:val="751610E2"/>
    <w:rsid w:val="751A7B05"/>
    <w:rsid w:val="751C63E4"/>
    <w:rsid w:val="7521643E"/>
    <w:rsid w:val="753A180E"/>
    <w:rsid w:val="75611CC1"/>
    <w:rsid w:val="756215FB"/>
    <w:rsid w:val="756248C1"/>
    <w:rsid w:val="75822D61"/>
    <w:rsid w:val="759233F8"/>
    <w:rsid w:val="75C71154"/>
    <w:rsid w:val="75D25EEA"/>
    <w:rsid w:val="75DD731F"/>
    <w:rsid w:val="764B039C"/>
    <w:rsid w:val="766641C7"/>
    <w:rsid w:val="766656C3"/>
    <w:rsid w:val="76740D50"/>
    <w:rsid w:val="768014A2"/>
    <w:rsid w:val="768D4B1F"/>
    <w:rsid w:val="76914B30"/>
    <w:rsid w:val="76B352F7"/>
    <w:rsid w:val="76BD4AAB"/>
    <w:rsid w:val="76C22210"/>
    <w:rsid w:val="76CA7E5A"/>
    <w:rsid w:val="770A59BD"/>
    <w:rsid w:val="77120FDD"/>
    <w:rsid w:val="7741479F"/>
    <w:rsid w:val="775C2950"/>
    <w:rsid w:val="77610F13"/>
    <w:rsid w:val="776B3787"/>
    <w:rsid w:val="778C37F8"/>
    <w:rsid w:val="77903967"/>
    <w:rsid w:val="779D7E32"/>
    <w:rsid w:val="77B12E34"/>
    <w:rsid w:val="77B32EDF"/>
    <w:rsid w:val="77BF5FFA"/>
    <w:rsid w:val="77CA451A"/>
    <w:rsid w:val="77D46CD2"/>
    <w:rsid w:val="77D83D50"/>
    <w:rsid w:val="77EF6F6D"/>
    <w:rsid w:val="77F341C3"/>
    <w:rsid w:val="77F50340"/>
    <w:rsid w:val="78056103"/>
    <w:rsid w:val="780F6F82"/>
    <w:rsid w:val="781D0CC1"/>
    <w:rsid w:val="7823193A"/>
    <w:rsid w:val="782E61C7"/>
    <w:rsid w:val="7836235A"/>
    <w:rsid w:val="783B33E4"/>
    <w:rsid w:val="78534B66"/>
    <w:rsid w:val="78560421"/>
    <w:rsid w:val="785E7A8D"/>
    <w:rsid w:val="787B0197"/>
    <w:rsid w:val="787E1A12"/>
    <w:rsid w:val="78A00DCC"/>
    <w:rsid w:val="78BE10F6"/>
    <w:rsid w:val="78BF6934"/>
    <w:rsid w:val="78C25DA2"/>
    <w:rsid w:val="78D43D28"/>
    <w:rsid w:val="78FD502C"/>
    <w:rsid w:val="792275BE"/>
    <w:rsid w:val="792D4AE8"/>
    <w:rsid w:val="794672BF"/>
    <w:rsid w:val="79532E9E"/>
    <w:rsid w:val="796D41E4"/>
    <w:rsid w:val="79797086"/>
    <w:rsid w:val="797A5F8B"/>
    <w:rsid w:val="798D4602"/>
    <w:rsid w:val="79BE0C60"/>
    <w:rsid w:val="79C15D7F"/>
    <w:rsid w:val="79C344C3"/>
    <w:rsid w:val="7A170370"/>
    <w:rsid w:val="7A3C1D44"/>
    <w:rsid w:val="7A666C01"/>
    <w:rsid w:val="7A8B158A"/>
    <w:rsid w:val="7A9419C0"/>
    <w:rsid w:val="7ABB0CFB"/>
    <w:rsid w:val="7AD647F1"/>
    <w:rsid w:val="7ADD5362"/>
    <w:rsid w:val="7AE069B4"/>
    <w:rsid w:val="7B0C59FB"/>
    <w:rsid w:val="7B1A0118"/>
    <w:rsid w:val="7B2745E3"/>
    <w:rsid w:val="7B62386D"/>
    <w:rsid w:val="7B6E2211"/>
    <w:rsid w:val="7BD217F3"/>
    <w:rsid w:val="7C0823F3"/>
    <w:rsid w:val="7C277454"/>
    <w:rsid w:val="7C37432E"/>
    <w:rsid w:val="7C594C70"/>
    <w:rsid w:val="7C5C1079"/>
    <w:rsid w:val="7C7C270C"/>
    <w:rsid w:val="7C85264B"/>
    <w:rsid w:val="7CB63E70"/>
    <w:rsid w:val="7CC266CE"/>
    <w:rsid w:val="7CC76395"/>
    <w:rsid w:val="7D00333D"/>
    <w:rsid w:val="7D7A30EF"/>
    <w:rsid w:val="7D862C87"/>
    <w:rsid w:val="7D906276"/>
    <w:rsid w:val="7D9D293A"/>
    <w:rsid w:val="7DA75487"/>
    <w:rsid w:val="7DB41364"/>
    <w:rsid w:val="7DE44A0D"/>
    <w:rsid w:val="7E1E7F1F"/>
    <w:rsid w:val="7E2F667A"/>
    <w:rsid w:val="7E321E60"/>
    <w:rsid w:val="7E493D4F"/>
    <w:rsid w:val="7E51149B"/>
    <w:rsid w:val="7E5356EF"/>
    <w:rsid w:val="7E916B3D"/>
    <w:rsid w:val="7E9B65C0"/>
    <w:rsid w:val="7EA95725"/>
    <w:rsid w:val="7F1205F3"/>
    <w:rsid w:val="7F43729D"/>
    <w:rsid w:val="7F69341C"/>
    <w:rsid w:val="7F6B3277"/>
    <w:rsid w:val="7F7C3A97"/>
    <w:rsid w:val="7F8F2756"/>
    <w:rsid w:val="7FC3652A"/>
    <w:rsid w:val="7FFA67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3">
    <w:name w:val="heading 4"/>
    <w:basedOn w:val="1"/>
    <w:next w:val="1"/>
    <w:qFormat/>
    <w:uiPriority w:val="0"/>
    <w:pPr>
      <w:keepNext/>
      <w:keepLines/>
      <w:spacing w:line="374" w:lineRule="auto"/>
      <w:outlineLvl w:val="3"/>
    </w:pPr>
    <w:rPr>
      <w:rFonts w:ascii="Arial" w:hAnsi="Arial"/>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annotation text"/>
    <w:basedOn w:val="1"/>
    <w:next w:val="1"/>
    <w:qFormat/>
    <w:uiPriority w:val="0"/>
    <w:pPr>
      <w:adjustRightInd w:val="0"/>
      <w:spacing w:line="360" w:lineRule="atLeast"/>
      <w:jc w:val="left"/>
      <w:textAlignment w:val="baseline"/>
    </w:pPr>
    <w:rPr>
      <w:kern w:val="0"/>
    </w:rPr>
  </w:style>
  <w:style w:type="paragraph" w:styleId="5">
    <w:name w:val="Body Text"/>
    <w:basedOn w:val="1"/>
    <w:semiHidden/>
    <w:qFormat/>
    <w:uiPriority w:val="0"/>
    <w:rPr>
      <w:rFonts w:ascii="Arial" w:hAnsi="Arial" w:eastAsia="Arial" w:cs="Arial"/>
      <w:sz w:val="21"/>
      <w:szCs w:val="21"/>
      <w:lang w:val="en-US" w:eastAsia="en-US" w:bidi="ar-SA"/>
    </w:rPr>
  </w:style>
  <w:style w:type="paragraph" w:styleId="6">
    <w:name w:val="toc 3"/>
    <w:basedOn w:val="1"/>
    <w:next w:val="1"/>
    <w:qFormat/>
    <w:uiPriority w:val="0"/>
    <w:pPr>
      <w:ind w:left="840" w:leftChars="400"/>
    </w:pPr>
  </w:style>
  <w:style w:type="paragraph" w:styleId="7">
    <w:name w:val="Plain Text"/>
    <w:basedOn w:val="1"/>
    <w:qFormat/>
    <w:uiPriority w:val="0"/>
    <w:rPr>
      <w:rFonts w:ascii="宋体" w:hAnsi="Courier New"/>
      <w:szCs w:val="20"/>
    </w:rPr>
  </w:style>
  <w:style w:type="paragraph" w:styleId="8">
    <w:name w:val="footer"/>
    <w:basedOn w:val="1"/>
    <w:qFormat/>
    <w:uiPriority w:val="0"/>
    <w:pPr>
      <w:tabs>
        <w:tab w:val="center" w:pos="4153"/>
        <w:tab w:val="right" w:pos="8306"/>
      </w:tabs>
      <w:snapToGrid w:val="0"/>
      <w:jc w:val="left"/>
    </w:pPr>
    <w:rPr>
      <w:sz w:val="18"/>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paragraph" w:styleId="11">
    <w:name w:val="Body Text 2"/>
    <w:basedOn w:val="1"/>
    <w:qFormat/>
    <w:uiPriority w:val="0"/>
    <w:pPr>
      <w:spacing w:line="500" w:lineRule="exact"/>
    </w:pPr>
    <w:rPr>
      <w:rFonts w:ascii="宋体"/>
      <w:sz w:val="24"/>
    </w:rPr>
  </w:style>
  <w:style w:type="paragraph" w:styleId="12">
    <w:name w:val="Normal (Web)"/>
    <w:basedOn w:val="1"/>
    <w:qFormat/>
    <w:uiPriority w:val="0"/>
    <w:pPr>
      <w:spacing w:beforeAutospacing="1" w:afterAutospacing="1"/>
      <w:jc w:val="left"/>
    </w:pPr>
    <w:rPr>
      <w:rFonts w:cs="Times New Roman"/>
      <w:kern w:val="0"/>
      <w:sz w:val="24"/>
    </w:rPr>
  </w:style>
  <w:style w:type="paragraph" w:styleId="13">
    <w:name w:val="Body Text First Indent"/>
    <w:basedOn w:val="5"/>
    <w:qFormat/>
    <w:uiPriority w:val="99"/>
    <w:pPr>
      <w:spacing w:line="240" w:lineRule="auto"/>
      <w:ind w:firstLine="420" w:firstLineChars="100"/>
    </w:pPr>
    <w:rPr>
      <w:rFonts w:ascii="Times New Roman" w:cs="Times New Roman"/>
      <w:sz w:val="20"/>
      <w:szCs w:val="20"/>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FollowedHyperlink"/>
    <w:basedOn w:val="16"/>
    <w:qFormat/>
    <w:uiPriority w:val="0"/>
    <w:rPr>
      <w:color w:val="333333"/>
      <w:u w:val="none"/>
    </w:rPr>
  </w:style>
  <w:style w:type="character" w:styleId="19">
    <w:name w:val="Emphasis"/>
    <w:basedOn w:val="16"/>
    <w:qFormat/>
    <w:uiPriority w:val="0"/>
    <w:rPr>
      <w:i/>
    </w:rPr>
  </w:style>
  <w:style w:type="character" w:styleId="20">
    <w:name w:val="HTML Variable"/>
    <w:basedOn w:val="16"/>
    <w:qFormat/>
    <w:uiPriority w:val="0"/>
    <w:rPr>
      <w:i/>
    </w:rPr>
  </w:style>
  <w:style w:type="character" w:styleId="21">
    <w:name w:val="Hyperlink"/>
    <w:basedOn w:val="16"/>
    <w:qFormat/>
    <w:uiPriority w:val="0"/>
    <w:rPr>
      <w:color w:val="333333"/>
      <w:u w:val="none"/>
    </w:rPr>
  </w:style>
  <w:style w:type="character" w:styleId="22">
    <w:name w:val="HTML Code"/>
    <w:basedOn w:val="16"/>
    <w:qFormat/>
    <w:uiPriority w:val="0"/>
    <w:rPr>
      <w:rFonts w:ascii="Courier New" w:hAnsi="Courier New"/>
      <w:sz w:val="20"/>
    </w:rPr>
  </w:style>
  <w:style w:type="character" w:styleId="23">
    <w:name w:val="HTML Cite"/>
    <w:basedOn w:val="16"/>
    <w:qFormat/>
    <w:uiPriority w:val="0"/>
    <w:rPr>
      <w:i/>
    </w:rPr>
  </w:style>
  <w:style w:type="paragraph" w:customStyle="1" w:styleId="24">
    <w:name w:val="样式 宋体 行距: 1.5 倍行距"/>
    <w:next w:val="1"/>
    <w:qFormat/>
    <w:uiPriority w:val="99"/>
    <w:pPr>
      <w:widowControl w:val="0"/>
      <w:jc w:val="center"/>
    </w:pPr>
    <w:rPr>
      <w:rFonts w:ascii="Times New Roman" w:hAnsi="Calibri" w:eastAsia="宋体" w:cs="Times New Roman"/>
      <w:b/>
      <w:bCs/>
      <w:kern w:val="2"/>
      <w:sz w:val="21"/>
      <w:szCs w:val="24"/>
      <w:lang w:val="en-US" w:eastAsia="zh-CN" w:bidi="ar-SA"/>
    </w:rPr>
  </w:style>
  <w:style w:type="paragraph" w:customStyle="1" w:styleId="25">
    <w:name w:val="UserStyle_43"/>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character" w:customStyle="1" w:styleId="26">
    <w:name w:val="NormalCharacter"/>
    <w:qFormat/>
    <w:uiPriority w:val="99"/>
  </w:style>
  <w:style w:type="paragraph" w:customStyle="1" w:styleId="27">
    <w:name w:val="Table Text"/>
    <w:basedOn w:val="1"/>
    <w:semiHidden/>
    <w:qFormat/>
    <w:uiPriority w:val="0"/>
    <w:rPr>
      <w:rFonts w:ascii="Arial" w:hAnsi="Arial" w:eastAsia="Arial" w:cs="Arial"/>
      <w:sz w:val="21"/>
      <w:szCs w:val="21"/>
      <w:lang w:val="en-US" w:eastAsia="en-US" w:bidi="ar-SA"/>
    </w:rPr>
  </w:style>
  <w:style w:type="paragraph" w:customStyle="1" w:styleId="28">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
    <w:name w:val="正文缩进1"/>
    <w:basedOn w:val="1"/>
    <w:qFormat/>
    <w:uiPriority w:val="0"/>
    <w:pPr>
      <w:widowControl/>
      <w:ind w:firstLine="420"/>
      <w:jc w:val="left"/>
    </w:pPr>
    <w:rPr>
      <w:kern w:val="0"/>
    </w:rPr>
  </w:style>
  <w:style w:type="paragraph" w:customStyle="1" w:styleId="30">
    <w:name w:val="UserStyle_19"/>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31">
    <w:name w:val="正文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2">
    <w:name w:val="正文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3">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4">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5">
    <w:name w:val="Heading2"/>
    <w:basedOn w:val="1"/>
    <w:next w:val="1"/>
    <w:qFormat/>
    <w:uiPriority w:val="99"/>
    <w:pPr>
      <w:jc w:val="left"/>
    </w:pPr>
    <w:rPr>
      <w:kern w:val="0"/>
    </w:rPr>
  </w:style>
  <w:style w:type="paragraph" w:customStyle="1" w:styleId="36">
    <w:name w:val="AnnotationText"/>
    <w:basedOn w:val="1"/>
    <w:qFormat/>
    <w:uiPriority w:val="99"/>
    <w:pPr>
      <w:spacing w:line="360" w:lineRule="atLeast"/>
      <w:jc w:val="left"/>
    </w:pPr>
    <w:rPr>
      <w:kern w:val="0"/>
    </w:rPr>
  </w:style>
  <w:style w:type="paragraph" w:customStyle="1" w:styleId="37">
    <w:name w:val="UserStyle_44"/>
    <w:basedOn w:val="38"/>
    <w:qFormat/>
    <w:uiPriority w:val="99"/>
    <w:rPr>
      <w:sz w:val="24"/>
      <w:szCs w:val="24"/>
    </w:rPr>
  </w:style>
  <w:style w:type="paragraph" w:customStyle="1" w:styleId="38">
    <w:name w:val="UserStyle_33"/>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39">
    <w:name w:val="UserStyle_4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40">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41">
    <w:name w:val="文一"/>
    <w:basedOn w:val="1"/>
    <w:qFormat/>
    <w:uiPriority w:val="0"/>
    <w:pPr>
      <w:topLinePunct/>
      <w:adjustRightInd w:val="0"/>
      <w:snapToGrid w:val="0"/>
      <w:ind w:firstLine="200" w:firstLineChars="200"/>
    </w:pPr>
    <w:rPr>
      <w:rFonts w:ascii="Calibri" w:hAnsi="Calibri"/>
      <w:snapToGrid w:val="0"/>
      <w:spacing w:val="4"/>
      <w:kern w:val="0"/>
      <w:szCs w:val="22"/>
    </w:rPr>
  </w:style>
  <w:style w:type="paragraph" w:customStyle="1" w:styleId="42">
    <w:name w:val="BodyText"/>
    <w:basedOn w:val="1"/>
    <w:next w:val="43"/>
    <w:qFormat/>
    <w:uiPriority w:val="99"/>
    <w:pPr>
      <w:spacing w:after="120"/>
    </w:pPr>
  </w:style>
  <w:style w:type="paragraph" w:customStyle="1" w:styleId="43">
    <w:name w:val="BodyText2"/>
    <w:basedOn w:val="1"/>
    <w:qFormat/>
    <w:uiPriority w:val="99"/>
    <w:pPr>
      <w:spacing w:line="500" w:lineRule="exact"/>
    </w:pPr>
  </w:style>
  <w:style w:type="paragraph" w:customStyle="1" w:styleId="44">
    <w:name w:val="正文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45">
    <w:name w:val="正文缩进 New"/>
    <w:basedOn w:val="46"/>
    <w:qFormat/>
    <w:uiPriority w:val="0"/>
    <w:pPr>
      <w:widowControl/>
      <w:ind w:firstLine="420"/>
      <w:jc w:val="left"/>
    </w:pPr>
    <w:rPr>
      <w:kern w:val="0"/>
      <w:sz w:val="20"/>
    </w:rPr>
  </w:style>
  <w:style w:type="paragraph" w:customStyle="1" w:styleId="46">
    <w:name w:val="正文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character" w:customStyle="1" w:styleId="47">
    <w:name w:val="正文文本 (2) + 间距 0 pt3"/>
    <w:basedOn w:val="16"/>
    <w:qFormat/>
    <w:uiPriority w:val="0"/>
    <w:rPr>
      <w:rFonts w:ascii="MingLiU" w:hAnsi="Times New Roman" w:eastAsia="MingLiU" w:cs="MingLiU"/>
      <w:spacing w:val="0"/>
      <w:sz w:val="22"/>
      <w:szCs w:val="22"/>
      <w:u w:val="none"/>
    </w:rPr>
  </w:style>
  <w:style w:type="character" w:customStyle="1" w:styleId="48">
    <w:name w:val="hover21"/>
    <w:basedOn w:val="16"/>
    <w:qFormat/>
    <w:uiPriority w:val="0"/>
    <w:rPr>
      <w:color w:val="5FB878"/>
    </w:rPr>
  </w:style>
  <w:style w:type="character" w:customStyle="1" w:styleId="49">
    <w:name w:val="hover22"/>
    <w:basedOn w:val="16"/>
    <w:qFormat/>
    <w:uiPriority w:val="0"/>
    <w:rPr>
      <w:color w:val="FFFFFF"/>
    </w:rPr>
  </w:style>
  <w:style w:type="character" w:customStyle="1" w:styleId="50">
    <w:name w:val="hover23"/>
    <w:basedOn w:val="16"/>
    <w:qFormat/>
    <w:uiPriority w:val="0"/>
    <w:rPr>
      <w:color w:val="5FB878"/>
    </w:rPr>
  </w:style>
  <w:style w:type="paragraph" w:customStyle="1" w:styleId="51">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24"/>
    <w:qFormat/>
    <w:uiPriority w:val="0"/>
    <w:pPr>
      <w:widowControl w:val="0"/>
      <w:jc w:val="both"/>
    </w:pPr>
    <w:rPr>
      <w:rFonts w:ascii="Calibri" w:hAnsi="Calibri" w:eastAsia="宋体" w:cs="黑体"/>
      <w:kern w:val="2"/>
      <w:sz w:val="21"/>
      <w:szCs w:val="24"/>
      <w:lang w:val="en-US" w:eastAsia="zh-CN" w:bidi="ar-SA"/>
    </w:rPr>
  </w:style>
  <w:style w:type="paragraph" w:customStyle="1" w:styleId="52">
    <w:name w:val="Default"/>
    <w:qFormat/>
    <w:uiPriority w:val="0"/>
    <w:pPr>
      <w:widowControl w:val="0"/>
      <w:autoSpaceDE w:val="0"/>
      <w:autoSpaceDN w:val="0"/>
      <w:adjustRightInd w:val="0"/>
    </w:pPr>
    <w:rPr>
      <w:rFonts w:hint="eastAsia" w:ascii="仿宋" w:hAnsi="仿宋" w:eastAsia="仿宋" w:cs="Times New Roman"/>
      <w:color w:val="000000"/>
      <w:sz w:val="24"/>
      <w:lang w:val="en-US" w:eastAsia="zh-CN" w:bidi="ar-SA"/>
    </w:rPr>
  </w:style>
  <w:style w:type="paragraph" w:customStyle="1" w:styleId="53">
    <w:name w:val="UserStyle_76"/>
    <w:qFormat/>
    <w:uiPriority w:val="0"/>
    <w:pPr>
      <w:spacing w:line="360" w:lineRule="auto"/>
      <w:ind w:firstLine="420"/>
      <w:jc w:val="left"/>
      <w:textAlignment w:val="baseline"/>
    </w:pPr>
    <w:rPr>
      <w:rFonts w:ascii="宋体" w:hAnsi="Times New Roman" w:eastAsia="宋体" w:cs="宋体"/>
      <w:kern w:val="0"/>
      <w:sz w:val="20"/>
      <w:szCs w:val="20"/>
      <w:lang w:val="en-US" w:eastAsia="zh-CN"/>
    </w:rPr>
  </w:style>
  <w:style w:type="paragraph" w:customStyle="1" w:styleId="54">
    <w:name w:val="Standard"/>
    <w:qFormat/>
    <w:uiPriority w:val="0"/>
    <w:pPr>
      <w:suppressAutoHyphens/>
      <w:autoSpaceDN w:val="0"/>
      <w:snapToGrid w:val="0"/>
      <w:textAlignment w:val="baseline"/>
    </w:pPr>
    <w:rPr>
      <w:rFonts w:ascii="Arial" w:hAnsi="Arial" w:eastAsia="Arial" w:cs="Arial"/>
      <w:color w:val="000000"/>
      <w:kern w:val="0"/>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1" Type="http://schemas.openxmlformats.org/officeDocument/2006/relationships/fontTable" Target="fontTable.xml"/><Relationship Id="rId60" Type="http://schemas.openxmlformats.org/officeDocument/2006/relationships/numbering" Target="numbering.xml"/><Relationship Id="rId6" Type="http://schemas.openxmlformats.org/officeDocument/2006/relationships/footer" Target="footer2.xml"/><Relationship Id="rId59" Type="http://schemas.openxmlformats.org/officeDocument/2006/relationships/customXml" Target="../customXml/item1.xml"/><Relationship Id="rId58" Type="http://schemas.openxmlformats.org/officeDocument/2006/relationships/image" Target="media/image19.png"/><Relationship Id="rId57" Type="http://schemas.openxmlformats.org/officeDocument/2006/relationships/image" Target="media/image18.jpeg"/><Relationship Id="rId56" Type="http://schemas.openxmlformats.org/officeDocument/2006/relationships/image" Target="media/image17.png"/><Relationship Id="rId55" Type="http://schemas.openxmlformats.org/officeDocument/2006/relationships/image" Target="media/image16.png"/><Relationship Id="rId54" Type="http://schemas.openxmlformats.org/officeDocument/2006/relationships/image" Target="media/image15.wmf"/><Relationship Id="rId53" Type="http://schemas.openxmlformats.org/officeDocument/2006/relationships/oleObject" Target="embeddings/oleObject12.bin"/><Relationship Id="rId52" Type="http://schemas.openxmlformats.org/officeDocument/2006/relationships/image" Target="media/image14.wmf"/><Relationship Id="rId51" Type="http://schemas.openxmlformats.org/officeDocument/2006/relationships/oleObject" Target="embeddings/oleObject11.bin"/><Relationship Id="rId50" Type="http://schemas.openxmlformats.org/officeDocument/2006/relationships/image" Target="media/image13.wmf"/><Relationship Id="rId5" Type="http://schemas.openxmlformats.org/officeDocument/2006/relationships/footer" Target="footer1.xml"/><Relationship Id="rId49" Type="http://schemas.openxmlformats.org/officeDocument/2006/relationships/oleObject" Target="embeddings/oleObject10.bin"/><Relationship Id="rId48" Type="http://schemas.openxmlformats.org/officeDocument/2006/relationships/image" Target="media/image12.wmf"/><Relationship Id="rId47" Type="http://schemas.openxmlformats.org/officeDocument/2006/relationships/oleObject" Target="embeddings/oleObject9.bin"/><Relationship Id="rId46" Type="http://schemas.openxmlformats.org/officeDocument/2006/relationships/image" Target="media/image11.wmf"/><Relationship Id="rId45" Type="http://schemas.openxmlformats.org/officeDocument/2006/relationships/oleObject" Target="embeddings/oleObject8.bin"/><Relationship Id="rId44" Type="http://schemas.openxmlformats.org/officeDocument/2006/relationships/image" Target="media/image10.wmf"/><Relationship Id="rId43" Type="http://schemas.openxmlformats.org/officeDocument/2006/relationships/oleObject" Target="embeddings/oleObject7.bin"/><Relationship Id="rId42" Type="http://schemas.openxmlformats.org/officeDocument/2006/relationships/image" Target="media/image9.wmf"/><Relationship Id="rId41" Type="http://schemas.openxmlformats.org/officeDocument/2006/relationships/oleObject" Target="embeddings/oleObject6.bin"/><Relationship Id="rId40" Type="http://schemas.openxmlformats.org/officeDocument/2006/relationships/image" Target="media/image8.wmf"/><Relationship Id="rId4" Type="http://schemas.openxmlformats.org/officeDocument/2006/relationships/header" Target="header2.xml"/><Relationship Id="rId39" Type="http://schemas.openxmlformats.org/officeDocument/2006/relationships/oleObject" Target="embeddings/oleObject5.bin"/><Relationship Id="rId38" Type="http://schemas.openxmlformats.org/officeDocument/2006/relationships/image" Target="media/image7.wmf"/><Relationship Id="rId37" Type="http://schemas.openxmlformats.org/officeDocument/2006/relationships/oleObject" Target="embeddings/oleObject4.bin"/><Relationship Id="rId36" Type="http://schemas.openxmlformats.org/officeDocument/2006/relationships/image" Target="media/image6.wmf"/><Relationship Id="rId35" Type="http://schemas.openxmlformats.org/officeDocument/2006/relationships/oleObject" Target="embeddings/oleObject3.bin"/><Relationship Id="rId34" Type="http://schemas.openxmlformats.org/officeDocument/2006/relationships/image" Target="media/image5.wmf"/><Relationship Id="rId33" Type="http://schemas.openxmlformats.org/officeDocument/2006/relationships/oleObject" Target="embeddings/oleObject2.bin"/><Relationship Id="rId32" Type="http://schemas.openxmlformats.org/officeDocument/2006/relationships/image" Target="media/image4.wmf"/><Relationship Id="rId31" Type="http://schemas.openxmlformats.org/officeDocument/2006/relationships/oleObject" Target="embeddings/oleObject1.bin"/><Relationship Id="rId30" Type="http://schemas.openxmlformats.org/officeDocument/2006/relationships/image" Target="media/image3.png"/><Relationship Id="rId3" Type="http://schemas.openxmlformats.org/officeDocument/2006/relationships/header" Target="header1.xml"/><Relationship Id="rId29" Type="http://schemas.openxmlformats.org/officeDocument/2006/relationships/image" Target="media/image2.png"/><Relationship Id="rId28" Type="http://schemas.openxmlformats.org/officeDocument/2006/relationships/image" Target="media/image1.png"/><Relationship Id="rId27" Type="http://schemas.openxmlformats.org/officeDocument/2006/relationships/theme" Target="theme/theme1.xml"/><Relationship Id="rId26" Type="http://schemas.openxmlformats.org/officeDocument/2006/relationships/footer" Target="footer20.xml"/><Relationship Id="rId25" Type="http://schemas.openxmlformats.org/officeDocument/2006/relationships/footer" Target="footer19.xml"/><Relationship Id="rId24" Type="http://schemas.openxmlformats.org/officeDocument/2006/relationships/footer" Target="footer18.xml"/><Relationship Id="rId23" Type="http://schemas.openxmlformats.org/officeDocument/2006/relationships/footer" Target="footer17.xml"/><Relationship Id="rId22" Type="http://schemas.openxmlformats.org/officeDocument/2006/relationships/footer" Target="footer16.xml"/><Relationship Id="rId21" Type="http://schemas.openxmlformats.org/officeDocument/2006/relationships/footer" Target="footer1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92</Pages>
  <Words>34858</Words>
  <Characters>37419</Characters>
  <Lines>0</Lines>
  <Paragraphs>0</Paragraphs>
  <TotalTime>23</TotalTime>
  <ScaleCrop>false</ScaleCrop>
  <LinksUpToDate>false</LinksUpToDate>
  <CharactersWithSpaces>38314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2024-09-28T04:36:00Z</dcterms:created>
  <dc:creator>Administrator</dc:creator>
  <cp:lastModifiedBy>琼楼笑望</cp:lastModifiedBy>
  <cp:lastPrinted>2024-09-29T01:33:00Z</cp:lastPrinted>
  <dcterms:modified xsi:type="dcterms:W3CDTF">2026-10-23T02:28:19Z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FA6F3D7CC40442FEA48298AF602B2B63_11</vt:lpwstr>
  </property>
  <property fmtid="{D5CDD505-2E9C-101B-9397-08002B2CF9AE}" pid="4" name="KSOTemplateDocerSaveRecord">
    <vt:lpwstr>eyJoZGlkIjoiMjUwNTI0NDYxZjI1YTM1OTc0YmRhZjI0YTk3MzBhOTIiLCJ1c2VySWQiOiI1NTkzMzQ0ODMifQ==</vt:lpwstr>
  </property>
</Properties>
</file>