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78029">
      <w:pPr>
        <w:pStyle w:val="6"/>
        <w:keepNext w:val="0"/>
        <w:keepLines w:val="0"/>
        <w:pageBreakBefore w:val="0"/>
        <w:wordWrap w:val="0"/>
        <w:overflowPunct/>
        <w:topLinePunct w:val="0"/>
        <w:bidi w:val="0"/>
        <w:spacing w:line="241" w:lineRule="auto"/>
        <w:rPr>
          <w:rFonts w:hint="eastAsia" w:ascii="宋体" w:hAnsi="宋体" w:eastAsia="宋体" w:cs="宋体"/>
          <w:color w:val="auto"/>
          <w:spacing w:val="0"/>
          <w:highlight w:val="none"/>
        </w:rPr>
      </w:pPr>
    </w:p>
    <w:p w14:paraId="306B3DC9">
      <w:pPr>
        <w:keepNext w:val="0"/>
        <w:keepLines w:val="0"/>
        <w:pageBreakBefore w:val="0"/>
        <w:wordWrap w:val="0"/>
        <w:overflowPunct/>
        <w:topLinePunct w:val="0"/>
        <w:bidi w:val="0"/>
        <w:rPr>
          <w:rFonts w:hint="eastAsia" w:ascii="宋体" w:hAnsi="宋体" w:eastAsia="宋体" w:cs="宋体"/>
          <w:color w:val="auto"/>
          <w:spacing w:val="0"/>
          <w:highlight w:val="none"/>
        </w:rPr>
      </w:pPr>
    </w:p>
    <w:p w14:paraId="744BBCD5">
      <w:pPr>
        <w:keepNext w:val="0"/>
        <w:keepLines w:val="0"/>
        <w:pageBreakBefore w:val="0"/>
        <w:wordWrap w:val="0"/>
        <w:overflowPunct/>
        <w:topLinePunct w:val="0"/>
        <w:bidi w:val="0"/>
        <w:jc w:val="center"/>
        <w:rPr>
          <w:rFonts w:hint="eastAsia" w:ascii="宋体" w:hAnsi="宋体" w:eastAsia="宋体" w:cs="宋体"/>
          <w:b/>
          <w:bCs/>
          <w:color w:val="auto"/>
          <w:spacing w:val="0"/>
          <w:sz w:val="28"/>
          <w:szCs w:val="28"/>
          <w:highlight w:val="none"/>
          <w:lang w:eastAsia="zh-CN"/>
        </w:rPr>
        <w:sectPr>
          <w:headerReference r:id="rId3" w:type="default"/>
          <w:footerReference r:id="rId4"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r>
        <w:rPr>
          <w:rFonts w:hint="eastAsia" w:ascii="宋体" w:hAnsi="宋体" w:eastAsia="宋体" w:cs="宋体"/>
          <w:b/>
          <w:bCs/>
          <w:color w:val="auto"/>
          <w:spacing w:val="0"/>
          <w:sz w:val="28"/>
          <w:szCs w:val="28"/>
          <w:highlight w:val="none"/>
          <w:lang w:eastAsia="zh-CN"/>
        </w:rPr>
        <w:drawing>
          <wp:inline distT="0" distB="0" distL="114300" distR="114300">
            <wp:extent cx="5875655" cy="8309610"/>
            <wp:effectExtent l="0" t="0" r="10795" b="15240"/>
            <wp:docPr id="3" name="图片 3" descr="招文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招文封面_01"/>
                    <pic:cNvPicPr>
                      <a:picLocks noChangeAspect="1"/>
                    </pic:cNvPicPr>
                  </pic:nvPicPr>
                  <pic:blipFill>
                    <a:blip r:embed="rId26"/>
                    <a:stretch>
                      <a:fillRect/>
                    </a:stretch>
                  </pic:blipFill>
                  <pic:spPr>
                    <a:xfrm>
                      <a:off x="0" y="0"/>
                      <a:ext cx="5875655" cy="8309610"/>
                    </a:xfrm>
                    <a:prstGeom prst="rect">
                      <a:avLst/>
                    </a:prstGeom>
                  </pic:spPr>
                </pic:pic>
              </a:graphicData>
            </a:graphic>
          </wp:inline>
        </w:drawing>
      </w:r>
    </w:p>
    <w:p w14:paraId="088BE4E2">
      <w:pPr>
        <w:keepNext w:val="0"/>
        <w:keepLines w:val="0"/>
        <w:pageBreakBefore w:val="0"/>
        <w:wordWrap w:val="0"/>
        <w:overflowPunct/>
        <w:topLinePunct w:val="0"/>
        <w:bidi w:val="0"/>
        <w:jc w:val="center"/>
        <w:rPr>
          <w:rFonts w:hint="eastAsia" w:ascii="宋体" w:hAnsi="宋体" w:eastAsia="宋体" w:cs="宋体"/>
          <w:b/>
          <w:bCs/>
          <w:color w:val="auto"/>
          <w:spacing w:val="0"/>
          <w:sz w:val="28"/>
          <w:szCs w:val="28"/>
          <w:highlight w:val="none"/>
        </w:rPr>
      </w:pPr>
      <w:r>
        <w:rPr>
          <w:rFonts w:hint="eastAsia" w:ascii="宋体" w:hAnsi="宋体" w:eastAsia="宋体" w:cs="宋体"/>
          <w:b/>
          <w:bCs/>
          <w:color w:val="auto"/>
          <w:spacing w:val="0"/>
          <w:sz w:val="28"/>
          <w:szCs w:val="28"/>
          <w:highlight w:val="none"/>
        </w:rPr>
        <w:t>目录</w:t>
      </w:r>
    </w:p>
    <w:p w14:paraId="485925C9">
      <w:pPr>
        <w:pStyle w:val="10"/>
        <w:tabs>
          <w:tab w:val="right" w:leader="dot" w:pos="9746"/>
        </w:tabs>
      </w:pPr>
      <w:r>
        <w:rPr>
          <w:rFonts w:hint="eastAsia" w:ascii="宋体" w:hAnsi="宋体" w:eastAsia="宋体" w:cs="宋体"/>
          <w:color w:val="auto"/>
          <w:spacing w:val="0"/>
          <w:sz w:val="24"/>
          <w:szCs w:val="24"/>
          <w:highlight w:val="none"/>
        </w:rPr>
        <w:fldChar w:fldCharType="begin"/>
      </w:r>
      <w:r>
        <w:rPr>
          <w:rFonts w:hint="eastAsia" w:ascii="宋体" w:hAnsi="宋体" w:eastAsia="宋体" w:cs="宋体"/>
          <w:color w:val="auto"/>
          <w:spacing w:val="0"/>
          <w:sz w:val="24"/>
          <w:szCs w:val="24"/>
          <w:highlight w:val="none"/>
        </w:rPr>
        <w:instrText xml:space="preserve">TOC \o "1-3" \h \u </w:instrText>
      </w:r>
      <w:r>
        <w:rPr>
          <w:rFonts w:hint="eastAsia" w:ascii="宋体" w:hAnsi="宋体" w:eastAsia="宋体" w:cs="宋体"/>
          <w:color w:val="auto"/>
          <w:spacing w:val="0"/>
          <w:sz w:val="24"/>
          <w:szCs w:val="24"/>
          <w:highlight w:val="none"/>
        </w:rPr>
        <w:fldChar w:fldCharType="separate"/>
      </w: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_Toc29781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第一章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投标人须知</w:t>
      </w:r>
      <w:r>
        <w:tab/>
      </w:r>
      <w:r>
        <w:fldChar w:fldCharType="begin"/>
      </w:r>
      <w:r>
        <w:instrText xml:space="preserve"> PAGEREF _Toc29781 \h </w:instrText>
      </w:r>
      <w:r>
        <w:fldChar w:fldCharType="separate"/>
      </w:r>
      <w:r>
        <w:t>2</w:t>
      </w:r>
      <w:r>
        <w:fldChar w:fldCharType="end"/>
      </w:r>
      <w:r>
        <w:rPr>
          <w:rFonts w:hint="eastAsia" w:ascii="宋体" w:hAnsi="宋体" w:eastAsia="宋体" w:cs="宋体"/>
          <w:color w:val="auto"/>
          <w:spacing w:val="0"/>
          <w:szCs w:val="24"/>
          <w:highlight w:val="none"/>
        </w:rPr>
        <w:fldChar w:fldCharType="end"/>
      </w:r>
    </w:p>
    <w:p w14:paraId="0579D9DC">
      <w:pPr>
        <w:pStyle w:val="11"/>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_Toc25557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第一节</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投标人须知前附表</w:t>
      </w:r>
      <w:r>
        <w:tab/>
      </w:r>
      <w:r>
        <w:fldChar w:fldCharType="begin"/>
      </w:r>
      <w:r>
        <w:instrText xml:space="preserve"> PAGEREF _Toc25557 \h </w:instrText>
      </w:r>
      <w:r>
        <w:fldChar w:fldCharType="separate"/>
      </w:r>
      <w:r>
        <w:t>2</w:t>
      </w:r>
      <w:r>
        <w:fldChar w:fldCharType="end"/>
      </w:r>
      <w:r>
        <w:rPr>
          <w:rFonts w:hint="eastAsia" w:ascii="宋体" w:hAnsi="宋体" w:eastAsia="宋体" w:cs="宋体"/>
          <w:color w:val="auto"/>
          <w:spacing w:val="0"/>
          <w:szCs w:val="24"/>
          <w:highlight w:val="none"/>
        </w:rPr>
        <w:fldChar w:fldCharType="end"/>
      </w:r>
    </w:p>
    <w:p w14:paraId="40AF92EA">
      <w:pPr>
        <w:pStyle w:val="11"/>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_Toc19706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第二节 重要事项时间地点一览表</w:t>
      </w:r>
      <w:r>
        <w:tab/>
      </w:r>
      <w:r>
        <w:fldChar w:fldCharType="begin"/>
      </w:r>
      <w:r>
        <w:instrText xml:space="preserve"> PAGEREF _Toc19706 \h </w:instrText>
      </w:r>
      <w:r>
        <w:fldChar w:fldCharType="separate"/>
      </w:r>
      <w:r>
        <w:t>8</w:t>
      </w:r>
      <w:r>
        <w:fldChar w:fldCharType="end"/>
      </w:r>
      <w:r>
        <w:rPr>
          <w:rFonts w:hint="eastAsia" w:ascii="宋体" w:hAnsi="宋体" w:eastAsia="宋体" w:cs="宋体"/>
          <w:color w:val="auto"/>
          <w:spacing w:val="0"/>
          <w:szCs w:val="24"/>
          <w:highlight w:val="none"/>
        </w:rPr>
        <w:fldChar w:fldCharType="end"/>
      </w:r>
    </w:p>
    <w:p w14:paraId="43D6F7A8">
      <w:pPr>
        <w:pStyle w:val="11"/>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_Toc877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第三节</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投标人须知正文</w:t>
      </w:r>
      <w:r>
        <w:tab/>
      </w:r>
      <w:r>
        <w:fldChar w:fldCharType="begin"/>
      </w:r>
      <w:r>
        <w:instrText xml:space="preserve"> PAGEREF _Toc877 \h </w:instrText>
      </w:r>
      <w:r>
        <w:fldChar w:fldCharType="separate"/>
      </w:r>
      <w:r>
        <w:t>9</w:t>
      </w:r>
      <w:r>
        <w:fldChar w:fldCharType="end"/>
      </w:r>
      <w:r>
        <w:rPr>
          <w:rFonts w:hint="eastAsia" w:ascii="宋体" w:hAnsi="宋体" w:eastAsia="宋体" w:cs="宋体"/>
          <w:color w:val="auto"/>
          <w:spacing w:val="0"/>
          <w:szCs w:val="24"/>
          <w:highlight w:val="none"/>
        </w:rPr>
        <w:fldChar w:fldCharType="end"/>
      </w:r>
    </w:p>
    <w:p w14:paraId="19B1F7F7">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_Toc17027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16 ．</w:t>
      </w:r>
      <w:r>
        <w:rPr>
          <w:rFonts w:hint="eastAsia" w:ascii="宋体" w:hAnsi="宋体" w:eastAsia="宋体" w:cs="宋体"/>
          <w:bCs/>
          <w:spacing w:val="0"/>
          <w:szCs w:val="24"/>
          <w:highlight w:val="none"/>
          <w:lang w:val="en-US" w:eastAsia="zh-CN"/>
        </w:rPr>
        <w:t>定</w:t>
      </w:r>
      <w:r>
        <w:rPr>
          <w:rFonts w:hint="eastAsia" w:ascii="宋体" w:hAnsi="宋体" w:eastAsia="宋体" w:cs="宋体"/>
          <w:bCs/>
          <w:spacing w:val="0"/>
          <w:szCs w:val="24"/>
          <w:highlight w:val="none"/>
        </w:rPr>
        <w:t>标</w:t>
      </w:r>
      <w:r>
        <w:tab/>
      </w:r>
      <w:r>
        <w:fldChar w:fldCharType="begin"/>
      </w:r>
      <w:r>
        <w:instrText xml:space="preserve"> PAGEREF _Toc17027 \h </w:instrText>
      </w:r>
      <w:r>
        <w:fldChar w:fldCharType="separate"/>
      </w:r>
      <w:r>
        <w:t>34</w:t>
      </w:r>
      <w:r>
        <w:fldChar w:fldCharType="end"/>
      </w:r>
      <w:r>
        <w:rPr>
          <w:rFonts w:hint="eastAsia" w:ascii="宋体" w:hAnsi="宋体" w:eastAsia="宋体" w:cs="宋体"/>
          <w:color w:val="auto"/>
          <w:spacing w:val="0"/>
          <w:szCs w:val="24"/>
          <w:highlight w:val="none"/>
        </w:rPr>
        <w:fldChar w:fldCharType="end"/>
      </w:r>
    </w:p>
    <w:p w14:paraId="3A9F304C">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_Toc21726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lang w:val="en-US" w:eastAsia="zh-CN"/>
        </w:rPr>
        <w:t>17</w:t>
      </w:r>
      <w:r>
        <w:rPr>
          <w:rFonts w:hint="eastAsia" w:ascii="宋体" w:hAnsi="宋体" w:eastAsia="宋体" w:cs="宋体"/>
          <w:bCs/>
          <w:spacing w:val="0"/>
          <w:szCs w:val="24"/>
          <w:highlight w:val="none"/>
        </w:rPr>
        <w:t xml:space="preserve"> ．</w:t>
      </w:r>
      <w:r>
        <w:rPr>
          <w:rFonts w:hint="eastAsia" w:ascii="宋体" w:hAnsi="宋体" w:eastAsia="宋体" w:cs="宋体"/>
          <w:bCs/>
          <w:spacing w:val="0"/>
          <w:szCs w:val="24"/>
          <w:highlight w:val="none"/>
          <w:lang w:val="en-US" w:eastAsia="zh-CN"/>
        </w:rPr>
        <w:t>定</w:t>
      </w:r>
      <w:r>
        <w:rPr>
          <w:rFonts w:hint="eastAsia" w:ascii="宋体" w:hAnsi="宋体" w:eastAsia="宋体" w:cs="宋体"/>
          <w:bCs/>
          <w:spacing w:val="0"/>
          <w:szCs w:val="24"/>
          <w:highlight w:val="none"/>
        </w:rPr>
        <w:t>标</w:t>
      </w:r>
      <w:r>
        <w:rPr>
          <w:rFonts w:hint="eastAsia" w:ascii="宋体" w:hAnsi="宋体" w:eastAsia="宋体" w:cs="宋体"/>
          <w:bCs/>
          <w:spacing w:val="0"/>
          <w:szCs w:val="24"/>
          <w:highlight w:val="none"/>
          <w:lang w:val="en-US" w:eastAsia="zh-CN"/>
        </w:rPr>
        <w:t>结果</w:t>
      </w:r>
      <w:r>
        <w:rPr>
          <w:rFonts w:hint="eastAsia" w:ascii="宋体" w:hAnsi="宋体" w:eastAsia="宋体" w:cs="宋体"/>
          <w:bCs/>
          <w:spacing w:val="0"/>
          <w:szCs w:val="24"/>
          <w:highlight w:val="none"/>
        </w:rPr>
        <w:t>公示</w:t>
      </w:r>
      <w:r>
        <w:tab/>
      </w:r>
      <w:r>
        <w:fldChar w:fldCharType="begin"/>
      </w:r>
      <w:r>
        <w:instrText xml:space="preserve"> PAGEREF _Toc21726 \h </w:instrText>
      </w:r>
      <w:r>
        <w:fldChar w:fldCharType="separate"/>
      </w:r>
      <w:r>
        <w:t>36</w:t>
      </w:r>
      <w:r>
        <w:fldChar w:fldCharType="end"/>
      </w:r>
      <w:r>
        <w:rPr>
          <w:rFonts w:hint="eastAsia" w:ascii="宋体" w:hAnsi="宋体" w:eastAsia="宋体" w:cs="宋体"/>
          <w:color w:val="auto"/>
          <w:spacing w:val="0"/>
          <w:szCs w:val="24"/>
          <w:highlight w:val="none"/>
        </w:rPr>
        <w:fldChar w:fldCharType="end"/>
      </w:r>
    </w:p>
    <w:p w14:paraId="6E93E62E">
      <w:pPr>
        <w:pStyle w:val="11"/>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_Toc2600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第四节</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否决投标条件</w:t>
      </w:r>
      <w:r>
        <w:tab/>
      </w:r>
      <w:r>
        <w:fldChar w:fldCharType="begin"/>
      </w:r>
      <w:r>
        <w:instrText xml:space="preserve"> PAGEREF _Toc2600 \h </w:instrText>
      </w:r>
      <w:r>
        <w:fldChar w:fldCharType="separate"/>
      </w:r>
      <w:r>
        <w:t>37</w:t>
      </w:r>
      <w:r>
        <w:fldChar w:fldCharType="end"/>
      </w:r>
      <w:r>
        <w:rPr>
          <w:rFonts w:hint="eastAsia" w:ascii="宋体" w:hAnsi="宋体" w:eastAsia="宋体" w:cs="宋体"/>
          <w:color w:val="auto"/>
          <w:spacing w:val="0"/>
          <w:szCs w:val="24"/>
          <w:highlight w:val="none"/>
        </w:rPr>
        <w:fldChar w:fldCharType="end"/>
      </w:r>
    </w:p>
    <w:p w14:paraId="43331C9B">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_Toc21422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．资格评审环节</w:t>
      </w:r>
      <w:r>
        <w:tab/>
      </w:r>
      <w:r>
        <w:fldChar w:fldCharType="begin"/>
      </w:r>
      <w:r>
        <w:instrText xml:space="preserve"> PAGEREF _Toc21422 \h </w:instrText>
      </w:r>
      <w:r>
        <w:fldChar w:fldCharType="separate"/>
      </w:r>
      <w:r>
        <w:t>37</w:t>
      </w:r>
      <w:r>
        <w:fldChar w:fldCharType="end"/>
      </w:r>
      <w:r>
        <w:rPr>
          <w:rFonts w:hint="eastAsia" w:ascii="宋体" w:hAnsi="宋体" w:eastAsia="宋体" w:cs="宋体"/>
          <w:color w:val="auto"/>
          <w:spacing w:val="0"/>
          <w:szCs w:val="24"/>
          <w:highlight w:val="none"/>
        </w:rPr>
        <w:fldChar w:fldCharType="end"/>
      </w:r>
    </w:p>
    <w:p w14:paraId="1DADFA20">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_Toc28571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．形式评审环节</w:t>
      </w:r>
      <w:r>
        <w:tab/>
      </w:r>
      <w:r>
        <w:fldChar w:fldCharType="begin"/>
      </w:r>
      <w:r>
        <w:instrText xml:space="preserve"> PAGEREF _Toc28571 \h </w:instrText>
      </w:r>
      <w:r>
        <w:fldChar w:fldCharType="separate"/>
      </w:r>
      <w:r>
        <w:t>38</w:t>
      </w:r>
      <w:r>
        <w:fldChar w:fldCharType="end"/>
      </w:r>
      <w:r>
        <w:rPr>
          <w:rFonts w:hint="eastAsia" w:ascii="宋体" w:hAnsi="宋体" w:eastAsia="宋体" w:cs="宋体"/>
          <w:color w:val="auto"/>
          <w:spacing w:val="0"/>
          <w:szCs w:val="24"/>
          <w:highlight w:val="none"/>
        </w:rPr>
        <w:fldChar w:fldCharType="end"/>
      </w:r>
    </w:p>
    <w:p w14:paraId="688DB2C9">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_Toc21573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．响应性评审环节</w:t>
      </w:r>
      <w:r>
        <w:tab/>
      </w:r>
      <w:r>
        <w:fldChar w:fldCharType="begin"/>
      </w:r>
      <w:r>
        <w:instrText xml:space="preserve"> PAGEREF _Toc21573 \h </w:instrText>
      </w:r>
      <w:r>
        <w:fldChar w:fldCharType="separate"/>
      </w:r>
      <w:r>
        <w:t>38</w:t>
      </w:r>
      <w:r>
        <w:fldChar w:fldCharType="end"/>
      </w:r>
      <w:r>
        <w:rPr>
          <w:rFonts w:hint="eastAsia" w:ascii="宋体" w:hAnsi="宋体" w:eastAsia="宋体" w:cs="宋体"/>
          <w:color w:val="auto"/>
          <w:spacing w:val="0"/>
          <w:szCs w:val="24"/>
          <w:highlight w:val="none"/>
        </w:rPr>
        <w:fldChar w:fldCharType="end"/>
      </w:r>
    </w:p>
    <w:p w14:paraId="1CDC948F">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_Toc22309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4 ．其他</w:t>
      </w:r>
      <w:r>
        <w:tab/>
      </w:r>
      <w:r>
        <w:fldChar w:fldCharType="begin"/>
      </w:r>
      <w:r>
        <w:instrText xml:space="preserve"> PAGEREF _Toc22309 \h </w:instrText>
      </w:r>
      <w:r>
        <w:fldChar w:fldCharType="separate"/>
      </w:r>
      <w:r>
        <w:t>39</w:t>
      </w:r>
      <w:r>
        <w:fldChar w:fldCharType="end"/>
      </w:r>
      <w:r>
        <w:rPr>
          <w:rFonts w:hint="eastAsia" w:ascii="宋体" w:hAnsi="宋体" w:eastAsia="宋体" w:cs="宋体"/>
          <w:color w:val="auto"/>
          <w:spacing w:val="0"/>
          <w:szCs w:val="24"/>
          <w:highlight w:val="none"/>
        </w:rPr>
        <w:fldChar w:fldCharType="end"/>
      </w:r>
    </w:p>
    <w:p w14:paraId="2FEA0420">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_Toc27997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第二章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中标人须知</w:t>
      </w:r>
      <w:r>
        <w:tab/>
      </w:r>
      <w:r>
        <w:fldChar w:fldCharType="begin"/>
      </w:r>
      <w:r>
        <w:instrText xml:space="preserve"> PAGEREF _Toc27997 \h </w:instrText>
      </w:r>
      <w:r>
        <w:fldChar w:fldCharType="separate"/>
      </w:r>
      <w:r>
        <w:t>40</w:t>
      </w:r>
      <w:r>
        <w:fldChar w:fldCharType="end"/>
      </w:r>
      <w:r>
        <w:rPr>
          <w:rFonts w:hint="eastAsia" w:ascii="宋体" w:hAnsi="宋体" w:eastAsia="宋体" w:cs="宋体"/>
          <w:color w:val="auto"/>
          <w:spacing w:val="0"/>
          <w:szCs w:val="24"/>
          <w:highlight w:val="none"/>
        </w:rPr>
        <w:fldChar w:fldCharType="end"/>
      </w:r>
    </w:p>
    <w:p w14:paraId="3C5186A7">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_Toc31198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．中标通知书</w:t>
      </w:r>
      <w:r>
        <w:tab/>
      </w:r>
      <w:r>
        <w:fldChar w:fldCharType="begin"/>
      </w:r>
      <w:r>
        <w:instrText xml:space="preserve"> PAGEREF _Toc31198 \h </w:instrText>
      </w:r>
      <w:r>
        <w:fldChar w:fldCharType="separate"/>
      </w:r>
      <w:r>
        <w:t>40</w:t>
      </w:r>
      <w:r>
        <w:fldChar w:fldCharType="end"/>
      </w:r>
      <w:r>
        <w:rPr>
          <w:rFonts w:hint="eastAsia" w:ascii="宋体" w:hAnsi="宋体" w:eastAsia="宋体" w:cs="宋体"/>
          <w:color w:val="auto"/>
          <w:spacing w:val="0"/>
          <w:szCs w:val="24"/>
          <w:highlight w:val="none"/>
        </w:rPr>
        <w:fldChar w:fldCharType="end"/>
      </w:r>
    </w:p>
    <w:p w14:paraId="4E4DD7F3">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_Toc9163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．中标结果公示</w:t>
      </w:r>
      <w:r>
        <w:tab/>
      </w:r>
      <w:r>
        <w:fldChar w:fldCharType="begin"/>
      </w:r>
      <w:r>
        <w:instrText xml:space="preserve"> PAGEREF _Toc9163 \h </w:instrText>
      </w:r>
      <w:r>
        <w:fldChar w:fldCharType="separate"/>
      </w:r>
      <w:r>
        <w:t>40</w:t>
      </w:r>
      <w:r>
        <w:fldChar w:fldCharType="end"/>
      </w:r>
      <w:r>
        <w:rPr>
          <w:rFonts w:hint="eastAsia" w:ascii="宋体" w:hAnsi="宋体" w:eastAsia="宋体" w:cs="宋体"/>
          <w:color w:val="auto"/>
          <w:spacing w:val="0"/>
          <w:szCs w:val="24"/>
          <w:highlight w:val="none"/>
        </w:rPr>
        <w:fldChar w:fldCharType="end"/>
      </w:r>
    </w:p>
    <w:p w14:paraId="6DF741C7">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_Toc16611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．履约保证</w:t>
      </w:r>
      <w:r>
        <w:tab/>
      </w:r>
      <w:r>
        <w:fldChar w:fldCharType="begin"/>
      </w:r>
      <w:r>
        <w:instrText xml:space="preserve"> PAGEREF _Toc16611 \h </w:instrText>
      </w:r>
      <w:r>
        <w:fldChar w:fldCharType="separate"/>
      </w:r>
      <w:r>
        <w:t>40</w:t>
      </w:r>
      <w:r>
        <w:fldChar w:fldCharType="end"/>
      </w:r>
      <w:r>
        <w:rPr>
          <w:rFonts w:hint="eastAsia" w:ascii="宋体" w:hAnsi="宋体" w:eastAsia="宋体" w:cs="宋体"/>
          <w:color w:val="auto"/>
          <w:spacing w:val="0"/>
          <w:szCs w:val="24"/>
          <w:highlight w:val="none"/>
        </w:rPr>
        <w:fldChar w:fldCharType="end"/>
      </w:r>
    </w:p>
    <w:p w14:paraId="480664E9">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_Toc15730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4 ．合同订立</w:t>
      </w:r>
      <w:r>
        <w:tab/>
      </w:r>
      <w:r>
        <w:fldChar w:fldCharType="begin"/>
      </w:r>
      <w:r>
        <w:instrText xml:space="preserve"> PAGEREF _Toc15730 \h </w:instrText>
      </w:r>
      <w:r>
        <w:fldChar w:fldCharType="separate"/>
      </w:r>
      <w:r>
        <w:t>40</w:t>
      </w:r>
      <w:r>
        <w:fldChar w:fldCharType="end"/>
      </w:r>
      <w:r>
        <w:rPr>
          <w:rFonts w:hint="eastAsia" w:ascii="宋体" w:hAnsi="宋体" w:eastAsia="宋体" w:cs="宋体"/>
          <w:color w:val="auto"/>
          <w:spacing w:val="0"/>
          <w:szCs w:val="24"/>
          <w:highlight w:val="none"/>
        </w:rPr>
        <w:fldChar w:fldCharType="end"/>
      </w:r>
    </w:p>
    <w:p w14:paraId="19732E56">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_Toc7925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5 ．放弃中标的处理</w:t>
      </w:r>
      <w:r>
        <w:tab/>
      </w:r>
      <w:r>
        <w:fldChar w:fldCharType="begin"/>
      </w:r>
      <w:r>
        <w:instrText xml:space="preserve"> PAGEREF _Toc7925 \h </w:instrText>
      </w:r>
      <w:r>
        <w:fldChar w:fldCharType="separate"/>
      </w:r>
      <w:r>
        <w:t>42</w:t>
      </w:r>
      <w:r>
        <w:fldChar w:fldCharType="end"/>
      </w:r>
      <w:r>
        <w:rPr>
          <w:rFonts w:hint="eastAsia" w:ascii="宋体" w:hAnsi="宋体" w:eastAsia="宋体" w:cs="宋体"/>
          <w:color w:val="auto"/>
          <w:spacing w:val="0"/>
          <w:szCs w:val="24"/>
          <w:highlight w:val="none"/>
        </w:rPr>
        <w:fldChar w:fldCharType="end"/>
      </w:r>
    </w:p>
    <w:p w14:paraId="0C57D843">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_Toc15559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第三章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拟签订合同的主要条款</w:t>
      </w:r>
      <w:r>
        <w:tab/>
      </w:r>
      <w:r>
        <w:fldChar w:fldCharType="begin"/>
      </w:r>
      <w:r>
        <w:instrText xml:space="preserve"> PAGEREF _Toc15559 \h </w:instrText>
      </w:r>
      <w:r>
        <w:fldChar w:fldCharType="separate"/>
      </w:r>
      <w:r>
        <w:t>43</w:t>
      </w:r>
      <w:r>
        <w:fldChar w:fldCharType="end"/>
      </w:r>
      <w:r>
        <w:rPr>
          <w:rFonts w:hint="eastAsia" w:ascii="宋体" w:hAnsi="宋体" w:eastAsia="宋体" w:cs="宋体"/>
          <w:color w:val="auto"/>
          <w:spacing w:val="0"/>
          <w:szCs w:val="24"/>
          <w:highlight w:val="none"/>
        </w:rPr>
        <w:fldChar w:fldCharType="end"/>
      </w:r>
    </w:p>
    <w:p w14:paraId="56B1B6ED">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_Toc1132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．工程承包方式</w:t>
      </w:r>
      <w:r>
        <w:tab/>
      </w:r>
      <w:r>
        <w:fldChar w:fldCharType="begin"/>
      </w:r>
      <w:r>
        <w:instrText xml:space="preserve"> PAGEREF _Toc1132 \h </w:instrText>
      </w:r>
      <w:r>
        <w:fldChar w:fldCharType="separate"/>
      </w:r>
      <w:r>
        <w:t>43</w:t>
      </w:r>
      <w:r>
        <w:fldChar w:fldCharType="end"/>
      </w:r>
      <w:r>
        <w:rPr>
          <w:rFonts w:hint="eastAsia" w:ascii="宋体" w:hAnsi="宋体" w:eastAsia="宋体" w:cs="宋体"/>
          <w:color w:val="auto"/>
          <w:spacing w:val="0"/>
          <w:szCs w:val="24"/>
          <w:highlight w:val="none"/>
        </w:rPr>
        <w:fldChar w:fldCharType="end"/>
      </w:r>
    </w:p>
    <w:p w14:paraId="6453B3FE">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_Toc20891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．工程结算原则</w:t>
      </w:r>
      <w:r>
        <w:tab/>
      </w:r>
      <w:r>
        <w:fldChar w:fldCharType="begin"/>
      </w:r>
      <w:r>
        <w:instrText xml:space="preserve"> PAGEREF _Toc20891 \h </w:instrText>
      </w:r>
      <w:r>
        <w:fldChar w:fldCharType="separate"/>
      </w:r>
      <w:r>
        <w:t>43</w:t>
      </w:r>
      <w:r>
        <w:fldChar w:fldCharType="end"/>
      </w:r>
      <w:r>
        <w:rPr>
          <w:rFonts w:hint="eastAsia" w:ascii="宋体" w:hAnsi="宋体" w:eastAsia="宋体" w:cs="宋体"/>
          <w:color w:val="auto"/>
          <w:spacing w:val="0"/>
          <w:szCs w:val="24"/>
          <w:highlight w:val="none"/>
        </w:rPr>
        <w:fldChar w:fldCharType="end"/>
      </w:r>
    </w:p>
    <w:p w14:paraId="366B0F6D">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_Toc10083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工程付款办法</w:t>
      </w:r>
      <w:r>
        <w:tab/>
      </w:r>
      <w:r>
        <w:fldChar w:fldCharType="begin"/>
      </w:r>
      <w:r>
        <w:instrText xml:space="preserve"> PAGEREF _Toc10083 \h </w:instrText>
      </w:r>
      <w:r>
        <w:fldChar w:fldCharType="separate"/>
      </w:r>
      <w:r>
        <w:t>49</w:t>
      </w:r>
      <w:r>
        <w:fldChar w:fldCharType="end"/>
      </w:r>
      <w:r>
        <w:rPr>
          <w:rFonts w:hint="eastAsia" w:ascii="宋体" w:hAnsi="宋体" w:eastAsia="宋体" w:cs="宋体"/>
          <w:color w:val="auto"/>
          <w:spacing w:val="0"/>
          <w:szCs w:val="24"/>
          <w:highlight w:val="none"/>
        </w:rPr>
        <w:fldChar w:fldCharType="end"/>
      </w:r>
    </w:p>
    <w:p w14:paraId="48E9C640">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_Toc12545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4 ．其他专用合同条款</w:t>
      </w:r>
      <w:r>
        <w:tab/>
      </w:r>
      <w:r>
        <w:fldChar w:fldCharType="begin"/>
      </w:r>
      <w:r>
        <w:instrText xml:space="preserve"> PAGEREF _Toc12545 \h </w:instrText>
      </w:r>
      <w:r>
        <w:fldChar w:fldCharType="separate"/>
      </w:r>
      <w:r>
        <w:t>50</w:t>
      </w:r>
      <w:r>
        <w:fldChar w:fldCharType="end"/>
      </w:r>
      <w:r>
        <w:rPr>
          <w:rFonts w:hint="eastAsia" w:ascii="宋体" w:hAnsi="宋体" w:eastAsia="宋体" w:cs="宋体"/>
          <w:color w:val="auto"/>
          <w:spacing w:val="0"/>
          <w:szCs w:val="24"/>
          <w:highlight w:val="none"/>
        </w:rPr>
        <w:fldChar w:fldCharType="end"/>
      </w:r>
    </w:p>
    <w:p w14:paraId="188A1C27">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_Toc27258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第四章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技术要求</w:t>
      </w:r>
      <w:r>
        <w:tab/>
      </w:r>
      <w:r>
        <w:fldChar w:fldCharType="begin"/>
      </w:r>
      <w:r>
        <w:instrText xml:space="preserve"> PAGEREF _Toc27258 \h </w:instrText>
      </w:r>
      <w:r>
        <w:fldChar w:fldCharType="separate"/>
      </w:r>
      <w:r>
        <w:t>58</w:t>
      </w:r>
      <w:r>
        <w:fldChar w:fldCharType="end"/>
      </w:r>
      <w:r>
        <w:rPr>
          <w:rFonts w:hint="eastAsia" w:ascii="宋体" w:hAnsi="宋体" w:eastAsia="宋体" w:cs="宋体"/>
          <w:color w:val="auto"/>
          <w:spacing w:val="0"/>
          <w:szCs w:val="24"/>
          <w:highlight w:val="none"/>
        </w:rPr>
        <w:fldChar w:fldCharType="end"/>
      </w:r>
    </w:p>
    <w:p w14:paraId="27194945">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_Toc5508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．房屋建筑工程建设项目</w:t>
      </w:r>
      <w:r>
        <w:tab/>
      </w:r>
      <w:r>
        <w:fldChar w:fldCharType="begin"/>
      </w:r>
      <w:r>
        <w:instrText xml:space="preserve"> PAGEREF _Toc5508 \h </w:instrText>
      </w:r>
      <w:r>
        <w:fldChar w:fldCharType="separate"/>
      </w:r>
      <w:r>
        <w:t>58</w:t>
      </w:r>
      <w:r>
        <w:fldChar w:fldCharType="end"/>
      </w:r>
      <w:r>
        <w:rPr>
          <w:rFonts w:hint="eastAsia" w:ascii="宋体" w:hAnsi="宋体" w:eastAsia="宋体" w:cs="宋体"/>
          <w:color w:val="auto"/>
          <w:spacing w:val="0"/>
          <w:szCs w:val="24"/>
          <w:highlight w:val="none"/>
        </w:rPr>
        <w:fldChar w:fldCharType="end"/>
      </w:r>
    </w:p>
    <w:p w14:paraId="297464B4">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_Toc16055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．市政基础设施工程建设项目</w:t>
      </w:r>
      <w:r>
        <w:tab/>
      </w:r>
      <w:r>
        <w:fldChar w:fldCharType="begin"/>
      </w:r>
      <w:r>
        <w:instrText xml:space="preserve"> PAGEREF _Toc16055 \h </w:instrText>
      </w:r>
      <w:r>
        <w:fldChar w:fldCharType="separate"/>
      </w:r>
      <w:r>
        <w:t>58</w:t>
      </w:r>
      <w:r>
        <w:fldChar w:fldCharType="end"/>
      </w:r>
      <w:r>
        <w:rPr>
          <w:rFonts w:hint="eastAsia" w:ascii="宋体" w:hAnsi="宋体" w:eastAsia="宋体" w:cs="宋体"/>
          <w:color w:val="auto"/>
          <w:spacing w:val="0"/>
          <w:szCs w:val="24"/>
          <w:highlight w:val="none"/>
        </w:rPr>
        <w:fldChar w:fldCharType="end"/>
      </w:r>
    </w:p>
    <w:p w14:paraId="4E8620DC">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_Toc29206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．备查要求</w:t>
      </w:r>
      <w:r>
        <w:tab/>
      </w:r>
      <w:r>
        <w:fldChar w:fldCharType="begin"/>
      </w:r>
      <w:r>
        <w:instrText xml:space="preserve"> PAGEREF _Toc29206 \h </w:instrText>
      </w:r>
      <w:r>
        <w:fldChar w:fldCharType="separate"/>
      </w:r>
      <w:r>
        <w:t>59</w:t>
      </w:r>
      <w:r>
        <w:fldChar w:fldCharType="end"/>
      </w:r>
      <w:r>
        <w:rPr>
          <w:rFonts w:hint="eastAsia" w:ascii="宋体" w:hAnsi="宋体" w:eastAsia="宋体" w:cs="宋体"/>
          <w:color w:val="auto"/>
          <w:spacing w:val="0"/>
          <w:szCs w:val="24"/>
          <w:highlight w:val="none"/>
        </w:rPr>
        <w:fldChar w:fldCharType="end"/>
      </w:r>
    </w:p>
    <w:p w14:paraId="0307EF94">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_Toc321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第五章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图纸和招标工程量清单</w:t>
      </w:r>
      <w:r>
        <w:tab/>
      </w:r>
      <w:r>
        <w:fldChar w:fldCharType="begin"/>
      </w:r>
      <w:r>
        <w:instrText xml:space="preserve"> PAGEREF _Toc321 \h </w:instrText>
      </w:r>
      <w:r>
        <w:fldChar w:fldCharType="separate"/>
      </w:r>
      <w:r>
        <w:t>60</w:t>
      </w:r>
      <w:r>
        <w:fldChar w:fldCharType="end"/>
      </w:r>
      <w:r>
        <w:rPr>
          <w:rFonts w:hint="eastAsia" w:ascii="宋体" w:hAnsi="宋体" w:eastAsia="宋体" w:cs="宋体"/>
          <w:color w:val="auto"/>
          <w:spacing w:val="0"/>
          <w:szCs w:val="24"/>
          <w:highlight w:val="none"/>
        </w:rPr>
        <w:fldChar w:fldCharType="end"/>
      </w:r>
    </w:p>
    <w:p w14:paraId="2856C778">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_Toc30038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．图纸</w:t>
      </w:r>
      <w:r>
        <w:tab/>
      </w:r>
      <w:r>
        <w:fldChar w:fldCharType="begin"/>
      </w:r>
      <w:r>
        <w:instrText xml:space="preserve"> PAGEREF _Toc30038 \h </w:instrText>
      </w:r>
      <w:r>
        <w:fldChar w:fldCharType="separate"/>
      </w:r>
      <w:r>
        <w:t>60</w:t>
      </w:r>
      <w:r>
        <w:fldChar w:fldCharType="end"/>
      </w:r>
      <w:r>
        <w:rPr>
          <w:rFonts w:hint="eastAsia" w:ascii="宋体" w:hAnsi="宋体" w:eastAsia="宋体" w:cs="宋体"/>
          <w:color w:val="auto"/>
          <w:spacing w:val="0"/>
          <w:szCs w:val="24"/>
          <w:highlight w:val="none"/>
        </w:rPr>
        <w:fldChar w:fldCharType="end"/>
      </w:r>
    </w:p>
    <w:p w14:paraId="17A2C0F7">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_Toc7174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．招标工程量清单</w:t>
      </w:r>
      <w:r>
        <w:tab/>
      </w:r>
      <w:r>
        <w:fldChar w:fldCharType="begin"/>
      </w:r>
      <w:r>
        <w:instrText xml:space="preserve"> PAGEREF _Toc7174 \h </w:instrText>
      </w:r>
      <w:r>
        <w:fldChar w:fldCharType="separate"/>
      </w:r>
      <w:r>
        <w:t>60</w:t>
      </w:r>
      <w:r>
        <w:fldChar w:fldCharType="end"/>
      </w:r>
      <w:r>
        <w:rPr>
          <w:rFonts w:hint="eastAsia" w:ascii="宋体" w:hAnsi="宋体" w:eastAsia="宋体" w:cs="宋体"/>
          <w:color w:val="auto"/>
          <w:spacing w:val="0"/>
          <w:szCs w:val="24"/>
          <w:highlight w:val="none"/>
        </w:rPr>
        <w:fldChar w:fldCharType="end"/>
      </w:r>
    </w:p>
    <w:p w14:paraId="6F52CDB8">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_Toc10270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第六章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投标文件格式</w:t>
      </w:r>
      <w:r>
        <w:tab/>
      </w:r>
      <w:r>
        <w:fldChar w:fldCharType="begin"/>
      </w:r>
      <w:r>
        <w:instrText xml:space="preserve"> PAGEREF _Toc10270 \h </w:instrText>
      </w:r>
      <w:r>
        <w:fldChar w:fldCharType="separate"/>
      </w:r>
      <w:r>
        <w:t>61</w:t>
      </w:r>
      <w:r>
        <w:fldChar w:fldCharType="end"/>
      </w:r>
      <w:r>
        <w:rPr>
          <w:rFonts w:hint="eastAsia" w:ascii="宋体" w:hAnsi="宋体" w:eastAsia="宋体" w:cs="宋体"/>
          <w:color w:val="auto"/>
          <w:spacing w:val="0"/>
          <w:szCs w:val="24"/>
          <w:highlight w:val="none"/>
        </w:rPr>
        <w:fldChar w:fldCharType="end"/>
      </w:r>
    </w:p>
    <w:p w14:paraId="7B794B33">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_Toc10384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格式一</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封面</w:t>
      </w:r>
      <w:r>
        <w:tab/>
      </w:r>
      <w:r>
        <w:fldChar w:fldCharType="begin"/>
      </w:r>
      <w:r>
        <w:instrText xml:space="preserve"> PAGEREF _Toc10384 \h </w:instrText>
      </w:r>
      <w:r>
        <w:fldChar w:fldCharType="separate"/>
      </w:r>
      <w:r>
        <w:t>61</w:t>
      </w:r>
      <w:r>
        <w:fldChar w:fldCharType="end"/>
      </w:r>
      <w:r>
        <w:rPr>
          <w:rFonts w:hint="eastAsia" w:ascii="宋体" w:hAnsi="宋体" w:eastAsia="宋体" w:cs="宋体"/>
          <w:color w:val="auto"/>
          <w:spacing w:val="0"/>
          <w:szCs w:val="24"/>
          <w:highlight w:val="none"/>
        </w:rPr>
        <w:fldChar w:fldCharType="end"/>
      </w:r>
    </w:p>
    <w:p w14:paraId="7C6BE611">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_Toc2430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格式二 投标函</w:t>
      </w:r>
      <w:r>
        <w:tab/>
      </w:r>
      <w:r>
        <w:fldChar w:fldCharType="begin"/>
      </w:r>
      <w:r>
        <w:instrText xml:space="preserve"> PAGEREF _Toc2430 \h </w:instrText>
      </w:r>
      <w:r>
        <w:fldChar w:fldCharType="separate"/>
      </w:r>
      <w:r>
        <w:t>62</w:t>
      </w:r>
      <w:r>
        <w:fldChar w:fldCharType="end"/>
      </w:r>
      <w:r>
        <w:rPr>
          <w:rFonts w:hint="eastAsia" w:ascii="宋体" w:hAnsi="宋体" w:eastAsia="宋体" w:cs="宋体"/>
          <w:color w:val="auto"/>
          <w:spacing w:val="0"/>
          <w:szCs w:val="24"/>
          <w:highlight w:val="none"/>
        </w:rPr>
        <w:fldChar w:fldCharType="end"/>
      </w:r>
    </w:p>
    <w:p w14:paraId="1F3F52B1">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_Toc3736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格式三 各项承诺一览表</w:t>
      </w:r>
      <w:r>
        <w:tab/>
      </w:r>
      <w:r>
        <w:fldChar w:fldCharType="begin"/>
      </w:r>
      <w:r>
        <w:instrText xml:space="preserve"> PAGEREF _Toc3736 \h </w:instrText>
      </w:r>
      <w:r>
        <w:fldChar w:fldCharType="separate"/>
      </w:r>
      <w:r>
        <w:t>63</w:t>
      </w:r>
      <w:r>
        <w:fldChar w:fldCharType="end"/>
      </w:r>
      <w:r>
        <w:rPr>
          <w:rFonts w:hint="eastAsia" w:ascii="宋体" w:hAnsi="宋体" w:eastAsia="宋体" w:cs="宋体"/>
          <w:color w:val="auto"/>
          <w:spacing w:val="0"/>
          <w:szCs w:val="24"/>
          <w:highlight w:val="none"/>
        </w:rPr>
        <w:fldChar w:fldCharType="end"/>
      </w:r>
    </w:p>
    <w:p w14:paraId="7A147EEC">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_Toc23435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格式四 授权委托书</w:t>
      </w:r>
      <w:r>
        <w:tab/>
      </w:r>
      <w:r>
        <w:fldChar w:fldCharType="begin"/>
      </w:r>
      <w:r>
        <w:instrText xml:space="preserve"> PAGEREF _Toc23435 \h </w:instrText>
      </w:r>
      <w:r>
        <w:fldChar w:fldCharType="separate"/>
      </w:r>
      <w:r>
        <w:t>65</w:t>
      </w:r>
      <w:r>
        <w:fldChar w:fldCharType="end"/>
      </w:r>
      <w:r>
        <w:rPr>
          <w:rFonts w:hint="eastAsia" w:ascii="宋体" w:hAnsi="宋体" w:eastAsia="宋体" w:cs="宋体"/>
          <w:color w:val="auto"/>
          <w:spacing w:val="0"/>
          <w:szCs w:val="24"/>
          <w:highlight w:val="none"/>
        </w:rPr>
        <w:fldChar w:fldCharType="end"/>
      </w:r>
    </w:p>
    <w:p w14:paraId="03727DF5">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_Toc9240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格式五 法定代表人身份证明</w:t>
      </w:r>
      <w:r>
        <w:tab/>
      </w:r>
      <w:r>
        <w:fldChar w:fldCharType="begin"/>
      </w:r>
      <w:r>
        <w:instrText xml:space="preserve"> PAGEREF _Toc9240 \h </w:instrText>
      </w:r>
      <w:r>
        <w:fldChar w:fldCharType="separate"/>
      </w:r>
      <w:r>
        <w:t>66</w:t>
      </w:r>
      <w:r>
        <w:fldChar w:fldCharType="end"/>
      </w:r>
      <w:r>
        <w:rPr>
          <w:rFonts w:hint="eastAsia" w:ascii="宋体" w:hAnsi="宋体" w:eastAsia="宋体" w:cs="宋体"/>
          <w:color w:val="auto"/>
          <w:spacing w:val="0"/>
          <w:szCs w:val="24"/>
          <w:highlight w:val="none"/>
        </w:rPr>
        <w:fldChar w:fldCharType="end"/>
      </w:r>
    </w:p>
    <w:p w14:paraId="6D9427C4">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_Toc12207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格式六 联合体协议书</w:t>
      </w:r>
      <w:r>
        <w:rPr>
          <w:rFonts w:hint="eastAsia" w:ascii="宋体" w:hAnsi="宋体" w:eastAsia="宋体" w:cs="宋体"/>
          <w:bCs/>
          <w:spacing w:val="0"/>
          <w:szCs w:val="24"/>
          <w:highlight w:val="none"/>
          <w:lang w:eastAsia="zh-CN"/>
        </w:rPr>
        <w:t>（</w:t>
      </w:r>
      <w:r>
        <w:rPr>
          <w:rFonts w:hint="eastAsia" w:ascii="宋体" w:hAnsi="宋体" w:eastAsia="宋体" w:cs="宋体"/>
          <w:bCs/>
          <w:spacing w:val="0"/>
          <w:szCs w:val="24"/>
          <w:highlight w:val="none"/>
          <w:lang w:val="en-US" w:eastAsia="zh-CN"/>
        </w:rPr>
        <w:t>如有</w:t>
      </w:r>
      <w:r>
        <w:rPr>
          <w:rFonts w:hint="eastAsia" w:ascii="宋体" w:hAnsi="宋体" w:eastAsia="宋体" w:cs="宋体"/>
          <w:bCs/>
          <w:spacing w:val="0"/>
          <w:szCs w:val="24"/>
          <w:highlight w:val="none"/>
          <w:lang w:eastAsia="zh-CN"/>
        </w:rPr>
        <w:t>）</w:t>
      </w:r>
      <w:r>
        <w:tab/>
      </w:r>
      <w:r>
        <w:fldChar w:fldCharType="begin"/>
      </w:r>
      <w:r>
        <w:instrText xml:space="preserve"> PAGEREF _Toc12207 \h </w:instrText>
      </w:r>
      <w:r>
        <w:fldChar w:fldCharType="separate"/>
      </w:r>
      <w:r>
        <w:t>67</w:t>
      </w:r>
      <w:r>
        <w:fldChar w:fldCharType="end"/>
      </w:r>
      <w:r>
        <w:rPr>
          <w:rFonts w:hint="eastAsia" w:ascii="宋体" w:hAnsi="宋体" w:eastAsia="宋体" w:cs="宋体"/>
          <w:color w:val="auto"/>
          <w:spacing w:val="0"/>
          <w:szCs w:val="24"/>
          <w:highlight w:val="none"/>
        </w:rPr>
        <w:fldChar w:fldCharType="end"/>
      </w:r>
    </w:p>
    <w:p w14:paraId="58EF92AF">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_Toc17122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格式七 投标人基本情况表</w:t>
      </w:r>
      <w:r>
        <w:tab/>
      </w:r>
      <w:r>
        <w:fldChar w:fldCharType="begin"/>
      </w:r>
      <w:r>
        <w:instrText xml:space="preserve"> PAGEREF _Toc17122 \h </w:instrText>
      </w:r>
      <w:r>
        <w:fldChar w:fldCharType="separate"/>
      </w:r>
      <w:r>
        <w:t>68</w:t>
      </w:r>
      <w:r>
        <w:fldChar w:fldCharType="end"/>
      </w:r>
      <w:r>
        <w:rPr>
          <w:rFonts w:hint="eastAsia" w:ascii="宋体" w:hAnsi="宋体" w:eastAsia="宋体" w:cs="宋体"/>
          <w:color w:val="auto"/>
          <w:spacing w:val="0"/>
          <w:szCs w:val="24"/>
          <w:highlight w:val="none"/>
        </w:rPr>
        <w:fldChar w:fldCharType="end"/>
      </w:r>
    </w:p>
    <w:p w14:paraId="219AE2F1">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_Toc30292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格式八 项目经理简历表</w:t>
      </w:r>
      <w:r>
        <w:tab/>
      </w:r>
      <w:r>
        <w:fldChar w:fldCharType="begin"/>
      </w:r>
      <w:r>
        <w:instrText xml:space="preserve"> PAGEREF _Toc30292 \h </w:instrText>
      </w:r>
      <w:r>
        <w:fldChar w:fldCharType="separate"/>
      </w:r>
      <w:r>
        <w:t>69</w:t>
      </w:r>
      <w:r>
        <w:fldChar w:fldCharType="end"/>
      </w:r>
      <w:r>
        <w:rPr>
          <w:rFonts w:hint="eastAsia" w:ascii="宋体" w:hAnsi="宋体" w:eastAsia="宋体" w:cs="宋体"/>
          <w:color w:val="auto"/>
          <w:spacing w:val="0"/>
          <w:szCs w:val="24"/>
          <w:highlight w:val="none"/>
        </w:rPr>
        <w:fldChar w:fldCharType="end"/>
      </w:r>
    </w:p>
    <w:p w14:paraId="5379C609">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_Toc10251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格式九 项目经理任职声明</w:t>
      </w:r>
      <w:r>
        <w:tab/>
      </w:r>
      <w:r>
        <w:fldChar w:fldCharType="begin"/>
      </w:r>
      <w:r>
        <w:instrText xml:space="preserve"> PAGEREF _Toc10251 \h </w:instrText>
      </w:r>
      <w:r>
        <w:fldChar w:fldCharType="separate"/>
      </w:r>
      <w:r>
        <w:t>70</w:t>
      </w:r>
      <w:r>
        <w:fldChar w:fldCharType="end"/>
      </w:r>
      <w:r>
        <w:rPr>
          <w:rFonts w:hint="eastAsia" w:ascii="宋体" w:hAnsi="宋体" w:eastAsia="宋体" w:cs="宋体"/>
          <w:color w:val="auto"/>
          <w:spacing w:val="0"/>
          <w:szCs w:val="24"/>
          <w:highlight w:val="none"/>
        </w:rPr>
        <w:fldChar w:fldCharType="end"/>
      </w:r>
    </w:p>
    <w:p w14:paraId="1BC5536A">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_Toc13610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 项目技术负责人简历表</w:t>
      </w:r>
      <w:r>
        <w:tab/>
      </w:r>
      <w:r>
        <w:fldChar w:fldCharType="begin"/>
      </w:r>
      <w:r>
        <w:instrText xml:space="preserve"> PAGEREF _Toc13610 \h </w:instrText>
      </w:r>
      <w:r>
        <w:fldChar w:fldCharType="separate"/>
      </w:r>
      <w:r>
        <w:t>71</w:t>
      </w:r>
      <w:r>
        <w:fldChar w:fldCharType="end"/>
      </w:r>
      <w:r>
        <w:rPr>
          <w:rFonts w:hint="eastAsia" w:ascii="宋体" w:hAnsi="宋体" w:eastAsia="宋体" w:cs="宋体"/>
          <w:color w:val="auto"/>
          <w:spacing w:val="0"/>
          <w:szCs w:val="24"/>
          <w:highlight w:val="none"/>
        </w:rPr>
        <w:fldChar w:fldCharType="end"/>
      </w:r>
    </w:p>
    <w:p w14:paraId="78C10610">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_Toc21428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格式十一 项目管理机构组成表</w:t>
      </w:r>
      <w:r>
        <w:tab/>
      </w:r>
      <w:r>
        <w:fldChar w:fldCharType="begin"/>
      </w:r>
      <w:r>
        <w:instrText xml:space="preserve"> PAGEREF _Toc21428 \h </w:instrText>
      </w:r>
      <w:r>
        <w:fldChar w:fldCharType="separate"/>
      </w:r>
      <w:r>
        <w:t>72</w:t>
      </w:r>
      <w:r>
        <w:fldChar w:fldCharType="end"/>
      </w:r>
      <w:r>
        <w:rPr>
          <w:rFonts w:hint="eastAsia" w:ascii="宋体" w:hAnsi="宋体" w:eastAsia="宋体" w:cs="宋体"/>
          <w:color w:val="auto"/>
          <w:spacing w:val="0"/>
          <w:szCs w:val="24"/>
          <w:highlight w:val="none"/>
        </w:rPr>
        <w:fldChar w:fldCharType="end"/>
      </w:r>
    </w:p>
    <w:p w14:paraId="2969E94E">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_Toc24660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w:t>
      </w:r>
      <w:r>
        <w:rPr>
          <w:rFonts w:hint="eastAsia" w:ascii="宋体" w:hAnsi="宋体" w:eastAsia="宋体" w:cs="宋体"/>
          <w:bCs/>
          <w:spacing w:val="0"/>
          <w:szCs w:val="24"/>
          <w:highlight w:val="none"/>
          <w:lang w:val="en-US" w:eastAsia="zh-CN"/>
        </w:rPr>
        <w:t xml:space="preserve">二  </w:t>
      </w:r>
      <w:r>
        <w:rPr>
          <w:rFonts w:hint="eastAsia" w:ascii="宋体" w:hAnsi="宋体" w:eastAsia="宋体" w:cs="宋体"/>
          <w:bCs/>
          <w:spacing w:val="0"/>
          <w:position w:val="3"/>
          <w:szCs w:val="21"/>
          <w:highlight w:val="none"/>
        </w:rPr>
        <w:t>投标保证金信用承诺函</w:t>
      </w:r>
      <w:r>
        <w:tab/>
      </w:r>
      <w:r>
        <w:fldChar w:fldCharType="begin"/>
      </w:r>
      <w:r>
        <w:instrText xml:space="preserve"> PAGEREF _Toc24660 \h </w:instrText>
      </w:r>
      <w:r>
        <w:fldChar w:fldCharType="separate"/>
      </w:r>
      <w:r>
        <w:t>75</w:t>
      </w:r>
      <w:r>
        <w:fldChar w:fldCharType="end"/>
      </w:r>
      <w:r>
        <w:rPr>
          <w:rFonts w:hint="eastAsia" w:ascii="宋体" w:hAnsi="宋体" w:eastAsia="宋体" w:cs="宋体"/>
          <w:color w:val="auto"/>
          <w:spacing w:val="0"/>
          <w:szCs w:val="24"/>
          <w:highlight w:val="none"/>
        </w:rPr>
        <w:fldChar w:fldCharType="end"/>
      </w:r>
    </w:p>
    <w:p w14:paraId="0EDBC6A5">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_Toc5098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w:t>
      </w:r>
      <w:r>
        <w:rPr>
          <w:rFonts w:hint="eastAsia" w:ascii="宋体" w:hAnsi="宋体" w:eastAsia="宋体" w:cs="宋体"/>
          <w:bCs/>
          <w:spacing w:val="0"/>
          <w:szCs w:val="24"/>
          <w:highlight w:val="none"/>
          <w:lang w:val="en-US" w:eastAsia="zh-CN"/>
        </w:rPr>
        <w:t>三</w:t>
      </w:r>
      <w:r>
        <w:rPr>
          <w:rFonts w:hint="eastAsia" w:ascii="宋体" w:hAnsi="宋体" w:eastAsia="宋体" w:cs="宋体"/>
          <w:bCs/>
          <w:spacing w:val="0"/>
          <w:szCs w:val="24"/>
          <w:highlight w:val="none"/>
        </w:rPr>
        <w:t xml:space="preserve">  原件一览表</w:t>
      </w:r>
      <w:r>
        <w:tab/>
      </w:r>
      <w:r>
        <w:fldChar w:fldCharType="begin"/>
      </w:r>
      <w:r>
        <w:instrText xml:space="preserve"> PAGEREF _Toc5098 \h </w:instrText>
      </w:r>
      <w:r>
        <w:fldChar w:fldCharType="separate"/>
      </w:r>
      <w:r>
        <w:t>76</w:t>
      </w:r>
      <w:r>
        <w:fldChar w:fldCharType="end"/>
      </w:r>
      <w:r>
        <w:rPr>
          <w:rFonts w:hint="eastAsia" w:ascii="宋体" w:hAnsi="宋体" w:eastAsia="宋体" w:cs="宋体"/>
          <w:color w:val="auto"/>
          <w:spacing w:val="0"/>
          <w:szCs w:val="24"/>
          <w:highlight w:val="none"/>
        </w:rPr>
        <w:fldChar w:fldCharType="end"/>
      </w:r>
    </w:p>
    <w:p w14:paraId="5F74E26D">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_Toc30269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w:t>
      </w:r>
      <w:r>
        <w:rPr>
          <w:rFonts w:hint="eastAsia" w:ascii="宋体" w:hAnsi="宋体" w:eastAsia="宋体" w:cs="宋体"/>
          <w:bCs/>
          <w:spacing w:val="0"/>
          <w:szCs w:val="24"/>
          <w:highlight w:val="none"/>
          <w:lang w:val="en-US" w:eastAsia="zh-CN"/>
        </w:rPr>
        <w:t>十四</w:t>
      </w:r>
      <w:r>
        <w:rPr>
          <w:rFonts w:hint="eastAsia" w:ascii="宋体" w:hAnsi="宋体" w:eastAsia="宋体" w:cs="宋体"/>
          <w:bCs/>
          <w:spacing w:val="0"/>
          <w:szCs w:val="24"/>
          <w:highlight w:val="none"/>
        </w:rPr>
        <w:t xml:space="preserve"> </w:t>
      </w:r>
      <w:r>
        <w:rPr>
          <w:rFonts w:hint="eastAsia" w:ascii="宋体" w:hAnsi="宋体" w:eastAsia="宋体" w:cs="宋体"/>
          <w:bCs/>
          <w:spacing w:val="0"/>
          <w:szCs w:val="24"/>
          <w:highlight w:val="none"/>
          <w:lang w:val="en-US" w:eastAsia="zh-CN"/>
        </w:rPr>
        <w:t>定标文件</w:t>
      </w:r>
      <w:r>
        <w:rPr>
          <w:rFonts w:hint="eastAsia" w:ascii="宋体" w:hAnsi="宋体" w:eastAsia="宋体" w:cs="宋体"/>
          <w:bCs/>
          <w:spacing w:val="0"/>
          <w:szCs w:val="24"/>
          <w:highlight w:val="none"/>
        </w:rPr>
        <w:t>封面</w:t>
      </w:r>
      <w:r>
        <w:tab/>
      </w:r>
      <w:r>
        <w:fldChar w:fldCharType="begin"/>
      </w:r>
      <w:r>
        <w:instrText xml:space="preserve"> PAGEREF _Toc30269 \h </w:instrText>
      </w:r>
      <w:r>
        <w:fldChar w:fldCharType="separate"/>
      </w:r>
      <w:r>
        <w:t>77</w:t>
      </w:r>
      <w:r>
        <w:fldChar w:fldCharType="end"/>
      </w:r>
      <w:r>
        <w:rPr>
          <w:rFonts w:hint="eastAsia" w:ascii="宋体" w:hAnsi="宋体" w:eastAsia="宋体" w:cs="宋体"/>
          <w:color w:val="auto"/>
          <w:spacing w:val="0"/>
          <w:szCs w:val="24"/>
          <w:highlight w:val="none"/>
        </w:rPr>
        <w:fldChar w:fldCharType="end"/>
      </w:r>
    </w:p>
    <w:p w14:paraId="1553E0F1">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_Toc31668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w:t>
      </w:r>
      <w:r>
        <w:rPr>
          <w:rFonts w:hint="eastAsia" w:ascii="宋体" w:hAnsi="宋体" w:eastAsia="宋体" w:cs="宋体"/>
          <w:bCs/>
          <w:spacing w:val="0"/>
          <w:szCs w:val="24"/>
          <w:highlight w:val="none"/>
          <w:lang w:val="en-US" w:eastAsia="zh-CN"/>
        </w:rPr>
        <w:t>十五</w:t>
      </w:r>
      <w:r>
        <w:rPr>
          <w:rFonts w:hint="eastAsia" w:ascii="宋体" w:hAnsi="宋体" w:eastAsia="宋体" w:cs="宋体"/>
          <w:bCs/>
          <w:spacing w:val="0"/>
          <w:szCs w:val="24"/>
          <w:highlight w:val="none"/>
        </w:rPr>
        <w:t xml:space="preserve"> </w:t>
      </w:r>
      <w:r>
        <w:rPr>
          <w:rFonts w:hint="eastAsia" w:ascii="宋体" w:hAnsi="宋体" w:eastAsia="宋体" w:cs="宋体"/>
          <w:bCs/>
          <w:spacing w:val="0"/>
          <w:szCs w:val="24"/>
          <w:highlight w:val="none"/>
          <w:lang w:val="en-US" w:eastAsia="zh-CN"/>
        </w:rPr>
        <w:t xml:space="preserve"> </w:t>
      </w:r>
      <w:r>
        <w:rPr>
          <w:rFonts w:hint="eastAsia" w:ascii="宋体" w:hAnsi="宋体" w:eastAsia="宋体" w:cs="宋体"/>
          <w:bCs/>
          <w:szCs w:val="30"/>
          <w:highlight w:val="none"/>
          <w:lang w:eastAsia="zh-CN"/>
        </w:rPr>
        <w:t>定标因素评审资料</w:t>
      </w:r>
      <w:r>
        <w:tab/>
      </w:r>
      <w:r>
        <w:fldChar w:fldCharType="begin"/>
      </w:r>
      <w:r>
        <w:instrText xml:space="preserve"> PAGEREF _Toc31668 \h </w:instrText>
      </w:r>
      <w:r>
        <w:fldChar w:fldCharType="separate"/>
      </w:r>
      <w:r>
        <w:t>78</w:t>
      </w:r>
      <w:r>
        <w:fldChar w:fldCharType="end"/>
      </w:r>
      <w:r>
        <w:rPr>
          <w:rFonts w:hint="eastAsia" w:ascii="宋体" w:hAnsi="宋体" w:eastAsia="宋体" w:cs="宋体"/>
          <w:color w:val="auto"/>
          <w:spacing w:val="0"/>
          <w:szCs w:val="24"/>
          <w:highlight w:val="none"/>
        </w:rPr>
        <w:fldChar w:fldCharType="end"/>
      </w:r>
    </w:p>
    <w:p w14:paraId="136FE191">
      <w:pPr>
        <w:pStyle w:val="11"/>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_Toc15085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第七章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建设工程施工合同</w:t>
      </w:r>
      <w:r>
        <w:tab/>
      </w:r>
      <w:r>
        <w:fldChar w:fldCharType="begin"/>
      </w:r>
      <w:r>
        <w:instrText xml:space="preserve"> PAGEREF _Toc15085 \h </w:instrText>
      </w:r>
      <w:r>
        <w:fldChar w:fldCharType="separate"/>
      </w:r>
      <w:r>
        <w:t>79</w:t>
      </w:r>
      <w:r>
        <w:fldChar w:fldCharType="end"/>
      </w:r>
      <w:r>
        <w:rPr>
          <w:rFonts w:hint="eastAsia" w:ascii="宋体" w:hAnsi="宋体" w:eastAsia="宋体" w:cs="宋体"/>
          <w:color w:val="auto"/>
          <w:spacing w:val="0"/>
          <w:szCs w:val="24"/>
          <w:highlight w:val="none"/>
        </w:rPr>
        <w:fldChar w:fldCharType="end"/>
      </w:r>
    </w:p>
    <w:p w14:paraId="7CE8F2FC">
      <w:pPr>
        <w:keepNext w:val="0"/>
        <w:keepLines w:val="0"/>
        <w:pageBreakBefore w:val="0"/>
        <w:wordWrap w:val="0"/>
        <w:overflowPunct/>
        <w:topLinePunct w:val="0"/>
        <w:bidi w:val="0"/>
        <w:spacing w:line="220" w:lineRule="auto"/>
        <w:jc w:val="center"/>
        <w:rPr>
          <w:rFonts w:hint="eastAsia" w:ascii="宋体" w:hAnsi="宋体" w:eastAsia="宋体" w:cs="宋体"/>
          <w:color w:val="auto"/>
          <w:spacing w:val="0"/>
          <w:sz w:val="24"/>
          <w:szCs w:val="24"/>
          <w:highlight w:val="none"/>
        </w:rPr>
        <w:sectPr>
          <w:footerReference r:id="rId5" w:type="default"/>
          <w:pgSz w:w="11906" w:h="16839"/>
          <w:pgMar w:top="1440" w:right="1080" w:bottom="1440" w:left="1080" w:header="1200" w:footer="1134"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spacing w:val="0"/>
          <w:szCs w:val="24"/>
          <w:highlight w:val="none"/>
        </w:rPr>
        <w:fldChar w:fldCharType="end"/>
      </w:r>
    </w:p>
    <w:p w14:paraId="73063668">
      <w:pPr>
        <w:pStyle w:val="6"/>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49639CDB">
      <w:pPr>
        <w:keepNext w:val="0"/>
        <w:keepLines w:val="0"/>
        <w:pageBreakBefore w:val="0"/>
        <w:wordWrap w:val="0"/>
        <w:overflowPunct/>
        <w:topLinePunct w:val="0"/>
        <w:bidi w:val="0"/>
        <w:spacing w:before="78" w:line="219" w:lineRule="auto"/>
        <w:ind w:left="3416"/>
        <w:outlineLvl w:val="0"/>
        <w:rPr>
          <w:rFonts w:hint="eastAsia" w:ascii="宋体" w:hAnsi="宋体" w:eastAsia="宋体" w:cs="宋体"/>
          <w:color w:val="auto"/>
          <w:spacing w:val="0"/>
          <w:sz w:val="24"/>
          <w:szCs w:val="24"/>
          <w:highlight w:val="none"/>
        </w:rPr>
      </w:pPr>
      <w:bookmarkStart w:id="0" w:name="bookmark1"/>
      <w:bookmarkEnd w:id="0"/>
      <w:bookmarkStart w:id="1" w:name="_Toc29781"/>
      <w:r>
        <w:rPr>
          <w:rFonts w:hint="eastAsia" w:ascii="宋体" w:hAnsi="宋体" w:eastAsia="宋体" w:cs="宋体"/>
          <w:b/>
          <w:bCs/>
          <w:color w:val="auto"/>
          <w:spacing w:val="0"/>
          <w:sz w:val="24"/>
          <w:szCs w:val="24"/>
          <w:highlight w:val="none"/>
        </w:rPr>
        <w:t>第一章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w:t>
      </w:r>
      <w:bookmarkEnd w:id="1"/>
    </w:p>
    <w:p w14:paraId="0C219C57">
      <w:pPr>
        <w:keepNext w:val="0"/>
        <w:keepLines w:val="0"/>
        <w:pageBreakBefore w:val="0"/>
        <w:wordWrap w:val="0"/>
        <w:overflowPunct/>
        <w:topLinePunct w:val="0"/>
        <w:bidi w:val="0"/>
        <w:spacing w:before="156" w:line="219" w:lineRule="auto"/>
        <w:ind w:left="17"/>
        <w:outlineLvl w:val="1"/>
        <w:rPr>
          <w:rFonts w:hint="eastAsia" w:ascii="宋体" w:hAnsi="宋体" w:eastAsia="宋体" w:cs="宋体"/>
          <w:color w:val="auto"/>
          <w:spacing w:val="0"/>
          <w:sz w:val="24"/>
          <w:szCs w:val="24"/>
          <w:highlight w:val="none"/>
        </w:rPr>
      </w:pPr>
      <w:bookmarkStart w:id="2" w:name="bookmark3"/>
      <w:bookmarkEnd w:id="2"/>
      <w:bookmarkStart w:id="3" w:name="_Toc25557"/>
      <w:r>
        <w:rPr>
          <w:rFonts w:hint="eastAsia" w:ascii="宋体" w:hAnsi="宋体" w:eastAsia="宋体" w:cs="宋体"/>
          <w:b/>
          <w:bCs/>
          <w:color w:val="auto"/>
          <w:spacing w:val="0"/>
          <w:sz w:val="24"/>
          <w:szCs w:val="24"/>
          <w:highlight w:val="none"/>
        </w:rPr>
        <w:t>第一节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投标人须知前附表</w:t>
      </w:r>
      <w:bookmarkEnd w:id="3"/>
    </w:p>
    <w:p w14:paraId="451443B4">
      <w:pPr>
        <w:keepNext w:val="0"/>
        <w:keepLines w:val="0"/>
        <w:pageBreakBefore w:val="0"/>
        <w:wordWrap w:val="0"/>
        <w:overflowPunct/>
        <w:topLinePunct w:val="0"/>
        <w:bidi w:val="0"/>
        <w:spacing w:before="25"/>
        <w:rPr>
          <w:rFonts w:hint="eastAsia" w:ascii="宋体" w:hAnsi="宋体" w:eastAsia="宋体" w:cs="宋体"/>
          <w:color w:val="auto"/>
          <w:spacing w:val="0"/>
          <w:highlight w:val="none"/>
        </w:rPr>
      </w:pPr>
    </w:p>
    <w:tbl>
      <w:tblPr>
        <w:tblStyle w:val="15"/>
        <w:tblW w:w="100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942"/>
        <w:gridCol w:w="7574"/>
      </w:tblGrid>
      <w:tr w14:paraId="7ACC6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vAlign w:val="center"/>
          </w:tcPr>
          <w:p w14:paraId="4758577E">
            <w:pPr>
              <w:keepNext w:val="0"/>
              <w:keepLines w:val="0"/>
              <w:pageBreakBefore w:val="0"/>
              <w:wordWrap w:val="0"/>
              <w:overflowPunct/>
              <w:topLinePunct w:val="0"/>
              <w:bidi w:val="0"/>
              <w:spacing w:before="203" w:line="209" w:lineRule="auto"/>
              <w:ind w:left="0" w:leftChars="0" w:firstLine="0" w:firstLineChars="0"/>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序号</w:t>
            </w:r>
          </w:p>
        </w:tc>
        <w:tc>
          <w:tcPr>
            <w:tcW w:w="1942" w:type="dxa"/>
            <w:vAlign w:val="center"/>
          </w:tcPr>
          <w:p w14:paraId="7B8ED52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内容</w:t>
            </w:r>
          </w:p>
        </w:tc>
        <w:tc>
          <w:tcPr>
            <w:tcW w:w="7574" w:type="dxa"/>
            <w:vAlign w:val="center"/>
          </w:tcPr>
          <w:p w14:paraId="0575BAF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说明与要求</w:t>
            </w:r>
          </w:p>
        </w:tc>
      </w:tr>
      <w:tr w14:paraId="53CA5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34D199C6">
            <w:pPr>
              <w:keepNext w:val="0"/>
              <w:keepLines w:val="0"/>
              <w:pageBreakBefore w:val="0"/>
              <w:wordWrap w:val="0"/>
              <w:overflowPunct/>
              <w:topLinePunct w:val="0"/>
              <w:bidi w:val="0"/>
              <w:spacing w:before="223" w:line="195" w:lineRule="auto"/>
              <w:jc w:val="center"/>
              <w:rPr>
                <w:rFonts w:hint="eastAsia" w:asciiTheme="minorEastAsia" w:hAnsiTheme="minorEastAsia" w:eastAsiaTheme="minorEastAsia" w:cstheme="minorEastAsia"/>
                <w:color w:val="auto"/>
                <w:spacing w:val="0"/>
                <w:sz w:val="21"/>
                <w:szCs w:val="21"/>
                <w:highlight w:val="none"/>
              </w:rPr>
            </w:pPr>
            <w:bookmarkStart w:id="4" w:name="OLE_LINK2" w:colFirst="2" w:colLast="2"/>
            <w:r>
              <w:rPr>
                <w:rFonts w:hint="eastAsia" w:asciiTheme="minorEastAsia" w:hAnsiTheme="minorEastAsia" w:eastAsiaTheme="minorEastAsia" w:cstheme="minorEastAsia"/>
                <w:color w:val="auto"/>
                <w:spacing w:val="0"/>
                <w:sz w:val="21"/>
                <w:szCs w:val="21"/>
                <w:highlight w:val="none"/>
              </w:rPr>
              <w:t>1</w:t>
            </w:r>
          </w:p>
        </w:tc>
        <w:tc>
          <w:tcPr>
            <w:tcW w:w="1942" w:type="dxa"/>
            <w:vAlign w:val="center"/>
          </w:tcPr>
          <w:p w14:paraId="6E81DB5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项目名称</w:t>
            </w:r>
          </w:p>
        </w:tc>
        <w:tc>
          <w:tcPr>
            <w:tcW w:w="7574" w:type="dxa"/>
            <w:vAlign w:val="center"/>
          </w:tcPr>
          <w:p w14:paraId="62C2E40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color w:val="auto"/>
                <w:highlight w:val="none"/>
                <w:lang w:eastAsia="zh-CN"/>
              </w:rPr>
              <w:t>石峡遗址已发掘区展示利用项目施工（第三次）</w:t>
            </w:r>
          </w:p>
        </w:tc>
      </w:tr>
      <w:tr w14:paraId="1C49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82" w:type="dxa"/>
            <w:vAlign w:val="center"/>
          </w:tcPr>
          <w:p w14:paraId="5546609D">
            <w:pPr>
              <w:keepNext w:val="0"/>
              <w:keepLines w:val="0"/>
              <w:pageBreakBefore w:val="0"/>
              <w:wordWrap w:val="0"/>
              <w:overflowPunct/>
              <w:topLinePunct w:val="0"/>
              <w:bidi w:val="0"/>
              <w:spacing w:before="222"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w:t>
            </w:r>
          </w:p>
        </w:tc>
        <w:tc>
          <w:tcPr>
            <w:tcW w:w="1942" w:type="dxa"/>
            <w:vAlign w:val="center"/>
          </w:tcPr>
          <w:p w14:paraId="28FBECF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项目业主</w:t>
            </w:r>
          </w:p>
        </w:tc>
        <w:tc>
          <w:tcPr>
            <w:tcW w:w="7574" w:type="dxa"/>
            <w:vAlign w:val="center"/>
          </w:tcPr>
          <w:p w14:paraId="6B4C0B9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韶关市曲江区博物馆</w:t>
            </w:r>
          </w:p>
        </w:tc>
      </w:tr>
      <w:tr w14:paraId="42F2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rPr>
        <w:tc>
          <w:tcPr>
            <w:tcW w:w="582" w:type="dxa"/>
            <w:vAlign w:val="center"/>
          </w:tcPr>
          <w:p w14:paraId="2FE483DA">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w:t>
            </w:r>
          </w:p>
        </w:tc>
        <w:tc>
          <w:tcPr>
            <w:tcW w:w="1942" w:type="dxa"/>
            <w:vAlign w:val="center"/>
          </w:tcPr>
          <w:p w14:paraId="31041B2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项目批准部门及项目批准文号</w:t>
            </w:r>
          </w:p>
        </w:tc>
        <w:tc>
          <w:tcPr>
            <w:tcW w:w="7574" w:type="dxa"/>
            <w:vAlign w:val="center"/>
          </w:tcPr>
          <w:p w14:paraId="141A5A40">
            <w:pPr>
              <w:keepNext w:val="0"/>
              <w:keepLines w:val="0"/>
              <w:pageBreakBefore w:val="0"/>
              <w:widowControl w:val="0"/>
              <w:kinsoku/>
              <w:wordWrap w:val="0"/>
              <w:overflowPunct/>
              <w:topLinePunct w:val="0"/>
              <w:autoSpaceDE/>
              <w:autoSpaceDN/>
              <w:bidi w:val="0"/>
              <w:adjustRightInd w:val="0"/>
              <w:snapToGrid w:val="0"/>
              <w:spacing w:line="400" w:lineRule="exact"/>
              <w:ind w:left="210" w:leftChars="100" w:firstLine="0" w:firstLineChars="0"/>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国家文物局、广东省文物局</w:t>
            </w:r>
            <w:r>
              <w:rPr>
                <w:rFonts w:hint="eastAsia" w:asciiTheme="minorEastAsia" w:hAnsiTheme="minorEastAsia" w:eastAsiaTheme="minorEastAsia" w:cstheme="minorEastAsia"/>
                <w:snapToGrid w:val="0"/>
                <w:color w:val="auto"/>
                <w:spacing w:val="0"/>
                <w:kern w:val="0"/>
                <w:sz w:val="21"/>
                <w:szCs w:val="21"/>
                <w:highlight w:val="none"/>
                <w:lang w:val="en-US" w:eastAsia="zh-CN"/>
              </w:rPr>
              <w:br w:type="textWrapping"/>
            </w:r>
            <w:r>
              <w:rPr>
                <w:rFonts w:hint="eastAsia" w:asciiTheme="minorEastAsia" w:hAnsiTheme="minorEastAsia" w:eastAsiaTheme="minorEastAsia" w:cstheme="minorEastAsia"/>
                <w:snapToGrid w:val="0"/>
                <w:color w:val="auto"/>
                <w:spacing w:val="0"/>
                <w:kern w:val="0"/>
                <w:sz w:val="21"/>
                <w:szCs w:val="21"/>
                <w:highlight w:val="none"/>
                <w:lang w:val="en-US" w:eastAsia="zh-CN"/>
              </w:rPr>
              <w:t>文物考函（2023）1111号、粤文物审（2024）112号</w:t>
            </w:r>
          </w:p>
        </w:tc>
      </w:tr>
      <w:tr w14:paraId="58FC4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6065D891">
            <w:pPr>
              <w:keepNext w:val="0"/>
              <w:keepLines w:val="0"/>
              <w:pageBreakBefore w:val="0"/>
              <w:wordWrap w:val="0"/>
              <w:overflowPunct/>
              <w:topLinePunct w:val="0"/>
              <w:bidi w:val="0"/>
              <w:spacing w:before="22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w:t>
            </w:r>
          </w:p>
        </w:tc>
        <w:tc>
          <w:tcPr>
            <w:tcW w:w="1942" w:type="dxa"/>
            <w:vAlign w:val="center"/>
          </w:tcPr>
          <w:p w14:paraId="2161DF4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建设地点</w:t>
            </w:r>
          </w:p>
        </w:tc>
        <w:tc>
          <w:tcPr>
            <w:tcW w:w="7574" w:type="dxa"/>
            <w:tcMar>
              <w:top w:w="0" w:type="dxa"/>
              <w:left w:w="0" w:type="dxa"/>
              <w:bottom w:w="0" w:type="dxa"/>
              <w:right w:w="0" w:type="dxa"/>
            </w:tcMar>
            <w:vAlign w:val="center"/>
          </w:tcPr>
          <w:p w14:paraId="17B62E4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马坝镇狮岩路68号马坝人-石峡遗址</w:t>
            </w:r>
          </w:p>
        </w:tc>
      </w:tr>
      <w:tr w14:paraId="767A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582" w:type="dxa"/>
            <w:vAlign w:val="center"/>
          </w:tcPr>
          <w:p w14:paraId="62C389A3">
            <w:pPr>
              <w:keepNext w:val="0"/>
              <w:keepLines w:val="0"/>
              <w:pageBreakBefore w:val="0"/>
              <w:wordWrap w:val="0"/>
              <w:overflowPunct/>
              <w:topLinePunct w:val="0"/>
              <w:bidi w:val="0"/>
              <w:spacing w:before="226" w:line="192"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w:t>
            </w:r>
          </w:p>
        </w:tc>
        <w:tc>
          <w:tcPr>
            <w:tcW w:w="1942" w:type="dxa"/>
            <w:vAlign w:val="center"/>
          </w:tcPr>
          <w:p w14:paraId="4E0519E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项目代码</w:t>
            </w:r>
          </w:p>
        </w:tc>
        <w:tc>
          <w:tcPr>
            <w:tcW w:w="7574" w:type="dxa"/>
            <w:vAlign w:val="center"/>
          </w:tcPr>
          <w:p w14:paraId="168A8C90">
            <w:pPr>
              <w:keepNext w:val="0"/>
              <w:keepLines w:val="0"/>
              <w:widowControl/>
              <w:suppressLineNumbers w:val="0"/>
              <w:ind w:firstLine="210" w:firstLineChars="100"/>
              <w:jc w:val="left"/>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2512-440205-04-01-909776</w:t>
            </w:r>
          </w:p>
        </w:tc>
      </w:tr>
      <w:tr w14:paraId="4134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27F55D58">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6</w:t>
            </w:r>
          </w:p>
        </w:tc>
        <w:tc>
          <w:tcPr>
            <w:tcW w:w="1942" w:type="dxa"/>
            <w:vAlign w:val="center"/>
          </w:tcPr>
          <w:p w14:paraId="54684E3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资金来源及落实情况</w:t>
            </w:r>
          </w:p>
        </w:tc>
        <w:tc>
          <w:tcPr>
            <w:tcW w:w="7574" w:type="dxa"/>
            <w:vAlign w:val="center"/>
          </w:tcPr>
          <w:p w14:paraId="01683227">
            <w:pPr>
              <w:keepNext w:val="0"/>
              <w:keepLines w:val="0"/>
              <w:widowControl/>
              <w:suppressLineNumbers w:val="0"/>
              <w:ind w:firstLine="210" w:firstLineChars="100"/>
              <w:jc w:val="left"/>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国家文物保护专项资金100%。</w:t>
            </w:r>
          </w:p>
        </w:tc>
      </w:tr>
      <w:tr w14:paraId="55E0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582" w:type="dxa"/>
            <w:vAlign w:val="center"/>
          </w:tcPr>
          <w:p w14:paraId="13A867CC">
            <w:pPr>
              <w:keepNext w:val="0"/>
              <w:keepLines w:val="0"/>
              <w:pageBreakBefore w:val="0"/>
              <w:wordWrap w:val="0"/>
              <w:overflowPunct/>
              <w:topLinePunct w:val="0"/>
              <w:bidi w:val="0"/>
              <w:spacing w:before="228" w:line="192"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7</w:t>
            </w:r>
          </w:p>
        </w:tc>
        <w:tc>
          <w:tcPr>
            <w:tcW w:w="1942" w:type="dxa"/>
            <w:vAlign w:val="center"/>
          </w:tcPr>
          <w:p w14:paraId="1395956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招标人</w:t>
            </w:r>
          </w:p>
        </w:tc>
        <w:tc>
          <w:tcPr>
            <w:tcW w:w="7574" w:type="dxa"/>
            <w:vAlign w:val="center"/>
          </w:tcPr>
          <w:p w14:paraId="2D9D595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韶关市曲江区博物馆</w:t>
            </w:r>
          </w:p>
        </w:tc>
      </w:tr>
      <w:tr w14:paraId="38A7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6A89B71E">
            <w:pPr>
              <w:keepNext w:val="0"/>
              <w:keepLines w:val="0"/>
              <w:pageBreakBefore w:val="0"/>
              <w:wordWrap w:val="0"/>
              <w:overflowPunct/>
              <w:topLinePunct w:val="0"/>
              <w:bidi w:val="0"/>
              <w:spacing w:before="224"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8</w:t>
            </w:r>
          </w:p>
        </w:tc>
        <w:tc>
          <w:tcPr>
            <w:tcW w:w="1942" w:type="dxa"/>
            <w:vAlign w:val="center"/>
          </w:tcPr>
          <w:p w14:paraId="35B8FC2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招标代理机构</w:t>
            </w:r>
          </w:p>
        </w:tc>
        <w:tc>
          <w:tcPr>
            <w:tcW w:w="7574" w:type="dxa"/>
            <w:vAlign w:val="center"/>
          </w:tcPr>
          <w:p w14:paraId="7B44CAF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广东粤圣项目管理有限公司</w:t>
            </w:r>
          </w:p>
        </w:tc>
      </w:tr>
      <w:tr w14:paraId="45E3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EE48A18">
            <w:pPr>
              <w:keepNext w:val="0"/>
              <w:keepLines w:val="0"/>
              <w:pageBreakBefore w:val="0"/>
              <w:wordWrap w:val="0"/>
              <w:overflowPunct/>
              <w:topLinePunct w:val="0"/>
              <w:bidi w:val="0"/>
              <w:spacing w:before="22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9</w:t>
            </w:r>
          </w:p>
        </w:tc>
        <w:tc>
          <w:tcPr>
            <w:tcW w:w="1942" w:type="dxa"/>
            <w:vAlign w:val="center"/>
          </w:tcPr>
          <w:p w14:paraId="2173F83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设计单位</w:t>
            </w:r>
          </w:p>
        </w:tc>
        <w:tc>
          <w:tcPr>
            <w:tcW w:w="7574" w:type="dxa"/>
            <w:vAlign w:val="center"/>
          </w:tcPr>
          <w:p w14:paraId="363B6AC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待定</w:t>
            </w:r>
          </w:p>
        </w:tc>
      </w:tr>
      <w:bookmarkEnd w:id="4"/>
      <w:tr w14:paraId="3BFA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582" w:type="dxa"/>
            <w:vAlign w:val="center"/>
          </w:tcPr>
          <w:p w14:paraId="1635C0FD">
            <w:pPr>
              <w:keepNext w:val="0"/>
              <w:keepLines w:val="0"/>
              <w:pageBreakBefore w:val="0"/>
              <w:wordWrap w:val="0"/>
              <w:overflowPunct/>
              <w:topLinePunct w:val="0"/>
              <w:bidi w:val="0"/>
              <w:spacing w:before="24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10</w:t>
            </w:r>
          </w:p>
        </w:tc>
        <w:tc>
          <w:tcPr>
            <w:tcW w:w="1942" w:type="dxa"/>
            <w:vAlign w:val="center"/>
          </w:tcPr>
          <w:p w14:paraId="2495ED4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造价咨询单位</w:t>
            </w:r>
          </w:p>
        </w:tc>
        <w:tc>
          <w:tcPr>
            <w:tcW w:w="7574" w:type="dxa"/>
            <w:vAlign w:val="center"/>
          </w:tcPr>
          <w:p w14:paraId="6BD3EE2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☑非全过程造价咨询</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□全过程造价咨询</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p>
        </w:tc>
      </w:tr>
      <w:tr w14:paraId="3692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09F5224E">
            <w:pPr>
              <w:keepNext w:val="0"/>
              <w:keepLines w:val="0"/>
              <w:pageBreakBefore w:val="0"/>
              <w:wordWrap w:val="0"/>
              <w:overflowPunct/>
              <w:topLinePunct w:val="0"/>
              <w:bidi w:val="0"/>
              <w:spacing w:before="242"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11</w:t>
            </w:r>
          </w:p>
        </w:tc>
        <w:tc>
          <w:tcPr>
            <w:tcW w:w="1942" w:type="dxa"/>
            <w:vAlign w:val="center"/>
          </w:tcPr>
          <w:p w14:paraId="1084556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监理单位</w:t>
            </w:r>
          </w:p>
        </w:tc>
        <w:tc>
          <w:tcPr>
            <w:tcW w:w="7574" w:type="dxa"/>
            <w:vAlign w:val="center"/>
          </w:tcPr>
          <w:p w14:paraId="0067EC3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□已确定监理单位</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☑未确定监理单位</w:t>
            </w:r>
          </w:p>
        </w:tc>
      </w:tr>
      <w:tr w14:paraId="2E54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trPr>
        <w:tc>
          <w:tcPr>
            <w:tcW w:w="582" w:type="dxa"/>
            <w:vAlign w:val="center"/>
          </w:tcPr>
          <w:p w14:paraId="2D733243">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1</w:t>
            </w:r>
            <w:r>
              <w:rPr>
                <w:rFonts w:hint="eastAsia" w:asciiTheme="minorEastAsia" w:hAnsiTheme="minorEastAsia" w:eastAsiaTheme="minorEastAsia" w:cstheme="minorEastAsia"/>
                <w:color w:val="auto"/>
                <w:spacing w:val="0"/>
                <w:sz w:val="21"/>
                <w:szCs w:val="21"/>
                <w:highlight w:val="none"/>
              </w:rPr>
              <w:t>2</w:t>
            </w:r>
          </w:p>
        </w:tc>
        <w:tc>
          <w:tcPr>
            <w:tcW w:w="1942" w:type="dxa"/>
            <w:vAlign w:val="center"/>
          </w:tcPr>
          <w:p w14:paraId="526340D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建设内容和规模</w:t>
            </w:r>
          </w:p>
        </w:tc>
        <w:tc>
          <w:tcPr>
            <w:tcW w:w="7574" w:type="dxa"/>
            <w:vAlign w:val="center"/>
          </w:tcPr>
          <w:p w14:paraId="5C660F0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☑建设规模：</w:t>
            </w:r>
            <w:r>
              <w:rPr>
                <w:rFonts w:hint="eastAsia" w:asciiTheme="minorEastAsia" w:hAnsiTheme="minorEastAsia" w:eastAsiaTheme="minorEastAsia" w:cstheme="minorEastAsia"/>
                <w:snapToGrid w:val="0"/>
                <w:color w:val="auto"/>
                <w:spacing w:val="0"/>
                <w:kern w:val="0"/>
                <w:sz w:val="21"/>
                <w:szCs w:val="21"/>
                <w:highlight w:val="none"/>
                <w:lang w:val="en-US" w:eastAsia="zh-CN"/>
              </w:rPr>
              <w:t>/</w:t>
            </w:r>
          </w:p>
          <w:p w14:paraId="4FDA639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☑建设内容：</w:t>
            </w:r>
          </w:p>
          <w:p w14:paraId="7E68E26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场地平整及绿化、遗址发掘区地表模拟及标识基础、展示道路、遗址展示亭、展陈设施、服务设施、电气给排水等。</w:t>
            </w:r>
          </w:p>
        </w:tc>
      </w:tr>
      <w:tr w14:paraId="6450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4519A5EB">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13</w:t>
            </w:r>
          </w:p>
        </w:tc>
        <w:tc>
          <w:tcPr>
            <w:tcW w:w="1942" w:type="dxa"/>
            <w:vAlign w:val="center"/>
          </w:tcPr>
          <w:p w14:paraId="15BC852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项目总投资</w:t>
            </w:r>
          </w:p>
        </w:tc>
        <w:tc>
          <w:tcPr>
            <w:tcW w:w="7574" w:type="dxa"/>
            <w:vAlign w:val="center"/>
          </w:tcPr>
          <w:p w14:paraId="051183D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项目概算总投资777.00万元。</w:t>
            </w:r>
          </w:p>
        </w:tc>
      </w:tr>
      <w:tr w14:paraId="09BB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2280C6D3">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14</w:t>
            </w:r>
          </w:p>
        </w:tc>
        <w:tc>
          <w:tcPr>
            <w:tcW w:w="1942" w:type="dxa"/>
            <w:vAlign w:val="center"/>
          </w:tcPr>
          <w:p w14:paraId="58FC513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招标范围</w:t>
            </w:r>
          </w:p>
        </w:tc>
        <w:tc>
          <w:tcPr>
            <w:tcW w:w="7574" w:type="dxa"/>
            <w:vAlign w:val="center"/>
          </w:tcPr>
          <w:p w14:paraId="2CC19A7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按审查合格的施工图纸及工程量清单内容施工</w:t>
            </w:r>
          </w:p>
        </w:tc>
      </w:tr>
      <w:tr w14:paraId="32903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334CDB2D">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15</w:t>
            </w:r>
          </w:p>
        </w:tc>
        <w:tc>
          <w:tcPr>
            <w:tcW w:w="1942" w:type="dxa"/>
            <w:vAlign w:val="center"/>
          </w:tcPr>
          <w:p w14:paraId="56FA5F4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标段划分</w:t>
            </w:r>
          </w:p>
        </w:tc>
        <w:tc>
          <w:tcPr>
            <w:tcW w:w="7574" w:type="dxa"/>
            <w:vAlign w:val="center"/>
          </w:tcPr>
          <w:p w14:paraId="5B21ACD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 xml:space="preserve">本招标项目不划分标段。 </w:t>
            </w:r>
          </w:p>
        </w:tc>
      </w:tr>
      <w:tr w14:paraId="5A1CD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01C9B2F3">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16</w:t>
            </w:r>
          </w:p>
        </w:tc>
        <w:tc>
          <w:tcPr>
            <w:tcW w:w="1942" w:type="dxa"/>
            <w:vAlign w:val="center"/>
          </w:tcPr>
          <w:p w14:paraId="20F526C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工期</w:t>
            </w:r>
          </w:p>
        </w:tc>
        <w:tc>
          <w:tcPr>
            <w:tcW w:w="7574" w:type="dxa"/>
            <w:vAlign w:val="top"/>
          </w:tcPr>
          <w:p w14:paraId="2ACB4A1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本招标项目招标工期为</w:t>
            </w:r>
            <w:r>
              <w:rPr>
                <w:rFonts w:hint="eastAsia" w:asciiTheme="minorEastAsia" w:hAnsiTheme="minorEastAsia" w:eastAsiaTheme="minorEastAsia" w:cstheme="minorEastAsia"/>
                <w:snapToGrid w:val="0"/>
                <w:color w:val="auto"/>
                <w:spacing w:val="0"/>
                <w:kern w:val="0"/>
                <w:sz w:val="21"/>
                <w:szCs w:val="21"/>
                <w:highlight w:val="none"/>
                <w:lang w:val="en-US" w:eastAsia="zh-CN"/>
              </w:rPr>
              <w:t>730个日历天</w:t>
            </w:r>
            <w:r>
              <w:rPr>
                <w:rFonts w:hint="eastAsia" w:asciiTheme="minorEastAsia" w:hAnsiTheme="minorEastAsia" w:eastAsiaTheme="minorEastAsia" w:cstheme="minorEastAsia"/>
                <w:snapToGrid w:val="0"/>
                <w:color w:val="auto"/>
                <w:spacing w:val="0"/>
                <w:kern w:val="0"/>
                <w:sz w:val="21"/>
                <w:szCs w:val="21"/>
                <w:highlight w:val="none"/>
                <w:lang w:eastAsia="zh-CN"/>
              </w:rPr>
              <w:t>。具体如下：</w:t>
            </w:r>
          </w:p>
          <w:p w14:paraId="320C3CB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☑总工期：</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730</w:t>
            </w:r>
            <w:r>
              <w:rPr>
                <w:rFonts w:hint="eastAsia" w:asciiTheme="minorEastAsia" w:hAnsiTheme="minorEastAsia" w:eastAsiaTheme="minorEastAsia" w:cstheme="minorEastAsia"/>
                <w:snapToGrid w:val="0"/>
                <w:color w:val="auto"/>
                <w:spacing w:val="0"/>
                <w:kern w:val="0"/>
                <w:sz w:val="21"/>
                <w:szCs w:val="21"/>
                <w:highlight w:val="none"/>
                <w:lang w:eastAsia="zh-CN"/>
              </w:rPr>
              <w:t>天 （日历天）。</w:t>
            </w:r>
          </w:p>
          <w:p w14:paraId="4BF2E44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☑计划开工日期：</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年</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月</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日（具体开工日期以合同为准）</w:t>
            </w:r>
          </w:p>
          <w:p w14:paraId="35D8577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□计划竣工日期：</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年</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月</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日</w:t>
            </w:r>
          </w:p>
          <w:p w14:paraId="3D4184C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□除上述总工期外，发包人还要求以下阶段工期：</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w:t>
            </w:r>
          </w:p>
        </w:tc>
      </w:tr>
      <w:tr w14:paraId="59EF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582" w:type="dxa"/>
            <w:vAlign w:val="center"/>
          </w:tcPr>
          <w:p w14:paraId="416E216C">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17</w:t>
            </w:r>
          </w:p>
        </w:tc>
        <w:tc>
          <w:tcPr>
            <w:tcW w:w="1942" w:type="dxa"/>
            <w:vAlign w:val="center"/>
          </w:tcPr>
          <w:p w14:paraId="529D0ED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质量标准</w:t>
            </w:r>
          </w:p>
        </w:tc>
        <w:tc>
          <w:tcPr>
            <w:tcW w:w="7574" w:type="dxa"/>
            <w:vAlign w:val="top"/>
          </w:tcPr>
          <w:p w14:paraId="7B9EFA3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符合现行国家有关工程施工质量验收规范和标准的要求，达到验收合格标准。</w:t>
            </w:r>
          </w:p>
        </w:tc>
      </w:tr>
      <w:tr w14:paraId="07BA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2FAF8482">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18</w:t>
            </w:r>
          </w:p>
        </w:tc>
        <w:tc>
          <w:tcPr>
            <w:tcW w:w="1942" w:type="dxa"/>
            <w:vMerge w:val="restart"/>
            <w:vAlign w:val="center"/>
          </w:tcPr>
          <w:p w14:paraId="684E171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合同类型</w:t>
            </w:r>
          </w:p>
        </w:tc>
        <w:tc>
          <w:tcPr>
            <w:tcW w:w="7574" w:type="dxa"/>
            <w:vAlign w:val="top"/>
          </w:tcPr>
          <w:p w14:paraId="5B0CC98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□单价合同：发承包双方约定以工程量清单及其综合单价进行合同价款计算、调整和确认的建设工程施工合同。</w:t>
            </w:r>
          </w:p>
          <w:p w14:paraId="37B161E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6B7E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001972E5">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p>
        </w:tc>
        <w:tc>
          <w:tcPr>
            <w:tcW w:w="1942" w:type="dxa"/>
            <w:vMerge w:val="continue"/>
            <w:vAlign w:val="center"/>
          </w:tcPr>
          <w:p w14:paraId="114EAAC5">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p>
        </w:tc>
        <w:tc>
          <w:tcPr>
            <w:tcW w:w="7574" w:type="dxa"/>
            <w:vAlign w:val="top"/>
          </w:tcPr>
          <w:p w14:paraId="208620C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□总价合同：发承包双方约定以施工图及其预算和有关条件进行合同价款计算、调整和确认的建设工程施工合同。 </w:t>
            </w:r>
          </w:p>
          <w:p w14:paraId="0E5FC1B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注：总价合同是以施工图纸、规范为基础，在工程任务内容明确、发包人的要求条件清楚、计价标准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标准原则。</w:t>
            </w:r>
          </w:p>
        </w:tc>
      </w:tr>
      <w:tr w14:paraId="548B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4F5536D8">
            <w:pPr>
              <w:keepNext w:val="0"/>
              <w:keepLines w:val="0"/>
              <w:pageBreakBefore w:val="0"/>
              <w:wordWrap w:val="0"/>
              <w:overflowPunct/>
              <w:topLinePunct w:val="0"/>
              <w:bidi w:val="0"/>
              <w:spacing w:before="19"/>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19</w:t>
            </w:r>
          </w:p>
        </w:tc>
        <w:tc>
          <w:tcPr>
            <w:tcW w:w="1942" w:type="dxa"/>
            <w:vAlign w:val="center"/>
          </w:tcPr>
          <w:p w14:paraId="0F7CD5C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房屋建筑工程绿色建筑标准</w:t>
            </w:r>
          </w:p>
        </w:tc>
        <w:tc>
          <w:tcPr>
            <w:tcW w:w="7574" w:type="dxa"/>
            <w:vAlign w:val="center"/>
          </w:tcPr>
          <w:p w14:paraId="523371B7">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spacing w:val="0"/>
                <w:kern w:val="0"/>
                <w:sz w:val="21"/>
                <w:szCs w:val="21"/>
                <w:highlight w:val="none"/>
                <w:lang w:eastAsia="zh-CN"/>
              </w:rPr>
              <w:t>纳入绿色建设实施范围。</w:t>
            </w:r>
          </w:p>
        </w:tc>
      </w:tr>
      <w:tr w14:paraId="44A5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CD2CF21">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19. 1</w:t>
            </w:r>
          </w:p>
        </w:tc>
        <w:tc>
          <w:tcPr>
            <w:tcW w:w="1942" w:type="dxa"/>
            <w:vAlign w:val="center"/>
          </w:tcPr>
          <w:p w14:paraId="4D336BF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装配式建筑标准</w:t>
            </w:r>
          </w:p>
        </w:tc>
        <w:tc>
          <w:tcPr>
            <w:tcW w:w="7574" w:type="dxa"/>
            <w:vAlign w:val="center"/>
          </w:tcPr>
          <w:p w14:paraId="7FEA000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spacing w:val="0"/>
                <w:kern w:val="0"/>
                <w:sz w:val="21"/>
                <w:szCs w:val="21"/>
                <w:highlight w:val="none"/>
                <w:lang w:eastAsia="zh-CN"/>
              </w:rPr>
              <w:t>纳入装配式建造建设实施范围。</w:t>
            </w:r>
          </w:p>
        </w:tc>
      </w:tr>
      <w:tr w14:paraId="2E1CB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4746E48">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20</w:t>
            </w:r>
          </w:p>
        </w:tc>
        <w:tc>
          <w:tcPr>
            <w:tcW w:w="1942" w:type="dxa"/>
            <w:vAlign w:val="center"/>
          </w:tcPr>
          <w:p w14:paraId="649F4D0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发包人提供材料和工程设备</w:t>
            </w:r>
          </w:p>
        </w:tc>
        <w:tc>
          <w:tcPr>
            <w:tcW w:w="7574" w:type="dxa"/>
            <w:vAlign w:val="center"/>
          </w:tcPr>
          <w:p w14:paraId="77FB08D3">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default" w:asciiTheme="minorEastAsia" w:hAnsiTheme="minorEastAsia" w:eastAsiaTheme="minorEastAsia" w:cstheme="minorEastAsia"/>
                <w:snapToGrid w:val="0"/>
                <w:color w:val="auto"/>
                <w:spacing w:val="0"/>
                <w:kern w:val="0"/>
                <w:sz w:val="21"/>
                <w:szCs w:val="21"/>
                <w:highlight w:val="none"/>
                <w:u w:val="singl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发包人提供材料和工程设备： ☑无     □有：</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 xml:space="preserve">     </w:t>
            </w:r>
          </w:p>
        </w:tc>
      </w:tr>
      <w:tr w14:paraId="119B3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2622591F">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21</w:t>
            </w:r>
          </w:p>
        </w:tc>
        <w:tc>
          <w:tcPr>
            <w:tcW w:w="1942" w:type="dxa"/>
            <w:vAlign w:val="center"/>
          </w:tcPr>
          <w:p w14:paraId="6A6F9E6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承包人提供材料和工程设备</w:t>
            </w:r>
          </w:p>
        </w:tc>
        <w:tc>
          <w:tcPr>
            <w:tcW w:w="7574" w:type="dxa"/>
            <w:vAlign w:val="top"/>
          </w:tcPr>
          <w:p w14:paraId="7329718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716D254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□其它说明：鼓励承包人积极采购环保产品进行施工。</w:t>
            </w:r>
          </w:p>
        </w:tc>
      </w:tr>
      <w:tr w14:paraId="3B0B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582" w:type="dxa"/>
            <w:vAlign w:val="center"/>
          </w:tcPr>
          <w:p w14:paraId="23CFF5B2">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22</w:t>
            </w:r>
          </w:p>
        </w:tc>
        <w:tc>
          <w:tcPr>
            <w:tcW w:w="1942" w:type="dxa"/>
            <w:vAlign w:val="center"/>
          </w:tcPr>
          <w:p w14:paraId="08D2DAC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最高投标限价</w:t>
            </w:r>
          </w:p>
        </w:tc>
        <w:tc>
          <w:tcPr>
            <w:tcW w:w="7574" w:type="dxa"/>
            <w:vAlign w:val="center"/>
          </w:tcPr>
          <w:p w14:paraId="73FF3F4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宋体" w:hAnsi="宋体" w:eastAsia="宋体" w:cs="宋体"/>
                <w:b w:val="0"/>
                <w:bCs/>
                <w:color w:val="auto"/>
                <w:sz w:val="21"/>
                <w:szCs w:val="21"/>
                <w:highlight w:val="none"/>
              </w:rPr>
              <w:t>本次招标项目招标控制价为人民币(大写)：柒佰贰拾玖万柒仟陆佰零捌元伍角</w:t>
            </w:r>
            <w:r>
              <w:rPr>
                <w:rFonts w:hint="eastAsia" w:ascii="宋体" w:hAnsi="宋体" w:eastAsia="宋体" w:cs="宋体"/>
                <w:b w:val="0"/>
                <w:bCs/>
                <w:color w:val="auto"/>
                <w:sz w:val="21"/>
                <w:szCs w:val="21"/>
                <w:highlight w:val="none"/>
                <w:u w:val="none"/>
              </w:rPr>
              <w:t>（</w:t>
            </w:r>
            <w:r>
              <w:rPr>
                <w:rFonts w:hint="eastAsia" w:ascii="宋体" w:hAnsi="宋体" w:eastAsia="宋体" w:cs="宋体"/>
                <w:b w:val="0"/>
                <w:bCs/>
                <w:color w:val="auto"/>
                <w:sz w:val="21"/>
                <w:szCs w:val="21"/>
                <w:highlight w:val="none"/>
                <w:u w:val="none"/>
                <w:lang w:eastAsia="zh-CN"/>
              </w:rPr>
              <w:t>￥</w:t>
            </w:r>
            <w:r>
              <w:rPr>
                <w:rFonts w:hint="eastAsia" w:ascii="宋体" w:hAnsi="宋体" w:cs="宋体"/>
                <w:b w:val="0"/>
                <w:bCs/>
                <w:color w:val="auto"/>
                <w:sz w:val="21"/>
                <w:szCs w:val="21"/>
                <w:highlight w:val="none"/>
                <w:u w:val="none"/>
                <w:lang w:val="en-US" w:eastAsia="zh-CN"/>
              </w:rPr>
              <w:t>7297608.50</w:t>
            </w:r>
            <w:r>
              <w:rPr>
                <w:rFonts w:hint="eastAsia" w:ascii="宋体" w:hAnsi="宋体" w:eastAsia="宋体" w:cs="宋体"/>
                <w:b w:val="0"/>
                <w:bCs/>
                <w:color w:val="auto"/>
                <w:sz w:val="21"/>
                <w:szCs w:val="21"/>
                <w:highlight w:val="none"/>
                <w:u w:val="none"/>
              </w:rPr>
              <w:t>元）</w:t>
            </w:r>
            <w:r>
              <w:rPr>
                <w:rFonts w:hint="eastAsia" w:ascii="宋体" w:hAnsi="宋体" w:eastAsia="宋体" w:cs="宋体"/>
                <w:b w:val="0"/>
                <w:bCs/>
                <w:color w:val="auto"/>
                <w:sz w:val="21"/>
                <w:szCs w:val="21"/>
                <w:highlight w:val="none"/>
              </w:rPr>
              <w:t>。其中：</w:t>
            </w:r>
            <w:r>
              <w:rPr>
                <w:rFonts w:hint="eastAsia" w:ascii="宋体" w:hAnsi="宋体" w:cs="宋体"/>
                <w:b w:val="0"/>
                <w:bCs/>
                <w:color w:val="auto"/>
                <w:sz w:val="21"/>
                <w:szCs w:val="21"/>
                <w:highlight w:val="none"/>
                <w:lang w:val="en-US" w:eastAsia="zh-CN"/>
              </w:rPr>
              <w:t>暂列金</w:t>
            </w:r>
            <w:r>
              <w:rPr>
                <w:rFonts w:hint="eastAsia" w:ascii="宋体" w:hAnsi="宋体" w:eastAsia="宋体" w:cs="宋体"/>
                <w:b w:val="0"/>
                <w:bCs/>
                <w:color w:val="auto"/>
                <w:sz w:val="21"/>
                <w:szCs w:val="21"/>
                <w:highlight w:val="none"/>
                <w:lang w:eastAsia="zh-CN"/>
              </w:rPr>
              <w:t>￥</w:t>
            </w:r>
            <w:r>
              <w:rPr>
                <w:rFonts w:hint="eastAsia" w:ascii="宋体" w:hAnsi="宋体" w:cs="宋体"/>
                <w:b w:val="0"/>
                <w:bCs/>
                <w:color w:val="auto"/>
                <w:sz w:val="21"/>
                <w:szCs w:val="21"/>
                <w:highlight w:val="none"/>
                <w:u w:val="single"/>
                <w:lang w:val="en-US" w:eastAsia="zh-CN"/>
              </w:rPr>
              <w:t>302721.33</w:t>
            </w:r>
            <w:r>
              <w:rPr>
                <w:rFonts w:hint="eastAsia" w:ascii="宋体" w:hAnsi="宋体" w:eastAsia="宋体" w:cs="宋体"/>
                <w:b w:val="0"/>
                <w:bCs/>
                <w:color w:val="auto"/>
                <w:sz w:val="21"/>
                <w:szCs w:val="21"/>
                <w:highlight w:val="none"/>
              </w:rPr>
              <w:t>元</w:t>
            </w:r>
            <w:r>
              <w:rPr>
                <w:rFonts w:hint="eastAsia" w:ascii="宋体" w:hAnsi="宋体" w:eastAsia="宋体" w:cs="宋体"/>
                <w:b w:val="0"/>
                <w:bCs/>
                <w:color w:val="auto"/>
                <w:sz w:val="21"/>
                <w:szCs w:val="21"/>
                <w:highlight w:val="none"/>
                <w:lang w:eastAsia="zh-CN"/>
              </w:rPr>
              <w:t>，</w:t>
            </w:r>
            <w:r>
              <w:rPr>
                <w:rFonts w:hint="eastAsia" w:ascii="宋体" w:hAnsi="宋体" w:cs="宋体"/>
                <w:b w:val="0"/>
                <w:bCs/>
                <w:color w:val="auto"/>
                <w:sz w:val="21"/>
                <w:szCs w:val="21"/>
                <w:highlight w:val="none"/>
                <w:lang w:val="en-US" w:eastAsia="zh-CN"/>
              </w:rPr>
              <w:t>暂估价</w:t>
            </w:r>
            <w:r>
              <w:rPr>
                <w:rFonts w:hint="eastAsia" w:ascii="宋体" w:hAnsi="宋体" w:eastAsia="宋体" w:cs="宋体"/>
                <w:b w:val="0"/>
                <w:bCs/>
                <w:color w:val="auto"/>
                <w:sz w:val="21"/>
                <w:szCs w:val="21"/>
                <w:highlight w:val="none"/>
                <w:lang w:eastAsia="zh-CN"/>
              </w:rPr>
              <w:t>￥</w:t>
            </w:r>
            <w:r>
              <w:rPr>
                <w:rFonts w:hint="eastAsia" w:ascii="宋体" w:hAnsi="宋体" w:cs="宋体"/>
                <w:b w:val="0"/>
                <w:bCs/>
                <w:color w:val="auto"/>
                <w:sz w:val="21"/>
                <w:szCs w:val="21"/>
                <w:highlight w:val="none"/>
                <w:u w:val="single"/>
                <w:lang w:val="en-US" w:eastAsia="zh-CN"/>
              </w:rPr>
              <w:t>278368.85</w:t>
            </w:r>
            <w:r>
              <w:rPr>
                <w:rFonts w:hint="eastAsia" w:ascii="宋体" w:hAnsi="宋体" w:eastAsia="宋体" w:cs="宋体"/>
                <w:b w:val="0"/>
                <w:bCs/>
                <w:color w:val="auto"/>
                <w:sz w:val="21"/>
                <w:szCs w:val="21"/>
                <w:highlight w:val="none"/>
              </w:rPr>
              <w:t>元</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绿色施工安全防护措施费</w:t>
            </w:r>
            <w:r>
              <w:rPr>
                <w:rFonts w:hint="eastAsia" w:ascii="宋体" w:hAnsi="宋体" w:cs="宋体"/>
                <w:b w:val="0"/>
                <w:bCs/>
                <w:color w:val="auto"/>
                <w:sz w:val="21"/>
                <w:szCs w:val="21"/>
                <w:highlight w:val="none"/>
                <w:lang w:val="en-US" w:eastAsia="zh-CN"/>
              </w:rPr>
              <w:t>（不得低于）</w:t>
            </w:r>
            <w:r>
              <w:rPr>
                <w:rFonts w:hint="eastAsia" w:ascii="宋体" w:hAnsi="宋体" w:eastAsia="宋体" w:cs="宋体"/>
                <w:b w:val="0"/>
                <w:bCs/>
                <w:color w:val="auto"/>
                <w:sz w:val="21"/>
                <w:szCs w:val="21"/>
                <w:highlight w:val="none"/>
                <w:lang w:eastAsia="zh-CN"/>
              </w:rPr>
              <w:t>￥</w:t>
            </w:r>
            <w:r>
              <w:rPr>
                <w:rFonts w:hint="eastAsia" w:ascii="宋体" w:hAnsi="宋体" w:cs="宋体"/>
                <w:b w:val="0"/>
                <w:bCs/>
                <w:color w:val="auto"/>
                <w:sz w:val="21"/>
                <w:szCs w:val="21"/>
                <w:highlight w:val="none"/>
                <w:u w:val="single"/>
                <w:lang w:val="en-US" w:eastAsia="zh-CN"/>
              </w:rPr>
              <w:t>274341.78</w:t>
            </w:r>
            <w:r>
              <w:rPr>
                <w:rFonts w:hint="eastAsia" w:ascii="宋体" w:hAnsi="宋体" w:eastAsia="宋体" w:cs="宋体"/>
                <w:b w:val="0"/>
                <w:bCs/>
                <w:color w:val="auto"/>
                <w:sz w:val="21"/>
                <w:szCs w:val="21"/>
                <w:highlight w:val="none"/>
              </w:rPr>
              <w:t>元</w:t>
            </w:r>
            <w:r>
              <w:rPr>
                <w:rFonts w:hint="eastAsia" w:ascii="宋体" w:hAnsi="宋体" w:cs="宋体"/>
                <w:b w:val="0"/>
                <w:bCs/>
                <w:color w:val="auto"/>
                <w:sz w:val="21"/>
                <w:szCs w:val="21"/>
                <w:highlight w:val="none"/>
                <w:lang w:eastAsia="zh-CN"/>
              </w:rPr>
              <w:t>。</w:t>
            </w:r>
            <w:r>
              <w:rPr>
                <w:rFonts w:hint="eastAsia" w:ascii="宋体" w:hAnsi="宋体" w:cs="宋体"/>
                <w:b w:val="0"/>
                <w:bCs/>
                <w:color w:val="auto"/>
                <w:sz w:val="21"/>
                <w:szCs w:val="21"/>
                <w:highlight w:val="none"/>
                <w:lang w:eastAsia="zh-CN"/>
              </w:rPr>
              <w:br w:type="textWrapping"/>
            </w:r>
            <w:r>
              <w:rPr>
                <w:rFonts w:hint="eastAsia" w:ascii="宋体" w:hAnsi="宋体" w:eastAsia="宋体" w:cs="宋体"/>
                <w:b/>
                <w:bCs/>
                <w:i w:val="0"/>
                <w:iCs w:val="0"/>
                <w:caps w:val="0"/>
                <w:spacing w:val="0"/>
                <w:sz w:val="24"/>
                <w:szCs w:val="24"/>
                <w:highlight w:val="none"/>
                <w:shd w:val="clear" w:color="auto" w:fill="FFFFFF"/>
              </w:rPr>
              <w:t>注：本项目招标控制价由韶关市曲江区投资评审中心提供。</w:t>
            </w:r>
            <w:r>
              <w:rPr>
                <w:rFonts w:hint="eastAsia" w:ascii="宋体" w:hAnsi="宋体" w:eastAsia="宋体" w:cs="宋体"/>
                <w:b/>
                <w:bCs/>
                <w:i w:val="0"/>
                <w:iCs w:val="0"/>
                <w:caps w:val="0"/>
                <w:spacing w:val="0"/>
                <w:sz w:val="24"/>
                <w:szCs w:val="24"/>
                <w:highlight w:val="none"/>
                <w:shd w:val="clear" w:color="auto" w:fill="FFFFFF"/>
                <w:lang w:val="en-US" w:eastAsia="zh-CN"/>
              </w:rPr>
              <w:t>招标控制价已按韶曲府办【2025】8号文规定</w:t>
            </w:r>
            <w:r>
              <w:rPr>
                <w:rFonts w:hint="eastAsia" w:ascii="宋体" w:hAnsi="宋体" w:eastAsia="宋体" w:cs="宋体"/>
                <w:b/>
                <w:bCs/>
                <w:i w:val="0"/>
                <w:iCs w:val="0"/>
                <w:caps w:val="0"/>
                <w:spacing w:val="0"/>
                <w:sz w:val="24"/>
                <w:szCs w:val="24"/>
                <w:highlight w:val="none"/>
                <w:shd w:val="clear" w:color="auto" w:fill="FFFFFF"/>
              </w:rPr>
              <w:t>土建工程下浮5%</w:t>
            </w:r>
            <w:r>
              <w:rPr>
                <w:rFonts w:hint="eastAsia" w:ascii="宋体" w:hAnsi="宋体" w:eastAsia="宋体" w:cs="宋体"/>
                <w:b/>
                <w:bCs/>
                <w:i w:val="0"/>
                <w:iCs w:val="0"/>
                <w:caps w:val="0"/>
                <w:spacing w:val="0"/>
                <w:sz w:val="24"/>
                <w:szCs w:val="24"/>
                <w:highlight w:val="none"/>
                <w:shd w:val="clear" w:color="auto" w:fill="FFFFFF"/>
                <w:lang w:eastAsia="zh-CN"/>
              </w:rPr>
              <w:t>，</w:t>
            </w:r>
            <w:r>
              <w:rPr>
                <w:rFonts w:hint="eastAsia" w:ascii="宋体" w:hAnsi="宋体" w:eastAsia="宋体" w:cs="宋体"/>
                <w:b/>
                <w:bCs/>
                <w:i w:val="0"/>
                <w:iCs w:val="0"/>
                <w:caps w:val="0"/>
                <w:spacing w:val="0"/>
                <w:sz w:val="24"/>
                <w:szCs w:val="24"/>
                <w:highlight w:val="none"/>
                <w:shd w:val="clear" w:color="auto" w:fill="FFFFFF"/>
                <w:lang w:val="en-US" w:eastAsia="zh-CN"/>
              </w:rPr>
              <w:t>绿化、</w:t>
            </w:r>
            <w:r>
              <w:rPr>
                <w:rFonts w:hint="eastAsia" w:ascii="宋体" w:hAnsi="宋体" w:eastAsia="宋体" w:cs="宋体"/>
                <w:b/>
                <w:bCs/>
                <w:i w:val="0"/>
                <w:iCs w:val="0"/>
                <w:caps w:val="0"/>
                <w:spacing w:val="0"/>
                <w:sz w:val="24"/>
                <w:szCs w:val="24"/>
                <w:highlight w:val="none"/>
                <w:shd w:val="clear" w:color="auto" w:fill="FFFFFF"/>
              </w:rPr>
              <w:t>安装工程下浮8%作为本项目招标控制价，投标人自行考虑报价。</w:t>
            </w:r>
          </w:p>
        </w:tc>
      </w:tr>
      <w:tr w14:paraId="0706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0" w:hRule="atLeast"/>
        </w:trPr>
        <w:tc>
          <w:tcPr>
            <w:tcW w:w="582" w:type="dxa"/>
            <w:vAlign w:val="center"/>
          </w:tcPr>
          <w:p w14:paraId="14D57F0A">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23</w:t>
            </w:r>
          </w:p>
        </w:tc>
        <w:tc>
          <w:tcPr>
            <w:tcW w:w="1942" w:type="dxa"/>
            <w:vAlign w:val="center"/>
          </w:tcPr>
          <w:p w14:paraId="4EDFFAA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投标人的投标报价</w:t>
            </w:r>
          </w:p>
        </w:tc>
        <w:tc>
          <w:tcPr>
            <w:tcW w:w="7574" w:type="dxa"/>
            <w:vAlign w:val="center"/>
          </w:tcPr>
          <w:p w14:paraId="449D521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最高投标限价。</w:t>
            </w:r>
          </w:p>
          <w:p w14:paraId="270EDCA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投标报价方式： ☑工程量清单报</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□其他：</w:t>
            </w:r>
          </w:p>
          <w:p w14:paraId="134467A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投标报价时，应按《广东省建设工程计价依据（2018）》规定的费率报价，若招标工程量清单明确说明不计算预算包干费或另外确定预算包干费费率的，则按招标工程量清单报价。</w:t>
            </w:r>
          </w:p>
        </w:tc>
      </w:tr>
      <w:tr w14:paraId="3A26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2" w:type="dxa"/>
            <w:vAlign w:val="center"/>
          </w:tcPr>
          <w:p w14:paraId="78D804F4">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24</w:t>
            </w:r>
          </w:p>
        </w:tc>
        <w:tc>
          <w:tcPr>
            <w:tcW w:w="1942" w:type="dxa"/>
            <w:vAlign w:val="center"/>
          </w:tcPr>
          <w:p w14:paraId="75D5610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投标报价风险</w:t>
            </w:r>
          </w:p>
        </w:tc>
        <w:tc>
          <w:tcPr>
            <w:tcW w:w="7574" w:type="dxa"/>
            <w:vAlign w:val="center"/>
          </w:tcPr>
          <w:p w14:paraId="09F1294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☑投标人依据招标文件约定自行考虑风险因素，一旦中标，投标报价（合同价）除合同另有约定外将不因市场变化而调整。</w:t>
            </w:r>
          </w:p>
          <w:p w14:paraId="4AE8FF5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☑投标报价中应包括工程量清单项目所发生的人工费、材料费、机具费、管理费、利润、措施项目费、其它项目费、税金、暂列金额、暂估价以及所有风险、责任等各项费用。</w:t>
            </w:r>
          </w:p>
          <w:p w14:paraId="0FDFC6A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☑人工费、材料费、机具费、管理费、利润、措施项目费（不含安全生产措施费费）投标人漏报或不报，招标人视为有关费用 已包括在工程量清单项目的其它单价及合价中不予另外增加。</w:t>
            </w:r>
          </w:p>
          <w:p w14:paraId="1D4B24B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☑措施项目中的安全生产措施费，必须按国家、省级、市级（即工程所在地）行业建设主管部门的规定计算，不得作为竞争性费用。</w:t>
            </w:r>
          </w:p>
          <w:p w14:paraId="2BDA8BB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0598AA6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应按《广东省建设工程计价依据（2018）》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042F334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☑招标人向投标人提供的有关施工现场资料及数据，是招标人现有的能使投标人利用的资料，招标人对投标人据此作出的推论及理解概不负责。</w:t>
            </w:r>
          </w:p>
          <w:p w14:paraId="12C0474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7883DF1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4F80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582" w:type="dxa"/>
            <w:vAlign w:val="center"/>
          </w:tcPr>
          <w:p w14:paraId="2A703940">
            <w:pPr>
              <w:keepNext w:val="0"/>
              <w:keepLines w:val="0"/>
              <w:pageBreakBefore w:val="0"/>
              <w:wordWrap w:val="0"/>
              <w:overflowPunct/>
              <w:topLinePunct w:val="0"/>
              <w:bidi w:val="0"/>
              <w:spacing w:before="284"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25</w:t>
            </w:r>
          </w:p>
        </w:tc>
        <w:tc>
          <w:tcPr>
            <w:tcW w:w="1942" w:type="dxa"/>
            <w:vAlign w:val="center"/>
          </w:tcPr>
          <w:p w14:paraId="169F8CD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投标费用</w:t>
            </w:r>
          </w:p>
        </w:tc>
        <w:tc>
          <w:tcPr>
            <w:tcW w:w="7574" w:type="dxa"/>
            <w:vAlign w:val="center"/>
          </w:tcPr>
          <w:p w14:paraId="6A66A49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投标人自行承担编制与递交投标文件的一切费用。</w:t>
            </w:r>
          </w:p>
        </w:tc>
      </w:tr>
      <w:tr w14:paraId="5958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vAlign w:val="center"/>
          </w:tcPr>
          <w:p w14:paraId="39B3D201">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26</w:t>
            </w:r>
          </w:p>
        </w:tc>
        <w:tc>
          <w:tcPr>
            <w:tcW w:w="1942" w:type="dxa"/>
            <w:vAlign w:val="center"/>
          </w:tcPr>
          <w:p w14:paraId="728110B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投标人资格要求</w:t>
            </w:r>
          </w:p>
        </w:tc>
        <w:tc>
          <w:tcPr>
            <w:tcW w:w="7574" w:type="dxa"/>
            <w:vAlign w:val="center"/>
          </w:tcPr>
          <w:p w14:paraId="471E7B1F">
            <w:pPr>
              <w:wordWrap w:val="0"/>
              <w:adjustRightInd w:val="0"/>
              <w:snapToGrid w:val="0"/>
              <w:spacing w:line="400" w:lineRule="exact"/>
              <w:ind w:firstLine="210" w:firstLineChars="100"/>
              <w:rPr>
                <w:rFonts w:hint="eastAsia" w:ascii="宋体" w:hAnsi="宋体" w:eastAsia="宋体" w:cs="宋体"/>
                <w:snapToGrid w:val="0"/>
                <w:color w:val="auto"/>
                <w:kern w:val="0"/>
                <w:sz w:val="21"/>
                <w:szCs w:val="24"/>
                <w:highlight w:val="none"/>
              </w:rPr>
            </w:pPr>
            <w:r>
              <w:rPr>
                <w:rFonts w:hint="eastAsia" w:ascii="宋体" w:hAnsi="宋体" w:eastAsia="宋体" w:cs="宋体"/>
                <w:snapToGrid w:val="0"/>
                <w:color w:val="auto"/>
                <w:kern w:val="0"/>
                <w:sz w:val="21"/>
                <w:szCs w:val="24"/>
                <w:highlight w:val="none"/>
              </w:rPr>
              <w:t>1．本次招标</w:t>
            </w:r>
            <w:r>
              <w:rPr>
                <w:rFonts w:hint="eastAsia" w:ascii="宋体" w:hAnsi="宋体" w:eastAsia="宋体" w:cs="宋体"/>
                <w:b/>
                <w:bCs/>
                <w:snapToGrid w:val="0"/>
                <w:color w:val="auto"/>
                <w:kern w:val="0"/>
                <w:sz w:val="21"/>
                <w:szCs w:val="24"/>
                <w:highlight w:val="none"/>
                <w:u w:val="single"/>
              </w:rPr>
              <w:t>不接受</w:t>
            </w:r>
            <w:r>
              <w:rPr>
                <w:rFonts w:hint="eastAsia" w:ascii="宋体" w:hAnsi="宋体" w:eastAsia="宋体" w:cs="宋体"/>
                <w:snapToGrid w:val="0"/>
                <w:color w:val="auto"/>
                <w:kern w:val="0"/>
                <w:sz w:val="21"/>
                <w:szCs w:val="24"/>
                <w:highlight w:val="none"/>
              </w:rPr>
              <w:t>联合体投标。</w:t>
            </w:r>
          </w:p>
          <w:p w14:paraId="60C45748">
            <w:pPr>
              <w:wordWrap w:val="0"/>
              <w:adjustRightInd w:val="0"/>
              <w:snapToGrid w:val="0"/>
              <w:spacing w:line="400" w:lineRule="exact"/>
              <w:ind w:firstLine="211" w:firstLineChars="100"/>
              <w:jc w:val="left"/>
              <w:rPr>
                <w:rFonts w:hint="eastAsia" w:ascii="宋体" w:hAnsi="宋体" w:eastAsia="宋体" w:cs="宋体"/>
                <w:b/>
                <w:bCs/>
                <w:snapToGrid w:val="0"/>
                <w:color w:val="auto"/>
                <w:kern w:val="0"/>
                <w:sz w:val="21"/>
                <w:highlight w:val="none"/>
              </w:rPr>
            </w:pPr>
            <w:r>
              <w:rPr>
                <w:rFonts w:hint="eastAsia" w:ascii="宋体" w:hAnsi="宋体" w:eastAsia="宋体" w:cs="宋体"/>
                <w:b/>
                <w:bCs/>
                <w:snapToGrid w:val="0"/>
                <w:color w:val="auto"/>
                <w:kern w:val="0"/>
                <w:sz w:val="21"/>
                <w:highlight w:val="none"/>
              </w:rPr>
              <w:t>2．</w:t>
            </w:r>
            <w:r>
              <w:rPr>
                <w:rFonts w:hint="eastAsia" w:ascii="宋体" w:hAnsi="宋体" w:eastAsia="宋体" w:cs="宋体"/>
                <w:b/>
                <w:bCs/>
                <w:color w:val="auto"/>
                <w:sz w:val="21"/>
                <w:szCs w:val="21"/>
                <w:highlight w:val="none"/>
              </w:rPr>
              <w:t>资格资质要求</w:t>
            </w:r>
          </w:p>
          <w:p w14:paraId="6639B8BC">
            <w:pPr>
              <w:wordWrap w:val="0"/>
              <w:adjustRightInd w:val="0"/>
              <w:snapToGrid w:val="0"/>
              <w:spacing w:line="360" w:lineRule="auto"/>
              <w:ind w:firstLine="210" w:firstLineChars="100"/>
              <w:jc w:val="left"/>
              <w:rPr>
                <w:rFonts w:hint="eastAsia" w:ascii="宋体" w:hAnsi="宋体" w:eastAsia="宋体" w:cs="宋体"/>
                <w:snapToGrid w:val="0"/>
                <w:color w:val="auto"/>
                <w:kern w:val="0"/>
                <w:sz w:val="21"/>
                <w:highlight w:val="none"/>
              </w:rPr>
            </w:pPr>
            <w:r>
              <w:rPr>
                <w:rFonts w:hint="eastAsia" w:ascii="宋体" w:hAnsi="宋体" w:eastAsia="宋体" w:cs="宋体"/>
                <w:snapToGrid w:val="0"/>
                <w:color w:val="auto"/>
                <w:kern w:val="0"/>
                <w:sz w:val="21"/>
                <w:highlight w:val="none"/>
              </w:rPr>
              <w:t>2.1 投标人须具备独立法人资格，按国家法律经营。</w:t>
            </w:r>
          </w:p>
          <w:p w14:paraId="218E3E09">
            <w:pPr>
              <w:wordWrap w:val="0"/>
              <w:adjustRightInd w:val="0"/>
              <w:snapToGrid w:val="0"/>
              <w:spacing w:line="360" w:lineRule="auto"/>
              <w:ind w:firstLine="210" w:firstLineChars="100"/>
              <w:jc w:val="left"/>
              <w:rPr>
                <w:rFonts w:hint="eastAsia" w:ascii="宋体" w:hAnsi="宋体" w:eastAsia="宋体" w:cs="宋体"/>
                <w:snapToGrid w:val="0"/>
                <w:color w:val="auto"/>
                <w:kern w:val="0"/>
                <w:sz w:val="21"/>
                <w:highlight w:val="none"/>
              </w:rPr>
            </w:pPr>
            <w:r>
              <w:rPr>
                <w:rFonts w:hint="eastAsia" w:ascii="宋体" w:hAnsi="宋体" w:eastAsia="宋体" w:cs="宋体"/>
                <w:snapToGrid w:val="0"/>
                <w:color w:val="auto"/>
                <w:kern w:val="0"/>
                <w:sz w:val="21"/>
                <w:highlight w:val="none"/>
              </w:rPr>
              <w:t>2.2 投标人须持有</w:t>
            </w:r>
            <w:r>
              <w:rPr>
                <w:rFonts w:hint="eastAsia" w:ascii="宋体" w:hAnsi="宋体" w:eastAsia="宋体" w:cs="宋体"/>
                <w:snapToGrid w:val="0"/>
                <w:color w:val="auto"/>
                <w:kern w:val="0"/>
                <w:sz w:val="21"/>
                <w:highlight w:val="none"/>
                <w:lang w:val="en-US" w:eastAsia="zh-CN"/>
              </w:rPr>
              <w:t>文物主管部门颁发的其企业资质证书以及</w:t>
            </w:r>
            <w:r>
              <w:rPr>
                <w:rFonts w:hint="eastAsia" w:ascii="宋体" w:hAnsi="宋体" w:eastAsia="宋体" w:cs="宋体"/>
                <w:snapToGrid w:val="0"/>
                <w:color w:val="auto"/>
                <w:kern w:val="0"/>
                <w:sz w:val="21"/>
                <w:highlight w:val="none"/>
              </w:rPr>
              <w:t>建设行政主管部门颁发的安全生产许可证。</w:t>
            </w:r>
          </w:p>
          <w:p w14:paraId="481B81ED">
            <w:pPr>
              <w:pStyle w:val="2"/>
              <w:spacing w:line="360" w:lineRule="auto"/>
              <w:ind w:left="210" w:leftChars="100" w:firstLine="0" w:firstLineChars="0"/>
              <w:rPr>
                <w:rFonts w:hint="eastAsia"/>
                <w:color w:val="auto"/>
                <w:highlight w:val="none"/>
              </w:rPr>
            </w:pPr>
            <w:bookmarkStart w:id="5" w:name="_Toc2187"/>
            <w:r>
              <w:rPr>
                <w:rFonts w:hint="eastAsia" w:ascii="宋体" w:hAnsi="宋体" w:eastAsia="宋体" w:cs="宋体"/>
                <w:snapToGrid w:val="0"/>
                <w:color w:val="auto"/>
                <w:kern w:val="0"/>
                <w:sz w:val="21"/>
                <w:highlight w:val="none"/>
              </w:rPr>
              <w:t>2.3</w:t>
            </w:r>
            <w:r>
              <w:rPr>
                <w:rFonts w:hint="eastAsia" w:ascii="宋体" w:hAnsi="宋体" w:eastAsia="宋体" w:cs="宋体"/>
                <w:color w:val="auto"/>
                <w:sz w:val="21"/>
                <w:szCs w:val="21"/>
                <w:highlight w:val="none"/>
              </w:rPr>
              <w:t>投标人须具</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备以下资质：</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①</w:t>
            </w:r>
            <w:r>
              <w:rPr>
                <w:rFonts w:hint="eastAsia" w:ascii="宋体" w:hAnsi="宋体" w:eastAsia="宋体" w:cs="宋体"/>
                <w:b/>
                <w:bCs/>
                <w:snapToGrid w:val="0"/>
                <w:color w:val="auto"/>
                <w:kern w:val="0"/>
                <w:sz w:val="21"/>
                <w:szCs w:val="21"/>
                <w:highlight w:val="none"/>
                <w:u w:val="single"/>
                <w:lang w:val="en-US" w:eastAsia="en-US" w:bidi="ar-SA"/>
              </w:rPr>
              <w:t>文物保护工程施工一级资质（业务范围须包括：古文化遗址古墓葬）</w:t>
            </w:r>
            <w:bookmarkEnd w:id="5"/>
          </w:p>
          <w:p w14:paraId="1415A5E4">
            <w:pPr>
              <w:wordWrap w:val="0"/>
              <w:adjustRightInd w:val="0"/>
              <w:snapToGrid w:val="0"/>
              <w:spacing w:line="360" w:lineRule="auto"/>
              <w:ind w:firstLine="210" w:firstLineChars="100"/>
              <w:rPr>
                <w:rFonts w:hint="eastAsia" w:ascii="宋体" w:hAnsi="宋体" w:eastAsia="宋体" w:cs="宋体"/>
                <w:snapToGrid w:val="0"/>
                <w:color w:val="auto"/>
                <w:kern w:val="0"/>
                <w:sz w:val="21"/>
                <w:highlight w:val="none"/>
              </w:rPr>
            </w:pPr>
            <w:r>
              <w:rPr>
                <w:rFonts w:hint="eastAsia" w:ascii="宋体" w:hAnsi="宋体" w:eastAsia="宋体" w:cs="宋体"/>
                <w:snapToGrid w:val="0"/>
                <w:color w:val="auto"/>
                <w:kern w:val="0"/>
                <w:sz w:val="21"/>
                <w:highlight w:val="none"/>
              </w:rPr>
              <w:t>2.4 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3BEAED63">
            <w:pPr>
              <w:wordWrap w:val="0"/>
              <w:adjustRightInd w:val="0"/>
              <w:snapToGrid w:val="0"/>
              <w:spacing w:line="400" w:lineRule="exact"/>
              <w:ind w:firstLine="210" w:firstLineChars="100"/>
              <w:rPr>
                <w:rFonts w:hint="eastAsia" w:ascii="宋体" w:hAnsi="宋体" w:eastAsia="宋体" w:cs="宋体"/>
                <w:snapToGrid w:val="0"/>
                <w:color w:val="auto"/>
                <w:kern w:val="0"/>
                <w:sz w:val="21"/>
                <w:highlight w:val="none"/>
                <w:lang w:eastAsia="zh-CN"/>
              </w:rPr>
            </w:pPr>
            <w:r>
              <w:rPr>
                <w:rFonts w:hint="eastAsia" w:ascii="宋体" w:hAnsi="宋体" w:eastAsia="宋体" w:cs="宋体"/>
                <w:snapToGrid w:val="0"/>
                <w:color w:val="auto"/>
                <w:kern w:val="0"/>
                <w:sz w:val="21"/>
                <w:highlight w:val="none"/>
              </w:rPr>
              <w:t>3．相关人员要求</w:t>
            </w:r>
          </w:p>
          <w:p w14:paraId="1C33C7C4">
            <w:pPr>
              <w:wordWrap w:val="0"/>
              <w:adjustRightInd w:val="0"/>
              <w:snapToGrid w:val="0"/>
              <w:spacing w:line="400" w:lineRule="exact"/>
              <w:ind w:left="210" w:leftChars="100" w:firstLine="0" w:firstLineChars="0"/>
              <w:rPr>
                <w:rFonts w:hint="eastAsia" w:ascii="宋体" w:hAnsi="宋体" w:eastAsia="宋体" w:cs="宋体"/>
                <w:snapToGrid w:val="0"/>
                <w:color w:val="auto"/>
                <w:kern w:val="0"/>
                <w:sz w:val="21"/>
                <w:highlight w:val="none"/>
              </w:rPr>
            </w:pPr>
            <w:r>
              <w:rPr>
                <w:rFonts w:hint="eastAsia" w:ascii="宋体" w:hAnsi="宋体" w:eastAsia="宋体" w:cs="宋体"/>
                <w:snapToGrid w:val="0"/>
                <w:color w:val="auto"/>
                <w:kern w:val="0"/>
                <w:sz w:val="21"/>
                <w:highlight w:val="none"/>
              </w:rPr>
              <w:t>3.1 拟派项目经理</w:t>
            </w:r>
            <w:r>
              <w:rPr>
                <w:rFonts w:hint="eastAsia" w:ascii="宋体" w:hAnsi="宋体" w:eastAsia="宋体" w:cs="宋体"/>
                <w:snapToGrid w:val="0"/>
                <w:color w:val="auto"/>
                <w:kern w:val="0"/>
                <w:sz w:val="21"/>
                <w:highlight w:val="none"/>
                <w:lang w:val="en-US" w:eastAsia="zh-CN"/>
              </w:rPr>
              <w:t>须具备</w:t>
            </w:r>
            <w:r>
              <w:rPr>
                <w:rFonts w:hint="eastAsia" w:ascii="宋体" w:hAnsi="宋体" w:eastAsia="宋体" w:cs="宋体"/>
                <w:snapToGrid w:val="0"/>
                <w:color w:val="auto"/>
                <w:kern w:val="0"/>
                <w:sz w:val="21"/>
                <w:highlight w:val="none"/>
              </w:rPr>
              <w:t>文物保护工程责任工程师（业务范围须包括：</w:t>
            </w:r>
            <w:r>
              <w:rPr>
                <w:rFonts w:hint="eastAsia" w:ascii="宋体" w:hAnsi="宋体" w:eastAsia="宋体" w:cs="宋体"/>
                <w:b/>
                <w:bCs/>
                <w:snapToGrid w:val="0"/>
                <w:color w:val="auto"/>
                <w:kern w:val="0"/>
                <w:sz w:val="21"/>
                <w:highlight w:val="none"/>
              </w:rPr>
              <w:t>古文化遗址古墓葬</w:t>
            </w:r>
            <w:r>
              <w:rPr>
                <w:rFonts w:hint="eastAsia" w:ascii="宋体" w:hAnsi="宋体" w:eastAsia="宋体" w:cs="宋体"/>
                <w:snapToGrid w:val="0"/>
                <w:color w:val="auto"/>
                <w:kern w:val="0"/>
                <w:sz w:val="21"/>
                <w:highlight w:val="none"/>
              </w:rPr>
              <w:t>）</w:t>
            </w:r>
            <w:r>
              <w:rPr>
                <w:rFonts w:hint="eastAsia" w:ascii="宋体" w:hAnsi="宋体" w:eastAsia="宋体" w:cs="宋体"/>
                <w:snapToGrid w:val="0"/>
                <w:color w:val="auto"/>
                <w:kern w:val="0"/>
                <w:sz w:val="21"/>
                <w:highlight w:val="none"/>
                <w:lang w:eastAsia="zh-CN"/>
              </w:rPr>
              <w:t>。</w:t>
            </w:r>
          </w:p>
          <w:p w14:paraId="34CC57DF">
            <w:pPr>
              <w:wordWrap w:val="0"/>
              <w:adjustRightInd w:val="0"/>
              <w:snapToGrid w:val="0"/>
              <w:spacing w:line="400" w:lineRule="exact"/>
              <w:ind w:left="210" w:leftChars="100" w:firstLine="0" w:firstLineChars="0"/>
              <w:rPr>
                <w:rFonts w:hint="eastAsia" w:ascii="宋体" w:hAnsi="宋体" w:eastAsia="宋体" w:cs="宋体"/>
                <w:snapToGrid w:val="0"/>
                <w:color w:val="auto"/>
                <w:kern w:val="0"/>
                <w:sz w:val="21"/>
                <w:highlight w:val="none"/>
              </w:rPr>
            </w:pPr>
            <w:r>
              <w:rPr>
                <w:rFonts w:hint="eastAsia" w:ascii="宋体" w:hAnsi="宋体" w:eastAsia="宋体" w:cs="宋体"/>
                <w:snapToGrid w:val="0"/>
                <w:color w:val="auto"/>
                <w:kern w:val="0"/>
                <w:sz w:val="21"/>
                <w:highlight w:val="none"/>
              </w:rPr>
              <w:t>3.2 拟派项目技术负责人须</w:t>
            </w:r>
            <w:r>
              <w:rPr>
                <w:rFonts w:hint="eastAsia" w:ascii="宋体" w:hAnsi="宋体" w:eastAsia="宋体" w:cs="宋体"/>
                <w:snapToGrid w:val="0"/>
                <w:color w:val="auto"/>
                <w:kern w:val="0"/>
                <w:sz w:val="21"/>
                <w:highlight w:val="none"/>
                <w:lang w:val="en-US" w:eastAsia="zh-CN"/>
              </w:rPr>
              <w:t>同时</w:t>
            </w:r>
            <w:r>
              <w:rPr>
                <w:rFonts w:hint="eastAsia" w:ascii="宋体" w:hAnsi="宋体" w:eastAsia="宋体" w:cs="宋体"/>
                <w:snapToGrid w:val="0"/>
                <w:color w:val="auto"/>
                <w:kern w:val="0"/>
                <w:sz w:val="21"/>
                <w:highlight w:val="none"/>
              </w:rPr>
              <w:t>具备</w:t>
            </w:r>
            <w:r>
              <w:rPr>
                <w:rFonts w:hint="eastAsia" w:ascii="宋体" w:hAnsi="宋体" w:eastAsia="宋体" w:cs="宋体"/>
                <w:b/>
                <w:bCs/>
                <w:snapToGrid w:val="0"/>
                <w:color w:val="auto"/>
                <w:kern w:val="0"/>
                <w:sz w:val="21"/>
                <w:highlight w:val="none"/>
                <w:u w:val="single"/>
              </w:rPr>
              <w:t>工程</w:t>
            </w:r>
            <w:r>
              <w:rPr>
                <w:rFonts w:hint="eastAsia" w:ascii="宋体" w:hAnsi="宋体" w:eastAsia="宋体" w:cs="宋体"/>
                <w:b/>
                <w:bCs/>
                <w:snapToGrid w:val="0"/>
                <w:color w:val="auto"/>
                <w:kern w:val="0"/>
                <w:sz w:val="21"/>
                <w:highlight w:val="none"/>
                <w:u w:val="single"/>
                <w:lang w:val="en-US" w:eastAsia="zh-CN"/>
              </w:rPr>
              <w:t>类</w:t>
            </w:r>
            <w:r>
              <w:rPr>
                <w:rFonts w:hint="eastAsia" w:ascii="宋体" w:hAnsi="宋体" w:eastAsia="宋体" w:cs="宋体"/>
                <w:snapToGrid w:val="0"/>
                <w:color w:val="auto"/>
                <w:kern w:val="0"/>
                <w:sz w:val="21"/>
                <w:highlight w:val="none"/>
              </w:rPr>
              <w:t>相关专业中级或以上技术职称。</w:t>
            </w:r>
          </w:p>
          <w:p w14:paraId="566C4A62">
            <w:pPr>
              <w:wordWrap w:val="0"/>
              <w:adjustRightInd w:val="0"/>
              <w:snapToGrid w:val="0"/>
              <w:spacing w:line="360" w:lineRule="exact"/>
              <w:ind w:firstLine="210" w:firstLineChars="100"/>
              <w:rPr>
                <w:rFonts w:hint="eastAsia" w:ascii="宋体" w:hAnsi="宋体" w:eastAsia="宋体" w:cs="宋体"/>
                <w:snapToGrid w:val="0"/>
                <w:color w:val="auto"/>
                <w:kern w:val="0"/>
                <w:sz w:val="21"/>
                <w:highlight w:val="none"/>
              </w:rPr>
            </w:pPr>
            <w:r>
              <w:rPr>
                <w:rFonts w:hint="eastAsia" w:ascii="宋体" w:hAnsi="宋体" w:eastAsia="宋体" w:cs="宋体"/>
                <w:snapToGrid w:val="0"/>
                <w:color w:val="auto"/>
                <w:kern w:val="0"/>
                <w:sz w:val="21"/>
                <w:highlight w:val="none"/>
              </w:rPr>
              <w:t xml:space="preserve">3.3 </w:t>
            </w:r>
            <w:r>
              <w:rPr>
                <w:rFonts w:hint="eastAsia" w:ascii="宋体" w:hAnsi="宋体" w:eastAsia="宋体" w:cs="宋体"/>
                <w:color w:val="auto"/>
                <w:sz w:val="21"/>
                <w:szCs w:val="21"/>
                <w:highlight w:val="none"/>
              </w:rPr>
              <w:t>拟派专职安全生产管理人员须具备有效安全生产考核合格证明（C证，安全生产考核合格证书或“广东省建筑施工企业管理人员安全生产考核信息系统”考核合格信息打印页），且不少于</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人。</w:t>
            </w:r>
          </w:p>
          <w:p w14:paraId="3AA76F72">
            <w:pPr>
              <w:wordWrap w:val="0"/>
              <w:adjustRightInd w:val="0"/>
              <w:snapToGrid w:val="0"/>
              <w:spacing w:line="400" w:lineRule="exact"/>
              <w:ind w:firstLine="210" w:firstLineChars="100"/>
              <w:rPr>
                <w:rFonts w:hint="eastAsia" w:ascii="宋体" w:hAnsi="宋体" w:eastAsia="宋体" w:cs="宋体"/>
                <w:snapToGrid w:val="0"/>
                <w:color w:val="auto"/>
                <w:kern w:val="0"/>
                <w:sz w:val="21"/>
                <w:highlight w:val="none"/>
              </w:rPr>
            </w:pPr>
            <w:r>
              <w:rPr>
                <w:rFonts w:hint="eastAsia" w:ascii="宋体" w:hAnsi="宋体" w:eastAsia="宋体" w:cs="宋体"/>
                <w:snapToGrid w:val="0"/>
                <w:color w:val="auto"/>
                <w:kern w:val="0"/>
                <w:sz w:val="21"/>
                <w:highlight w:val="none"/>
              </w:rPr>
              <w:t xml:space="preserve">3.4 </w:t>
            </w:r>
            <w:r>
              <w:rPr>
                <w:rFonts w:hint="eastAsia" w:ascii="宋体" w:hAnsi="宋体" w:eastAsia="宋体" w:cs="宋体"/>
                <w:color w:val="auto"/>
                <w:sz w:val="21"/>
                <w:szCs w:val="21"/>
                <w:highlight w:val="none"/>
              </w:rPr>
              <w:t>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68CF7C1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 ．禁止投标条款：</w:t>
            </w:r>
          </w:p>
          <w:p w14:paraId="756E14C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4.1  投标人不得存在下列情形之一：</w:t>
            </w:r>
          </w:p>
          <w:p w14:paraId="68C2B4A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（1）为招标人不具有独立法人资格的附属机构（单位）；</w:t>
            </w:r>
          </w:p>
          <w:p w14:paraId="44593C8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（2）为本招标项目前期准备提供设计或咨询服务的；</w:t>
            </w:r>
          </w:p>
          <w:p w14:paraId="59CFF19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（3）与本招标项目的其他投标人为同一个单位负责人；</w:t>
            </w:r>
          </w:p>
          <w:p w14:paraId="2AE6D68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（4）与本招标项目的其他投标人存在控股、管理关系；</w:t>
            </w:r>
          </w:p>
          <w:p w14:paraId="38CFB62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（5）为本招标项目的监理人；</w:t>
            </w:r>
          </w:p>
          <w:p w14:paraId="1419324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（6）为本招标项目的代建人；</w:t>
            </w:r>
          </w:p>
          <w:p w14:paraId="170099A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（7）为本招标项目的招标代理机构；</w:t>
            </w:r>
          </w:p>
          <w:p w14:paraId="062B5CB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（8）与本招标项目的监理人或代建人或招标代理机构同为一个 法定代表人；</w:t>
            </w:r>
          </w:p>
          <w:p w14:paraId="76338A8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（9）与本招标项目的监理人或代建人或招标代理机构存在控股或参股关系；</w:t>
            </w:r>
          </w:p>
          <w:p w14:paraId="2A915A3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（10）与本招标项目的监理人或代建人或招标代理机构存在相互任职或工作关系；</w:t>
            </w:r>
          </w:p>
          <w:p w14:paraId="2D49455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（11）被依法暂停或者取消投标资格；</w:t>
            </w:r>
          </w:p>
          <w:p w14:paraId="335907D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（12）被责令停产停业、暂扣或者吊销许可证、暂扣或者吊销执照；</w:t>
            </w:r>
          </w:p>
          <w:p w14:paraId="146AB41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（13）进入清算程序，或被宣告破产，或其他丧失履约能力的情形；</w:t>
            </w:r>
          </w:p>
          <w:p w14:paraId="730679D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（14）在最近三年内发生重大工程质量或安全问题（以相关行业主管部门的行政处罚决定或司法机关出具的有关法律文书为准）；</w:t>
            </w:r>
          </w:p>
          <w:p w14:paraId="4202D8C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（15）被“信用中国 ”网站（https://www.creditchina.gov.cn）发布的《法人和非法人组织公共信用信息报告》列为严重失信主体名单的。</w:t>
            </w:r>
          </w:p>
          <w:p w14:paraId="587EA45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4.2  招标人拒绝以下名单中的单位参加本次投标：</w:t>
            </w:r>
          </w:p>
          <w:tbl>
            <w:tblPr>
              <w:tblStyle w:val="15"/>
              <w:tblW w:w="7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3510"/>
              <w:gridCol w:w="3371"/>
            </w:tblGrid>
            <w:tr w14:paraId="526D2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7" w:type="dxa"/>
                  <w:vAlign w:val="center"/>
                </w:tcPr>
                <w:p w14:paraId="60DBAAFB">
                  <w:pPr>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序号</w:t>
                  </w:r>
                </w:p>
              </w:tc>
              <w:tc>
                <w:tcPr>
                  <w:tcW w:w="3510" w:type="dxa"/>
                  <w:vAlign w:val="center"/>
                </w:tcPr>
                <w:p w14:paraId="7B05472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单位名称</w:t>
                  </w:r>
                </w:p>
              </w:tc>
              <w:tc>
                <w:tcPr>
                  <w:tcW w:w="3371" w:type="dxa"/>
                  <w:vAlign w:val="center"/>
                </w:tcPr>
                <w:p w14:paraId="4FE91A1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拒绝原因</w:t>
                  </w:r>
                </w:p>
              </w:tc>
            </w:tr>
            <w:tr w14:paraId="1DBB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77" w:type="dxa"/>
                  <w:vAlign w:val="center"/>
                </w:tcPr>
                <w:p w14:paraId="5735F3E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1</w:t>
                  </w:r>
                </w:p>
              </w:tc>
              <w:tc>
                <w:tcPr>
                  <w:tcW w:w="3510" w:type="dxa"/>
                  <w:vAlign w:val="center"/>
                </w:tcPr>
                <w:p w14:paraId="25D93D7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韶关市曲江区博物馆</w:t>
                  </w:r>
                </w:p>
              </w:tc>
              <w:tc>
                <w:tcPr>
                  <w:tcW w:w="3371" w:type="dxa"/>
                  <w:vAlign w:val="center"/>
                </w:tcPr>
                <w:p w14:paraId="42F41EC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为本招标项目的招标人</w:t>
                  </w:r>
                </w:p>
              </w:tc>
            </w:tr>
            <w:tr w14:paraId="625F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77" w:type="dxa"/>
                  <w:vAlign w:val="center"/>
                </w:tcPr>
                <w:p w14:paraId="27F653D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2</w:t>
                  </w:r>
                </w:p>
              </w:tc>
              <w:tc>
                <w:tcPr>
                  <w:tcW w:w="3510" w:type="dxa"/>
                  <w:vAlign w:val="center"/>
                </w:tcPr>
                <w:p w14:paraId="74BC464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广东粤圣项目管理有限公司</w:t>
                  </w:r>
                </w:p>
              </w:tc>
              <w:tc>
                <w:tcPr>
                  <w:tcW w:w="3371" w:type="dxa"/>
                  <w:vAlign w:val="center"/>
                </w:tcPr>
                <w:p w14:paraId="15ADD93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为本招标项目的招标代理机构</w:t>
                  </w:r>
                </w:p>
              </w:tc>
            </w:tr>
          </w:tbl>
          <w:p w14:paraId="7E7C597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5 ．其他要求</w:t>
            </w:r>
          </w:p>
          <w:p w14:paraId="15FDD12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省外企业及其拟派往本项目管理机构的所有人员均须按照《广东省住房和城乡建设厅关于取消省外建筑企业和人员进粤信息备案有关工作的通知》（粤建市﹝2015﹞52 号）规定在“进粤企业和人员诚信信息登记平台 ”录入相关信息并通过数据规范检查。</w:t>
            </w:r>
          </w:p>
        </w:tc>
      </w:tr>
      <w:tr w14:paraId="67DD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582" w:type="dxa"/>
            <w:vAlign w:val="center"/>
          </w:tcPr>
          <w:p w14:paraId="703F9879">
            <w:pPr>
              <w:keepNext w:val="0"/>
              <w:keepLines w:val="0"/>
              <w:pageBreakBefore w:val="0"/>
              <w:wordWrap w:val="0"/>
              <w:overflowPunct/>
              <w:topLinePunct w:val="0"/>
              <w:bidi w:val="0"/>
              <w:spacing w:before="19"/>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27</w:t>
            </w:r>
          </w:p>
        </w:tc>
        <w:tc>
          <w:tcPr>
            <w:tcW w:w="1942" w:type="dxa"/>
            <w:vAlign w:val="center"/>
          </w:tcPr>
          <w:p w14:paraId="4CB5E43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投标有效期</w:t>
            </w:r>
          </w:p>
        </w:tc>
        <w:tc>
          <w:tcPr>
            <w:tcW w:w="7574" w:type="dxa"/>
            <w:vAlign w:val="center"/>
          </w:tcPr>
          <w:p w14:paraId="3D83EF0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本次招标的投标有效期为</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90</w:t>
            </w:r>
            <w:r>
              <w:rPr>
                <w:rFonts w:hint="eastAsia" w:asciiTheme="minorEastAsia" w:hAnsiTheme="minorEastAsia" w:eastAsiaTheme="minorEastAsia" w:cstheme="minorEastAsia"/>
                <w:snapToGrid w:val="0"/>
                <w:color w:val="auto"/>
                <w:spacing w:val="0"/>
                <w:kern w:val="0"/>
                <w:sz w:val="21"/>
                <w:szCs w:val="21"/>
                <w:highlight w:val="none"/>
                <w:lang w:eastAsia="zh-CN"/>
              </w:rPr>
              <w:t xml:space="preserve"> 个日历天。</w:t>
            </w:r>
          </w:p>
        </w:tc>
      </w:tr>
      <w:tr w14:paraId="6150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582" w:type="dxa"/>
            <w:vAlign w:val="center"/>
          </w:tcPr>
          <w:p w14:paraId="75B295D4">
            <w:pPr>
              <w:keepNext w:val="0"/>
              <w:keepLines w:val="0"/>
              <w:pageBreakBefore w:val="0"/>
              <w:wordWrap w:val="0"/>
              <w:overflowPunct/>
              <w:topLinePunct w:val="0"/>
              <w:bidi w:val="0"/>
              <w:spacing w:before="69" w:line="188" w:lineRule="auto"/>
              <w:ind w:left="205"/>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28</w:t>
            </w:r>
          </w:p>
        </w:tc>
        <w:tc>
          <w:tcPr>
            <w:tcW w:w="1942" w:type="dxa"/>
            <w:vAlign w:val="center"/>
          </w:tcPr>
          <w:p w14:paraId="4BFBD8C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投标文件组成</w:t>
            </w:r>
          </w:p>
        </w:tc>
        <w:tc>
          <w:tcPr>
            <w:tcW w:w="7574" w:type="dxa"/>
            <w:vAlign w:val="center"/>
          </w:tcPr>
          <w:p w14:paraId="142ADE0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投标文件包括商务标书、经济标书、施工组织设计、</w:t>
            </w:r>
            <w:r>
              <w:rPr>
                <w:rFonts w:hint="eastAsia" w:asciiTheme="minorEastAsia" w:hAnsiTheme="minorEastAsia" w:eastAsiaTheme="minorEastAsia" w:cstheme="minorEastAsia"/>
                <w:snapToGrid w:val="0"/>
                <w:color w:val="auto"/>
                <w:spacing w:val="0"/>
                <w:kern w:val="0"/>
                <w:sz w:val="21"/>
                <w:szCs w:val="21"/>
                <w:highlight w:val="none"/>
                <w:lang w:val="en-US" w:eastAsia="zh-CN"/>
              </w:rPr>
              <w:t>定标文件四</w:t>
            </w:r>
            <w:r>
              <w:rPr>
                <w:rFonts w:hint="eastAsia" w:asciiTheme="minorEastAsia" w:hAnsiTheme="minorEastAsia" w:eastAsiaTheme="minorEastAsia" w:cstheme="minorEastAsia"/>
                <w:snapToGrid w:val="0"/>
                <w:color w:val="auto"/>
                <w:spacing w:val="0"/>
                <w:kern w:val="0"/>
                <w:sz w:val="21"/>
                <w:szCs w:val="21"/>
                <w:highlight w:val="none"/>
                <w:lang w:eastAsia="zh-CN"/>
              </w:rPr>
              <w:t>个分册。</w:t>
            </w:r>
          </w:p>
        </w:tc>
      </w:tr>
      <w:tr w14:paraId="5A82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30846F92">
            <w:pPr>
              <w:keepNext w:val="0"/>
              <w:keepLines w:val="0"/>
              <w:pageBreakBefore w:val="0"/>
              <w:wordWrap w:val="0"/>
              <w:overflowPunct/>
              <w:topLinePunct w:val="0"/>
              <w:bidi w:val="0"/>
              <w:spacing w:before="69" w:line="188" w:lineRule="auto"/>
              <w:ind w:left="205"/>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29</w:t>
            </w:r>
          </w:p>
        </w:tc>
        <w:tc>
          <w:tcPr>
            <w:tcW w:w="1942" w:type="dxa"/>
            <w:vAlign w:val="center"/>
          </w:tcPr>
          <w:p w14:paraId="0FC3CC3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施工组织设计评审方式</w:t>
            </w:r>
          </w:p>
        </w:tc>
        <w:tc>
          <w:tcPr>
            <w:tcW w:w="7574" w:type="dxa"/>
            <w:vAlign w:val="center"/>
          </w:tcPr>
          <w:p w14:paraId="4C6491C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本次招标施工组织设计</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不采用 </w:t>
            </w:r>
            <w:r>
              <w:rPr>
                <w:rFonts w:hint="eastAsia" w:asciiTheme="minorEastAsia" w:hAnsiTheme="minorEastAsia" w:eastAsiaTheme="minorEastAsia" w:cstheme="minorEastAsia"/>
                <w:snapToGrid w:val="0"/>
                <w:color w:val="auto"/>
                <w:spacing w:val="0"/>
                <w:kern w:val="0"/>
                <w:sz w:val="21"/>
                <w:szCs w:val="21"/>
                <w:highlight w:val="none"/>
                <w:lang w:eastAsia="zh-CN"/>
              </w:rPr>
              <w:t>“暗标 ”方式进行评审。</w:t>
            </w:r>
          </w:p>
        </w:tc>
      </w:tr>
      <w:tr w14:paraId="253B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582" w:type="dxa"/>
            <w:vAlign w:val="center"/>
          </w:tcPr>
          <w:p w14:paraId="78D49806">
            <w:pPr>
              <w:keepNext w:val="0"/>
              <w:keepLines w:val="0"/>
              <w:pageBreakBefore w:val="0"/>
              <w:wordWrap w:val="0"/>
              <w:overflowPunct/>
              <w:topLinePunct w:val="0"/>
              <w:bidi w:val="0"/>
              <w:spacing w:before="69" w:line="188" w:lineRule="auto"/>
              <w:ind w:left="209"/>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30</w:t>
            </w:r>
          </w:p>
        </w:tc>
        <w:tc>
          <w:tcPr>
            <w:tcW w:w="1942" w:type="dxa"/>
            <w:vAlign w:val="center"/>
          </w:tcPr>
          <w:p w14:paraId="65ACF68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评标委员会</w:t>
            </w:r>
            <w:r>
              <w:rPr>
                <w:rFonts w:hint="eastAsia" w:asciiTheme="minorEastAsia" w:hAnsiTheme="minorEastAsia" w:eastAsiaTheme="minorEastAsia" w:cstheme="minorEastAsia"/>
                <w:snapToGrid w:val="0"/>
                <w:color w:val="auto"/>
                <w:spacing w:val="0"/>
                <w:kern w:val="0"/>
                <w:sz w:val="21"/>
                <w:szCs w:val="21"/>
                <w:highlight w:val="none"/>
                <w:lang w:val="en-US" w:eastAsia="zh-CN"/>
              </w:rPr>
              <w:t>及定标委员会</w:t>
            </w:r>
          </w:p>
        </w:tc>
        <w:tc>
          <w:tcPr>
            <w:tcW w:w="7574" w:type="dxa"/>
            <w:vAlign w:val="top"/>
          </w:tcPr>
          <w:p w14:paraId="61B142C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评标委员会由 5 人组成，其中招标人代表 0 人，专家 5 人。专家从广东省综合评标评审专家库</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（韶关区域）</w:t>
            </w:r>
            <w:r>
              <w:rPr>
                <w:rFonts w:hint="eastAsia" w:asciiTheme="minorEastAsia" w:hAnsiTheme="minorEastAsia" w:eastAsiaTheme="minorEastAsia" w:cstheme="minorEastAsia"/>
                <w:snapToGrid w:val="0"/>
                <w:color w:val="auto"/>
                <w:spacing w:val="0"/>
                <w:kern w:val="0"/>
                <w:sz w:val="21"/>
                <w:szCs w:val="21"/>
                <w:highlight w:val="none"/>
                <w:lang w:eastAsia="zh-CN"/>
              </w:rPr>
              <w:t>中随机抽取，其中技术类专家 3 人，经济类专家 2 人。</w:t>
            </w:r>
            <w:r>
              <w:rPr>
                <w:rFonts w:hint="eastAsia" w:asciiTheme="minorEastAsia" w:hAnsiTheme="minorEastAsia" w:eastAsiaTheme="minorEastAsia" w:cstheme="minorEastAsia"/>
                <w:snapToGrid w:val="0"/>
                <w:color w:val="auto"/>
                <w:spacing w:val="0"/>
                <w:kern w:val="0"/>
                <w:sz w:val="21"/>
                <w:szCs w:val="21"/>
                <w:highlight w:val="none"/>
                <w:lang w:eastAsia="zh-CN"/>
              </w:rPr>
              <w:br w:type="textWrapping"/>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本</w:t>
            </w:r>
            <w:r>
              <w:rPr>
                <w:rFonts w:hint="eastAsia" w:asciiTheme="minorEastAsia" w:hAnsiTheme="minorEastAsia" w:eastAsiaTheme="minorEastAsia" w:cstheme="minorEastAsia"/>
                <w:snapToGrid w:val="0"/>
                <w:color w:val="auto"/>
                <w:spacing w:val="0"/>
                <w:kern w:val="0"/>
                <w:sz w:val="21"/>
                <w:szCs w:val="21"/>
                <w:highlight w:val="none"/>
                <w:lang w:eastAsia="zh-CN"/>
              </w:rPr>
              <w:t xml:space="preserve">项目定标委员会组成人员为 </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7 </w:t>
            </w:r>
            <w:r>
              <w:rPr>
                <w:rFonts w:hint="eastAsia" w:asciiTheme="minorEastAsia" w:hAnsiTheme="minorEastAsia" w:eastAsiaTheme="minorEastAsia" w:cstheme="minorEastAsia"/>
                <w:snapToGrid w:val="0"/>
                <w:color w:val="auto"/>
                <w:spacing w:val="0"/>
                <w:kern w:val="0"/>
                <w:sz w:val="21"/>
                <w:szCs w:val="21"/>
                <w:highlight w:val="none"/>
                <w:lang w:eastAsia="zh-CN"/>
              </w:rPr>
              <w:t>人</w:t>
            </w:r>
          </w:p>
        </w:tc>
      </w:tr>
      <w:tr w14:paraId="4DBB4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582" w:type="dxa"/>
            <w:vAlign w:val="center"/>
          </w:tcPr>
          <w:p w14:paraId="52927E18">
            <w:pPr>
              <w:keepNext w:val="0"/>
              <w:keepLines w:val="0"/>
              <w:pageBreakBefore w:val="0"/>
              <w:wordWrap w:val="0"/>
              <w:overflowPunct/>
              <w:topLinePunct w:val="0"/>
              <w:bidi w:val="0"/>
              <w:spacing w:before="258" w:line="188" w:lineRule="auto"/>
              <w:ind w:left="209"/>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31</w:t>
            </w:r>
          </w:p>
        </w:tc>
        <w:tc>
          <w:tcPr>
            <w:tcW w:w="1942" w:type="dxa"/>
            <w:vAlign w:val="center"/>
          </w:tcPr>
          <w:p w14:paraId="3720AA4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评标方法</w:t>
            </w:r>
            <w:r>
              <w:rPr>
                <w:rFonts w:hint="eastAsia" w:asciiTheme="minorEastAsia" w:hAnsiTheme="minorEastAsia" w:eastAsiaTheme="minorEastAsia" w:cstheme="minorEastAsia"/>
                <w:snapToGrid w:val="0"/>
                <w:color w:val="auto"/>
                <w:spacing w:val="0"/>
                <w:kern w:val="0"/>
                <w:sz w:val="21"/>
                <w:szCs w:val="21"/>
                <w:highlight w:val="none"/>
                <w:lang w:val="en-US" w:eastAsia="zh-CN"/>
              </w:rPr>
              <w:t>及定标方法</w:t>
            </w:r>
          </w:p>
        </w:tc>
        <w:tc>
          <w:tcPr>
            <w:tcW w:w="7574" w:type="dxa"/>
            <w:vAlign w:val="center"/>
          </w:tcPr>
          <w:p w14:paraId="3B1753D9">
            <w:pPr>
              <w:keepNext w:val="0"/>
              <w:keepLines w:val="0"/>
              <w:pageBreakBefore w:val="0"/>
              <w:widowControl w:val="0"/>
              <w:kinsoku/>
              <w:wordWrap w:val="0"/>
              <w:overflowPunct/>
              <w:topLinePunct w:val="0"/>
              <w:autoSpaceDE/>
              <w:autoSpaceDN/>
              <w:bidi w:val="0"/>
              <w:adjustRightInd w:val="0"/>
              <w:snapToGrid w:val="0"/>
              <w:spacing w:line="400" w:lineRule="exact"/>
              <w:ind w:left="226" w:leftChars="100" w:hanging="16" w:hangingChars="8"/>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评标方法：</w:t>
            </w:r>
            <w:r>
              <w:rPr>
                <w:rFonts w:hint="eastAsia" w:asciiTheme="minorEastAsia" w:hAnsiTheme="minorEastAsia" w:eastAsiaTheme="minorEastAsia" w:cstheme="minorEastAsia"/>
                <w:snapToGrid w:val="0"/>
                <w:color w:val="auto"/>
                <w:spacing w:val="0"/>
                <w:kern w:val="0"/>
                <w:sz w:val="21"/>
                <w:szCs w:val="21"/>
                <w:highlight w:val="none"/>
                <w:lang w:eastAsia="zh-CN"/>
              </w:rPr>
              <w:t>□ A＋B 值评标法  □经评审的最低投标价法   ☑综合评估法</w:t>
            </w:r>
            <w:r>
              <w:rPr>
                <w:rFonts w:hint="eastAsia" w:asciiTheme="minorEastAsia" w:hAnsiTheme="minorEastAsia" w:eastAsiaTheme="minorEastAsia" w:cstheme="minorEastAsia"/>
                <w:snapToGrid w:val="0"/>
                <w:color w:val="auto"/>
                <w:spacing w:val="0"/>
                <w:kern w:val="0"/>
                <w:sz w:val="21"/>
                <w:szCs w:val="21"/>
                <w:highlight w:val="none"/>
                <w:lang w:eastAsia="zh-CN"/>
              </w:rPr>
              <w:br w:type="textWrapping"/>
            </w:r>
            <w:r>
              <w:rPr>
                <w:rFonts w:hint="eastAsia" w:asciiTheme="minorEastAsia" w:hAnsiTheme="minorEastAsia" w:eastAsiaTheme="minorEastAsia" w:cstheme="minorEastAsia"/>
                <w:snapToGrid w:val="0"/>
                <w:color w:val="auto"/>
                <w:spacing w:val="0"/>
                <w:kern w:val="0"/>
                <w:sz w:val="21"/>
                <w:szCs w:val="21"/>
                <w:highlight w:val="none"/>
                <w:lang w:val="en-US" w:eastAsia="zh-CN"/>
              </w:rPr>
              <w:t>定标方法：</w:t>
            </w:r>
            <w:r>
              <w:rPr>
                <w:rFonts w:hint="eastAsia" w:asciiTheme="minorEastAsia" w:hAnsiTheme="minorEastAsia" w:eastAsiaTheme="minorEastAsia" w:cstheme="minorEastAsia"/>
                <w:snapToGrid w:val="0"/>
                <w:color w:val="auto"/>
                <w:spacing w:val="0"/>
                <w:kern w:val="0"/>
                <w:sz w:val="21"/>
                <w:szCs w:val="21"/>
                <w:highlight w:val="none"/>
                <w:lang w:eastAsia="zh-CN"/>
              </w:rPr>
              <w:t>☑票决定标法</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□集体议事法</w:t>
            </w:r>
          </w:p>
        </w:tc>
      </w:tr>
      <w:tr w14:paraId="4E70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35" w:hRule="atLeast"/>
        </w:trPr>
        <w:tc>
          <w:tcPr>
            <w:tcW w:w="582" w:type="dxa"/>
            <w:vAlign w:val="center"/>
          </w:tcPr>
          <w:p w14:paraId="56B959FD">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32</w:t>
            </w:r>
          </w:p>
        </w:tc>
        <w:tc>
          <w:tcPr>
            <w:tcW w:w="1942" w:type="dxa"/>
            <w:vAlign w:val="center"/>
          </w:tcPr>
          <w:p w14:paraId="5FAEFFC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招标文件要求提交的用于评审的证书、证件、证明原件</w:t>
            </w:r>
          </w:p>
        </w:tc>
        <w:tc>
          <w:tcPr>
            <w:tcW w:w="7574" w:type="dxa"/>
            <w:vAlign w:val="top"/>
          </w:tcPr>
          <w:p w14:paraId="71660FC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2D98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582" w:type="dxa"/>
            <w:vAlign w:val="center"/>
          </w:tcPr>
          <w:p w14:paraId="0C69718A">
            <w:pPr>
              <w:keepNext w:val="0"/>
              <w:keepLines w:val="0"/>
              <w:pageBreakBefore w:val="0"/>
              <w:wordWrap w:val="0"/>
              <w:overflowPunct/>
              <w:topLinePunct w:val="0"/>
              <w:bidi w:val="0"/>
              <w:spacing w:before="69" w:line="188" w:lineRule="auto"/>
              <w:ind w:left="209"/>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33</w:t>
            </w:r>
          </w:p>
        </w:tc>
        <w:tc>
          <w:tcPr>
            <w:tcW w:w="1942" w:type="dxa"/>
            <w:vAlign w:val="center"/>
          </w:tcPr>
          <w:p w14:paraId="20A44A5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招标代理费</w:t>
            </w:r>
          </w:p>
        </w:tc>
        <w:tc>
          <w:tcPr>
            <w:tcW w:w="7574" w:type="dxa"/>
            <w:vAlign w:val="center"/>
          </w:tcPr>
          <w:p w14:paraId="0F863CA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color w:val="auto"/>
                <w:highlight w:val="none"/>
                <w:u w:val="none"/>
              </w:rPr>
              <w:t>本项目的招标代理费和评标专家酬劳由中标人支付，该费用不再另行报价，由投标人在投标报价时综合考虑在内。（招标代理服务费参照《招标代理服务收费管理暂行办法》（计价格[2002]1980号），以中标价为计费基数。评标专家酬劳包括食宿费用、交通费、专家评审劳务费等）</w:t>
            </w:r>
          </w:p>
        </w:tc>
      </w:tr>
      <w:tr w14:paraId="7AAB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9" w:hRule="atLeast"/>
        </w:trPr>
        <w:tc>
          <w:tcPr>
            <w:tcW w:w="582" w:type="dxa"/>
            <w:vAlign w:val="center"/>
          </w:tcPr>
          <w:p w14:paraId="75B13CC6">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34</w:t>
            </w:r>
          </w:p>
        </w:tc>
        <w:tc>
          <w:tcPr>
            <w:tcW w:w="1942" w:type="dxa"/>
            <w:vAlign w:val="center"/>
          </w:tcPr>
          <w:p w14:paraId="198B1BD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招标人</w:t>
            </w:r>
          </w:p>
          <w:p w14:paraId="2C622AED">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联系方式</w:t>
            </w:r>
          </w:p>
        </w:tc>
        <w:tc>
          <w:tcPr>
            <w:tcW w:w="7574" w:type="dxa"/>
            <w:vAlign w:val="center"/>
          </w:tcPr>
          <w:p w14:paraId="6356A8B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rPr>
              <w:t>单位名称：</w:t>
            </w:r>
            <w:r>
              <w:rPr>
                <w:rFonts w:hint="eastAsia" w:ascii="宋体" w:hAnsi="宋体" w:eastAsia="宋体" w:cs="宋体"/>
                <w:snapToGrid w:val="0"/>
                <w:color w:val="auto"/>
                <w:spacing w:val="0"/>
                <w:kern w:val="0"/>
                <w:sz w:val="21"/>
                <w:highlight w:val="none"/>
                <w:lang w:val="en-US" w:eastAsia="zh-CN"/>
              </w:rPr>
              <w:t>韶关市曲江区博物馆</w:t>
            </w:r>
          </w:p>
          <w:p w14:paraId="3707E73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rPr>
            </w:pPr>
            <w:r>
              <w:rPr>
                <w:rFonts w:hint="eastAsia" w:ascii="宋体" w:hAnsi="宋体" w:eastAsia="宋体" w:cs="宋体"/>
                <w:snapToGrid w:val="0"/>
                <w:color w:val="auto"/>
                <w:spacing w:val="0"/>
                <w:kern w:val="0"/>
                <w:sz w:val="21"/>
                <w:highlight w:val="none"/>
              </w:rPr>
              <w:t>办公地址：韶关市曲江区马坝镇狮岩路68号</w:t>
            </w:r>
          </w:p>
          <w:p w14:paraId="638E6D2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rPr>
              <w:t>联系人（部门）： 余</w:t>
            </w:r>
            <w:r>
              <w:rPr>
                <w:rFonts w:hint="eastAsia" w:ascii="宋体" w:hAnsi="宋体" w:eastAsia="宋体" w:cs="宋体"/>
                <w:snapToGrid w:val="0"/>
                <w:color w:val="auto"/>
                <w:spacing w:val="0"/>
                <w:kern w:val="0"/>
                <w:sz w:val="21"/>
                <w:highlight w:val="none"/>
                <w:lang w:val="en-US" w:eastAsia="zh-CN"/>
              </w:rPr>
              <w:t>工</w:t>
            </w:r>
          </w:p>
          <w:p w14:paraId="7AE74A5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eastAsia="宋体" w:asciiTheme="minorEastAsia" w:hAnsiTheme="minorEastAsia" w:cstheme="minorEastAsia"/>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highlight w:val="none"/>
              </w:rPr>
              <w:t>联系电话： 0751-6666561</w:t>
            </w:r>
          </w:p>
        </w:tc>
      </w:tr>
      <w:tr w14:paraId="1335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1022974A">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35</w:t>
            </w:r>
          </w:p>
        </w:tc>
        <w:tc>
          <w:tcPr>
            <w:tcW w:w="1942" w:type="dxa"/>
            <w:vAlign w:val="center"/>
          </w:tcPr>
          <w:p w14:paraId="7F3AD70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招标代理机构</w:t>
            </w:r>
          </w:p>
          <w:p w14:paraId="0B65885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联系方式</w:t>
            </w:r>
          </w:p>
        </w:tc>
        <w:tc>
          <w:tcPr>
            <w:tcW w:w="7574" w:type="dxa"/>
            <w:vAlign w:val="center"/>
          </w:tcPr>
          <w:p w14:paraId="43A440F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单位名称：</w:t>
            </w:r>
            <w:r>
              <w:rPr>
                <w:rFonts w:hint="eastAsia" w:asciiTheme="minorEastAsia" w:hAnsiTheme="minorEastAsia" w:eastAsiaTheme="minorEastAsia" w:cstheme="minorEastAsia"/>
                <w:snapToGrid w:val="0"/>
                <w:color w:val="auto"/>
                <w:spacing w:val="0"/>
                <w:kern w:val="0"/>
                <w:sz w:val="21"/>
                <w:szCs w:val="21"/>
                <w:highlight w:val="none"/>
                <w:lang w:val="en-US" w:eastAsia="zh-CN"/>
              </w:rPr>
              <w:t>广东粤圣项目管理有限公司</w:t>
            </w:r>
          </w:p>
          <w:p w14:paraId="534F766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办公地址：</w:t>
            </w:r>
            <w:r>
              <w:rPr>
                <w:rFonts w:ascii="Arial" w:hAnsi="Arial" w:eastAsia="宋体" w:cs="Arial"/>
                <w:i w:val="0"/>
                <w:iCs w:val="0"/>
                <w:caps w:val="0"/>
                <w:color w:val="auto"/>
                <w:spacing w:val="0"/>
                <w:sz w:val="19"/>
                <w:szCs w:val="19"/>
                <w:highlight w:val="none"/>
                <w:shd w:val="clear" w:fill="FFFFFF"/>
              </w:rPr>
              <w:t> </w:t>
            </w:r>
            <w:r>
              <w:rPr>
                <w:rFonts w:hint="default" w:asciiTheme="minorEastAsia" w:hAnsiTheme="minorEastAsia" w:eastAsiaTheme="minorEastAsia" w:cstheme="minorEastAsia"/>
                <w:snapToGrid w:val="0"/>
                <w:color w:val="auto"/>
                <w:spacing w:val="0"/>
                <w:kern w:val="0"/>
                <w:sz w:val="21"/>
                <w:szCs w:val="21"/>
                <w:highlight w:val="none"/>
                <w:lang w:val="en-US" w:eastAsia="zh-CN"/>
              </w:rPr>
              <w:t>韶关市曲江区马坝镇铁东二路</w:t>
            </w:r>
          </w:p>
          <w:p w14:paraId="77C2B22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联 系 人：朱工</w:t>
            </w:r>
          </w:p>
          <w:p w14:paraId="1E3530F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宋体" w:hAnsi="宋体" w:eastAsia="宋体" w:cs="宋体"/>
                <w:snapToGrid w:val="0"/>
                <w:color w:val="auto"/>
                <w:spacing w:val="0"/>
                <w:kern w:val="0"/>
                <w:sz w:val="21"/>
                <w:highlight w:val="none"/>
                <w:lang w:val="en-US" w:eastAsia="zh-CN"/>
              </w:rPr>
              <w:t>电    话：</w:t>
            </w:r>
            <w:r>
              <w:rPr>
                <w:rFonts w:hint="eastAsia" w:ascii="宋体" w:hAnsi="宋体" w:eastAsia="宋体" w:cs="宋体"/>
                <w:snapToGrid w:val="0"/>
                <w:color w:val="auto"/>
                <w:spacing w:val="0"/>
                <w:kern w:val="0"/>
                <w:sz w:val="21"/>
                <w:highlight w:val="none"/>
                <w:lang w:eastAsia="zh-CN"/>
              </w:rPr>
              <w:t>13435022869</w:t>
            </w:r>
          </w:p>
        </w:tc>
      </w:tr>
      <w:tr w14:paraId="4E2F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7AEA0C33">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36</w:t>
            </w:r>
          </w:p>
        </w:tc>
        <w:tc>
          <w:tcPr>
            <w:tcW w:w="1942" w:type="dxa"/>
            <w:vAlign w:val="center"/>
          </w:tcPr>
          <w:p w14:paraId="7DFD452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交易场所联系方式</w:t>
            </w:r>
          </w:p>
        </w:tc>
        <w:tc>
          <w:tcPr>
            <w:tcW w:w="7574" w:type="dxa"/>
            <w:vAlign w:val="center"/>
          </w:tcPr>
          <w:p w14:paraId="0212074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单位名称：韶关市公共资源交易中心曲江分中心</w:t>
            </w:r>
          </w:p>
          <w:p w14:paraId="30AD78F1">
            <w:pPr>
              <w:keepNext w:val="0"/>
              <w:keepLines w:val="0"/>
              <w:pageBreakBefore w:val="0"/>
              <w:widowControl w:val="0"/>
              <w:kinsoku/>
              <w:wordWrap w:val="0"/>
              <w:overflowPunct/>
              <w:topLinePunct w:val="0"/>
              <w:autoSpaceDE/>
              <w:autoSpaceDN/>
              <w:bidi w:val="0"/>
              <w:adjustRightInd w:val="0"/>
              <w:snapToGrid w:val="0"/>
              <w:spacing w:line="400" w:lineRule="exact"/>
              <w:ind w:left="1270" w:leftChars="100" w:hanging="1060" w:hangingChars="505"/>
              <w:jc w:val="both"/>
              <w:textAlignment w:val="auto"/>
              <w:rPr>
                <w:rFonts w:hint="default" w:ascii="宋体" w:hAnsi="宋体" w:eastAsia="宋体" w:cs="宋体"/>
                <w:snapToGrid w:val="0"/>
                <w:color w:val="auto"/>
                <w:spacing w:val="0"/>
                <w:kern w:val="0"/>
                <w:sz w:val="21"/>
                <w:highlight w:val="none"/>
                <w:u w:val="single"/>
                <w:lang w:val="en-US" w:eastAsia="zh-CN"/>
              </w:rPr>
            </w:pPr>
            <w:r>
              <w:rPr>
                <w:rFonts w:hint="eastAsia" w:ascii="宋体" w:hAnsi="宋体" w:eastAsia="宋体" w:cs="宋体"/>
                <w:snapToGrid w:val="0"/>
                <w:color w:val="auto"/>
                <w:spacing w:val="0"/>
                <w:kern w:val="0"/>
                <w:sz w:val="21"/>
                <w:highlight w:val="none"/>
                <w:lang w:val="en-US" w:eastAsia="zh-CN"/>
              </w:rPr>
              <w:t>办公地址：</w:t>
            </w:r>
            <w:r>
              <w:rPr>
                <w:rFonts w:hint="eastAsia" w:ascii="宋体" w:hAnsi="宋体" w:eastAsia="宋体" w:cs="宋体"/>
                <w:snapToGrid w:val="0"/>
                <w:color w:val="auto"/>
                <w:spacing w:val="0"/>
                <w:kern w:val="0"/>
                <w:sz w:val="21"/>
                <w:highlight w:val="none"/>
                <w:u w:val="single"/>
                <w:lang w:val="en-US" w:eastAsia="zh-CN"/>
              </w:rPr>
              <w:t>韶关市曲江区马坝镇鞍山路曲江文化中心一楼，具体房间号以当日现场通知为准。</w:t>
            </w:r>
          </w:p>
          <w:p w14:paraId="3950C8D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highlight w:val="none"/>
                <w:lang w:val="en-US" w:eastAsia="zh-CN"/>
              </w:rPr>
              <w:t>联系电话：0751-6690193</w:t>
            </w:r>
          </w:p>
        </w:tc>
      </w:tr>
      <w:tr w14:paraId="04B8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3E200AD1">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37</w:t>
            </w:r>
          </w:p>
        </w:tc>
        <w:tc>
          <w:tcPr>
            <w:tcW w:w="1942" w:type="dxa"/>
            <w:vAlign w:val="center"/>
          </w:tcPr>
          <w:p w14:paraId="49D0B385">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行政监督部</w:t>
            </w:r>
          </w:p>
          <w:p w14:paraId="5F176A1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门联系方式</w:t>
            </w:r>
          </w:p>
        </w:tc>
        <w:tc>
          <w:tcPr>
            <w:tcW w:w="7574" w:type="dxa"/>
            <w:vAlign w:val="center"/>
          </w:tcPr>
          <w:p w14:paraId="2D7B6F81">
            <w:pPr>
              <w:spacing w:line="400" w:lineRule="exact"/>
              <w:ind w:left="105" w:leftChars="50" w:right="105" w:rightChars="50"/>
              <w:rPr>
                <w:rFonts w:hint="default" w:hAnsi="宋体" w:cs="宋体"/>
                <w:snapToGrid w:val="0"/>
                <w:color w:val="auto"/>
                <w:kern w:val="0"/>
                <w:szCs w:val="24"/>
                <w:highlight w:val="none"/>
                <w:u w:val="none"/>
              </w:rPr>
            </w:pPr>
            <w:r>
              <w:rPr>
                <w:rFonts w:hAnsi="宋体" w:cs="宋体"/>
                <w:snapToGrid w:val="0"/>
                <w:color w:val="auto"/>
                <w:kern w:val="0"/>
                <w:szCs w:val="24"/>
                <w:highlight w:val="none"/>
                <w:u w:val="none"/>
              </w:rPr>
              <w:t>单位名称：</w:t>
            </w:r>
            <w:r>
              <w:rPr>
                <w:rFonts w:hint="eastAsia" w:hAnsi="宋体" w:cs="宋体"/>
                <w:snapToGrid w:val="0"/>
                <w:color w:val="auto"/>
                <w:kern w:val="0"/>
                <w:szCs w:val="24"/>
                <w:highlight w:val="none"/>
                <w:u w:val="none"/>
              </w:rPr>
              <w:t>韶关市曲江区文化广电旅游体育局</w:t>
            </w:r>
          </w:p>
          <w:p w14:paraId="557D5DFC">
            <w:pPr>
              <w:spacing w:line="400" w:lineRule="exact"/>
              <w:ind w:left="105" w:leftChars="50" w:right="105" w:rightChars="50"/>
              <w:rPr>
                <w:rFonts w:hAnsi="宋体" w:cs="宋体"/>
                <w:snapToGrid w:val="0"/>
                <w:color w:val="auto"/>
                <w:kern w:val="0"/>
                <w:szCs w:val="24"/>
                <w:highlight w:val="none"/>
                <w:u w:val="none"/>
              </w:rPr>
            </w:pPr>
            <w:r>
              <w:rPr>
                <w:rFonts w:hAnsi="宋体" w:cs="宋体"/>
                <w:snapToGrid w:val="0"/>
                <w:color w:val="auto"/>
                <w:kern w:val="0"/>
                <w:szCs w:val="24"/>
                <w:highlight w:val="none"/>
                <w:u w:val="none"/>
              </w:rPr>
              <w:t>办公地址：</w:t>
            </w:r>
            <w:r>
              <w:rPr>
                <w:rFonts w:hint="eastAsia" w:hAnsi="宋体" w:cs="宋体"/>
                <w:snapToGrid w:val="0"/>
                <w:color w:val="auto"/>
                <w:kern w:val="0"/>
                <w:szCs w:val="24"/>
                <w:highlight w:val="none"/>
                <w:u w:val="none"/>
              </w:rPr>
              <w:t>曲江区马坝镇安山路文化中心大楼A区6楼</w:t>
            </w:r>
          </w:p>
          <w:p w14:paraId="10722C9D">
            <w:pPr>
              <w:spacing w:line="400" w:lineRule="exact"/>
              <w:ind w:left="105" w:leftChars="50" w:right="105" w:rightChars="50"/>
              <w:rPr>
                <w:rFonts w:hint="eastAsia" w:hAnsi="宋体" w:cs="宋体"/>
                <w:snapToGrid w:val="0"/>
                <w:color w:val="auto"/>
                <w:kern w:val="0"/>
                <w:szCs w:val="24"/>
                <w:highlight w:val="none"/>
                <w:u w:val="none"/>
                <w:lang w:eastAsia="zh-CN"/>
              </w:rPr>
            </w:pPr>
            <w:r>
              <w:rPr>
                <w:rFonts w:hAnsi="宋体" w:cs="宋体"/>
                <w:snapToGrid w:val="0"/>
                <w:color w:val="auto"/>
                <w:kern w:val="0"/>
                <w:szCs w:val="24"/>
                <w:highlight w:val="none"/>
                <w:u w:val="none"/>
              </w:rPr>
              <w:t>联系人（部门）：</w:t>
            </w:r>
            <w:r>
              <w:rPr>
                <w:rFonts w:hint="eastAsia" w:hAnsi="宋体" w:cs="宋体"/>
                <w:snapToGrid w:val="0"/>
                <w:color w:val="auto"/>
                <w:kern w:val="0"/>
                <w:szCs w:val="24"/>
                <w:highlight w:val="none"/>
                <w:u w:val="none"/>
                <w:lang w:val="en-US" w:eastAsia="zh-CN"/>
              </w:rPr>
              <w:t>建筑与房地产管理股</w:t>
            </w:r>
          </w:p>
          <w:p w14:paraId="3F649898">
            <w:pPr>
              <w:spacing w:line="400" w:lineRule="exact"/>
              <w:ind w:left="105" w:leftChars="50" w:right="105" w:rightChars="50"/>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Ansi="宋体" w:cs="宋体"/>
                <w:snapToGrid w:val="0"/>
                <w:color w:val="auto"/>
                <w:kern w:val="0"/>
                <w:szCs w:val="24"/>
                <w:highlight w:val="none"/>
                <w:u w:val="none"/>
              </w:rPr>
              <w:t>联系电话：</w:t>
            </w:r>
            <w:r>
              <w:rPr>
                <w:rFonts w:hint="eastAsia" w:hAnsi="宋体" w:cs="宋体"/>
                <w:snapToGrid w:val="0"/>
                <w:color w:val="auto"/>
                <w:kern w:val="0"/>
                <w:szCs w:val="24"/>
                <w:highlight w:val="none"/>
                <w:u w:val="none"/>
                <w:lang w:val="en-US" w:eastAsia="zh-CN"/>
              </w:rPr>
              <w:t>0751-6970199</w:t>
            </w:r>
          </w:p>
        </w:tc>
      </w:tr>
    </w:tbl>
    <w:p w14:paraId="7235C323">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bookmarkStart w:id="6" w:name="bookmark115"/>
      <w:bookmarkEnd w:id="6"/>
      <w:r>
        <w:rPr>
          <w:rFonts w:hint="eastAsia" w:ascii="宋体" w:hAnsi="宋体" w:eastAsia="宋体" w:cs="宋体"/>
          <w:b/>
          <w:bCs/>
          <w:color w:val="auto"/>
          <w:spacing w:val="0"/>
          <w:sz w:val="24"/>
          <w:szCs w:val="24"/>
          <w:highlight w:val="none"/>
        </w:rPr>
        <w:br w:type="page"/>
      </w:r>
    </w:p>
    <w:p w14:paraId="1789A482">
      <w:pPr>
        <w:keepNext w:val="0"/>
        <w:keepLines w:val="0"/>
        <w:pageBreakBefore w:val="0"/>
        <w:wordWrap w:val="0"/>
        <w:overflowPunct/>
        <w:topLinePunct w:val="0"/>
        <w:bidi w:val="0"/>
        <w:spacing w:before="156" w:line="219" w:lineRule="auto"/>
        <w:ind w:left="17"/>
        <w:jc w:val="left"/>
        <w:outlineLvl w:val="1"/>
        <w:rPr>
          <w:rFonts w:hint="eastAsia" w:ascii="宋体" w:hAnsi="宋体" w:eastAsia="宋体" w:cs="宋体"/>
          <w:color w:val="auto"/>
          <w:spacing w:val="0"/>
          <w:highlight w:val="none"/>
        </w:rPr>
      </w:pPr>
      <w:bookmarkStart w:id="7" w:name="_Toc19706"/>
      <w:r>
        <w:rPr>
          <w:rFonts w:hint="eastAsia" w:ascii="宋体" w:hAnsi="宋体" w:eastAsia="宋体" w:cs="宋体"/>
          <w:b/>
          <w:bCs/>
          <w:color w:val="auto"/>
          <w:spacing w:val="0"/>
          <w:sz w:val="24"/>
          <w:szCs w:val="24"/>
          <w:highlight w:val="none"/>
        </w:rPr>
        <w:t>第二节 重要事项时间地点一览表</w:t>
      </w:r>
      <w:bookmarkEnd w:id="7"/>
    </w:p>
    <w:p w14:paraId="44D452CF">
      <w:pPr>
        <w:pStyle w:val="6"/>
        <w:keepNext w:val="0"/>
        <w:keepLines w:val="0"/>
        <w:pageBreakBefore w:val="0"/>
        <w:wordWrap w:val="0"/>
        <w:overflowPunct/>
        <w:topLinePunct w:val="0"/>
        <w:bidi w:val="0"/>
        <w:rPr>
          <w:rFonts w:hint="eastAsia" w:ascii="宋体" w:hAnsi="宋体" w:eastAsia="宋体" w:cs="宋体"/>
          <w:color w:val="auto"/>
          <w:spacing w:val="0"/>
          <w:highlight w:val="none"/>
        </w:rPr>
      </w:pPr>
    </w:p>
    <w:tbl>
      <w:tblPr>
        <w:tblStyle w:val="15"/>
        <w:tblW w:w="9059"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1"/>
        <w:gridCol w:w="1300"/>
        <w:gridCol w:w="7338"/>
      </w:tblGrid>
      <w:tr w14:paraId="0517B1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34246031">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1</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5CBBA90E">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招标公告</w:t>
            </w:r>
          </w:p>
          <w:p w14:paraId="666692D7">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发布时间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0C104DB8">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4</w:t>
            </w:r>
            <w:r>
              <w:rPr>
                <w:rFonts w:hint="eastAsia" w:asciiTheme="minorEastAsia" w:hAnsiTheme="minorEastAsia" w:eastAsiaTheme="minorEastAsia" w:cstheme="minorEastAsia"/>
                <w:color w:val="auto"/>
                <w:spacing w:val="0"/>
                <w:kern w:val="0"/>
                <w:sz w:val="21"/>
                <w:szCs w:val="21"/>
                <w:highlight w:val="none"/>
                <w:lang w:val="en-US" w:eastAsia="zh-CN" w:bidi="ar-SA"/>
              </w:rPr>
              <w:t>月</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28 </w:t>
            </w:r>
            <w:r>
              <w:rPr>
                <w:rFonts w:hint="eastAsia" w:asciiTheme="minorEastAsia" w:hAnsiTheme="minorEastAsia" w:eastAsiaTheme="minorEastAsia" w:cstheme="minorEastAsia"/>
                <w:color w:val="auto"/>
                <w:spacing w:val="0"/>
                <w:kern w:val="0"/>
                <w:sz w:val="21"/>
                <w:szCs w:val="21"/>
                <w:highlight w:val="none"/>
                <w:lang w:val="en-US" w:eastAsia="zh-CN" w:bidi="ar-SA"/>
              </w:rPr>
              <w:t>日</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18 </w:t>
            </w:r>
            <w:r>
              <w:rPr>
                <w:rFonts w:hint="eastAsia" w:asciiTheme="minorEastAsia" w:hAnsiTheme="minorEastAsia" w:eastAsiaTheme="minorEastAsia" w:cstheme="minorEastAsia"/>
                <w:color w:val="auto"/>
                <w:spacing w:val="0"/>
                <w:kern w:val="0"/>
                <w:sz w:val="21"/>
                <w:szCs w:val="21"/>
                <w:highlight w:val="none"/>
                <w:lang w:val="en-US" w:eastAsia="zh-CN" w:bidi="ar-SA"/>
              </w:rPr>
              <w:t>时</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7067E4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0"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1FE8C188">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2</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1755E246">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获取招标文件截止时间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7400C243">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5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20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783654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7"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15ADE1F4">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3</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62198D29">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网上提问</w:t>
            </w:r>
          </w:p>
          <w:p w14:paraId="455D8911">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26BC3BAB">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5 </w:t>
            </w:r>
            <w:r>
              <w:rPr>
                <w:rFonts w:hint="eastAsia" w:asciiTheme="minorEastAsia" w:hAnsiTheme="minorEastAsia" w:eastAsiaTheme="minorEastAsia" w:cstheme="minorEastAsia"/>
                <w:color w:val="auto"/>
                <w:spacing w:val="0"/>
                <w:kern w:val="0"/>
                <w:sz w:val="21"/>
                <w:szCs w:val="21"/>
                <w:highlight w:val="none"/>
                <w:lang w:val="en-US" w:eastAsia="zh-CN" w:bidi="ar-SA"/>
              </w:rPr>
              <w:t>月</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10 </w:t>
            </w:r>
            <w:r>
              <w:rPr>
                <w:rFonts w:hint="eastAsia" w:asciiTheme="minorEastAsia" w:hAnsiTheme="minorEastAsia" w:eastAsiaTheme="minorEastAsia" w:cstheme="minorEastAsia"/>
                <w:color w:val="auto"/>
                <w:spacing w:val="0"/>
                <w:kern w:val="0"/>
                <w:sz w:val="21"/>
                <w:szCs w:val="21"/>
                <w:highlight w:val="none"/>
                <w:lang w:val="en-US" w:eastAsia="zh-CN" w:bidi="ar-SA"/>
              </w:rPr>
              <w:t>日</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16 </w:t>
            </w:r>
            <w:r>
              <w:rPr>
                <w:rFonts w:hint="eastAsia" w:asciiTheme="minorEastAsia" w:hAnsiTheme="minorEastAsia" w:eastAsiaTheme="minorEastAsia" w:cstheme="minorEastAsia"/>
                <w:color w:val="auto"/>
                <w:spacing w:val="0"/>
                <w:kern w:val="0"/>
                <w:sz w:val="21"/>
                <w:szCs w:val="21"/>
                <w:highlight w:val="none"/>
                <w:lang w:val="en-US" w:eastAsia="zh-CN" w:bidi="ar-SA"/>
              </w:rPr>
              <w:t>时</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00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456405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3"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3B82443D">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4</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2CE1AA03">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网上答疑</w:t>
            </w:r>
          </w:p>
          <w:p w14:paraId="0F5F46E0">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7B5EFA2E">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5 </w:t>
            </w:r>
            <w:r>
              <w:rPr>
                <w:rFonts w:hint="eastAsia" w:asciiTheme="minorEastAsia" w:hAnsiTheme="minorEastAsia" w:eastAsiaTheme="minorEastAsia" w:cstheme="minorEastAsia"/>
                <w:color w:val="auto"/>
                <w:spacing w:val="0"/>
                <w:kern w:val="0"/>
                <w:sz w:val="21"/>
                <w:szCs w:val="21"/>
                <w:highlight w:val="none"/>
                <w:lang w:val="en-US" w:eastAsia="zh-CN" w:bidi="ar-SA"/>
              </w:rPr>
              <w:t>月</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10 </w:t>
            </w:r>
            <w:r>
              <w:rPr>
                <w:rFonts w:hint="eastAsia" w:asciiTheme="minorEastAsia" w:hAnsiTheme="minorEastAsia" w:eastAsiaTheme="minorEastAsia" w:cstheme="minorEastAsia"/>
                <w:color w:val="auto"/>
                <w:spacing w:val="0"/>
                <w:kern w:val="0"/>
                <w:sz w:val="21"/>
                <w:szCs w:val="21"/>
                <w:highlight w:val="none"/>
                <w:lang w:val="en-US" w:eastAsia="zh-CN" w:bidi="ar-SA"/>
              </w:rPr>
              <w:t>日</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16 </w:t>
            </w:r>
            <w:r>
              <w:rPr>
                <w:rFonts w:hint="eastAsia" w:asciiTheme="minorEastAsia" w:hAnsiTheme="minorEastAsia" w:eastAsiaTheme="minorEastAsia" w:cstheme="minorEastAsia"/>
                <w:color w:val="auto"/>
                <w:spacing w:val="0"/>
                <w:kern w:val="0"/>
                <w:sz w:val="21"/>
                <w:szCs w:val="21"/>
                <w:highlight w:val="none"/>
                <w:lang w:val="en-US" w:eastAsia="zh-CN" w:bidi="ar-SA"/>
              </w:rPr>
              <w:t>时</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分至</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5 </w:t>
            </w:r>
            <w:r>
              <w:rPr>
                <w:rFonts w:hint="eastAsia" w:asciiTheme="minorEastAsia" w:hAnsiTheme="minorEastAsia" w:eastAsiaTheme="minorEastAsia" w:cstheme="minorEastAsia"/>
                <w:color w:val="auto"/>
                <w:spacing w:val="0"/>
                <w:kern w:val="0"/>
                <w:sz w:val="21"/>
                <w:szCs w:val="21"/>
                <w:highlight w:val="none"/>
                <w:lang w:val="en-US" w:eastAsia="zh-CN" w:bidi="ar-SA"/>
              </w:rPr>
              <w:t>月</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13 </w:t>
            </w:r>
            <w:r>
              <w:rPr>
                <w:rFonts w:hint="eastAsia" w:asciiTheme="minorEastAsia" w:hAnsiTheme="minorEastAsia" w:eastAsiaTheme="minorEastAsia" w:cstheme="minorEastAsia"/>
                <w:color w:val="auto"/>
                <w:spacing w:val="0"/>
                <w:kern w:val="0"/>
                <w:sz w:val="21"/>
                <w:szCs w:val="21"/>
                <w:highlight w:val="none"/>
                <w:lang w:val="en-US" w:eastAsia="zh-CN" w:bidi="ar-SA"/>
              </w:rPr>
              <w:t>日</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16 </w:t>
            </w:r>
            <w:r>
              <w:rPr>
                <w:rFonts w:hint="eastAsia" w:asciiTheme="minorEastAsia" w:hAnsiTheme="minorEastAsia" w:eastAsiaTheme="minorEastAsia" w:cstheme="minorEastAsia"/>
                <w:color w:val="auto"/>
                <w:spacing w:val="0"/>
                <w:kern w:val="0"/>
                <w:sz w:val="21"/>
                <w:szCs w:val="21"/>
                <w:highlight w:val="none"/>
                <w:lang w:val="en-US" w:eastAsia="zh-CN" w:bidi="ar-SA"/>
              </w:rPr>
              <w:t>时</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00</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26346D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64"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0B93C9CE">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5</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082D687A">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投标保证缴</w:t>
            </w:r>
          </w:p>
          <w:p w14:paraId="2D149AA8">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纳截止时间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62232350">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kern w:val="0"/>
                <w:sz w:val="21"/>
                <w:szCs w:val="21"/>
                <w:highlight w:val="none"/>
                <w:lang w:val="en-US" w:eastAsia="zh-CN" w:bidi="ar-SA"/>
              </w:rPr>
            </w:pPr>
            <w:r>
              <w:rPr>
                <w:rFonts w:hint="eastAsia" w:asciiTheme="minorEastAsia" w:hAnsiTheme="minorEastAsia" w:eastAsiaTheme="minorEastAsia" w:cstheme="minorEastAsia"/>
                <w:color w:val="auto"/>
                <w:spacing w:val="0"/>
                <w:kern w:val="0"/>
                <w:sz w:val="21"/>
                <w:szCs w:val="21"/>
                <w:highlight w:val="none"/>
                <w:lang w:val="en-US" w:eastAsia="zh-CN" w:bidi="ar-SA"/>
              </w:rPr>
              <w:t>投标保证金到账截止时间：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5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19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p w14:paraId="48469684">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kern w:val="0"/>
                <w:sz w:val="21"/>
                <w:szCs w:val="21"/>
                <w:highlight w:val="none"/>
                <w:lang w:val="en-US" w:eastAsia="zh-CN" w:bidi="ar-SA"/>
              </w:rPr>
            </w:pPr>
            <w:r>
              <w:rPr>
                <w:rFonts w:hint="eastAsia" w:asciiTheme="minorEastAsia" w:hAnsiTheme="minorEastAsia" w:eastAsiaTheme="minorEastAsia" w:cstheme="minorEastAsia"/>
                <w:color w:val="auto"/>
                <w:spacing w:val="0"/>
                <w:kern w:val="0"/>
                <w:sz w:val="21"/>
                <w:szCs w:val="21"/>
                <w:highlight w:val="none"/>
                <w:lang w:val="en-US" w:eastAsia="zh-CN" w:bidi="ar-SA"/>
              </w:rPr>
              <w:t>投标保证担保上传截止时间：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5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19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p w14:paraId="4B354B21">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lang w:val="en-US" w:eastAsia="zh-CN" w:bidi="ar-SA"/>
              </w:rPr>
              <w:t>投标保证保险投保截止时间：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5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19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1D384F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2"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066C4A5C">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6</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76A2BAA3">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电子投标</w:t>
            </w:r>
          </w:p>
          <w:p w14:paraId="2FA17C4F">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0DB12431">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5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20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30E0E0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2E2714AB">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7</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121AF192">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投标相关资料（如有）</w:t>
            </w:r>
          </w:p>
          <w:p w14:paraId="5083F832">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递交时间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38D1657B">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5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20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00 </w:t>
            </w:r>
            <w:r>
              <w:rPr>
                <w:rFonts w:hint="eastAsia" w:asciiTheme="minorEastAsia" w:hAnsiTheme="minorEastAsia" w:eastAsiaTheme="minorEastAsia" w:cstheme="minorEastAsia"/>
                <w:color w:val="auto"/>
                <w:spacing w:val="0"/>
                <w:kern w:val="0"/>
                <w:sz w:val="21"/>
                <w:szCs w:val="21"/>
                <w:highlight w:val="none"/>
                <w:lang w:val="en-US" w:eastAsia="zh-CN" w:bidi="ar-SA"/>
              </w:rPr>
              <w:t>分至</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5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20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3F934C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72"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4265D800">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8</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298C8B7C">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投标相关资料（如有）</w:t>
            </w:r>
          </w:p>
          <w:p w14:paraId="170BD88B">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递交地点</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48215FEA">
            <w:pPr>
              <w:adjustRightInd w:val="0"/>
              <w:snapToGrid w:val="0"/>
              <w:spacing w:line="400" w:lineRule="exact"/>
              <w:rPr>
                <w:rFonts w:hAnsi="宋体"/>
                <w:snapToGrid w:val="0"/>
                <w:color w:val="auto"/>
                <w:kern w:val="0"/>
                <w:highlight w:val="none"/>
              </w:rPr>
            </w:pPr>
            <w:r>
              <w:rPr>
                <w:rFonts w:hAnsi="宋体"/>
                <w:snapToGrid w:val="0"/>
                <w:color w:val="auto"/>
                <w:kern w:val="0"/>
                <w:highlight w:val="none"/>
              </w:rPr>
              <w:t>递交场所：</w:t>
            </w:r>
            <w:r>
              <w:rPr>
                <w:rFonts w:hint="eastAsia" w:ascii="宋体" w:hAnsi="宋体" w:eastAsia="宋体" w:cs="宋体"/>
                <w:snapToGrid w:val="0"/>
                <w:color w:val="auto"/>
                <w:spacing w:val="0"/>
                <w:kern w:val="0"/>
                <w:sz w:val="21"/>
                <w:highlight w:val="none"/>
                <w:lang w:val="en-US" w:eastAsia="zh-CN"/>
              </w:rPr>
              <w:t>韶关市公共资源交易中心曲江分中心</w:t>
            </w:r>
          </w:p>
          <w:p w14:paraId="4D721F4F">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right="0"/>
              <w:jc w:val="left"/>
              <w:rPr>
                <w:rFonts w:hint="eastAsia" w:eastAsia="宋体" w:asciiTheme="minorEastAsia" w:hAnsiTheme="minorEastAsia" w:cstheme="minorEastAsia"/>
                <w:color w:val="auto"/>
                <w:spacing w:val="0"/>
                <w:sz w:val="22"/>
                <w:szCs w:val="18"/>
                <w:highlight w:val="none"/>
                <w:lang w:eastAsia="zh-CN"/>
              </w:rPr>
            </w:pPr>
            <w:r>
              <w:rPr>
                <w:rFonts w:hAnsi="宋体" w:cs="宋体"/>
                <w:snapToGrid w:val="0"/>
                <w:color w:val="auto"/>
                <w:kern w:val="0"/>
                <w:szCs w:val="24"/>
                <w:highlight w:val="none"/>
              </w:rPr>
              <w:t>地址：</w:t>
            </w:r>
            <w:r>
              <w:rPr>
                <w:rFonts w:hint="eastAsia" w:ascii="宋体" w:hAnsi="宋体" w:eastAsia="宋体" w:cs="宋体"/>
                <w:snapToGrid w:val="0"/>
                <w:color w:val="auto"/>
                <w:spacing w:val="0"/>
                <w:kern w:val="0"/>
                <w:sz w:val="21"/>
                <w:highlight w:val="none"/>
                <w:u w:val="single"/>
                <w:lang w:val="en-US" w:eastAsia="zh-CN"/>
              </w:rPr>
              <w:t>韶关市曲江区马坝镇鞍山路曲江文化中心一楼，具体房间号以当日现场通知为准。</w:t>
            </w:r>
          </w:p>
        </w:tc>
      </w:tr>
      <w:tr w14:paraId="529A5D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2C00C926">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9</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257504FA">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开标时间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4F4A041C">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 xml:space="preserve"> </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5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20</w:t>
            </w:r>
            <w:bookmarkStart w:id="252" w:name="_GoBack"/>
            <w:bookmarkEnd w:id="252"/>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分</w:t>
            </w:r>
          </w:p>
        </w:tc>
      </w:tr>
      <w:tr w14:paraId="27C90E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17"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1D049F48">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10</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555B6A36">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开标地点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0C859B36">
            <w:pPr>
              <w:pStyle w:val="13"/>
              <w:spacing w:before="0" w:beforeAutospacing="0" w:after="150" w:afterAutospacing="0" w:line="360" w:lineRule="atLeast"/>
              <w:ind w:firstLine="210" w:firstLineChars="100"/>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开标场所：</w:t>
            </w:r>
            <w:r>
              <w:rPr>
                <w:rFonts w:hint="eastAsia" w:ascii="宋体" w:hAnsi="宋体" w:eastAsia="宋体" w:cs="宋体"/>
                <w:snapToGrid w:val="0"/>
                <w:color w:val="auto"/>
                <w:spacing w:val="0"/>
                <w:kern w:val="0"/>
                <w:sz w:val="21"/>
                <w:highlight w:val="none"/>
                <w:lang w:val="en-US" w:eastAsia="zh-CN"/>
              </w:rPr>
              <w:t>韶关市公共资源交易中心曲江分中心</w:t>
            </w:r>
          </w:p>
          <w:p w14:paraId="175D5371">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840" w:leftChars="100" w:right="0" w:hanging="630" w:hangingChars="30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地址：</w:t>
            </w:r>
            <w:r>
              <w:rPr>
                <w:rFonts w:hint="eastAsia" w:ascii="宋体" w:hAnsi="宋体" w:eastAsia="宋体" w:cs="宋体"/>
                <w:snapToGrid w:val="0"/>
                <w:color w:val="auto"/>
                <w:spacing w:val="0"/>
                <w:kern w:val="0"/>
                <w:sz w:val="21"/>
                <w:highlight w:val="none"/>
                <w:u w:val="single"/>
                <w:lang w:val="en-US" w:eastAsia="zh-CN"/>
              </w:rPr>
              <w:t>韶关市曲江区马坝镇鞍山路曲江文化中心一楼，具体房间号以当日现场通知为准。</w:t>
            </w:r>
          </w:p>
        </w:tc>
      </w:tr>
      <w:tr w14:paraId="28D28B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6" w:hRule="exact"/>
        </w:trPr>
        <w:tc>
          <w:tcPr>
            <w:tcW w:w="1721" w:type="dxa"/>
            <w:gridSpan w:val="2"/>
            <w:tcBorders>
              <w:top w:val="single" w:color="080000" w:sz="4" w:space="0"/>
              <w:left w:val="single" w:color="080000" w:sz="4" w:space="0"/>
              <w:bottom w:val="single" w:color="080000" w:sz="4" w:space="0"/>
              <w:right w:val="single" w:color="080000" w:sz="4" w:space="0"/>
            </w:tcBorders>
            <w:noWrap w:val="0"/>
            <w:vAlign w:val="center"/>
          </w:tcPr>
          <w:p w14:paraId="084E8E9B">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lang w:val="en-US" w:eastAsia="zh-CN"/>
              </w:rPr>
              <w:t>备注</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123A471A">
            <w:pPr>
              <w:pStyle w:val="29"/>
              <w:keepNext w:val="0"/>
              <w:keepLines w:val="0"/>
              <w:pageBreakBefore w:val="0"/>
              <w:suppressLineNumbers w:val="0"/>
              <w:wordWrap w:val="0"/>
              <w:overflowPunct/>
              <w:topLinePunct w:val="0"/>
              <w:bidi w:val="0"/>
              <w:adjustRightInd w:val="0"/>
              <w:snapToGrid w:val="0"/>
              <w:spacing w:before="0" w:beforeAutospacing="0" w:after="0" w:afterAutospacing="0" w:line="400" w:lineRule="exact"/>
              <w:ind w:left="0" w:right="0" w:firstLine="210" w:firstLineChars="100"/>
              <w:jc w:val="left"/>
              <w:rPr>
                <w:rFonts w:hint="eastAsia" w:asciiTheme="minorEastAsia" w:hAnsiTheme="minorEastAsia" w:eastAsiaTheme="minorEastAsia" w:cstheme="minorEastAsia"/>
                <w:color w:val="auto"/>
                <w:spacing w:val="0"/>
                <w:sz w:val="20"/>
                <w:szCs w:val="22"/>
                <w:highlight w:val="none"/>
              </w:rPr>
            </w:pPr>
            <w:r>
              <w:rPr>
                <w:rFonts w:hint="eastAsia" w:asciiTheme="minorEastAsia" w:hAnsiTheme="minorEastAsia" w:eastAsiaTheme="minorEastAsia" w:cstheme="minorEastAsia"/>
                <w:snapToGrid w:val="0"/>
                <w:color w:val="auto"/>
                <w:spacing w:val="0"/>
                <w:kern w:val="0"/>
                <w:sz w:val="21"/>
                <w:szCs w:val="21"/>
                <w:highlight w:val="none"/>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7BAA81FE">
      <w:pPr>
        <w:keepNext w:val="0"/>
        <w:keepLines w:val="0"/>
        <w:pageBreakBefore w:val="0"/>
        <w:tabs>
          <w:tab w:val="left" w:pos="8820"/>
        </w:tabs>
        <w:wordWrap w:val="0"/>
        <w:overflowPunct/>
        <w:topLinePunct w:val="0"/>
        <w:bidi w:val="0"/>
        <w:rPr>
          <w:rFonts w:hint="eastAsia" w:ascii="宋体" w:hAnsi="宋体" w:eastAsia="宋体" w:cs="宋体"/>
          <w:b w:val="0"/>
          <w:bCs w:val="0"/>
          <w:color w:val="auto"/>
          <w:spacing w:val="0"/>
          <w:sz w:val="24"/>
          <w:szCs w:val="24"/>
          <w:highlight w:val="none"/>
        </w:rPr>
        <w:sectPr>
          <w:headerReference r:id="rId6" w:type="default"/>
          <w:footerReference r:id="rId7" w:type="default"/>
          <w:pgSz w:w="11906" w:h="16839"/>
          <w:pgMar w:top="1440" w:right="1080" w:bottom="1440" w:left="1080" w:header="0" w:footer="1085" w:gutter="0"/>
          <w:pgBorders>
            <w:top w:val="none" w:sz="0" w:space="0"/>
            <w:left w:val="none" w:sz="0" w:space="0"/>
            <w:bottom w:val="none" w:sz="0" w:space="0"/>
            <w:right w:val="none" w:sz="0" w:space="0"/>
          </w:pgBorders>
          <w:pgNumType w:fmt="decimal"/>
          <w:cols w:space="720" w:num="1"/>
        </w:sectPr>
      </w:pPr>
    </w:p>
    <w:p w14:paraId="4035F05F">
      <w:pPr>
        <w:keepNext w:val="0"/>
        <w:keepLines w:val="0"/>
        <w:pageBreakBefore w:val="0"/>
        <w:wordWrap w:val="0"/>
        <w:overflowPunct/>
        <w:topLinePunct w:val="0"/>
        <w:bidi w:val="0"/>
        <w:jc w:val="center"/>
        <w:outlineLvl w:val="1"/>
        <w:rPr>
          <w:rFonts w:hint="eastAsia" w:ascii="宋体" w:hAnsi="宋体" w:eastAsia="宋体" w:cs="宋体"/>
          <w:color w:val="auto"/>
          <w:spacing w:val="0"/>
          <w:sz w:val="24"/>
          <w:szCs w:val="24"/>
          <w:highlight w:val="none"/>
        </w:rPr>
      </w:pPr>
      <w:bookmarkStart w:id="8" w:name="_Toc877"/>
      <w:r>
        <w:rPr>
          <w:rFonts w:hint="eastAsia" w:ascii="宋体" w:hAnsi="宋体" w:eastAsia="宋体" w:cs="宋体"/>
          <w:b/>
          <w:bCs/>
          <w:color w:val="auto"/>
          <w:spacing w:val="0"/>
          <w:sz w:val="24"/>
          <w:szCs w:val="24"/>
          <w:highlight w:val="none"/>
        </w:rPr>
        <w:t>第三节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投标人须知正文</w:t>
      </w:r>
      <w:bookmarkEnd w:id="8"/>
    </w:p>
    <w:p w14:paraId="5DD28753">
      <w:pPr>
        <w:pStyle w:val="6"/>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217B4480">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0AF44FD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lang w:val="en-US" w:eastAsia="zh-CN"/>
        </w:rPr>
        <w:t>石峡遗址已发掘区展示利用项目</w:t>
      </w:r>
      <w:r>
        <w:rPr>
          <w:rFonts w:hint="eastAsia" w:ascii="宋体" w:hAnsi="宋体" w:eastAsia="宋体" w:cs="宋体"/>
          <w:snapToGrid w:val="0"/>
          <w:color w:val="auto"/>
          <w:spacing w:val="0"/>
          <w:kern w:val="0"/>
          <w:sz w:val="24"/>
          <w:szCs w:val="24"/>
          <w:highlight w:val="none"/>
        </w:rPr>
        <w:t>经</w:t>
      </w:r>
      <w:r>
        <w:rPr>
          <w:rFonts w:hint="eastAsia" w:ascii="宋体" w:hAnsi="宋体" w:eastAsia="宋体" w:cs="宋体"/>
          <w:snapToGrid w:val="0"/>
          <w:color w:val="auto"/>
          <w:spacing w:val="0"/>
          <w:kern w:val="0"/>
          <w:sz w:val="24"/>
          <w:szCs w:val="24"/>
          <w:highlight w:val="none"/>
          <w:u w:val="single"/>
          <w:lang w:val="en-US" w:eastAsia="zh-CN"/>
        </w:rPr>
        <w:t>国家文物局、广东省文物局</w:t>
      </w:r>
      <w:r>
        <w:rPr>
          <w:rFonts w:hint="eastAsia" w:ascii="宋体" w:hAnsi="宋体" w:eastAsia="宋体" w:cs="宋体"/>
          <w:snapToGrid w:val="0"/>
          <w:color w:val="auto"/>
          <w:spacing w:val="0"/>
          <w:kern w:val="0"/>
          <w:sz w:val="24"/>
          <w:szCs w:val="24"/>
          <w:highlight w:val="none"/>
          <w:u w:val="single"/>
        </w:rPr>
        <w:t>以《</w:t>
      </w:r>
      <w:r>
        <w:rPr>
          <w:rFonts w:hint="eastAsia" w:ascii="宋体" w:hAnsi="宋体" w:eastAsia="宋体" w:cs="宋体"/>
          <w:color w:val="auto"/>
          <w:spacing w:val="0"/>
          <w:sz w:val="24"/>
          <w:szCs w:val="24"/>
          <w:highlight w:val="none"/>
          <w:u w:val="single"/>
          <w:lang w:val="en-US" w:eastAsia="zh-CN"/>
        </w:rPr>
        <w:t>国家文物局关于广东省2024年度古遗址、古墓葬类全国重点文物保护单位文物保护项目(不含安防消防防雷)计划的批复</w:t>
      </w:r>
      <w:r>
        <w:rPr>
          <w:rFonts w:hint="eastAsia" w:ascii="宋体" w:hAnsi="宋体" w:eastAsia="宋体" w:cs="宋体"/>
          <w:snapToGrid w:val="0"/>
          <w:color w:val="auto"/>
          <w:spacing w:val="0"/>
          <w:kern w:val="0"/>
          <w:sz w:val="24"/>
          <w:szCs w:val="24"/>
          <w:highlight w:val="none"/>
          <w:u w:val="single"/>
        </w:rPr>
        <w:t>》（</w:t>
      </w:r>
      <w:r>
        <w:rPr>
          <w:rFonts w:hint="eastAsia" w:ascii="宋体" w:hAnsi="宋体" w:eastAsia="宋体" w:cs="宋体"/>
          <w:snapToGrid w:val="0"/>
          <w:color w:val="auto"/>
          <w:spacing w:val="0"/>
          <w:kern w:val="0"/>
          <w:sz w:val="24"/>
          <w:szCs w:val="24"/>
          <w:highlight w:val="none"/>
          <w:u w:val="single"/>
          <w:lang w:val="en-US" w:eastAsia="zh-CN"/>
        </w:rPr>
        <w:t>文物考函【2023】1111号</w:t>
      </w:r>
      <w:r>
        <w:rPr>
          <w:rFonts w:hint="eastAsia" w:ascii="宋体" w:hAnsi="宋体" w:eastAsia="宋体" w:cs="宋体"/>
          <w:snapToGrid w:val="0"/>
          <w:color w:val="auto"/>
          <w:spacing w:val="0"/>
          <w:kern w:val="0"/>
          <w:sz w:val="24"/>
          <w:szCs w:val="24"/>
          <w:highlight w:val="none"/>
          <w:u w:val="single"/>
        </w:rPr>
        <w:t>）</w:t>
      </w:r>
      <w:r>
        <w:rPr>
          <w:rFonts w:hint="eastAsia" w:ascii="宋体" w:hAnsi="宋体" w:eastAsia="宋体" w:cs="宋体"/>
          <w:snapToGrid w:val="0"/>
          <w:color w:val="auto"/>
          <w:spacing w:val="0"/>
          <w:kern w:val="0"/>
          <w:sz w:val="24"/>
          <w:szCs w:val="24"/>
          <w:highlight w:val="none"/>
          <w:u w:val="single"/>
          <w:lang w:eastAsia="zh-CN"/>
        </w:rPr>
        <w:t>、</w:t>
      </w:r>
      <w:r>
        <w:rPr>
          <w:rFonts w:hint="eastAsia" w:ascii="宋体" w:hAnsi="宋体" w:eastAsia="宋体" w:cs="宋体"/>
          <w:snapToGrid w:val="0"/>
          <w:color w:val="auto"/>
          <w:spacing w:val="0"/>
          <w:kern w:val="0"/>
          <w:sz w:val="24"/>
          <w:szCs w:val="24"/>
          <w:highlight w:val="none"/>
          <w:u w:val="single"/>
        </w:rPr>
        <w:t>《</w:t>
      </w:r>
      <w:r>
        <w:rPr>
          <w:rFonts w:hint="eastAsia" w:ascii="宋体" w:hAnsi="宋体" w:eastAsia="宋体" w:cs="宋体"/>
          <w:snapToGrid w:val="0"/>
          <w:color w:val="auto"/>
          <w:spacing w:val="0"/>
          <w:kern w:val="0"/>
          <w:sz w:val="24"/>
          <w:szCs w:val="24"/>
          <w:highlight w:val="none"/>
          <w:u w:val="single"/>
          <w:lang w:eastAsia="zh-CN"/>
        </w:rPr>
        <w:t>广东省文物局关于全国重点文物保护单位石峡遗址已发掘区展示利用项目勘察设计方案的批复</w:t>
      </w:r>
      <w:r>
        <w:rPr>
          <w:rFonts w:hint="eastAsia" w:ascii="宋体" w:hAnsi="宋体" w:eastAsia="宋体" w:cs="宋体"/>
          <w:snapToGrid w:val="0"/>
          <w:color w:val="auto"/>
          <w:spacing w:val="0"/>
          <w:kern w:val="0"/>
          <w:sz w:val="24"/>
          <w:szCs w:val="24"/>
          <w:highlight w:val="none"/>
          <w:u w:val="single"/>
        </w:rPr>
        <w:t>》（</w:t>
      </w:r>
      <w:r>
        <w:rPr>
          <w:rFonts w:hint="eastAsia" w:ascii="宋体" w:hAnsi="宋体" w:eastAsia="宋体" w:cs="宋体"/>
          <w:snapToGrid w:val="0"/>
          <w:color w:val="auto"/>
          <w:spacing w:val="0"/>
          <w:kern w:val="0"/>
          <w:sz w:val="24"/>
          <w:szCs w:val="24"/>
          <w:highlight w:val="none"/>
          <w:u w:val="single"/>
          <w:lang w:val="en-US" w:eastAsia="zh-CN"/>
        </w:rPr>
        <w:t>粤文物审【2024】112号）</w:t>
      </w:r>
      <w:r>
        <w:rPr>
          <w:rFonts w:hint="eastAsia" w:ascii="宋体" w:hAnsi="宋体" w:eastAsia="宋体" w:cs="宋体"/>
          <w:snapToGrid w:val="0"/>
          <w:color w:val="auto"/>
          <w:spacing w:val="0"/>
          <w:kern w:val="0"/>
          <w:sz w:val="24"/>
          <w:szCs w:val="24"/>
          <w:highlight w:val="none"/>
        </w:rPr>
        <w:t>批准建设，项目代码为</w:t>
      </w:r>
      <w:r>
        <w:rPr>
          <w:rFonts w:hint="eastAsia" w:ascii="宋体" w:hAnsi="宋体" w:eastAsia="宋体" w:cs="宋体"/>
          <w:snapToGrid w:val="0"/>
          <w:color w:val="auto"/>
          <w:spacing w:val="0"/>
          <w:kern w:val="0"/>
          <w:sz w:val="24"/>
          <w:szCs w:val="24"/>
          <w:highlight w:val="none"/>
          <w:u w:val="single"/>
          <w:lang w:val="en-US" w:eastAsia="zh-CN"/>
        </w:rPr>
        <w:t>2512-440205-04-01-909776</w:t>
      </w:r>
      <w:r>
        <w:rPr>
          <w:rFonts w:hint="eastAsia" w:ascii="宋体" w:hAnsi="宋体" w:eastAsia="宋体" w:cs="宋体"/>
          <w:snapToGrid w:val="0"/>
          <w:color w:val="auto"/>
          <w:spacing w:val="0"/>
          <w:kern w:val="0"/>
          <w:sz w:val="24"/>
          <w:szCs w:val="24"/>
          <w:highlight w:val="none"/>
        </w:rPr>
        <w:t>。本项目业主为</w:t>
      </w:r>
      <w:r>
        <w:rPr>
          <w:rFonts w:hint="eastAsia" w:ascii="宋体" w:hAnsi="宋体" w:eastAsia="宋体" w:cs="宋体"/>
          <w:snapToGrid w:val="0"/>
          <w:color w:val="auto"/>
          <w:spacing w:val="0"/>
          <w:kern w:val="0"/>
          <w:sz w:val="24"/>
          <w:szCs w:val="24"/>
          <w:highlight w:val="none"/>
          <w:u w:val="single"/>
          <w:lang w:val="en-US" w:eastAsia="zh-CN"/>
        </w:rPr>
        <w:t>韶关市曲江区博物馆</w:t>
      </w:r>
      <w:r>
        <w:rPr>
          <w:rFonts w:hint="eastAsia" w:ascii="宋体" w:hAnsi="宋体" w:eastAsia="宋体" w:cs="宋体"/>
          <w:snapToGrid w:val="0"/>
          <w:color w:val="auto"/>
          <w:spacing w:val="0"/>
          <w:kern w:val="0"/>
          <w:sz w:val="24"/>
          <w:szCs w:val="24"/>
          <w:highlight w:val="none"/>
        </w:rPr>
        <w:t>，建设资金</w:t>
      </w:r>
      <w:r>
        <w:rPr>
          <w:rFonts w:hint="eastAsia" w:ascii="宋体" w:hAnsi="宋体" w:eastAsia="宋体" w:cs="宋体"/>
          <w:snapToGrid w:val="0"/>
          <w:color w:val="auto"/>
          <w:spacing w:val="0"/>
          <w:kern w:val="0"/>
          <w:sz w:val="24"/>
          <w:szCs w:val="24"/>
          <w:highlight w:val="none"/>
          <w:u w:val="single"/>
          <w:lang w:val="en-US" w:eastAsia="zh-CN"/>
        </w:rPr>
        <w:t>国家文物保护专项资金</w:t>
      </w:r>
      <w:r>
        <w:rPr>
          <w:rFonts w:hint="eastAsia" w:ascii="宋体" w:hAnsi="宋体" w:eastAsia="宋体" w:cs="宋体"/>
          <w:snapToGrid w:val="0"/>
          <w:color w:val="auto"/>
          <w:spacing w:val="0"/>
          <w:kern w:val="0"/>
          <w:sz w:val="24"/>
          <w:szCs w:val="24"/>
          <w:highlight w:val="none"/>
          <w:u w:val="none"/>
          <w:lang w:eastAsia="zh-CN"/>
        </w:rPr>
        <w:t>，</w:t>
      </w:r>
      <w:r>
        <w:rPr>
          <w:rFonts w:hint="eastAsia" w:ascii="宋体" w:hAnsi="宋体" w:eastAsia="宋体" w:cs="宋体"/>
          <w:snapToGrid w:val="0"/>
          <w:color w:val="auto"/>
          <w:spacing w:val="0"/>
          <w:kern w:val="0"/>
          <w:sz w:val="24"/>
          <w:szCs w:val="24"/>
          <w:highlight w:val="none"/>
        </w:rPr>
        <w:t>出资比例为</w:t>
      </w:r>
      <w:r>
        <w:rPr>
          <w:rFonts w:hint="eastAsia" w:ascii="宋体" w:hAnsi="宋体" w:eastAsia="宋体" w:cs="宋体"/>
          <w:snapToGrid w:val="0"/>
          <w:color w:val="auto"/>
          <w:spacing w:val="0"/>
          <w:kern w:val="0"/>
          <w:sz w:val="24"/>
          <w:szCs w:val="24"/>
          <w:highlight w:val="none"/>
          <w:u w:val="single"/>
        </w:rPr>
        <w:t>100%</w:t>
      </w:r>
      <w:r>
        <w:rPr>
          <w:rFonts w:hint="eastAsia" w:ascii="宋体" w:hAnsi="宋体" w:eastAsia="宋体" w:cs="宋体"/>
          <w:snapToGrid w:val="0"/>
          <w:color w:val="auto"/>
          <w:spacing w:val="0"/>
          <w:kern w:val="0"/>
          <w:sz w:val="24"/>
          <w:szCs w:val="24"/>
          <w:highlight w:val="none"/>
          <w:lang w:eastAsia="zh-CN"/>
        </w:rPr>
        <w:t>。</w:t>
      </w:r>
      <w:r>
        <w:rPr>
          <w:rFonts w:hint="eastAsia" w:ascii="宋体" w:hAnsi="宋体" w:eastAsia="宋体" w:cs="宋体"/>
          <w:snapToGrid w:val="0"/>
          <w:color w:val="auto"/>
          <w:spacing w:val="0"/>
          <w:kern w:val="0"/>
          <w:sz w:val="24"/>
          <w:szCs w:val="24"/>
          <w:highlight w:val="none"/>
        </w:rPr>
        <w:t>招标人为</w:t>
      </w:r>
      <w:r>
        <w:rPr>
          <w:rFonts w:hint="eastAsia" w:ascii="宋体" w:hAnsi="宋体" w:eastAsia="宋体" w:cs="宋体"/>
          <w:snapToGrid w:val="0"/>
          <w:color w:val="auto"/>
          <w:spacing w:val="0"/>
          <w:kern w:val="0"/>
          <w:sz w:val="24"/>
          <w:szCs w:val="24"/>
          <w:highlight w:val="none"/>
          <w:u w:val="single"/>
          <w:lang w:val="en-US" w:eastAsia="zh-CN"/>
        </w:rPr>
        <w:t>韶关市曲江区博物馆</w:t>
      </w:r>
      <w:r>
        <w:rPr>
          <w:rFonts w:hint="eastAsia" w:ascii="宋体" w:hAnsi="宋体" w:eastAsia="宋体" w:cs="宋体"/>
          <w:snapToGrid w:val="0"/>
          <w:color w:val="auto"/>
          <w:spacing w:val="0"/>
          <w:kern w:val="0"/>
          <w:sz w:val="24"/>
          <w:szCs w:val="24"/>
          <w:highlight w:val="none"/>
        </w:rPr>
        <w:t>，招标代理机构为</w:t>
      </w:r>
      <w:r>
        <w:rPr>
          <w:rFonts w:hint="eastAsia" w:ascii="宋体" w:hAnsi="宋体" w:eastAsia="宋体" w:cs="宋体"/>
          <w:color w:val="auto"/>
          <w:spacing w:val="0"/>
          <w:sz w:val="24"/>
          <w:szCs w:val="24"/>
          <w:highlight w:val="none"/>
          <w:u w:val="single"/>
          <w:lang w:val="en-US" w:eastAsia="zh-CN"/>
        </w:rPr>
        <w:t>广东粤圣项目管理有限公司</w:t>
      </w:r>
      <w:r>
        <w:rPr>
          <w:rFonts w:hint="eastAsia" w:ascii="宋体" w:hAnsi="宋体" w:eastAsia="宋体" w:cs="宋体"/>
          <w:snapToGrid w:val="0"/>
          <w:color w:val="auto"/>
          <w:spacing w:val="0"/>
          <w:kern w:val="0"/>
          <w:sz w:val="24"/>
          <w:szCs w:val="24"/>
          <w:highlight w:val="none"/>
        </w:rPr>
        <w:t>。项目已具备招标条件，现对该项目的</w:t>
      </w:r>
      <w:r>
        <w:rPr>
          <w:rFonts w:hint="eastAsia" w:ascii="宋体" w:hAnsi="宋体" w:eastAsia="宋体" w:cs="宋体"/>
          <w:snapToGrid w:val="0"/>
          <w:color w:val="auto"/>
          <w:spacing w:val="0"/>
          <w:kern w:val="0"/>
          <w:sz w:val="24"/>
          <w:szCs w:val="24"/>
          <w:highlight w:val="none"/>
          <w:u w:val="single"/>
        </w:rPr>
        <w:t>施工</w:t>
      </w:r>
      <w:r>
        <w:rPr>
          <w:rFonts w:hint="eastAsia" w:ascii="宋体" w:hAnsi="宋体" w:eastAsia="宋体" w:cs="宋体"/>
          <w:snapToGrid w:val="0"/>
          <w:color w:val="auto"/>
          <w:spacing w:val="0"/>
          <w:kern w:val="0"/>
          <w:sz w:val="24"/>
          <w:szCs w:val="24"/>
          <w:highlight w:val="none"/>
        </w:rPr>
        <w:t>进行公开招标。</w:t>
      </w:r>
    </w:p>
    <w:p w14:paraId="238EB322">
      <w:pPr>
        <w:keepNext w:val="0"/>
        <w:keepLines w:val="0"/>
        <w:pageBreakBefore w:val="0"/>
        <w:widowControl/>
        <w:kinsoku w:val="0"/>
        <w:wordWrap w:val="0"/>
        <w:overflowPunct/>
        <w:topLinePunct w:val="0"/>
        <w:autoSpaceDE w:val="0"/>
        <w:autoSpaceDN w:val="0"/>
        <w:bidi w:val="0"/>
        <w:adjustRightInd w:val="0"/>
        <w:snapToGrid w:val="0"/>
        <w:spacing w:line="220" w:lineRule="auto"/>
        <w:ind w:left="496"/>
        <w:textAlignment w:val="baseline"/>
        <w:outlineLvl w:val="9"/>
        <w:rPr>
          <w:rFonts w:hint="eastAsia" w:ascii="宋体" w:hAnsi="宋体" w:eastAsia="宋体" w:cs="宋体"/>
          <w:color w:val="auto"/>
          <w:spacing w:val="0"/>
          <w:sz w:val="24"/>
          <w:szCs w:val="24"/>
          <w:highlight w:val="none"/>
        </w:rPr>
      </w:pPr>
      <w:bookmarkStart w:id="9" w:name="bookmark52"/>
      <w:bookmarkEnd w:id="9"/>
      <w:bookmarkStart w:id="10" w:name="bookmark59"/>
      <w:bookmarkEnd w:id="10"/>
      <w:bookmarkStart w:id="11" w:name="bookmark73"/>
      <w:bookmarkEnd w:id="11"/>
      <w:bookmarkStart w:id="12" w:name="_Toc15993"/>
      <w:r>
        <w:rPr>
          <w:rFonts w:hint="eastAsia" w:ascii="宋体" w:hAnsi="宋体" w:eastAsia="宋体" w:cs="宋体"/>
          <w:b/>
          <w:bCs/>
          <w:color w:val="auto"/>
          <w:spacing w:val="0"/>
          <w:sz w:val="24"/>
          <w:szCs w:val="24"/>
          <w:highlight w:val="none"/>
        </w:rPr>
        <w:t>1 ．项目概况、招标范围和标段划分、投标费用等</w:t>
      </w:r>
      <w:bookmarkEnd w:id="12"/>
    </w:p>
    <w:p w14:paraId="26BED16D">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  </w:t>
      </w:r>
      <w:r>
        <w:rPr>
          <w:rFonts w:hint="eastAsia" w:ascii="宋体" w:hAnsi="宋体" w:eastAsia="宋体" w:cs="宋体"/>
          <w:color w:val="auto"/>
          <w:spacing w:val="0"/>
          <w:sz w:val="24"/>
          <w:szCs w:val="24"/>
          <w:highlight w:val="none"/>
        </w:rPr>
        <w:t>项目概况</w:t>
      </w:r>
    </w:p>
    <w:p w14:paraId="33A0C0A8">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b/>
          <w:bCs/>
          <w:color w:val="auto"/>
          <w:spacing w:val="0"/>
          <w:sz w:val="24"/>
          <w:szCs w:val="24"/>
          <w:highlight w:val="none"/>
        </w:rPr>
        <w:t xml:space="preserve">1.1.1  </w:t>
      </w:r>
      <w:r>
        <w:rPr>
          <w:rFonts w:hint="eastAsia" w:ascii="宋体" w:hAnsi="宋体" w:eastAsia="宋体" w:cs="宋体"/>
          <w:color w:val="auto"/>
          <w:spacing w:val="0"/>
          <w:sz w:val="24"/>
          <w:szCs w:val="24"/>
          <w:highlight w:val="none"/>
        </w:rPr>
        <w:t>建设地点：</w:t>
      </w:r>
      <w:r>
        <w:rPr>
          <w:rFonts w:hint="eastAsia" w:ascii="宋体" w:hAnsi="宋体" w:eastAsia="宋体" w:cs="宋体"/>
          <w:color w:val="auto"/>
          <w:spacing w:val="0"/>
          <w:sz w:val="24"/>
          <w:szCs w:val="24"/>
          <w:highlight w:val="none"/>
          <w:u w:val="single"/>
          <w:lang w:val="en-US" w:eastAsia="zh-CN"/>
        </w:rPr>
        <w:t>马坝镇狮岩路68号马坝人-石峡遗址</w:t>
      </w:r>
      <w:r>
        <w:rPr>
          <w:rFonts w:hint="eastAsia" w:ascii="宋体" w:hAnsi="宋体" w:eastAsia="宋体" w:cs="宋体"/>
          <w:color w:val="auto"/>
          <w:spacing w:val="0"/>
          <w:sz w:val="24"/>
          <w:szCs w:val="24"/>
          <w:highlight w:val="none"/>
          <w:lang w:val="en-US" w:eastAsia="zh-CN"/>
        </w:rPr>
        <w:t>。</w:t>
      </w:r>
    </w:p>
    <w:p w14:paraId="3B072489">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1.1.2  </w:t>
      </w:r>
      <w:r>
        <w:rPr>
          <w:rFonts w:hint="eastAsia" w:ascii="宋体" w:hAnsi="宋体" w:eastAsia="宋体" w:cs="宋体"/>
          <w:color w:val="auto"/>
          <w:spacing w:val="0"/>
          <w:sz w:val="24"/>
          <w:szCs w:val="24"/>
          <w:highlight w:val="none"/>
        </w:rPr>
        <w:t>建设内容和规模：</w:t>
      </w:r>
    </w:p>
    <w:p w14:paraId="5AFB2442">
      <w:pPr>
        <w:keepNext w:val="0"/>
        <w:keepLines w:val="0"/>
        <w:pageBreakBefore w:val="0"/>
        <w:widowControl/>
        <w:kinsoku w:val="0"/>
        <w:wordWrap w:val="0"/>
        <w:overflowPunct/>
        <w:topLinePunct w:val="0"/>
        <w:autoSpaceDE w:val="0"/>
        <w:autoSpaceDN w:val="0"/>
        <w:bidi w:val="0"/>
        <w:adjustRightInd w:val="0"/>
        <w:snapToGrid w:val="0"/>
        <w:spacing w:line="360" w:lineRule="auto"/>
        <w:ind w:left="1436" w:leftChars="684" w:right="0" w:firstLine="0" w:firstLineChars="0"/>
        <w:textAlignment w:val="baseline"/>
        <w:outlineLvl w:val="9"/>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color w:val="auto"/>
          <w:spacing w:val="0"/>
          <w:sz w:val="24"/>
          <w:szCs w:val="24"/>
          <w:highlight w:val="none"/>
          <w:u w:val="single"/>
          <w:lang w:val="en-US" w:eastAsia="zh-CN"/>
        </w:rPr>
        <w:t>场地平整及绿化、遗址发掘区地表模拟及标识基础、展示道路、遗址展示亭、展陈设施、服务设施、电气给排水等。</w:t>
      </w:r>
    </w:p>
    <w:p w14:paraId="582D5F1D">
      <w:pPr>
        <w:keepNext w:val="0"/>
        <w:keepLines w:val="0"/>
        <w:pageBreakBefore w:val="0"/>
        <w:widowControl/>
        <w:kinsoku w:val="0"/>
        <w:wordWrap w:val="0"/>
        <w:overflowPunct/>
        <w:topLinePunct w:val="0"/>
        <w:autoSpaceDE w:val="0"/>
        <w:autoSpaceDN w:val="0"/>
        <w:bidi w:val="0"/>
        <w:adjustRightInd w:val="0"/>
        <w:snapToGrid w:val="0"/>
        <w:spacing w:line="360" w:lineRule="auto"/>
        <w:ind w:right="0" w:firstLine="482" w:firstLineChars="200"/>
        <w:textAlignment w:val="baseline"/>
        <w:outlineLvl w:val="9"/>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b/>
          <w:bCs/>
          <w:color w:val="auto"/>
          <w:spacing w:val="0"/>
          <w:sz w:val="24"/>
          <w:szCs w:val="24"/>
          <w:highlight w:val="none"/>
        </w:rPr>
        <w:t xml:space="preserve">1.1.3  </w:t>
      </w:r>
      <w:r>
        <w:rPr>
          <w:rFonts w:hint="eastAsia" w:ascii="宋体" w:hAnsi="宋体" w:eastAsia="宋体" w:cs="宋体"/>
          <w:color w:val="auto"/>
          <w:spacing w:val="0"/>
          <w:sz w:val="24"/>
          <w:szCs w:val="24"/>
          <w:highlight w:val="none"/>
        </w:rPr>
        <w:t>项目总投资</w:t>
      </w:r>
      <w:r>
        <w:rPr>
          <w:rStyle w:val="27"/>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sz w:val="24"/>
          <w:szCs w:val="24"/>
          <w:highlight w:val="none"/>
          <w:u w:val="single"/>
          <w:lang w:val="en-US" w:eastAsia="zh-CN"/>
        </w:rPr>
        <w:t>项目概算总投资777.00万元。</w:t>
      </w:r>
    </w:p>
    <w:p w14:paraId="16BD1157">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b/>
          <w:bCs/>
          <w:color w:val="auto"/>
          <w:spacing w:val="0"/>
          <w:sz w:val="24"/>
          <w:szCs w:val="24"/>
          <w:highlight w:val="none"/>
          <w:u w:val="none"/>
          <w:lang w:val="en-US" w:eastAsia="zh-CN"/>
        </w:rPr>
        <w:t xml:space="preserve">1.2 </w:t>
      </w:r>
      <w:r>
        <w:rPr>
          <w:rFonts w:hint="eastAsia" w:ascii="宋体" w:hAnsi="宋体" w:eastAsia="宋体" w:cs="宋体"/>
          <w:color w:val="auto"/>
          <w:spacing w:val="0"/>
          <w:sz w:val="24"/>
          <w:szCs w:val="24"/>
          <w:highlight w:val="none"/>
          <w:u w:val="single"/>
          <w:lang w:val="en-US" w:eastAsia="zh-CN"/>
        </w:rPr>
        <w:t xml:space="preserve"> 招标范围和标段划分</w:t>
      </w:r>
    </w:p>
    <w:p w14:paraId="03788986">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b/>
          <w:bCs/>
          <w:color w:val="auto"/>
          <w:spacing w:val="0"/>
          <w:sz w:val="24"/>
          <w:szCs w:val="24"/>
          <w:highlight w:val="none"/>
        </w:rPr>
        <w:t xml:space="preserve">1.2.1  </w:t>
      </w:r>
      <w:r>
        <w:rPr>
          <w:rFonts w:hint="eastAsia" w:ascii="宋体" w:hAnsi="宋体" w:eastAsia="宋体" w:cs="宋体"/>
          <w:color w:val="auto"/>
          <w:spacing w:val="0"/>
          <w:sz w:val="24"/>
          <w:szCs w:val="24"/>
          <w:highlight w:val="none"/>
        </w:rPr>
        <w:t>招标范围：</w:t>
      </w:r>
      <w:r>
        <w:rPr>
          <w:rFonts w:hint="eastAsia" w:ascii="宋体" w:hAnsi="宋体" w:eastAsia="宋体" w:cs="宋体"/>
          <w:color w:val="auto"/>
          <w:spacing w:val="0"/>
          <w:sz w:val="24"/>
          <w:szCs w:val="24"/>
          <w:highlight w:val="none"/>
          <w:lang w:eastAsia="zh-CN"/>
        </w:rPr>
        <w:t>按审查合格的施工图纸及工程量清单内容施工。</w:t>
      </w:r>
    </w:p>
    <w:p w14:paraId="0DFB5F34">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bookmarkStart w:id="13" w:name="_Toc28202"/>
      <w:bookmarkStart w:id="14" w:name="_Toc20855"/>
      <w:bookmarkStart w:id="15" w:name="_Toc14190"/>
      <w:bookmarkStart w:id="16" w:name="_Toc24593"/>
      <w:r>
        <w:rPr>
          <w:rFonts w:hint="eastAsia" w:ascii="宋体" w:hAnsi="宋体" w:eastAsia="宋体" w:cs="宋体"/>
          <w:b/>
          <w:bCs/>
          <w:color w:val="auto"/>
          <w:spacing w:val="0"/>
          <w:sz w:val="24"/>
          <w:szCs w:val="24"/>
          <w:highlight w:val="none"/>
        </w:rPr>
        <w:t xml:space="preserve">1.2.2  </w:t>
      </w:r>
      <w:r>
        <w:rPr>
          <w:rFonts w:hint="eastAsia" w:ascii="宋体" w:hAnsi="宋体" w:eastAsia="宋体" w:cs="宋体"/>
          <w:color w:val="auto"/>
          <w:spacing w:val="0"/>
          <w:sz w:val="24"/>
          <w:szCs w:val="24"/>
          <w:highlight w:val="none"/>
        </w:rPr>
        <w:t>标段划分：本招标项目不划分标段。</w:t>
      </w:r>
      <w:bookmarkEnd w:id="13"/>
      <w:bookmarkEnd w:id="14"/>
      <w:bookmarkEnd w:id="15"/>
      <w:bookmarkEnd w:id="16"/>
    </w:p>
    <w:p w14:paraId="3BE6141C">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  </w:t>
      </w:r>
      <w:r>
        <w:rPr>
          <w:rFonts w:hint="eastAsia" w:ascii="宋体" w:hAnsi="宋体" w:eastAsia="宋体" w:cs="宋体"/>
          <w:color w:val="auto"/>
          <w:spacing w:val="0"/>
          <w:sz w:val="24"/>
          <w:szCs w:val="24"/>
          <w:highlight w:val="none"/>
        </w:rPr>
        <w:t>投标费用：投标人应承担所有准备和参加投标的相关费用，不论投标结果如何，招标人均无义务和责任承担这些费用。</w:t>
      </w:r>
    </w:p>
    <w:p w14:paraId="6DC29DD6">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  </w:t>
      </w:r>
      <w:r>
        <w:rPr>
          <w:rFonts w:hint="eastAsia" w:ascii="宋体" w:hAnsi="宋体" w:eastAsia="宋体" w:cs="宋体"/>
          <w:color w:val="auto"/>
          <w:spacing w:val="0"/>
          <w:sz w:val="24"/>
          <w:szCs w:val="24"/>
          <w:highlight w:val="none"/>
        </w:rPr>
        <w:t xml:space="preserve">招标代理费用：  </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shd w:val="clear" w:color="auto" w:fill="FFFFFF"/>
        </w:rPr>
        <w:t xml:space="preserve"> 由</w:t>
      </w:r>
      <w:r>
        <w:rPr>
          <w:rFonts w:hint="eastAsia" w:ascii="宋体" w:hAnsi="宋体" w:eastAsia="宋体" w:cs="宋体"/>
          <w:color w:val="auto"/>
          <w:spacing w:val="0"/>
          <w:sz w:val="24"/>
          <w:szCs w:val="24"/>
          <w:highlight w:val="none"/>
        </w:rPr>
        <w:t>项目业主</w:t>
      </w:r>
      <w:r>
        <w:rPr>
          <w:rFonts w:hint="eastAsia" w:ascii="宋体" w:hAnsi="宋体" w:eastAsia="宋体" w:cs="宋体"/>
          <w:color w:val="auto"/>
          <w:spacing w:val="0"/>
          <w:sz w:val="24"/>
          <w:szCs w:val="24"/>
          <w:highlight w:val="none"/>
          <w:shd w:val="clear" w:color="auto" w:fill="FFFFFF"/>
        </w:rPr>
        <w:t>支</w:t>
      </w:r>
      <w:r>
        <w:rPr>
          <w:rFonts w:hint="eastAsia" w:ascii="宋体" w:hAnsi="宋体" w:eastAsia="宋体" w:cs="宋体"/>
          <w:color w:val="auto"/>
          <w:spacing w:val="0"/>
          <w:sz w:val="24"/>
          <w:szCs w:val="24"/>
          <w:highlight w:val="none"/>
        </w:rPr>
        <w:t>付</w:t>
      </w:r>
      <w:r>
        <w:rPr>
          <w:rFonts w:hint="eastAsia" w:ascii="宋体" w:hAnsi="宋体" w:eastAsia="宋体" w:cs="宋体"/>
          <w:color w:val="auto"/>
          <w:spacing w:val="0"/>
          <w:position w:val="-6"/>
          <w:sz w:val="24"/>
          <w:szCs w:val="24"/>
          <w:highlight w:val="none"/>
          <w:shd w:val="clear" w:color="auto" w:fill="FFFFFF"/>
          <w:lang w:eastAsia="zh-CN"/>
        </w:rPr>
        <w:t xml:space="preserve"> </w:t>
      </w:r>
      <w:r>
        <w:rPr>
          <w:rFonts w:hint="eastAsia" w:ascii="宋体" w:hAnsi="宋体" w:eastAsia="宋体" w:cs="宋体"/>
          <w:color w:val="auto"/>
          <w:spacing w:val="0"/>
          <w:sz w:val="24"/>
          <w:szCs w:val="24"/>
          <w:highlight w:val="none"/>
          <w:shd w:val="clear" w:color="auto" w:fill="FFFFFF"/>
          <w:lang w:eastAsia="zh-CN"/>
        </w:rPr>
        <w:t>☑</w:t>
      </w:r>
      <w:r>
        <w:rPr>
          <w:rFonts w:hint="eastAsia" w:ascii="宋体" w:hAnsi="宋体" w:eastAsia="宋体" w:cs="宋体"/>
          <w:color w:val="auto"/>
          <w:spacing w:val="0"/>
          <w:sz w:val="24"/>
          <w:szCs w:val="24"/>
          <w:highlight w:val="none"/>
          <w:shd w:val="clear" w:color="auto" w:fill="FFFFFF"/>
        </w:rPr>
        <w:t xml:space="preserve"> 由中标人支付。</w:t>
      </w:r>
    </w:p>
    <w:p w14:paraId="3514024E">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jc w:val="left"/>
        <w:textAlignment w:val="baseline"/>
        <w:outlineLvl w:val="9"/>
        <w:rPr>
          <w:rFonts w:hint="eastAsia" w:ascii="宋体" w:hAnsi="宋体" w:eastAsia="宋体" w:cs="宋体"/>
          <w:b w:val="0"/>
          <w:bCs w:val="0"/>
          <w:color w:val="auto"/>
          <w:spacing w:val="0"/>
          <w:sz w:val="24"/>
          <w:szCs w:val="24"/>
          <w:highlight w:val="none"/>
        </w:rPr>
      </w:pPr>
      <w:r>
        <w:rPr>
          <w:rFonts w:hint="eastAsia" w:ascii="宋体" w:hAnsi="宋体" w:eastAsia="宋体" w:cs="宋体"/>
          <w:b/>
          <w:bCs/>
          <w:color w:val="auto"/>
          <w:spacing w:val="0"/>
          <w:sz w:val="24"/>
          <w:szCs w:val="24"/>
          <w:highlight w:val="none"/>
        </w:rPr>
        <w:t>2．</w:t>
      </w:r>
      <w:r>
        <w:rPr>
          <w:rFonts w:hint="eastAsia" w:ascii="宋体" w:hAnsi="宋体" w:eastAsia="宋体" w:cs="宋体"/>
          <w:b w:val="0"/>
          <w:bCs w:val="0"/>
          <w:color w:val="auto"/>
          <w:spacing w:val="0"/>
          <w:sz w:val="24"/>
          <w:szCs w:val="24"/>
          <w:highlight w:val="none"/>
          <w:lang w:eastAsia="zh-CN"/>
        </w:rPr>
        <w:t>投标人</w:t>
      </w:r>
      <w:r>
        <w:rPr>
          <w:rFonts w:hint="eastAsia" w:ascii="宋体" w:hAnsi="宋体" w:eastAsia="宋体" w:cs="宋体"/>
          <w:b w:val="0"/>
          <w:bCs w:val="0"/>
          <w:color w:val="auto"/>
          <w:spacing w:val="0"/>
          <w:sz w:val="24"/>
          <w:szCs w:val="24"/>
          <w:highlight w:val="none"/>
        </w:rPr>
        <w:t>资质要求</w:t>
      </w:r>
    </w:p>
    <w:p w14:paraId="5F354E72">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Style w:val="27"/>
          <w:rFonts w:hint="eastAsia" w:ascii="宋体" w:hAnsi="宋体" w:eastAsia="宋体" w:cs="宋体"/>
          <w:b w:val="0"/>
          <w:bCs w:val="0"/>
          <w:color w:val="auto"/>
          <w:spacing w:val="0"/>
          <w:kern w:val="0"/>
          <w:sz w:val="24"/>
          <w:szCs w:val="24"/>
          <w:highlight w:val="none"/>
          <w:lang w:val="en-US" w:eastAsia="zh-CN"/>
        </w:rPr>
      </w:pPr>
      <w:r>
        <w:rPr>
          <w:rStyle w:val="27"/>
          <w:rFonts w:hint="eastAsia" w:ascii="宋体" w:hAnsi="宋体" w:eastAsia="宋体" w:cs="宋体"/>
          <w:b/>
          <w:bCs/>
          <w:color w:val="auto"/>
          <w:spacing w:val="0"/>
          <w:kern w:val="0"/>
          <w:sz w:val="24"/>
          <w:szCs w:val="24"/>
          <w:highlight w:val="none"/>
          <w:lang w:val="en-US" w:eastAsia="zh-CN"/>
        </w:rPr>
        <w:t>2.1</w:t>
      </w:r>
      <w:r>
        <w:rPr>
          <w:rStyle w:val="27"/>
          <w:rFonts w:hint="eastAsia" w:ascii="宋体" w:hAnsi="宋体" w:eastAsia="宋体" w:cs="宋体"/>
          <w:b w:val="0"/>
          <w:bCs w:val="0"/>
          <w:color w:val="auto"/>
          <w:spacing w:val="0"/>
          <w:kern w:val="0"/>
          <w:sz w:val="24"/>
          <w:szCs w:val="24"/>
          <w:highlight w:val="none"/>
          <w:lang w:val="en-US" w:eastAsia="zh-CN"/>
        </w:rPr>
        <w:t xml:space="preserve"> 本次招标不</w:t>
      </w:r>
      <w:r>
        <w:rPr>
          <w:rStyle w:val="27"/>
          <w:rFonts w:hint="eastAsia" w:ascii="宋体" w:hAnsi="宋体" w:eastAsia="宋体" w:cs="宋体"/>
          <w:b/>
          <w:bCs/>
          <w:color w:val="auto"/>
          <w:spacing w:val="0"/>
          <w:kern w:val="0"/>
          <w:sz w:val="24"/>
          <w:szCs w:val="24"/>
          <w:highlight w:val="none"/>
          <w:lang w:val="en-US" w:eastAsia="zh-CN"/>
        </w:rPr>
        <w:t>接受</w:t>
      </w:r>
      <w:r>
        <w:rPr>
          <w:rStyle w:val="27"/>
          <w:rFonts w:hint="eastAsia" w:ascii="宋体" w:hAnsi="宋体" w:eastAsia="宋体" w:cs="宋体"/>
          <w:b w:val="0"/>
          <w:bCs w:val="0"/>
          <w:color w:val="auto"/>
          <w:spacing w:val="0"/>
          <w:kern w:val="0"/>
          <w:sz w:val="24"/>
          <w:szCs w:val="24"/>
          <w:highlight w:val="none"/>
          <w:lang w:val="en-US" w:eastAsia="zh-CN"/>
        </w:rPr>
        <w:t>联合体投标。</w:t>
      </w:r>
    </w:p>
    <w:p w14:paraId="466635E0">
      <w:pPr>
        <w:wordWrap w:val="0"/>
        <w:adjustRightInd w:val="0"/>
        <w:snapToGrid w:val="0"/>
        <w:spacing w:line="440" w:lineRule="exact"/>
        <w:ind w:firstLine="482" w:firstLineChars="200"/>
        <w:jc w:val="left"/>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2.2</w:t>
      </w:r>
      <w:r>
        <w:rPr>
          <w:rFonts w:hint="eastAsia" w:ascii="宋体" w:hAnsi="宋体" w:eastAsia="宋体" w:cs="宋体"/>
          <w:snapToGrid w:val="0"/>
          <w:kern w:val="0"/>
          <w:sz w:val="24"/>
          <w:szCs w:val="24"/>
          <w:highlight w:val="none"/>
        </w:rPr>
        <w:t xml:space="preserve"> 资格资质要求</w:t>
      </w:r>
    </w:p>
    <w:p w14:paraId="4676C061">
      <w:pPr>
        <w:pStyle w:val="29"/>
        <w:wordWrap w:val="0"/>
        <w:adjustRightInd w:val="0"/>
        <w:snapToGrid w:val="0"/>
        <w:spacing w:line="440" w:lineRule="exact"/>
        <w:ind w:firstLine="480"/>
        <w:jc w:val="left"/>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2.2.1</w:t>
      </w:r>
      <w:r>
        <w:rPr>
          <w:rFonts w:hint="eastAsia" w:ascii="宋体" w:hAnsi="宋体" w:eastAsia="宋体" w:cs="宋体"/>
          <w:snapToGrid w:val="0"/>
          <w:kern w:val="0"/>
          <w:sz w:val="24"/>
          <w:szCs w:val="24"/>
          <w:highlight w:val="none"/>
        </w:rPr>
        <w:t xml:space="preserve"> 投标人须具备独立法人资格，按国家法律经营。</w:t>
      </w:r>
    </w:p>
    <w:p w14:paraId="74AAEE2D">
      <w:pPr>
        <w:pStyle w:val="29"/>
        <w:wordWrap w:val="0"/>
        <w:adjustRightInd w:val="0"/>
        <w:snapToGrid w:val="0"/>
        <w:spacing w:line="360" w:lineRule="auto"/>
        <w:ind w:firstLine="480"/>
        <w:jc w:val="left"/>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kern w:val="0"/>
          <w:sz w:val="24"/>
          <w:szCs w:val="24"/>
          <w:highlight w:val="none"/>
        </w:rPr>
        <w:t>2.2.2</w:t>
      </w:r>
      <w:r>
        <w:rPr>
          <w:rFonts w:hint="eastAsia" w:ascii="宋体" w:hAnsi="宋体" w:eastAsia="宋体" w:cs="宋体"/>
          <w:snapToGrid w:val="0"/>
          <w:kern w:val="0"/>
          <w:sz w:val="24"/>
          <w:szCs w:val="24"/>
          <w:highlight w:val="none"/>
        </w:rPr>
        <w:t xml:space="preserve"> 投标人须持有</w:t>
      </w:r>
      <w:r>
        <w:rPr>
          <w:rFonts w:hint="eastAsia" w:ascii="宋体" w:hAnsi="宋体" w:eastAsia="宋体" w:cs="宋体"/>
          <w:snapToGrid w:val="0"/>
          <w:kern w:val="0"/>
          <w:sz w:val="24"/>
          <w:szCs w:val="24"/>
          <w:highlight w:val="none"/>
          <w:lang w:val="en-US" w:eastAsia="zh-CN"/>
        </w:rPr>
        <w:t>文物主管部门颁发的其企业资质证书以及</w:t>
      </w:r>
      <w:r>
        <w:rPr>
          <w:rFonts w:hint="eastAsia" w:ascii="宋体" w:hAnsi="宋体" w:eastAsia="宋体" w:cs="宋体"/>
          <w:snapToGrid w:val="0"/>
          <w:kern w:val="0"/>
          <w:sz w:val="24"/>
          <w:szCs w:val="24"/>
          <w:highlight w:val="none"/>
        </w:rPr>
        <w:t>建设行政主管部门颁发的安全生产许可证。</w:t>
      </w:r>
    </w:p>
    <w:p w14:paraId="4C9548BC">
      <w:pPr>
        <w:spacing w:line="360" w:lineRule="auto"/>
        <w:ind w:left="210" w:leftChars="100" w:firstLine="241" w:firstLineChars="100"/>
        <w:rPr>
          <w:rFonts w:hint="eastAsia" w:ascii="宋体" w:hAnsi="宋体" w:eastAsia="宋体" w:cs="宋体"/>
          <w:snapToGrid w:val="0"/>
          <w:kern w:val="0"/>
          <w:sz w:val="24"/>
          <w:szCs w:val="24"/>
          <w:highlight w:val="none"/>
        </w:rPr>
      </w:pPr>
      <w:r>
        <w:rPr>
          <w:rFonts w:hint="eastAsia" w:ascii="宋体" w:hAnsi="宋体" w:eastAsia="宋体" w:cs="宋体"/>
          <w:b/>
          <w:bCs/>
          <w:snapToGrid w:val="0"/>
          <w:color w:val="000000"/>
          <w:kern w:val="0"/>
          <w:sz w:val="24"/>
          <w:szCs w:val="24"/>
          <w:highlight w:val="none"/>
          <w:lang w:val="en-US" w:eastAsia="zh-CN" w:bidi="ar-SA"/>
        </w:rPr>
        <w:t>2.3.3</w:t>
      </w:r>
      <w:r>
        <w:rPr>
          <w:rFonts w:hint="eastAsia" w:ascii="宋体" w:hAnsi="宋体" w:eastAsia="宋体" w:cs="宋体"/>
          <w:snapToGrid w:val="0"/>
          <w:color w:val="000000"/>
          <w:kern w:val="0"/>
          <w:sz w:val="24"/>
          <w:szCs w:val="24"/>
          <w:highlight w:val="none"/>
          <w:lang w:val="en-US" w:eastAsia="zh-CN" w:bidi="ar-SA"/>
        </w:rPr>
        <w:t>投标人须具同时备以下资质：</w:t>
      </w:r>
      <w:r>
        <w:rPr>
          <w:rFonts w:hint="eastAsia" w:ascii="宋体" w:hAnsi="宋体" w:eastAsia="宋体" w:cs="宋体"/>
          <w:snapToGrid w:val="0"/>
          <w:color w:val="000000"/>
          <w:kern w:val="0"/>
          <w:sz w:val="24"/>
          <w:szCs w:val="24"/>
          <w:highlight w:val="none"/>
          <w:lang w:val="en-US" w:eastAsia="zh-CN" w:bidi="ar-SA"/>
        </w:rPr>
        <w:br w:type="textWrapping"/>
      </w:r>
      <w:r>
        <w:rPr>
          <w:rFonts w:hint="eastAsia" w:ascii="宋体" w:hAnsi="宋体" w:eastAsia="宋体" w:cs="宋体"/>
          <w:b/>
          <w:bCs/>
          <w:snapToGrid w:val="0"/>
          <w:color w:val="000000"/>
          <w:kern w:val="0"/>
          <w:sz w:val="24"/>
          <w:szCs w:val="24"/>
          <w:highlight w:val="none"/>
          <w:lang w:val="en-US" w:eastAsia="zh-CN" w:bidi="ar-SA"/>
        </w:rPr>
        <w:t>①</w:t>
      </w:r>
      <w:r>
        <w:rPr>
          <w:rFonts w:hint="eastAsia" w:ascii="宋体" w:hAnsi="宋体" w:eastAsia="宋体" w:cs="宋体"/>
          <w:b/>
          <w:bCs/>
          <w:snapToGrid w:val="0"/>
          <w:color w:val="000000"/>
          <w:kern w:val="0"/>
          <w:sz w:val="24"/>
          <w:szCs w:val="24"/>
          <w:highlight w:val="none"/>
          <w:lang w:val="en-US" w:eastAsia="en-US" w:bidi="ar-SA"/>
        </w:rPr>
        <w:t>文物保护工程施工一级资质（业务范围须包括：古文化遗址古墓葬）</w:t>
      </w:r>
    </w:p>
    <w:p w14:paraId="52BF4491">
      <w:pPr>
        <w:pStyle w:val="29"/>
        <w:wordWrap w:val="0"/>
        <w:adjustRightInd w:val="0"/>
        <w:snapToGrid w:val="0"/>
        <w:spacing w:line="440" w:lineRule="exact"/>
        <w:ind w:firstLine="480"/>
        <w:jc w:val="left"/>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kern w:val="0"/>
          <w:sz w:val="24"/>
          <w:szCs w:val="24"/>
          <w:highlight w:val="none"/>
        </w:rPr>
        <w:t>2.2.4</w:t>
      </w:r>
      <w:r>
        <w:rPr>
          <w:rFonts w:hint="eastAsia" w:ascii="宋体" w:hAnsi="宋体" w:eastAsia="宋体" w:cs="宋体"/>
          <w:snapToGrid w:val="0"/>
          <w:kern w:val="0"/>
          <w:sz w:val="24"/>
          <w:szCs w:val="24"/>
          <w:highlight w:val="none"/>
        </w:rPr>
        <w:t xml:space="preserve"> </w:t>
      </w:r>
      <w:r>
        <w:rPr>
          <w:rFonts w:hint="eastAsia" w:ascii="宋体" w:hAnsi="宋体" w:eastAsia="宋体" w:cs="宋体"/>
          <w:snapToGrid w:val="0"/>
          <w:color w:val="000000"/>
          <w:kern w:val="0"/>
          <w:sz w:val="24"/>
          <w:szCs w:val="24"/>
          <w:highlight w:val="none"/>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47CBFC2C">
      <w:pPr>
        <w:pStyle w:val="29"/>
        <w:wordWrap w:val="0"/>
        <w:adjustRightInd w:val="0"/>
        <w:snapToGrid w:val="0"/>
        <w:spacing w:line="440" w:lineRule="exact"/>
        <w:ind w:firstLine="480"/>
        <w:jc w:val="left"/>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2.3</w:t>
      </w:r>
      <w:r>
        <w:rPr>
          <w:rFonts w:hint="eastAsia" w:ascii="宋体" w:hAnsi="宋体" w:eastAsia="宋体" w:cs="宋体"/>
          <w:snapToGrid w:val="0"/>
          <w:kern w:val="0"/>
          <w:sz w:val="24"/>
          <w:szCs w:val="24"/>
          <w:highlight w:val="none"/>
        </w:rPr>
        <w:t xml:space="preserve"> 相关人员要求</w:t>
      </w:r>
    </w:p>
    <w:p w14:paraId="66D73112">
      <w:pPr>
        <w:wordWrap w:val="0"/>
        <w:adjustRightInd w:val="0"/>
        <w:snapToGrid w:val="0"/>
        <w:spacing w:line="400" w:lineRule="exact"/>
        <w:ind w:left="210" w:leftChars="100" w:firstLine="0" w:firstLineChars="0"/>
        <w:rPr>
          <w:rFonts w:hint="eastAsia" w:ascii="宋体" w:hAnsi="宋体" w:eastAsia="宋体" w:cs="宋体"/>
          <w:snapToGrid w:val="0"/>
          <w:kern w:val="0"/>
          <w:sz w:val="24"/>
          <w:szCs w:val="24"/>
          <w:highlight w:val="none"/>
          <w:lang w:val="en-US" w:eastAsia="zh-CN"/>
        </w:rPr>
      </w:pPr>
      <w:r>
        <w:rPr>
          <w:rFonts w:hint="eastAsia" w:ascii="宋体" w:hAnsi="宋体" w:eastAsia="宋体" w:cs="宋体"/>
          <w:b/>
          <w:bCs/>
          <w:snapToGrid w:val="0"/>
          <w:kern w:val="0"/>
          <w:sz w:val="24"/>
          <w:szCs w:val="24"/>
          <w:highlight w:val="none"/>
        </w:rPr>
        <w:t>2.3.1</w:t>
      </w:r>
      <w:r>
        <w:rPr>
          <w:rFonts w:hint="eastAsia" w:ascii="宋体" w:hAnsi="宋体" w:eastAsia="宋体" w:cs="宋体"/>
          <w:snapToGrid w:val="0"/>
          <w:kern w:val="0"/>
          <w:sz w:val="24"/>
          <w:szCs w:val="24"/>
          <w:highlight w:val="none"/>
        </w:rPr>
        <w:t xml:space="preserve"> 拟派项目经理</w:t>
      </w:r>
      <w:r>
        <w:rPr>
          <w:rFonts w:hint="eastAsia" w:ascii="宋体" w:hAnsi="宋体" w:eastAsia="宋体" w:cs="宋体"/>
          <w:snapToGrid w:val="0"/>
          <w:kern w:val="0"/>
          <w:sz w:val="24"/>
          <w:szCs w:val="24"/>
          <w:highlight w:val="none"/>
          <w:lang w:val="en-US" w:eastAsia="zh-CN"/>
        </w:rPr>
        <w:t>须具备</w:t>
      </w:r>
      <w:r>
        <w:rPr>
          <w:rFonts w:hint="eastAsia" w:ascii="宋体" w:hAnsi="宋体" w:eastAsia="宋体" w:cs="宋体"/>
          <w:snapToGrid w:val="0"/>
          <w:kern w:val="0"/>
          <w:sz w:val="24"/>
          <w:szCs w:val="24"/>
          <w:highlight w:val="none"/>
        </w:rPr>
        <w:t>文物保护工程责任工程师（业务范围须包括：</w:t>
      </w:r>
      <w:r>
        <w:rPr>
          <w:rFonts w:hint="eastAsia" w:ascii="宋体" w:hAnsi="宋体" w:eastAsia="宋体" w:cs="宋体"/>
          <w:b/>
          <w:bCs/>
          <w:snapToGrid w:val="0"/>
          <w:kern w:val="0"/>
          <w:sz w:val="24"/>
          <w:szCs w:val="24"/>
          <w:highlight w:val="none"/>
        </w:rPr>
        <w:t>古文化遗址古墓葬</w:t>
      </w:r>
      <w:r>
        <w:rPr>
          <w:rFonts w:hint="eastAsia" w:ascii="宋体" w:hAnsi="宋体" w:eastAsia="宋体" w:cs="宋体"/>
          <w:snapToGrid w:val="0"/>
          <w:kern w:val="0"/>
          <w:sz w:val="24"/>
          <w:szCs w:val="24"/>
          <w:highlight w:val="none"/>
        </w:rPr>
        <w:t>）</w:t>
      </w:r>
      <w:r>
        <w:rPr>
          <w:rFonts w:hint="eastAsia" w:ascii="宋体" w:hAnsi="宋体" w:eastAsia="宋体" w:cs="宋体"/>
          <w:snapToGrid w:val="0"/>
          <w:kern w:val="0"/>
          <w:sz w:val="24"/>
          <w:szCs w:val="24"/>
          <w:highlight w:val="none"/>
          <w:lang w:eastAsia="zh-CN"/>
        </w:rPr>
        <w:t>。</w:t>
      </w:r>
    </w:p>
    <w:p w14:paraId="4141254D">
      <w:pPr>
        <w:pStyle w:val="29"/>
        <w:wordWrap w:val="0"/>
        <w:adjustRightInd w:val="0"/>
        <w:snapToGrid w:val="0"/>
        <w:spacing w:line="440" w:lineRule="exact"/>
        <w:ind w:firstLine="480"/>
        <w:jc w:val="left"/>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2.3.2</w:t>
      </w:r>
      <w:r>
        <w:rPr>
          <w:rFonts w:hint="eastAsia" w:ascii="宋体" w:hAnsi="宋体" w:eastAsia="宋体" w:cs="宋体"/>
          <w:snapToGrid w:val="0"/>
          <w:kern w:val="0"/>
          <w:sz w:val="24"/>
          <w:szCs w:val="24"/>
          <w:highlight w:val="none"/>
        </w:rPr>
        <w:t xml:space="preserve"> </w:t>
      </w:r>
      <w:r>
        <w:rPr>
          <w:rFonts w:hint="eastAsia" w:ascii="宋体" w:hAnsi="宋体" w:eastAsia="宋体" w:cs="宋体"/>
          <w:snapToGrid w:val="0"/>
          <w:color w:val="000000"/>
          <w:kern w:val="0"/>
          <w:sz w:val="24"/>
          <w:szCs w:val="24"/>
          <w:highlight w:val="none"/>
        </w:rPr>
        <w:t>拟派项目技术负责人须具备</w:t>
      </w:r>
      <w:r>
        <w:rPr>
          <w:rFonts w:hint="eastAsia" w:ascii="宋体" w:hAnsi="宋体" w:eastAsia="宋体" w:cs="宋体"/>
          <w:b/>
          <w:bCs/>
          <w:snapToGrid w:val="0"/>
          <w:color w:val="000000"/>
          <w:kern w:val="0"/>
          <w:sz w:val="24"/>
          <w:szCs w:val="24"/>
          <w:highlight w:val="none"/>
          <w:u w:val="single"/>
        </w:rPr>
        <w:t>工程</w:t>
      </w:r>
      <w:r>
        <w:rPr>
          <w:rFonts w:hint="eastAsia" w:ascii="宋体" w:hAnsi="宋体" w:cs="宋体"/>
          <w:b/>
          <w:bCs/>
          <w:snapToGrid w:val="0"/>
          <w:color w:val="000000"/>
          <w:kern w:val="0"/>
          <w:sz w:val="24"/>
          <w:szCs w:val="24"/>
          <w:highlight w:val="none"/>
          <w:u w:val="single"/>
          <w:lang w:val="en-US" w:eastAsia="zh-CN"/>
        </w:rPr>
        <w:t>类</w:t>
      </w:r>
      <w:r>
        <w:rPr>
          <w:rFonts w:hint="eastAsia" w:ascii="宋体" w:hAnsi="宋体" w:eastAsia="宋体" w:cs="宋体"/>
          <w:snapToGrid w:val="0"/>
          <w:color w:val="000000"/>
          <w:kern w:val="0"/>
          <w:sz w:val="24"/>
          <w:szCs w:val="24"/>
          <w:highlight w:val="none"/>
        </w:rPr>
        <w:t>相关专业</w:t>
      </w:r>
      <w:r>
        <w:rPr>
          <w:rFonts w:hint="eastAsia" w:ascii="宋体" w:hAnsi="宋体" w:eastAsia="宋体" w:cs="宋体"/>
          <w:snapToGrid w:val="0"/>
          <w:color w:val="000000"/>
          <w:kern w:val="0"/>
          <w:sz w:val="24"/>
          <w:szCs w:val="24"/>
          <w:highlight w:val="none"/>
          <w:u w:val="single"/>
        </w:rPr>
        <w:t>中</w:t>
      </w:r>
      <w:r>
        <w:rPr>
          <w:rFonts w:hint="eastAsia" w:ascii="宋体" w:hAnsi="宋体" w:eastAsia="宋体" w:cs="宋体"/>
          <w:snapToGrid w:val="0"/>
          <w:color w:val="000000"/>
          <w:kern w:val="0"/>
          <w:sz w:val="24"/>
          <w:szCs w:val="24"/>
          <w:highlight w:val="none"/>
        </w:rPr>
        <w:t>级或以上技术职称。</w:t>
      </w:r>
    </w:p>
    <w:p w14:paraId="7C3A9869">
      <w:pPr>
        <w:pStyle w:val="29"/>
        <w:wordWrap w:val="0"/>
        <w:adjustRightInd w:val="0"/>
        <w:snapToGrid w:val="0"/>
        <w:spacing w:line="440" w:lineRule="exact"/>
        <w:ind w:firstLine="480"/>
        <w:jc w:val="left"/>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2.3.3</w:t>
      </w:r>
      <w:r>
        <w:rPr>
          <w:rFonts w:hint="eastAsia" w:ascii="宋体" w:hAnsi="宋体" w:eastAsia="宋体" w:cs="宋体"/>
          <w:snapToGrid w:val="0"/>
          <w:kern w:val="0"/>
          <w:sz w:val="24"/>
          <w:szCs w:val="24"/>
          <w:highlight w:val="none"/>
        </w:rPr>
        <w:t xml:space="preserve"> </w:t>
      </w:r>
      <w:r>
        <w:rPr>
          <w:rFonts w:hint="eastAsia" w:ascii="宋体" w:hAnsi="宋体" w:eastAsia="宋体" w:cs="宋体"/>
          <w:snapToGrid w:val="0"/>
          <w:color w:val="000000"/>
          <w:kern w:val="0"/>
          <w:sz w:val="24"/>
          <w:szCs w:val="24"/>
          <w:highlight w:val="none"/>
        </w:rPr>
        <w:t>拟派专职安全生产管理人员须具备有效安全生产考核合格证明（C证，安全生产考核合格证书或“广东省建筑施工企业管理人员安全生产考核信息系统”考核合格信息打印页），且不少于</w:t>
      </w:r>
      <w:r>
        <w:rPr>
          <w:rFonts w:hint="eastAsia" w:ascii="宋体" w:hAnsi="宋体" w:eastAsia="宋体" w:cs="宋体"/>
          <w:snapToGrid w:val="0"/>
          <w:color w:val="000000"/>
          <w:kern w:val="0"/>
          <w:sz w:val="24"/>
          <w:szCs w:val="24"/>
          <w:highlight w:val="none"/>
          <w:u w:val="single"/>
        </w:rPr>
        <w:t>1</w:t>
      </w:r>
      <w:r>
        <w:rPr>
          <w:rFonts w:hint="eastAsia" w:ascii="宋体" w:hAnsi="宋体" w:eastAsia="宋体" w:cs="宋体"/>
          <w:snapToGrid w:val="0"/>
          <w:color w:val="000000"/>
          <w:kern w:val="0"/>
          <w:sz w:val="24"/>
          <w:szCs w:val="24"/>
          <w:highlight w:val="none"/>
        </w:rPr>
        <w:t xml:space="preserve">人。 </w:t>
      </w:r>
    </w:p>
    <w:p w14:paraId="7944B769">
      <w:pPr>
        <w:pStyle w:val="29"/>
        <w:wordWrap w:val="0"/>
        <w:adjustRightInd w:val="0"/>
        <w:snapToGrid w:val="0"/>
        <w:spacing w:line="440" w:lineRule="exact"/>
        <w:ind w:firstLine="480"/>
        <w:jc w:val="left"/>
        <w:rPr>
          <w:rFonts w:hint="eastAsia" w:ascii="宋体" w:hAnsi="宋体" w:eastAsia="宋体" w:cs="宋体"/>
          <w:snapToGrid w:val="0"/>
          <w:color w:val="000000"/>
          <w:kern w:val="0"/>
          <w:sz w:val="24"/>
          <w:szCs w:val="24"/>
          <w:highlight w:val="none"/>
        </w:rPr>
      </w:pPr>
      <w:r>
        <w:rPr>
          <w:rFonts w:hint="eastAsia" w:ascii="宋体" w:hAnsi="宋体" w:eastAsia="宋体" w:cs="宋体"/>
          <w:b/>
          <w:bCs/>
          <w:snapToGrid w:val="0"/>
          <w:kern w:val="0"/>
          <w:sz w:val="24"/>
          <w:szCs w:val="24"/>
          <w:highlight w:val="none"/>
        </w:rPr>
        <w:t>2.3.4</w:t>
      </w:r>
      <w:r>
        <w:rPr>
          <w:rFonts w:hint="eastAsia" w:ascii="宋体" w:hAnsi="宋体" w:eastAsia="宋体" w:cs="宋体"/>
          <w:snapToGrid w:val="0"/>
          <w:kern w:val="0"/>
          <w:sz w:val="24"/>
          <w:szCs w:val="24"/>
          <w:highlight w:val="none"/>
        </w:rPr>
        <w:t xml:space="preserve"> </w:t>
      </w:r>
      <w:r>
        <w:rPr>
          <w:rFonts w:hint="eastAsia" w:ascii="宋体" w:hAnsi="宋体" w:eastAsia="宋体" w:cs="宋体"/>
          <w:snapToGrid w:val="0"/>
          <w:color w:val="000000"/>
          <w:kern w:val="0"/>
          <w:sz w:val="24"/>
          <w:szCs w:val="24"/>
          <w:highlight w:val="none"/>
        </w:rPr>
        <w:t>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6B5D9824">
      <w:pPr>
        <w:keepNext w:val="0"/>
        <w:keepLines w:val="0"/>
        <w:pageBreakBefore w:val="0"/>
        <w:wordWrap w:val="0"/>
        <w:overflowPunct/>
        <w:topLinePunct w:val="0"/>
        <w:bidi w:val="0"/>
        <w:spacing w:before="78" w:line="220" w:lineRule="auto"/>
        <w:ind w:left="48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禁止投标条款</w:t>
      </w:r>
    </w:p>
    <w:p w14:paraId="4F43481F">
      <w:pPr>
        <w:keepNext w:val="0"/>
        <w:keepLines w:val="0"/>
        <w:pageBreakBefore w:val="0"/>
        <w:wordWrap w:val="0"/>
        <w:overflowPunct/>
        <w:topLinePunct w:val="0"/>
        <w:bidi w:val="0"/>
        <w:spacing w:before="153" w:line="220" w:lineRule="auto"/>
        <w:ind w:left="48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2.4.1  </w:t>
      </w:r>
      <w:r>
        <w:rPr>
          <w:rFonts w:hint="eastAsia" w:ascii="宋体" w:hAnsi="宋体" w:eastAsia="宋体" w:cs="宋体"/>
          <w:color w:val="auto"/>
          <w:spacing w:val="0"/>
          <w:sz w:val="24"/>
          <w:szCs w:val="24"/>
          <w:highlight w:val="none"/>
        </w:rPr>
        <w:t>投标人不得存在下列情形之一：</w:t>
      </w:r>
    </w:p>
    <w:p w14:paraId="5ECD680F">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（1）为招标人不具有独立法人资格的附属机构（单位）；</w:t>
      </w:r>
    </w:p>
    <w:p w14:paraId="7BE80EB7">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（2）为本招标项目前期准备提供设计或咨询服务的；</w:t>
      </w:r>
    </w:p>
    <w:p w14:paraId="0466C218">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（3）与本招标项目的其他投标人为同一个单位负责人；</w:t>
      </w:r>
    </w:p>
    <w:p w14:paraId="51978EC7">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（4）与本招标项目的其他投标人存在控股、管理关系；</w:t>
      </w:r>
    </w:p>
    <w:p w14:paraId="27DE5D51">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（5）为本招标项目的监理人；</w:t>
      </w:r>
    </w:p>
    <w:p w14:paraId="01E2A759">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（6）为本招标项目的代建人；</w:t>
      </w:r>
    </w:p>
    <w:p w14:paraId="3F4CE4E0">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（7）为本招标项目的招标代理机构；</w:t>
      </w:r>
    </w:p>
    <w:p w14:paraId="32DC1C8C">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（8）与本招标项目的监理人或代建人或招标代理机构同为一个 法定代表人；</w:t>
      </w:r>
    </w:p>
    <w:p w14:paraId="356D5091">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（9）与本招标项目的监理人或代建人或招标代理机构存在控股或参股关系；</w:t>
      </w:r>
    </w:p>
    <w:p w14:paraId="1F6F6AFF">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（10）与本招标项目的监理人或代建人或招标代理机构存在相互任职或工作关系；</w:t>
      </w:r>
    </w:p>
    <w:p w14:paraId="62615967">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（11）被依法暂停或者取消投标资格；</w:t>
      </w:r>
    </w:p>
    <w:p w14:paraId="51CC66B8">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（12）被责令停产停业、暂扣或者吊销许可证、暂扣或者吊销执照；</w:t>
      </w:r>
    </w:p>
    <w:p w14:paraId="4D4EA795">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（13）进入清算程序，或被宣告破产，或其他丧失履约能力的情形；</w:t>
      </w:r>
    </w:p>
    <w:p w14:paraId="742CE9C2">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（14）在最近三年内发生重大工程质量或安全问题（以相关行业主管部门的行政处罚决定或司法机关出具的有关法律文书为准）；</w:t>
      </w:r>
    </w:p>
    <w:p w14:paraId="5FDD5BCF">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（15）被“信用中国 ”网站（https://www.creditchina.gov.cn）发布的《法人和非法人组织公共信用信息报告》列为严重失信主体名单的。</w:t>
      </w:r>
    </w:p>
    <w:p w14:paraId="28B49AD7">
      <w:pPr>
        <w:keepNext w:val="0"/>
        <w:keepLines w:val="0"/>
        <w:pageBreakBefore w:val="0"/>
        <w:wordWrap w:val="0"/>
        <w:overflowPunct/>
        <w:topLinePunct w:val="0"/>
        <w:bidi w:val="0"/>
        <w:spacing w:before="155" w:line="219" w:lineRule="auto"/>
        <w:ind w:left="70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2.4.2  </w:t>
      </w:r>
      <w:r>
        <w:rPr>
          <w:rFonts w:hint="eastAsia" w:ascii="宋体" w:hAnsi="宋体" w:eastAsia="宋体" w:cs="宋体"/>
          <w:color w:val="auto"/>
          <w:spacing w:val="0"/>
          <w:sz w:val="24"/>
          <w:szCs w:val="24"/>
          <w:highlight w:val="none"/>
        </w:rPr>
        <w:t>招标人拒绝以下名单中的单位参加本次投标：</w:t>
      </w:r>
    </w:p>
    <w:tbl>
      <w:tblPr>
        <w:tblStyle w:val="15"/>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772"/>
        <w:gridCol w:w="5338"/>
      </w:tblGrid>
      <w:tr w14:paraId="2635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8" w:type="dxa"/>
            <w:vAlign w:val="center"/>
          </w:tcPr>
          <w:p w14:paraId="2E257EED">
            <w:pPr>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序号</w:t>
            </w:r>
          </w:p>
        </w:tc>
        <w:tc>
          <w:tcPr>
            <w:tcW w:w="3772" w:type="dxa"/>
            <w:vAlign w:val="center"/>
          </w:tcPr>
          <w:p w14:paraId="3BE59F6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单位名称</w:t>
            </w:r>
          </w:p>
        </w:tc>
        <w:tc>
          <w:tcPr>
            <w:tcW w:w="5338" w:type="dxa"/>
            <w:vAlign w:val="center"/>
          </w:tcPr>
          <w:p w14:paraId="08E046A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拒绝原因</w:t>
            </w:r>
          </w:p>
        </w:tc>
      </w:tr>
      <w:tr w14:paraId="4BD3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88" w:type="dxa"/>
            <w:vAlign w:val="center"/>
          </w:tcPr>
          <w:p w14:paraId="28B9B72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1</w:t>
            </w:r>
          </w:p>
        </w:tc>
        <w:tc>
          <w:tcPr>
            <w:tcW w:w="3772" w:type="dxa"/>
            <w:vAlign w:val="center"/>
          </w:tcPr>
          <w:p w14:paraId="3774472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韶关市曲江区博物馆</w:t>
            </w:r>
          </w:p>
        </w:tc>
        <w:tc>
          <w:tcPr>
            <w:tcW w:w="5338" w:type="dxa"/>
            <w:vAlign w:val="center"/>
          </w:tcPr>
          <w:p w14:paraId="4D06AD7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为本招标项目的招标人</w:t>
            </w:r>
          </w:p>
        </w:tc>
      </w:tr>
      <w:tr w14:paraId="7138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88" w:type="dxa"/>
            <w:vAlign w:val="center"/>
          </w:tcPr>
          <w:p w14:paraId="0337EEE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2</w:t>
            </w:r>
          </w:p>
        </w:tc>
        <w:tc>
          <w:tcPr>
            <w:tcW w:w="3772" w:type="dxa"/>
            <w:vAlign w:val="center"/>
          </w:tcPr>
          <w:p w14:paraId="0BD57B5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广东粤圣项目管理有限公司</w:t>
            </w:r>
          </w:p>
        </w:tc>
        <w:tc>
          <w:tcPr>
            <w:tcW w:w="5338" w:type="dxa"/>
            <w:vAlign w:val="center"/>
          </w:tcPr>
          <w:p w14:paraId="0820A20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为本招标项目的招标代理机构</w:t>
            </w:r>
          </w:p>
        </w:tc>
      </w:tr>
    </w:tbl>
    <w:p w14:paraId="3A78E94A">
      <w:pPr>
        <w:keepNext w:val="0"/>
        <w:keepLines w:val="0"/>
        <w:pageBreakBefore w:val="0"/>
        <w:wordWrap w:val="0"/>
        <w:overflowPunct/>
        <w:topLinePunct w:val="0"/>
        <w:bidi w:val="0"/>
        <w:spacing w:line="93" w:lineRule="auto"/>
        <w:rPr>
          <w:rFonts w:hint="eastAsia" w:ascii="宋体" w:hAnsi="宋体" w:eastAsia="宋体" w:cs="宋体"/>
          <w:color w:val="auto"/>
          <w:spacing w:val="0"/>
          <w:sz w:val="2"/>
          <w:highlight w:val="none"/>
        </w:rPr>
      </w:pPr>
    </w:p>
    <w:p w14:paraId="103B6326">
      <w:pPr>
        <w:keepNext w:val="0"/>
        <w:keepLines w:val="0"/>
        <w:pageBreakBefore w:val="0"/>
        <w:wordWrap w:val="0"/>
        <w:overflowPunct/>
        <w:topLinePunct w:val="0"/>
        <w:bidi w:val="0"/>
        <w:spacing w:before="153" w:line="221" w:lineRule="auto"/>
        <w:ind w:left="70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2.5  </w:t>
      </w:r>
      <w:r>
        <w:rPr>
          <w:rFonts w:hint="eastAsia" w:ascii="宋体" w:hAnsi="宋体" w:eastAsia="宋体" w:cs="宋体"/>
          <w:color w:val="auto"/>
          <w:spacing w:val="0"/>
          <w:sz w:val="24"/>
          <w:szCs w:val="24"/>
          <w:highlight w:val="none"/>
        </w:rPr>
        <w:t>其他要求</w:t>
      </w:r>
    </w:p>
    <w:p w14:paraId="495DD04A">
      <w:pPr>
        <w:keepNext w:val="0"/>
        <w:keepLines w:val="0"/>
        <w:pageBreakBefore w:val="0"/>
        <w:wordWrap w:val="0"/>
        <w:overflowPunct/>
        <w:topLinePunct w:val="0"/>
        <w:bidi w:val="0"/>
        <w:spacing w:before="150" w:line="334" w:lineRule="auto"/>
        <w:ind w:left="232" w:right="99" w:firstLine="481"/>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lang w:eastAsia="zh-CN"/>
        </w:rPr>
        <w:t>省外企业及其拟派往本项目管理机构的所有人员均须按照《广东省住房和城乡建设厅关于取消省外建筑企业和人员进粤信息备案有关工作的通知》（粤建市﹝2015﹞52 号）规定在“进粤企业和人员诚信信息登记平台 ”录入相关信息并通过数据规范检查。</w:t>
      </w:r>
    </w:p>
    <w:p w14:paraId="1FE05A34">
      <w:pPr>
        <w:keepNext w:val="0"/>
        <w:keepLines w:val="0"/>
        <w:pageBreakBefore w:val="0"/>
        <w:wordWrap w:val="0"/>
        <w:overflowPunct/>
        <w:topLinePunct w:val="0"/>
        <w:bidi w:val="0"/>
        <w:spacing w:before="79" w:line="220" w:lineRule="auto"/>
        <w:ind w:left="715"/>
        <w:outlineLvl w:val="4"/>
        <w:rPr>
          <w:rFonts w:hint="eastAsia" w:ascii="宋体" w:hAnsi="宋体" w:eastAsia="宋体" w:cs="宋体"/>
          <w:color w:val="auto"/>
          <w:spacing w:val="0"/>
          <w:sz w:val="24"/>
          <w:szCs w:val="24"/>
          <w:highlight w:val="none"/>
        </w:rPr>
      </w:pPr>
      <w:bookmarkStart w:id="17" w:name="_Toc23243"/>
      <w:r>
        <w:rPr>
          <w:rFonts w:hint="eastAsia" w:ascii="宋体" w:hAnsi="宋体" w:eastAsia="宋体" w:cs="宋体"/>
          <w:b/>
          <w:bCs/>
          <w:color w:val="auto"/>
          <w:spacing w:val="0"/>
          <w:sz w:val="24"/>
          <w:szCs w:val="24"/>
          <w:highlight w:val="none"/>
        </w:rPr>
        <w:t>3．招标文件的获取</w:t>
      </w:r>
      <w:bookmarkEnd w:id="17"/>
    </w:p>
    <w:p w14:paraId="58025C1D">
      <w:pPr>
        <w:keepNext w:val="0"/>
        <w:keepLines w:val="0"/>
        <w:pageBreakBefore w:val="0"/>
        <w:wordWrap w:val="0"/>
        <w:overflowPunct/>
        <w:topLinePunct w:val="0"/>
        <w:bidi w:val="0"/>
        <w:spacing w:before="182" w:line="219" w:lineRule="auto"/>
        <w:ind w:left="70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3.1  </w:t>
      </w:r>
      <w:r>
        <w:rPr>
          <w:rFonts w:hint="eastAsia" w:ascii="宋体" w:hAnsi="宋体" w:eastAsia="宋体" w:cs="宋体"/>
          <w:color w:val="auto"/>
          <w:spacing w:val="0"/>
          <w:sz w:val="24"/>
          <w:szCs w:val="24"/>
          <w:highlight w:val="none"/>
        </w:rPr>
        <w:t>本次招标实行电子投标。</w:t>
      </w:r>
    </w:p>
    <w:p w14:paraId="29156863">
      <w:pPr>
        <w:keepNext w:val="0"/>
        <w:keepLines w:val="0"/>
        <w:pageBreakBefore w:val="0"/>
        <w:wordWrap w:val="0"/>
        <w:overflowPunct/>
        <w:topLinePunct w:val="0"/>
        <w:bidi w:val="0"/>
        <w:spacing w:before="178" w:line="355" w:lineRule="auto"/>
        <w:ind w:left="0" w:leftChars="0" w:firstLine="481" w:firstLine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本次招标实行电子投标。本项目招标文件随招标公告一并在全国公共资源交易平台（广东省 ·韶关市）（https://ygp.gdzwfw.gov.cn/ggzy-portal/#/440200/index）网站发布。招标文件一经发布，视为发送投标人，招标文件及相关附件由投标人自行在全国公共资源交易平台（广东省 ·韶关市）网站下载。请于招标文件获取期间,（见本章第二节“重要事项时间地点一览表 ”）招标文件获取期间与招标公告发布时间一致，投标人须登录全国公共资源交易平台（广东省 ·韶关市）（https://ygp.gdzwfw.gov.cn/ggzy-portal/#/440200/index），使用新建设工程交易系统进行下载招标文件及相关附件，并于电子投标截止时间（见本章第二节“重要事项时间地点一览表 ”）前完成电子投标。投标人可登录全国公共资源交易平台（广东省 ·韶关市）（https://ygp.gdzwfw.gov.cn/ggzy-portal/#/440200/index），在【服务指南】栏目中建设工程交易中下载《韶关市公共资源建设工程交易系统-投标人操作指南（电子评标）》（附件 2），了解网上获取招标文件操作流程。技术咨询电话：0751-8379671 伍先生，业务咨询电话：0751-8633211、8633071。</w:t>
      </w:r>
    </w:p>
    <w:p w14:paraId="039A8FB6">
      <w:pPr>
        <w:keepNext w:val="0"/>
        <w:keepLines w:val="0"/>
        <w:pageBreakBefore w:val="0"/>
        <w:wordWrap w:val="0"/>
        <w:overflowPunct/>
        <w:topLinePunct w:val="0"/>
        <w:bidi w:val="0"/>
        <w:spacing w:before="142" w:line="330" w:lineRule="auto"/>
        <w:ind w:left="11" w:right="105" w:firstLine="473"/>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3.2  </w:t>
      </w:r>
      <w:r>
        <w:rPr>
          <w:rFonts w:hint="eastAsia" w:ascii="宋体" w:hAnsi="宋体" w:eastAsia="宋体" w:cs="宋体"/>
          <w:color w:val="auto"/>
          <w:spacing w:val="0"/>
          <w:sz w:val="24"/>
          <w:szCs w:val="24"/>
          <w:highlight w:val="none"/>
        </w:rPr>
        <w:t>只有申领了数字证书（CA）、“粤企签 ”或 GDCA/SZCA/NETCA 等符合法律法规规定的电子印章，并在交易系统中完成企业信息数据入库的投标人，方可使用建设工程交易系统进行招标文件及附件获取和电子投标。</w:t>
      </w:r>
    </w:p>
    <w:p w14:paraId="2FE752CB">
      <w:pPr>
        <w:keepNext w:val="0"/>
        <w:keepLines w:val="0"/>
        <w:pageBreakBefore w:val="0"/>
        <w:wordWrap w:val="0"/>
        <w:overflowPunct/>
        <w:topLinePunct w:val="0"/>
        <w:bidi w:val="0"/>
        <w:spacing w:before="32" w:line="332" w:lineRule="auto"/>
        <w:ind w:left="10" w:right="90" w:firstLine="483"/>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首次在韶关市参与建设工程招标投标活动的投标人，必须在平台系统上传企业相关资料办理企业入库事宜。投标人可登录全国公共资源交易平台（广东省 ·韶关市）（</w:t>
      </w: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"https://ygp.gdzwfw.gov.cn/ggzy-portal/#/440200/index" </w:instrText>
      </w:r>
      <w:r>
        <w:rPr>
          <w:rFonts w:hint="eastAsia" w:ascii="宋体" w:hAnsi="宋体" w:eastAsia="宋体" w:cs="宋体"/>
          <w:color w:val="auto"/>
          <w:spacing w:val="0"/>
          <w:highlight w:val="none"/>
        </w:rPr>
        <w:fldChar w:fldCharType="separate"/>
      </w:r>
      <w:r>
        <w:rPr>
          <w:rFonts w:hint="eastAsia" w:ascii="宋体" w:hAnsi="宋体" w:eastAsia="宋体" w:cs="宋体"/>
          <w:color w:val="auto"/>
          <w:spacing w:val="0"/>
          <w:sz w:val="24"/>
          <w:szCs w:val="24"/>
          <w:highlight w:val="none"/>
        </w:rPr>
        <w:t>https://ygp.gdzwfw.gov.cn/ggzy-portal/#/440200/index</w:t>
      </w:r>
      <w:r>
        <w:rPr>
          <w:rFonts w:hint="eastAsia" w:ascii="宋体" w:hAnsi="宋体" w:eastAsia="宋体" w:cs="宋体"/>
          <w:color w:val="auto"/>
          <w:spacing w:val="0"/>
          <w:sz w:val="24"/>
          <w:szCs w:val="24"/>
          <w:highlight w:val="none"/>
        </w:rPr>
        <w:fldChar w:fldCharType="end"/>
      </w:r>
      <w:r>
        <w:rPr>
          <w:rFonts w:hint="eastAsia" w:ascii="宋体" w:hAnsi="宋体" w:eastAsia="宋体" w:cs="宋体"/>
          <w:color w:val="auto"/>
          <w:spacing w:val="0"/>
          <w:sz w:val="24"/>
          <w:szCs w:val="24"/>
          <w:highlight w:val="none"/>
        </w:rPr>
        <w:t>）办理企业入库、数字证书及电子印章事宜，具体请在平台查阅相应的交易指引。</w:t>
      </w:r>
    </w:p>
    <w:p w14:paraId="6F360068">
      <w:pPr>
        <w:keepNext w:val="0"/>
        <w:keepLines w:val="0"/>
        <w:pageBreakBefore w:val="0"/>
        <w:wordWrap w:val="0"/>
        <w:overflowPunct/>
        <w:topLinePunct w:val="0"/>
        <w:bidi w:val="0"/>
        <w:spacing w:before="37" w:line="329" w:lineRule="auto"/>
        <w:ind w:left="9" w:right="105" w:firstLine="507"/>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已入库企业有关信息（如单位名称、基本账号、资质、人员等）发生变化的，须及时在交易系统进行相应变更。投标人未及时变更信息而造成的损失和后果，由投标人自行承担。</w:t>
      </w:r>
    </w:p>
    <w:p w14:paraId="1BE8084A">
      <w:pPr>
        <w:keepNext w:val="0"/>
        <w:keepLines w:val="0"/>
        <w:pageBreakBefore w:val="0"/>
        <w:wordWrap w:val="0"/>
        <w:overflowPunct/>
        <w:topLinePunct w:val="0"/>
        <w:bidi w:val="0"/>
        <w:spacing w:before="33" w:line="335" w:lineRule="auto"/>
        <w:ind w:left="10" w:right="105" w:firstLine="508"/>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 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40CA127C">
      <w:pPr>
        <w:keepNext w:val="0"/>
        <w:keepLines w:val="0"/>
        <w:pageBreakBefore w:val="0"/>
        <w:wordWrap w:val="0"/>
        <w:overflowPunct/>
        <w:topLinePunct w:val="0"/>
        <w:bidi w:val="0"/>
        <w:spacing w:before="33" w:line="221" w:lineRule="auto"/>
        <w:ind w:left="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3.3  </w:t>
      </w:r>
      <w:r>
        <w:rPr>
          <w:rFonts w:hint="eastAsia" w:ascii="宋体" w:hAnsi="宋体" w:eastAsia="宋体" w:cs="宋体"/>
          <w:color w:val="auto"/>
          <w:spacing w:val="0"/>
          <w:sz w:val="24"/>
          <w:szCs w:val="24"/>
          <w:highlight w:val="none"/>
        </w:rPr>
        <w:t>投标保证</w:t>
      </w:r>
    </w:p>
    <w:p w14:paraId="734994B7">
      <w:pPr>
        <w:keepNext w:val="0"/>
        <w:keepLines w:val="0"/>
        <w:pageBreakBefore w:val="0"/>
        <w:wordWrap w:val="0"/>
        <w:overflowPunct/>
        <w:topLinePunct w:val="0"/>
        <w:bidi w:val="0"/>
        <w:spacing w:before="152" w:line="280" w:lineRule="auto"/>
        <w:ind w:left="8" w:right="105"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3.3.1  </w:t>
      </w:r>
      <w:r>
        <w:rPr>
          <w:rFonts w:hint="eastAsia" w:ascii="宋体" w:hAnsi="宋体" w:eastAsia="宋体" w:cs="宋体"/>
          <w:color w:val="auto"/>
          <w:spacing w:val="0"/>
          <w:sz w:val="24"/>
          <w:szCs w:val="24"/>
          <w:highlight w:val="none"/>
        </w:rPr>
        <w:t>投标人须缴纳金额为</w:t>
      </w:r>
      <w:r>
        <w:rPr>
          <w:rFonts w:hint="eastAsia" w:ascii="宋体" w:hAnsi="宋体" w:eastAsia="宋体" w:cs="宋体"/>
          <w:color w:val="auto"/>
          <w:spacing w:val="0"/>
          <w:sz w:val="24"/>
          <w:szCs w:val="24"/>
          <w:highlight w:val="none"/>
          <w:u w:val="single"/>
          <w:lang w:val="en-US" w:eastAsia="zh-CN"/>
        </w:rPr>
        <w:t>20000.00</w:t>
      </w:r>
      <w:r>
        <w:rPr>
          <w:rFonts w:hint="eastAsia" w:ascii="宋体" w:hAnsi="宋体" w:eastAsia="宋体" w:cs="宋体"/>
          <w:color w:val="auto"/>
          <w:spacing w:val="0"/>
          <w:sz w:val="24"/>
          <w:szCs w:val="24"/>
          <w:highlight w:val="none"/>
          <w:u w:val="none"/>
          <w:lang w:val="en-US" w:eastAsia="zh-CN"/>
        </w:rPr>
        <w:t>元</w:t>
      </w:r>
      <w:r>
        <w:rPr>
          <w:rFonts w:hint="eastAsia" w:ascii="宋体" w:hAnsi="宋体" w:eastAsia="宋体" w:cs="宋体"/>
          <w:color w:val="auto"/>
          <w:spacing w:val="0"/>
          <w:sz w:val="24"/>
          <w:szCs w:val="24"/>
          <w:highlight w:val="none"/>
        </w:rPr>
        <w:t>人民币的投标保证。联合体投标的，由联合体牵头人缴纳。</w:t>
      </w:r>
    </w:p>
    <w:p w14:paraId="5595FFDA">
      <w:pPr>
        <w:keepNext w:val="0"/>
        <w:keepLines w:val="0"/>
        <w:pageBreakBefore w:val="0"/>
        <w:wordWrap w:val="0"/>
        <w:overflowPunct/>
        <w:topLinePunct w:val="0"/>
        <w:bidi w:val="0"/>
        <w:spacing w:before="35" w:line="325" w:lineRule="auto"/>
        <w:ind w:left="12" w:right="108" w:firstLine="471"/>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3.3.2  </w:t>
      </w:r>
      <w:r>
        <w:rPr>
          <w:rFonts w:hint="eastAsia" w:ascii="宋体" w:hAnsi="宋体" w:eastAsia="宋体" w:cs="宋体"/>
          <w:color w:val="auto"/>
          <w:spacing w:val="0"/>
          <w:sz w:val="24"/>
          <w:szCs w:val="24"/>
          <w:highlight w:val="none"/>
        </w:rPr>
        <w:t>投标保证的形式包括投标保证金、投标保证担保、投标保证保险三种，由投标人自主选择。</w:t>
      </w:r>
    </w:p>
    <w:p w14:paraId="52BC198A">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bookmarkStart w:id="18" w:name="bookmark117"/>
      <w:bookmarkEnd w:id="18"/>
      <w:r>
        <w:rPr>
          <w:rFonts w:hint="eastAsia" w:ascii="宋体" w:hAnsi="宋体" w:eastAsia="宋体" w:cs="宋体"/>
          <w:color w:val="auto"/>
          <w:spacing w:val="0"/>
          <w:sz w:val="24"/>
          <w:szCs w:val="24"/>
          <w:highlight w:val="none"/>
        </w:rPr>
        <w:t>（1）采用投标保证金的，投标人在建设工程交易系统获取招标文件完毕后，即可在系统申请缴纳投标保证金，获取本次招标投标保证金缴纳账号。投标人必须于投标保证金到账截止时间（见本招标文件“重要事项时间地点一览表 ”）前，从其基本账户将投标保证金转账到指定的缴纳账号。逾期到账的、从非投标人基本账户转出的，其投标无效。</w:t>
      </w:r>
    </w:p>
    <w:p w14:paraId="5AD570B6">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66604B82">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电子保单，电子保单的有效期不得短于投标有效期。投标人可登录全国公共资源交易平台（广东省·韶关市）（</w:t>
      </w:r>
      <w:r>
        <w:rPr>
          <w:rFonts w:hint="eastAsia" w:ascii="宋体" w:hAnsi="宋体" w:eastAsia="宋体" w:cs="宋体"/>
          <w:color w:val="auto"/>
          <w:spacing w:val="0"/>
          <w:sz w:val="24"/>
          <w:szCs w:val="24"/>
          <w:highlight w:val="none"/>
        </w:rPr>
        <w:fldChar w:fldCharType="begin"/>
      </w:r>
      <w:r>
        <w:rPr>
          <w:rFonts w:hint="eastAsia" w:ascii="宋体" w:hAnsi="宋体" w:eastAsia="宋体" w:cs="宋体"/>
          <w:color w:val="auto"/>
          <w:spacing w:val="0"/>
          <w:sz w:val="24"/>
          <w:szCs w:val="24"/>
          <w:highlight w:val="none"/>
        </w:rPr>
        <w:instrText xml:space="preserve"> HYPERLINK "https://ygp.gdzwfw.gov.cn/ggzy-portal/#/440200/index" </w:instrText>
      </w:r>
      <w:r>
        <w:rPr>
          <w:rFonts w:hint="eastAsia" w:ascii="宋体" w:hAnsi="宋体" w:eastAsia="宋体" w:cs="宋体"/>
          <w:color w:val="auto"/>
          <w:spacing w:val="0"/>
          <w:sz w:val="24"/>
          <w:szCs w:val="24"/>
          <w:highlight w:val="none"/>
        </w:rPr>
        <w:fldChar w:fldCharType="separate"/>
      </w:r>
      <w:r>
        <w:rPr>
          <w:rFonts w:hint="eastAsia" w:ascii="宋体" w:hAnsi="宋体" w:eastAsia="宋体" w:cs="宋体"/>
          <w:color w:val="auto"/>
          <w:spacing w:val="0"/>
          <w:sz w:val="24"/>
          <w:szCs w:val="24"/>
          <w:highlight w:val="none"/>
        </w:rPr>
        <w:t>https://ygp.gdzwfw.gov.cn/ggzy-portal/#/440200/index</w:t>
      </w:r>
      <w:r>
        <w:rPr>
          <w:rFonts w:hint="eastAsia" w:ascii="宋体" w:hAnsi="宋体" w:eastAsia="宋体" w:cs="宋体"/>
          <w:color w:val="auto"/>
          <w:spacing w:val="0"/>
          <w:sz w:val="24"/>
          <w:szCs w:val="24"/>
          <w:highlight w:val="none"/>
        </w:rPr>
        <w:fldChar w:fldCharType="end"/>
      </w:r>
      <w:r>
        <w:rPr>
          <w:rFonts w:hint="eastAsia" w:ascii="宋体" w:hAnsi="宋体" w:eastAsia="宋体" w:cs="宋体"/>
          <w:color w:val="auto"/>
          <w:spacing w:val="0"/>
          <w:sz w:val="24"/>
          <w:szCs w:val="24"/>
          <w:highlight w:val="none"/>
        </w:rPr>
        <w:t>），在【服务指南】栏目中下载《建设工程网上交易系统保险保证金缴纳操作指南》，了解网上投保具体操作流程。逾期投保的，其投标无效。</w:t>
      </w:r>
    </w:p>
    <w:p w14:paraId="20834965">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温馨提示：1.投标人采用投标保证担保或投标保证保险的，为避免在评标过程中因有效期发生争议，建议投标人将银行保函或电子保单有效期设置为较招标文件规定的投标有效期延长不少于 20 个日历天。</w:t>
      </w:r>
    </w:p>
    <w:p w14:paraId="1EC47989">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3.4 </w:t>
      </w:r>
      <w:r>
        <w:rPr>
          <w:rFonts w:hint="eastAsia" w:ascii="宋体" w:hAnsi="宋体" w:eastAsia="宋体" w:cs="宋体"/>
          <w:color w:val="auto"/>
          <w:spacing w:val="0"/>
          <w:sz w:val="24"/>
          <w:szCs w:val="24"/>
          <w:highlight w:val="none"/>
        </w:rPr>
        <w:t xml:space="preserve"> 若投标人因自身原因未能正确完成获取招标文件、电子投标、缴纳投标保证的，其投标无效。</w:t>
      </w:r>
    </w:p>
    <w:p w14:paraId="385224D7">
      <w:pPr>
        <w:keepNext w:val="0"/>
        <w:keepLines w:val="0"/>
        <w:pageBreakBefore w:val="0"/>
        <w:wordWrap w:val="0"/>
        <w:overflowPunct/>
        <w:topLinePunct w:val="0"/>
        <w:bidi w:val="0"/>
        <w:spacing w:before="79" w:line="221" w:lineRule="auto"/>
        <w:ind w:left="487"/>
        <w:outlineLvl w:val="4"/>
        <w:rPr>
          <w:rFonts w:hint="eastAsia" w:ascii="宋体" w:hAnsi="宋体" w:eastAsia="宋体" w:cs="宋体"/>
          <w:color w:val="auto"/>
          <w:spacing w:val="0"/>
          <w:sz w:val="24"/>
          <w:szCs w:val="24"/>
          <w:highlight w:val="none"/>
        </w:rPr>
      </w:pPr>
      <w:bookmarkStart w:id="19" w:name="bookmark78"/>
      <w:bookmarkEnd w:id="19"/>
      <w:bookmarkStart w:id="20" w:name="bookmark64"/>
      <w:bookmarkEnd w:id="20"/>
      <w:bookmarkStart w:id="21" w:name="_Toc15498"/>
      <w:r>
        <w:rPr>
          <w:rFonts w:hint="eastAsia" w:ascii="宋体" w:hAnsi="宋体" w:eastAsia="宋体" w:cs="宋体"/>
          <w:b/>
          <w:bCs/>
          <w:color w:val="auto"/>
          <w:spacing w:val="0"/>
          <w:sz w:val="24"/>
          <w:szCs w:val="24"/>
          <w:highlight w:val="none"/>
        </w:rPr>
        <w:t>4</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．工期要求</w:t>
      </w:r>
      <w:bookmarkEnd w:id="21"/>
    </w:p>
    <w:p w14:paraId="10DC164E">
      <w:pPr>
        <w:keepNext w:val="0"/>
        <w:keepLines w:val="0"/>
        <w:pageBreakBefore w:val="0"/>
        <w:wordWrap w:val="0"/>
        <w:overflowPunct/>
        <w:topLinePunct w:val="0"/>
        <w:bidi w:val="0"/>
        <w:spacing w:before="153" w:line="324" w:lineRule="auto"/>
        <w:ind w:left="30" w:right="65" w:firstLine="46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本招标项目招标工期为</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730</w:t>
      </w:r>
      <w:r>
        <w:rPr>
          <w:rFonts w:hint="eastAsia" w:ascii="宋体" w:hAnsi="宋体" w:eastAsia="宋体" w:cs="宋体"/>
          <w:color w:val="auto"/>
          <w:spacing w:val="0"/>
          <w:sz w:val="24"/>
          <w:szCs w:val="24"/>
          <w:highlight w:val="none"/>
          <w:u w:val="single"/>
          <w:lang w:val="en-US" w:eastAsia="zh-CN"/>
        </w:rPr>
        <w:t>个日历天</w:t>
      </w:r>
      <w:r>
        <w:rPr>
          <w:rFonts w:hint="eastAsia" w:ascii="宋体" w:hAnsi="宋体" w:eastAsia="宋体" w:cs="宋体"/>
          <w:color w:val="auto"/>
          <w:spacing w:val="0"/>
          <w:sz w:val="24"/>
          <w:szCs w:val="24"/>
          <w:highlight w:val="none"/>
        </w:rPr>
        <w:t>，中标人必须在招标工期内完成招标范围内的全部内容。</w:t>
      </w:r>
    </w:p>
    <w:p w14:paraId="2574D13A">
      <w:pPr>
        <w:keepNext w:val="0"/>
        <w:keepLines w:val="0"/>
        <w:pageBreakBefore w:val="0"/>
        <w:wordWrap w:val="0"/>
        <w:overflowPunct/>
        <w:topLinePunct w:val="0"/>
        <w:bidi w:val="0"/>
        <w:spacing w:before="78" w:line="219" w:lineRule="auto"/>
        <w:ind w:left="488"/>
        <w:outlineLvl w:val="4"/>
        <w:rPr>
          <w:rFonts w:hint="eastAsia" w:ascii="宋体" w:hAnsi="宋体" w:eastAsia="宋体" w:cs="宋体"/>
          <w:color w:val="auto"/>
          <w:spacing w:val="0"/>
          <w:sz w:val="24"/>
          <w:szCs w:val="24"/>
          <w:highlight w:val="none"/>
        </w:rPr>
      </w:pPr>
      <w:bookmarkStart w:id="22" w:name="_Toc4154"/>
      <w:r>
        <w:rPr>
          <w:rFonts w:hint="eastAsia" w:ascii="宋体" w:hAnsi="宋体" w:eastAsia="宋体" w:cs="宋体"/>
          <w:b/>
          <w:bCs/>
          <w:color w:val="auto"/>
          <w:spacing w:val="0"/>
          <w:sz w:val="24"/>
          <w:szCs w:val="24"/>
          <w:highlight w:val="none"/>
        </w:rPr>
        <w:t>5</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．质量标准和材料、机械要求</w:t>
      </w:r>
      <w:bookmarkEnd w:id="22"/>
    </w:p>
    <w:p w14:paraId="2EE63B7A">
      <w:pPr>
        <w:keepNext w:val="0"/>
        <w:keepLines w:val="0"/>
        <w:pageBreakBefore w:val="0"/>
        <w:wordWrap w:val="0"/>
        <w:overflowPunct/>
        <w:topLinePunct w:val="0"/>
        <w:bidi w:val="0"/>
        <w:spacing w:before="154" w:line="279" w:lineRule="auto"/>
        <w:ind w:left="11" w:right="99"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5.1  </w:t>
      </w:r>
      <w:r>
        <w:rPr>
          <w:rFonts w:hint="eastAsia" w:ascii="宋体" w:hAnsi="宋体" w:eastAsia="宋体" w:cs="宋体"/>
          <w:color w:val="auto"/>
          <w:spacing w:val="0"/>
          <w:sz w:val="24"/>
          <w:szCs w:val="24"/>
          <w:highlight w:val="none"/>
        </w:rPr>
        <w:t>施工工艺严格按照国家和广东省的有关现行施工技术规范及标准执行，工程质量标准</w:t>
      </w:r>
      <w:r>
        <w:rPr>
          <w:rFonts w:hint="eastAsia" w:ascii="宋体" w:hAnsi="宋体" w:eastAsia="宋体" w:cs="宋体"/>
          <w:color w:val="auto"/>
          <w:spacing w:val="0"/>
          <w:sz w:val="24"/>
          <w:szCs w:val="24"/>
          <w:highlight w:val="none"/>
          <w:u w:val="single"/>
          <w:lang w:val="en-US" w:eastAsia="zh-CN"/>
        </w:rPr>
        <w:t>符合现行国家有关工程施工质量验收规范和标准的要求，达到验收合格标准</w:t>
      </w:r>
      <w:r>
        <w:rPr>
          <w:rFonts w:hint="eastAsia" w:ascii="宋体" w:hAnsi="宋体" w:eastAsia="宋体" w:cs="宋体"/>
          <w:color w:val="auto"/>
          <w:spacing w:val="0"/>
          <w:sz w:val="24"/>
          <w:szCs w:val="24"/>
          <w:highlight w:val="none"/>
        </w:rPr>
        <w:t>。</w:t>
      </w:r>
    </w:p>
    <w:p w14:paraId="550F785F">
      <w:pPr>
        <w:keepNext w:val="0"/>
        <w:keepLines w:val="0"/>
        <w:pageBreakBefore w:val="0"/>
        <w:wordWrap w:val="0"/>
        <w:overflowPunct/>
        <w:topLinePunct w:val="0"/>
        <w:bidi w:val="0"/>
        <w:spacing w:before="154" w:line="279" w:lineRule="auto"/>
        <w:ind w:left="10" w:right="99"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5.2</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中标人在施工中如果工程质量不符合设计要求和有关规定，招标人或监理单位要求停工和返工的必须立即执行，并承担由此产生的各种费用，工期不予顺延。</w:t>
      </w:r>
    </w:p>
    <w:p w14:paraId="7AA414CC">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5.3  </w:t>
      </w:r>
      <w:r>
        <w:rPr>
          <w:rFonts w:hint="eastAsia" w:ascii="宋体" w:hAnsi="宋体" w:eastAsia="宋体" w:cs="宋体"/>
          <w:color w:val="auto"/>
          <w:spacing w:val="0"/>
          <w:sz w:val="24"/>
          <w:szCs w:val="24"/>
          <w:highlight w:val="none"/>
        </w:rPr>
        <w:t>保修期限按《建设工程质量管理条例》（中华人民共和国国务院令第 279号）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46FB79BE">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5.4</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宋体" w:hAnsi="宋体" w:eastAsia="宋体" w:cs="宋体"/>
          <w:color w:val="auto"/>
          <w:spacing w:val="0"/>
          <w:sz w:val="24"/>
          <w:szCs w:val="24"/>
          <w:highlight w:val="none"/>
        </w:rPr>
        <w:t>本招标项目</w:t>
      </w:r>
      <w:r>
        <w:rPr>
          <w:rFonts w:hint="eastAsia" w:ascii="宋体" w:hAnsi="宋体" w:eastAsia="宋体" w:cs="宋体"/>
          <w:color w:val="auto"/>
          <w:spacing w:val="0"/>
          <w:sz w:val="24"/>
          <w:szCs w:val="24"/>
          <w:highlight w:val="none"/>
          <w:lang w:val="en-US" w:eastAsia="zh-CN"/>
        </w:rPr>
        <w:t>不</w:t>
      </w:r>
      <w:r>
        <w:rPr>
          <w:rFonts w:hint="eastAsia" w:ascii="宋体" w:hAnsi="宋体" w:eastAsia="宋体" w:cs="宋体"/>
          <w:color w:val="auto"/>
          <w:spacing w:val="0"/>
          <w:sz w:val="24"/>
          <w:szCs w:val="24"/>
          <w:highlight w:val="none"/>
        </w:rPr>
        <w:t>纳入绿色建设实施范围</w:t>
      </w:r>
      <w:r>
        <w:rPr>
          <w:rFonts w:hint="eastAsia" w:ascii="宋体" w:hAnsi="宋体" w:eastAsia="宋体" w:cs="宋体"/>
          <w:color w:val="auto"/>
          <w:spacing w:val="0"/>
          <w:sz w:val="24"/>
          <w:szCs w:val="24"/>
          <w:highlight w:val="none"/>
          <w:lang w:eastAsia="zh-CN"/>
        </w:rPr>
        <w:t>。</w:t>
      </w:r>
    </w:p>
    <w:p w14:paraId="096BED74">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5.5</w:t>
      </w:r>
      <w:r>
        <w:rPr>
          <w:rFonts w:hint="eastAsia" w:ascii="宋体" w:hAnsi="宋体" w:eastAsia="宋体" w:cs="宋体"/>
          <w:color w:val="auto"/>
          <w:spacing w:val="0"/>
          <w:sz w:val="24"/>
          <w:szCs w:val="24"/>
          <w:highlight w:val="none"/>
        </w:rPr>
        <w:t xml:space="preserve">  其它：</w:t>
      </w:r>
      <w:r>
        <w:rPr>
          <w:rFonts w:hint="eastAsia" w:ascii="宋体" w:hAnsi="宋体" w:eastAsia="宋体" w:cs="宋体"/>
          <w:color w:val="auto"/>
          <w:spacing w:val="0"/>
          <w:sz w:val="24"/>
          <w:szCs w:val="24"/>
          <w:highlight w:val="none"/>
          <w:lang w:eastAsia="zh-CN"/>
        </w:rPr>
        <w:t>本招标项目</w:t>
      </w:r>
      <w:r>
        <w:rPr>
          <w:rFonts w:hint="eastAsia" w:ascii="宋体" w:hAnsi="宋体" w:eastAsia="宋体" w:cs="宋体"/>
          <w:color w:val="auto"/>
          <w:spacing w:val="0"/>
          <w:sz w:val="24"/>
          <w:szCs w:val="24"/>
          <w:highlight w:val="none"/>
          <w:lang w:val="en-US" w:eastAsia="zh-CN"/>
        </w:rPr>
        <w:t>不</w:t>
      </w:r>
      <w:r>
        <w:rPr>
          <w:rFonts w:hint="eastAsia" w:ascii="宋体" w:hAnsi="宋体" w:eastAsia="宋体" w:cs="宋体"/>
          <w:color w:val="auto"/>
          <w:spacing w:val="0"/>
          <w:sz w:val="24"/>
          <w:szCs w:val="24"/>
          <w:highlight w:val="none"/>
          <w:lang w:eastAsia="zh-CN"/>
        </w:rPr>
        <w:t>纳入装配式建造建设实施范围。</w:t>
      </w:r>
    </w:p>
    <w:p w14:paraId="744CB0C9">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5.6</w:t>
      </w:r>
      <w:r>
        <w:rPr>
          <w:rFonts w:hint="eastAsia" w:ascii="宋体" w:hAnsi="宋体" w:eastAsia="宋体" w:cs="宋体"/>
          <w:color w:val="auto"/>
          <w:spacing w:val="0"/>
          <w:sz w:val="24"/>
          <w:szCs w:val="24"/>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则中标人必须使用合格材料或设备。</w:t>
      </w:r>
    </w:p>
    <w:p w14:paraId="10FFFDBC">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5.</w:t>
      </w:r>
      <w:r>
        <w:rPr>
          <w:rFonts w:hint="eastAsia" w:ascii="宋体" w:hAnsi="宋体" w:eastAsia="宋体" w:cs="宋体"/>
          <w:b/>
          <w:bCs/>
          <w:color w:val="auto"/>
          <w:spacing w:val="0"/>
          <w:sz w:val="24"/>
          <w:szCs w:val="24"/>
          <w:highlight w:val="none"/>
          <w:lang w:eastAsia="zh-CN"/>
        </w:rPr>
        <w:t>7</w:t>
      </w:r>
      <w:r>
        <w:rPr>
          <w:rFonts w:hint="eastAsia" w:ascii="宋体" w:hAnsi="宋体" w:eastAsia="宋体" w:cs="宋体"/>
          <w:color w:val="auto"/>
          <w:spacing w:val="0"/>
          <w:sz w:val="24"/>
          <w:szCs w:val="24"/>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54A8F521">
      <w:pPr>
        <w:keepNext w:val="0"/>
        <w:keepLines w:val="0"/>
        <w:pageBreakBefore w:val="0"/>
        <w:wordWrap w:val="0"/>
        <w:overflowPunct/>
        <w:topLinePunct w:val="0"/>
        <w:bidi w:val="0"/>
        <w:spacing w:before="78" w:line="220" w:lineRule="auto"/>
        <w:ind w:left="489"/>
        <w:outlineLvl w:val="4"/>
        <w:rPr>
          <w:rFonts w:hint="eastAsia" w:ascii="宋体" w:hAnsi="宋体" w:eastAsia="宋体" w:cs="宋体"/>
          <w:color w:val="auto"/>
          <w:spacing w:val="0"/>
          <w:sz w:val="24"/>
          <w:szCs w:val="24"/>
          <w:highlight w:val="none"/>
        </w:rPr>
      </w:pPr>
      <w:bookmarkStart w:id="23" w:name="_Toc7763"/>
      <w:r>
        <w:rPr>
          <w:rFonts w:hint="eastAsia" w:ascii="宋体" w:hAnsi="宋体" w:eastAsia="宋体" w:cs="宋体"/>
          <w:b/>
          <w:bCs/>
          <w:color w:val="auto"/>
          <w:spacing w:val="0"/>
          <w:sz w:val="24"/>
          <w:szCs w:val="24"/>
          <w:highlight w:val="none"/>
        </w:rPr>
        <w:t>6 ．施工条件及现场踏勘</w:t>
      </w:r>
      <w:bookmarkEnd w:id="23"/>
    </w:p>
    <w:p w14:paraId="33B1E63A">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6.1  </w:t>
      </w:r>
      <w:r>
        <w:rPr>
          <w:rFonts w:hint="eastAsia" w:ascii="宋体" w:hAnsi="宋体" w:eastAsia="宋体" w:cs="宋体"/>
          <w:color w:val="auto"/>
          <w:spacing w:val="0"/>
          <w:sz w:val="24"/>
          <w:szCs w:val="24"/>
          <w:highlight w:val="none"/>
        </w:rPr>
        <w:t>招标人仅在本招标项目征地红线范围内提供场地，其他一切场地费用由中标人自行负责（含临时道路）。</w:t>
      </w:r>
    </w:p>
    <w:p w14:paraId="43C889C7">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bookmarkStart w:id="24" w:name="bookmark118"/>
      <w:bookmarkEnd w:id="24"/>
      <w:r>
        <w:rPr>
          <w:rFonts w:hint="eastAsia" w:ascii="宋体" w:hAnsi="宋体" w:eastAsia="宋体" w:cs="宋体"/>
          <w:b/>
          <w:bCs/>
          <w:color w:val="auto"/>
          <w:spacing w:val="0"/>
          <w:sz w:val="24"/>
          <w:szCs w:val="24"/>
          <w:highlight w:val="none"/>
        </w:rPr>
        <w:t>6.2</w:t>
      </w:r>
      <w:r>
        <w:rPr>
          <w:rFonts w:hint="eastAsia" w:ascii="宋体" w:hAnsi="宋体" w:eastAsia="宋体" w:cs="宋体"/>
          <w:color w:val="auto"/>
          <w:spacing w:val="0"/>
          <w:sz w:val="24"/>
          <w:szCs w:val="24"/>
          <w:highlight w:val="none"/>
        </w:rPr>
        <w:t xml:space="preserve">  施工用水：</w:t>
      </w:r>
      <w:r>
        <w:rPr>
          <w:rFonts w:hint="eastAsia" w:ascii="宋体" w:hAnsi="宋体" w:eastAsia="宋体" w:cs="宋体"/>
          <w:color w:val="auto"/>
          <w:spacing w:val="0"/>
          <w:sz w:val="24"/>
          <w:szCs w:val="24"/>
          <w:highlight w:val="none"/>
          <w:u w:val="single"/>
        </w:rPr>
        <w:t xml:space="preserve"> 由中标人自行解决，费用考虑在投标报价中</w:t>
      </w:r>
      <w:r>
        <w:rPr>
          <w:rFonts w:hint="eastAsia" w:ascii="宋体" w:hAnsi="宋体" w:eastAsia="宋体" w:cs="宋体"/>
          <w:color w:val="auto"/>
          <w:spacing w:val="0"/>
          <w:sz w:val="24"/>
          <w:szCs w:val="24"/>
          <w:highlight w:val="none"/>
        </w:rPr>
        <w:t>。</w:t>
      </w:r>
    </w:p>
    <w:p w14:paraId="5DA5ED0F">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6.3</w:t>
      </w:r>
      <w:r>
        <w:rPr>
          <w:rFonts w:hint="eastAsia" w:ascii="宋体" w:hAnsi="宋体" w:eastAsia="宋体" w:cs="宋体"/>
          <w:color w:val="auto"/>
          <w:spacing w:val="0"/>
          <w:sz w:val="24"/>
          <w:szCs w:val="24"/>
          <w:highlight w:val="none"/>
        </w:rPr>
        <w:t xml:space="preserve">  施工用电：</w:t>
      </w:r>
      <w:r>
        <w:rPr>
          <w:rFonts w:hint="eastAsia" w:ascii="宋体" w:hAnsi="宋体" w:eastAsia="宋体" w:cs="宋体"/>
          <w:color w:val="auto"/>
          <w:spacing w:val="0"/>
          <w:sz w:val="24"/>
          <w:szCs w:val="24"/>
          <w:highlight w:val="none"/>
          <w:u w:val="single"/>
        </w:rPr>
        <w:t xml:space="preserve"> 由中标人自行解决，费用考虑在投标报价中</w:t>
      </w:r>
      <w:r>
        <w:rPr>
          <w:rFonts w:hint="eastAsia" w:ascii="宋体" w:hAnsi="宋体" w:eastAsia="宋体" w:cs="宋体"/>
          <w:color w:val="auto"/>
          <w:spacing w:val="0"/>
          <w:sz w:val="24"/>
          <w:szCs w:val="24"/>
          <w:highlight w:val="none"/>
        </w:rPr>
        <w:t>。</w:t>
      </w:r>
    </w:p>
    <w:p w14:paraId="4117B1E2">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6.4</w:t>
      </w:r>
      <w:r>
        <w:rPr>
          <w:rFonts w:hint="eastAsia" w:ascii="宋体" w:hAnsi="宋体" w:eastAsia="宋体" w:cs="宋体"/>
          <w:color w:val="auto"/>
          <w:spacing w:val="0"/>
          <w:sz w:val="24"/>
          <w:szCs w:val="24"/>
          <w:highlight w:val="none"/>
        </w:rPr>
        <w:t xml:space="preserve">  施工用水、用电各提供一驳接点到现场边缘。要求中标人单独安装水表、电表，其水、电费按项目所在地</w:t>
      </w:r>
      <w:r>
        <w:rPr>
          <w:rFonts w:hint="eastAsia" w:ascii="宋体" w:hAnsi="宋体" w:eastAsia="宋体" w:cs="宋体"/>
          <w:color w:val="auto"/>
          <w:spacing w:val="0"/>
          <w:sz w:val="24"/>
          <w:szCs w:val="24"/>
          <w:highlight w:val="none"/>
          <w:u w:val="single"/>
          <w:lang w:val="en-US" w:eastAsia="zh-CN"/>
        </w:rPr>
        <w:t>韶关市</w:t>
      </w:r>
      <w:r>
        <w:rPr>
          <w:rFonts w:hint="eastAsia" w:ascii="宋体" w:hAnsi="宋体" w:eastAsia="宋体" w:cs="宋体"/>
          <w:color w:val="auto"/>
          <w:spacing w:val="0"/>
          <w:sz w:val="24"/>
          <w:szCs w:val="24"/>
          <w:highlight w:val="none"/>
        </w:rPr>
        <w:t>基建工程水、电计费标准计算并由中标人缴纳。</w:t>
      </w:r>
    </w:p>
    <w:p w14:paraId="7B035D82">
      <w:pPr>
        <w:keepNext w:val="0"/>
        <w:keepLines w:val="0"/>
        <w:pageBreakBefore w:val="0"/>
        <w:wordWrap w:val="0"/>
        <w:overflowPunct/>
        <w:topLinePunct w:val="0"/>
        <w:bidi w:val="0"/>
        <w:spacing w:before="154" w:line="299" w:lineRule="auto"/>
        <w:ind w:left="9" w:right="16"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6.5  </w:t>
      </w:r>
      <w:r>
        <w:rPr>
          <w:rFonts w:hint="eastAsia" w:ascii="宋体" w:hAnsi="宋体" w:eastAsia="宋体" w:cs="宋体"/>
          <w:color w:val="auto"/>
          <w:spacing w:val="0"/>
          <w:sz w:val="24"/>
          <w:szCs w:val="24"/>
          <w:highlight w:val="none"/>
        </w:rPr>
        <w:t>招标人不组织现场踏勘，但会在招标文件及有关设计文件中明确告知招标项目的具体位置和周边环境，并在现场设置足以识别的标识或提供足以表明招标项目具体位置的文字或图片。投标人需要了解现场情况的</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可自行进行现场踏勘。</w:t>
      </w:r>
    </w:p>
    <w:p w14:paraId="7738F7AC">
      <w:pPr>
        <w:keepNext w:val="0"/>
        <w:keepLines w:val="0"/>
        <w:pageBreakBefore w:val="0"/>
        <w:wordWrap w:val="0"/>
        <w:overflowPunct/>
        <w:topLinePunct w:val="0"/>
        <w:bidi w:val="0"/>
        <w:spacing w:before="153" w:line="280" w:lineRule="auto"/>
        <w:ind w:left="9" w:right="16"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6.6  </w:t>
      </w:r>
      <w:r>
        <w:rPr>
          <w:rFonts w:hint="eastAsia" w:ascii="宋体" w:hAnsi="宋体" w:eastAsia="宋体" w:cs="宋体"/>
          <w:color w:val="auto"/>
          <w:spacing w:val="0"/>
          <w:sz w:val="24"/>
          <w:szCs w:val="24"/>
          <w:highlight w:val="none"/>
        </w:rPr>
        <w:t>在现场踏勘过程中，投标人应确保自身安全，投标人如果发生人身伤亡、财物或其他损失，法律法规有规定的按有关规定处理，没有规定的由投标人自行负责。</w:t>
      </w:r>
    </w:p>
    <w:p w14:paraId="7E2F99A6">
      <w:pPr>
        <w:keepNext w:val="0"/>
        <w:keepLines w:val="0"/>
        <w:pageBreakBefore w:val="0"/>
        <w:wordWrap w:val="0"/>
        <w:overflowPunct/>
        <w:topLinePunct w:val="0"/>
        <w:bidi w:val="0"/>
        <w:spacing w:before="153" w:line="220" w:lineRule="auto"/>
        <w:ind w:left="568"/>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6.7  </w:t>
      </w:r>
      <w:r>
        <w:rPr>
          <w:rFonts w:hint="eastAsia" w:ascii="宋体" w:hAnsi="宋体" w:eastAsia="宋体" w:cs="宋体"/>
          <w:color w:val="auto"/>
          <w:spacing w:val="0"/>
          <w:sz w:val="24"/>
          <w:szCs w:val="24"/>
          <w:highlight w:val="none"/>
        </w:rPr>
        <w:t>现场踏勘期间的交通、食宿由投标人自行安排，费用自理。</w:t>
      </w:r>
    </w:p>
    <w:p w14:paraId="1757ED06">
      <w:pPr>
        <w:keepNext w:val="0"/>
        <w:keepLines w:val="0"/>
        <w:pageBreakBefore w:val="0"/>
        <w:wordWrap w:val="0"/>
        <w:overflowPunct/>
        <w:topLinePunct w:val="0"/>
        <w:bidi w:val="0"/>
        <w:spacing w:before="78" w:line="220" w:lineRule="auto"/>
        <w:ind w:left="488"/>
        <w:outlineLvl w:val="4"/>
        <w:rPr>
          <w:rFonts w:hint="eastAsia" w:ascii="宋体" w:hAnsi="宋体" w:eastAsia="宋体" w:cs="宋体"/>
          <w:color w:val="auto"/>
          <w:spacing w:val="0"/>
          <w:sz w:val="24"/>
          <w:szCs w:val="24"/>
          <w:highlight w:val="none"/>
        </w:rPr>
      </w:pPr>
      <w:bookmarkStart w:id="25" w:name="bookmark81"/>
      <w:bookmarkEnd w:id="25"/>
      <w:bookmarkStart w:id="26" w:name="bookmark69"/>
      <w:bookmarkEnd w:id="26"/>
      <w:bookmarkStart w:id="27" w:name="bookmark67"/>
      <w:bookmarkEnd w:id="27"/>
      <w:bookmarkStart w:id="28" w:name="_Toc15543"/>
      <w:r>
        <w:rPr>
          <w:rFonts w:hint="eastAsia" w:ascii="宋体" w:hAnsi="宋体" w:eastAsia="宋体" w:cs="宋体"/>
          <w:b/>
          <w:bCs/>
          <w:color w:val="auto"/>
          <w:spacing w:val="0"/>
          <w:sz w:val="24"/>
          <w:szCs w:val="24"/>
          <w:highlight w:val="none"/>
        </w:rPr>
        <w:t>7 ．招标文件的提问和答疑</w:t>
      </w:r>
      <w:bookmarkEnd w:id="28"/>
    </w:p>
    <w:p w14:paraId="58203EDA">
      <w:pPr>
        <w:keepNext w:val="0"/>
        <w:keepLines w:val="0"/>
        <w:pageBreakBefore w:val="0"/>
        <w:wordWrap w:val="0"/>
        <w:overflowPunct/>
        <w:topLinePunct w:val="0"/>
        <w:bidi w:val="0"/>
        <w:spacing w:before="153" w:line="299" w:lineRule="auto"/>
        <w:ind w:left="9" w:right="16" w:firstLine="47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7.1  </w:t>
      </w:r>
      <w:r>
        <w:rPr>
          <w:rFonts w:hint="eastAsia" w:ascii="宋体" w:hAnsi="宋体" w:eastAsia="宋体" w:cs="宋体"/>
          <w:color w:val="auto"/>
          <w:spacing w:val="0"/>
          <w:sz w:val="24"/>
          <w:szCs w:val="24"/>
          <w:highlight w:val="none"/>
        </w:rPr>
        <w:t>投标人若对招标文件（含施工图、招标工程量清单）有疑问，应在提问截止时间（见本章第二节“重要事项时间地点一览表 ”）前使用建设工程交易系统提出问题。未在指定时间前、未采用指定方式提出的，招标人不予受理。</w:t>
      </w:r>
    </w:p>
    <w:p w14:paraId="79A8D99B">
      <w:pPr>
        <w:keepNext w:val="0"/>
        <w:keepLines w:val="0"/>
        <w:pageBreakBefore w:val="0"/>
        <w:wordWrap w:val="0"/>
        <w:overflowPunct/>
        <w:topLinePunct w:val="0"/>
        <w:bidi w:val="0"/>
        <w:spacing w:before="154" w:line="309" w:lineRule="auto"/>
        <w:ind w:left="9" w:right="16"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7.2  </w:t>
      </w:r>
      <w:r>
        <w:rPr>
          <w:rFonts w:hint="eastAsia" w:ascii="宋体" w:hAnsi="宋体" w:eastAsia="宋体" w:cs="宋体"/>
          <w:color w:val="auto"/>
          <w:spacing w:val="0"/>
          <w:sz w:val="24"/>
          <w:szCs w:val="24"/>
          <w:highlight w:val="none"/>
        </w:rPr>
        <w:t>招标人在提问截止时间（见本章第二节“重要事项时间地点一览表 ”）后 3 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446874AE">
      <w:pPr>
        <w:keepNext w:val="0"/>
        <w:keepLines w:val="0"/>
        <w:pageBreakBefore w:val="0"/>
        <w:wordWrap w:val="0"/>
        <w:overflowPunct/>
        <w:topLinePunct w:val="0"/>
        <w:bidi w:val="0"/>
        <w:spacing w:before="152" w:line="219" w:lineRule="auto"/>
        <w:ind w:firstLine="482" w:firstLineChars="200"/>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7.3  </w:t>
      </w:r>
      <w:r>
        <w:rPr>
          <w:rFonts w:hint="eastAsia" w:ascii="宋体" w:hAnsi="宋体" w:eastAsia="宋体" w:cs="宋体"/>
          <w:color w:val="auto"/>
          <w:spacing w:val="0"/>
          <w:sz w:val="24"/>
          <w:szCs w:val="24"/>
          <w:highlight w:val="none"/>
        </w:rPr>
        <w:t>招标人对招标文件所作的答疑（或修改）公告，构成招标文件的组成部分。</w:t>
      </w:r>
    </w:p>
    <w:p w14:paraId="1850E2AC">
      <w:pPr>
        <w:keepNext w:val="0"/>
        <w:keepLines w:val="0"/>
        <w:pageBreakBefore w:val="0"/>
        <w:wordWrap w:val="0"/>
        <w:overflowPunct/>
        <w:topLinePunct w:val="0"/>
        <w:bidi w:val="0"/>
        <w:spacing w:before="79" w:line="219" w:lineRule="auto"/>
        <w:ind w:left="488"/>
        <w:outlineLvl w:val="4"/>
        <w:rPr>
          <w:rFonts w:hint="eastAsia" w:ascii="宋体" w:hAnsi="宋体" w:eastAsia="宋体" w:cs="宋体"/>
          <w:color w:val="auto"/>
          <w:spacing w:val="0"/>
          <w:sz w:val="24"/>
          <w:szCs w:val="24"/>
          <w:highlight w:val="none"/>
        </w:rPr>
      </w:pPr>
      <w:bookmarkStart w:id="29" w:name="_Toc6897"/>
      <w:r>
        <w:rPr>
          <w:rFonts w:hint="eastAsia" w:ascii="宋体" w:hAnsi="宋体" w:eastAsia="宋体" w:cs="宋体"/>
          <w:b/>
          <w:bCs/>
          <w:color w:val="auto"/>
          <w:spacing w:val="0"/>
          <w:sz w:val="24"/>
          <w:szCs w:val="24"/>
          <w:highlight w:val="none"/>
        </w:rPr>
        <w:t>8 ．</w:t>
      </w:r>
      <w:bookmarkEnd w:id="29"/>
      <w:r>
        <w:rPr>
          <w:rFonts w:hint="eastAsia" w:ascii="宋体" w:hAnsi="宋体" w:eastAsia="宋体" w:cs="宋体"/>
          <w:b/>
          <w:bCs/>
          <w:color w:val="auto"/>
          <w:spacing w:val="0"/>
          <w:sz w:val="24"/>
          <w:szCs w:val="24"/>
          <w:highlight w:val="none"/>
          <w:lang w:val="en-US" w:eastAsia="zh-CN"/>
        </w:rPr>
        <w:t>最高投标限价</w:t>
      </w:r>
    </w:p>
    <w:p w14:paraId="37FBB470">
      <w:pPr>
        <w:keepNext w:val="0"/>
        <w:keepLines w:val="0"/>
        <w:pageBreakBefore w:val="0"/>
        <w:wordWrap w:val="0"/>
        <w:overflowPunct/>
        <w:topLinePunct w:val="0"/>
        <w:bidi w:val="0"/>
        <w:spacing w:before="155"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8.1  </w:t>
      </w:r>
      <w:r>
        <w:rPr>
          <w:rFonts w:hint="eastAsia" w:ascii="宋体" w:hAnsi="宋体" w:eastAsia="宋体" w:cs="宋体"/>
          <w:color w:val="auto"/>
          <w:spacing w:val="0"/>
          <w:sz w:val="24"/>
          <w:szCs w:val="24"/>
          <w:highlight w:val="none"/>
        </w:rPr>
        <w:t>本招标项目按照以下依据编制</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w:t>
      </w:r>
    </w:p>
    <w:p w14:paraId="1070EE1C">
      <w:pPr>
        <w:keepNext w:val="0"/>
        <w:keepLines w:val="0"/>
        <w:pageBreakBefore w:val="0"/>
        <w:wordWrap w:val="0"/>
        <w:overflowPunct/>
        <w:topLinePunct w:val="0"/>
        <w:bidi w:val="0"/>
        <w:spacing w:before="157"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4A7247E5">
      <w:pPr>
        <w:keepNext w:val="0"/>
        <w:keepLines w:val="0"/>
        <w:pageBreakBefore w:val="0"/>
        <w:wordWrap w:val="0"/>
        <w:overflowPunct/>
        <w:topLinePunct w:val="0"/>
        <w:bidi w:val="0"/>
        <w:spacing w:before="153" w:line="309" w:lineRule="auto"/>
        <w:ind w:left="9" w:right="16"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31DF117C">
      <w:pPr>
        <w:keepNext w:val="0"/>
        <w:keepLines w:val="0"/>
        <w:pageBreakBefore w:val="0"/>
        <w:wordWrap w:val="0"/>
        <w:overflowPunct/>
        <w:topLinePunct w:val="0"/>
        <w:bidi w:val="0"/>
        <w:spacing w:before="154" w:line="221"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（3）施工图及相关资料；</w:t>
      </w:r>
    </w:p>
    <w:p w14:paraId="2964A12F">
      <w:pPr>
        <w:keepNext w:val="0"/>
        <w:keepLines w:val="0"/>
        <w:pageBreakBefore w:val="0"/>
        <w:wordWrap w:val="0"/>
        <w:overflowPunct/>
        <w:topLinePunct w:val="0"/>
        <w:bidi w:val="0"/>
        <w:spacing w:before="78" w:line="220" w:lineRule="auto"/>
        <w:ind w:left="502"/>
        <w:rPr>
          <w:rFonts w:hint="eastAsia" w:ascii="宋体" w:hAnsi="宋体" w:eastAsia="宋体" w:cs="宋体"/>
          <w:color w:val="auto"/>
          <w:spacing w:val="0"/>
          <w:sz w:val="24"/>
          <w:szCs w:val="24"/>
          <w:highlight w:val="none"/>
        </w:rPr>
      </w:pPr>
      <w:bookmarkStart w:id="30" w:name="bookmark119"/>
      <w:bookmarkEnd w:id="30"/>
      <w:r>
        <w:rPr>
          <w:rFonts w:hint="eastAsia" w:ascii="宋体" w:hAnsi="宋体" w:eastAsia="宋体" w:cs="宋体"/>
          <w:color w:val="auto"/>
          <w:spacing w:val="0"/>
          <w:sz w:val="24"/>
          <w:szCs w:val="24"/>
          <w:highlight w:val="none"/>
        </w:rPr>
        <w:t>（4）招标文件及招标工程量清单；</w:t>
      </w:r>
    </w:p>
    <w:p w14:paraId="76D0A57F">
      <w:pPr>
        <w:keepNext w:val="0"/>
        <w:keepLines w:val="0"/>
        <w:pageBreakBefore w:val="0"/>
        <w:wordWrap w:val="0"/>
        <w:overflowPunct/>
        <w:topLinePunct w:val="0"/>
        <w:bidi w:val="0"/>
        <w:spacing w:before="155" w:line="220" w:lineRule="auto"/>
        <w:ind w:left="50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（5）施工现场情况、工程特点及常规施工方案；</w:t>
      </w:r>
    </w:p>
    <w:p w14:paraId="504E4C98">
      <w:pPr>
        <w:keepNext w:val="0"/>
        <w:keepLines w:val="0"/>
        <w:pageBreakBefore w:val="0"/>
        <w:wordWrap w:val="0"/>
        <w:overflowPunct/>
        <w:topLinePunct w:val="0"/>
        <w:bidi w:val="0"/>
        <w:spacing w:before="153" w:line="278" w:lineRule="auto"/>
        <w:ind w:left="12" w:right="136"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（6）项目所在地工程造价管理机构发布的工程造价信息，工程造价信息缺项的，参照市场价格；</w:t>
      </w:r>
    </w:p>
    <w:p w14:paraId="6B6B220A">
      <w:pPr>
        <w:keepNext w:val="0"/>
        <w:keepLines w:val="0"/>
        <w:pageBreakBefore w:val="0"/>
        <w:wordWrap w:val="0"/>
        <w:overflowPunct/>
        <w:topLinePunct w:val="0"/>
        <w:bidi w:val="0"/>
        <w:spacing w:before="157" w:line="360" w:lineRule="auto"/>
        <w:ind w:left="50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（7）与建设项目相关的标准、规范、技术资料。</w:t>
      </w:r>
    </w:p>
    <w:p w14:paraId="561A76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color w:val="auto"/>
          <w:sz w:val="24"/>
          <w:szCs w:val="24"/>
          <w:highlight w:val="none"/>
          <w:lang w:eastAsia="zh-CN"/>
        </w:rPr>
      </w:pPr>
      <w:r>
        <w:rPr>
          <w:rFonts w:hint="eastAsia" w:ascii="宋体" w:hAnsi="宋体" w:eastAsia="宋体" w:cs="宋体"/>
          <w:b/>
          <w:bCs/>
          <w:color w:val="auto"/>
          <w:spacing w:val="0"/>
          <w:sz w:val="24"/>
          <w:szCs w:val="24"/>
          <w:highlight w:val="none"/>
        </w:rPr>
        <w:t>8.2</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val="0"/>
          <w:color w:val="auto"/>
          <w:sz w:val="24"/>
          <w:szCs w:val="24"/>
          <w:highlight w:val="none"/>
        </w:rPr>
        <w:t>本次招标项目招标控制价为人民币(大写)：柒佰贰拾玖万柒仟陆佰零捌元伍角</w:t>
      </w:r>
      <w:r>
        <w:rPr>
          <w:rFonts w:hint="eastAsia" w:ascii="宋体" w:hAnsi="宋体" w:eastAsia="宋体" w:cs="宋体"/>
          <w:b/>
          <w:bCs w:val="0"/>
          <w:color w:val="auto"/>
          <w:sz w:val="24"/>
          <w:szCs w:val="24"/>
          <w:highlight w:val="none"/>
          <w:u w:val="none"/>
        </w:rPr>
        <w:t>（</w:t>
      </w:r>
      <w:r>
        <w:rPr>
          <w:rFonts w:hint="eastAsia" w:ascii="宋体" w:hAnsi="宋体" w:eastAsia="宋体" w:cs="宋体"/>
          <w:b/>
          <w:bCs w:val="0"/>
          <w:color w:val="auto"/>
          <w:sz w:val="24"/>
          <w:szCs w:val="24"/>
          <w:highlight w:val="none"/>
          <w:u w:val="none"/>
          <w:lang w:eastAsia="zh-CN"/>
        </w:rPr>
        <w:t>￥</w:t>
      </w:r>
      <w:r>
        <w:rPr>
          <w:rFonts w:hint="eastAsia" w:ascii="宋体" w:hAnsi="宋体" w:cs="宋体"/>
          <w:b/>
          <w:bCs w:val="0"/>
          <w:color w:val="auto"/>
          <w:sz w:val="24"/>
          <w:szCs w:val="24"/>
          <w:highlight w:val="none"/>
          <w:u w:val="none"/>
          <w:lang w:val="en-US" w:eastAsia="zh-CN"/>
        </w:rPr>
        <w:t>7297608.50</w:t>
      </w:r>
      <w:r>
        <w:rPr>
          <w:rFonts w:hint="eastAsia" w:ascii="宋体" w:hAnsi="宋体" w:eastAsia="宋体" w:cs="宋体"/>
          <w:b/>
          <w:bCs w:val="0"/>
          <w:color w:val="auto"/>
          <w:sz w:val="24"/>
          <w:szCs w:val="24"/>
          <w:highlight w:val="none"/>
          <w:u w:val="none"/>
        </w:rPr>
        <w:t>元）</w:t>
      </w:r>
      <w:r>
        <w:rPr>
          <w:rFonts w:hint="eastAsia" w:ascii="宋体" w:hAnsi="宋体" w:eastAsia="宋体" w:cs="宋体"/>
          <w:b/>
          <w:bCs w:val="0"/>
          <w:color w:val="auto"/>
          <w:sz w:val="24"/>
          <w:szCs w:val="24"/>
          <w:highlight w:val="none"/>
        </w:rPr>
        <w:t>。其中：</w:t>
      </w:r>
      <w:r>
        <w:rPr>
          <w:rFonts w:hint="eastAsia" w:ascii="宋体" w:hAnsi="宋体" w:cs="宋体"/>
          <w:b/>
          <w:bCs w:val="0"/>
          <w:color w:val="auto"/>
          <w:sz w:val="24"/>
          <w:szCs w:val="24"/>
          <w:highlight w:val="none"/>
          <w:lang w:val="en-US" w:eastAsia="zh-CN"/>
        </w:rPr>
        <w:t>暂列金</w:t>
      </w:r>
      <w:r>
        <w:rPr>
          <w:rFonts w:hint="eastAsia" w:ascii="宋体" w:hAnsi="宋体" w:eastAsia="宋体" w:cs="宋体"/>
          <w:b/>
          <w:bCs w:val="0"/>
          <w:color w:val="auto"/>
          <w:sz w:val="24"/>
          <w:szCs w:val="24"/>
          <w:highlight w:val="none"/>
          <w:lang w:eastAsia="zh-CN"/>
        </w:rPr>
        <w:t>￥</w:t>
      </w:r>
      <w:r>
        <w:rPr>
          <w:rFonts w:hint="eastAsia" w:ascii="宋体" w:hAnsi="宋体" w:cs="宋体"/>
          <w:b/>
          <w:bCs w:val="0"/>
          <w:color w:val="auto"/>
          <w:sz w:val="24"/>
          <w:szCs w:val="24"/>
          <w:highlight w:val="none"/>
          <w:u w:val="single"/>
          <w:lang w:val="en-US" w:eastAsia="zh-CN"/>
        </w:rPr>
        <w:t>302721.33</w:t>
      </w:r>
      <w:r>
        <w:rPr>
          <w:rFonts w:hint="eastAsia" w:ascii="宋体" w:hAnsi="宋体" w:eastAsia="宋体" w:cs="宋体"/>
          <w:b/>
          <w:bCs w:val="0"/>
          <w:color w:val="auto"/>
          <w:sz w:val="24"/>
          <w:szCs w:val="24"/>
          <w:highlight w:val="none"/>
        </w:rPr>
        <w:t>元</w:t>
      </w:r>
      <w:r>
        <w:rPr>
          <w:rFonts w:hint="eastAsia" w:ascii="宋体" w:hAnsi="宋体" w:eastAsia="宋体" w:cs="宋体"/>
          <w:b/>
          <w:bCs w:val="0"/>
          <w:color w:val="auto"/>
          <w:sz w:val="24"/>
          <w:szCs w:val="24"/>
          <w:highlight w:val="none"/>
          <w:lang w:eastAsia="zh-CN"/>
        </w:rPr>
        <w:t>，</w:t>
      </w:r>
      <w:r>
        <w:rPr>
          <w:rFonts w:hint="eastAsia" w:ascii="宋体" w:hAnsi="宋体" w:cs="宋体"/>
          <w:b/>
          <w:bCs w:val="0"/>
          <w:color w:val="auto"/>
          <w:sz w:val="24"/>
          <w:szCs w:val="24"/>
          <w:highlight w:val="none"/>
          <w:lang w:val="en-US" w:eastAsia="zh-CN"/>
        </w:rPr>
        <w:t>暂估价</w:t>
      </w:r>
      <w:r>
        <w:rPr>
          <w:rFonts w:hint="eastAsia" w:ascii="宋体" w:hAnsi="宋体" w:eastAsia="宋体" w:cs="宋体"/>
          <w:b/>
          <w:bCs w:val="0"/>
          <w:color w:val="auto"/>
          <w:sz w:val="24"/>
          <w:szCs w:val="24"/>
          <w:highlight w:val="none"/>
          <w:lang w:eastAsia="zh-CN"/>
        </w:rPr>
        <w:t>￥</w:t>
      </w:r>
      <w:r>
        <w:rPr>
          <w:rFonts w:hint="eastAsia" w:ascii="宋体" w:hAnsi="宋体" w:cs="宋体"/>
          <w:b/>
          <w:bCs w:val="0"/>
          <w:color w:val="auto"/>
          <w:sz w:val="24"/>
          <w:szCs w:val="24"/>
          <w:highlight w:val="none"/>
          <w:u w:val="single"/>
          <w:lang w:val="en-US" w:eastAsia="zh-CN"/>
        </w:rPr>
        <w:t>278368.85</w:t>
      </w:r>
      <w:r>
        <w:rPr>
          <w:rFonts w:hint="eastAsia" w:ascii="宋体" w:hAnsi="宋体" w:eastAsia="宋体" w:cs="宋体"/>
          <w:b/>
          <w:bCs w:val="0"/>
          <w:color w:val="auto"/>
          <w:sz w:val="24"/>
          <w:szCs w:val="24"/>
          <w:highlight w:val="none"/>
        </w:rPr>
        <w:t>元</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绿色施工安全防护措施费</w:t>
      </w:r>
      <w:r>
        <w:rPr>
          <w:rFonts w:hint="eastAsia" w:ascii="宋体" w:hAnsi="宋体" w:cs="宋体"/>
          <w:b/>
          <w:bCs w:val="0"/>
          <w:color w:val="auto"/>
          <w:sz w:val="24"/>
          <w:szCs w:val="24"/>
          <w:highlight w:val="none"/>
          <w:lang w:val="en-US" w:eastAsia="zh-CN"/>
        </w:rPr>
        <w:t>（不得低于）</w:t>
      </w:r>
      <w:r>
        <w:rPr>
          <w:rFonts w:hint="eastAsia" w:ascii="宋体" w:hAnsi="宋体" w:eastAsia="宋体" w:cs="宋体"/>
          <w:b/>
          <w:bCs w:val="0"/>
          <w:color w:val="auto"/>
          <w:sz w:val="24"/>
          <w:szCs w:val="24"/>
          <w:highlight w:val="none"/>
          <w:lang w:eastAsia="zh-CN"/>
        </w:rPr>
        <w:t>￥</w:t>
      </w:r>
      <w:r>
        <w:rPr>
          <w:rFonts w:hint="eastAsia" w:ascii="宋体" w:hAnsi="宋体" w:cs="宋体"/>
          <w:b/>
          <w:bCs w:val="0"/>
          <w:color w:val="auto"/>
          <w:sz w:val="24"/>
          <w:szCs w:val="24"/>
          <w:highlight w:val="none"/>
          <w:u w:val="single"/>
          <w:lang w:val="en-US" w:eastAsia="zh-CN"/>
        </w:rPr>
        <w:t>274341.78</w:t>
      </w:r>
      <w:r>
        <w:rPr>
          <w:rFonts w:hint="eastAsia" w:ascii="宋体" w:hAnsi="宋体" w:eastAsia="宋体" w:cs="宋体"/>
          <w:b/>
          <w:bCs w:val="0"/>
          <w:color w:val="auto"/>
          <w:sz w:val="24"/>
          <w:szCs w:val="24"/>
          <w:highlight w:val="none"/>
        </w:rPr>
        <w:t>元</w:t>
      </w:r>
      <w:r>
        <w:rPr>
          <w:rFonts w:hint="eastAsia" w:ascii="宋体" w:hAnsi="宋体" w:cs="宋体"/>
          <w:b/>
          <w:bCs w:val="0"/>
          <w:color w:val="auto"/>
          <w:sz w:val="24"/>
          <w:szCs w:val="24"/>
          <w:highlight w:val="none"/>
          <w:lang w:eastAsia="zh-CN"/>
        </w:rPr>
        <w:t>。</w:t>
      </w:r>
      <w:r>
        <w:rPr>
          <w:rFonts w:hint="eastAsia" w:ascii="宋体" w:hAnsi="宋体" w:cs="宋体"/>
          <w:b w:val="0"/>
          <w:bCs/>
          <w:color w:val="auto"/>
          <w:sz w:val="24"/>
          <w:szCs w:val="24"/>
          <w:highlight w:val="none"/>
          <w:lang w:eastAsia="zh-CN"/>
        </w:rPr>
        <w:br w:type="textWrapping"/>
      </w:r>
      <w:r>
        <w:rPr>
          <w:rFonts w:hint="eastAsia" w:ascii="宋体" w:hAnsi="宋体" w:eastAsia="宋体" w:cs="宋体"/>
          <w:b/>
          <w:bCs/>
          <w:i w:val="0"/>
          <w:iCs w:val="0"/>
          <w:caps w:val="0"/>
          <w:spacing w:val="0"/>
          <w:sz w:val="24"/>
          <w:szCs w:val="24"/>
          <w:shd w:val="clear" w:color="auto" w:fill="FFFFFF"/>
        </w:rPr>
        <w:t>注：本项目招标控制价由韶关市曲江区投资评审中心提供。</w:t>
      </w:r>
      <w:r>
        <w:rPr>
          <w:rFonts w:hint="eastAsia" w:ascii="宋体" w:hAnsi="宋体" w:eastAsia="宋体" w:cs="宋体"/>
          <w:b/>
          <w:bCs/>
          <w:i w:val="0"/>
          <w:iCs w:val="0"/>
          <w:caps w:val="0"/>
          <w:spacing w:val="0"/>
          <w:sz w:val="24"/>
          <w:szCs w:val="24"/>
          <w:shd w:val="clear" w:color="auto" w:fill="FFFFFF"/>
          <w:lang w:val="en-US" w:eastAsia="zh-CN"/>
        </w:rPr>
        <w:t>招标控制价已按韶曲府办【2025】8号文规定</w:t>
      </w:r>
      <w:r>
        <w:rPr>
          <w:rFonts w:hint="eastAsia" w:ascii="宋体" w:hAnsi="宋体" w:eastAsia="宋体" w:cs="宋体"/>
          <w:b/>
          <w:bCs/>
          <w:i w:val="0"/>
          <w:iCs w:val="0"/>
          <w:caps w:val="0"/>
          <w:spacing w:val="0"/>
          <w:sz w:val="24"/>
          <w:szCs w:val="24"/>
          <w:shd w:val="clear" w:color="auto" w:fill="FFFFFF"/>
        </w:rPr>
        <w:t>土建工程下浮5%</w:t>
      </w:r>
      <w:r>
        <w:rPr>
          <w:rFonts w:hint="eastAsia" w:ascii="宋体" w:hAnsi="宋体" w:eastAsia="宋体" w:cs="宋体"/>
          <w:b/>
          <w:bCs/>
          <w:i w:val="0"/>
          <w:iCs w:val="0"/>
          <w:caps w:val="0"/>
          <w:spacing w:val="0"/>
          <w:sz w:val="24"/>
          <w:szCs w:val="24"/>
          <w:shd w:val="clear" w:color="auto" w:fill="FFFFFF"/>
          <w:lang w:eastAsia="zh-CN"/>
        </w:rPr>
        <w:t>，</w:t>
      </w:r>
      <w:r>
        <w:rPr>
          <w:rFonts w:hint="eastAsia" w:ascii="宋体" w:hAnsi="宋体" w:eastAsia="宋体" w:cs="宋体"/>
          <w:b/>
          <w:bCs/>
          <w:i w:val="0"/>
          <w:iCs w:val="0"/>
          <w:caps w:val="0"/>
          <w:spacing w:val="0"/>
          <w:sz w:val="24"/>
          <w:szCs w:val="24"/>
          <w:shd w:val="clear" w:color="auto" w:fill="FFFFFF"/>
          <w:lang w:val="en-US" w:eastAsia="zh-CN"/>
        </w:rPr>
        <w:t>绿化、</w:t>
      </w:r>
      <w:r>
        <w:rPr>
          <w:rFonts w:hint="eastAsia" w:ascii="宋体" w:hAnsi="宋体" w:eastAsia="宋体" w:cs="宋体"/>
          <w:b/>
          <w:bCs/>
          <w:i w:val="0"/>
          <w:iCs w:val="0"/>
          <w:caps w:val="0"/>
          <w:spacing w:val="0"/>
          <w:sz w:val="24"/>
          <w:szCs w:val="24"/>
          <w:shd w:val="clear" w:color="auto" w:fill="FFFFFF"/>
        </w:rPr>
        <w:t>安装工程下浮8%作为本项目招标控制价，投标人自行考虑报价。</w:t>
      </w:r>
    </w:p>
    <w:p w14:paraId="458077E8">
      <w:pPr>
        <w:keepNext w:val="0"/>
        <w:keepLines w:val="0"/>
        <w:pageBreakBefore w:val="0"/>
        <w:wordWrap w:val="0"/>
        <w:overflowPunct/>
        <w:topLinePunct w:val="0"/>
        <w:bidi w:val="0"/>
        <w:spacing w:before="79" w:line="333" w:lineRule="auto"/>
        <w:ind w:left="11" w:firstLine="479"/>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eastAsia="zh-CN"/>
        </w:rPr>
        <w:t>3</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暂估价指招标工程量清单中提供的用于支付必然发生但暂时不能确定价格的材料、工程设备的单价以及专业工程的金额；暂列金额指招标工程量清单中暂定并包括在合同价款中的一笔款项，用于工程合同签订时尚未确定或者不可预见的所需材料、工程设备、服务的采购，施工中可能发生的工程变更、合同约定调整因素出现时的合同价款调整以及发生的索赔、现场签证确认等的费用。</w:t>
      </w:r>
    </w:p>
    <w:p w14:paraId="1698FFA3">
      <w:pPr>
        <w:keepNext w:val="0"/>
        <w:keepLines w:val="0"/>
        <w:pageBreakBefore w:val="0"/>
        <w:wordWrap w:val="0"/>
        <w:overflowPunct/>
        <w:topLinePunct w:val="0"/>
        <w:bidi w:val="0"/>
        <w:spacing w:before="36" w:line="278" w:lineRule="auto"/>
        <w:ind w:left="10" w:right="200" w:firstLine="48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eastAsia="zh-CN"/>
        </w:rPr>
        <w:t>4</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本招标项目以暂估价形式列入招标工程量清单中的材料、工程设备、专业工程（以下统称“暂估价项目 ”）包括：</w:t>
      </w:r>
      <w:r>
        <w:rPr>
          <w:rFonts w:hint="eastAsia" w:ascii="宋体" w:hAnsi="宋体" w:eastAsia="宋体" w:cs="宋体"/>
          <w:color w:val="auto"/>
          <w:spacing w:val="0"/>
          <w:sz w:val="24"/>
          <w:szCs w:val="24"/>
          <w:highlight w:val="none"/>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27DBB8AB">
      <w:pPr>
        <w:keepNext w:val="0"/>
        <w:keepLines w:val="0"/>
        <w:pageBreakBefore w:val="0"/>
        <w:wordWrap w:val="0"/>
        <w:overflowPunct/>
        <w:topLinePunct w:val="0"/>
        <w:bidi w:val="0"/>
        <w:spacing w:before="154" w:line="280" w:lineRule="auto"/>
        <w:ind w:left="12" w:right="200"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eastAsia="zh-CN"/>
        </w:rPr>
        <w:t>5</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当暂估价项目的内容、标准、要求在项目实施过程中得以深化、明确、固定后，按以下原则发包：</w:t>
      </w:r>
    </w:p>
    <w:p w14:paraId="2E6E5889">
      <w:pPr>
        <w:keepNext w:val="0"/>
        <w:keepLines w:val="0"/>
        <w:pageBreakBefore w:val="0"/>
        <w:wordWrap w:val="0"/>
        <w:overflowPunct/>
        <w:topLinePunct w:val="0"/>
        <w:bidi w:val="0"/>
        <w:spacing w:before="153" w:line="219" w:lineRule="auto"/>
        <w:ind w:left="-3" w:leftChars="0"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（1）暂估价项目按工程、货物（指材料或工程设备，下同）的类别分类汇总的金额，达到必须招标规模标准的，由</w:t>
      </w:r>
      <w:r>
        <w:rPr>
          <w:rFonts w:hint="eastAsia" w:ascii="宋体" w:hAnsi="宋体" w:eastAsia="宋体" w:cs="宋体"/>
          <w:b/>
          <w:bCs/>
          <w:color w:val="auto"/>
          <w:spacing w:val="0"/>
          <w:sz w:val="24"/>
          <w:szCs w:val="24"/>
          <w:highlight w:val="none"/>
          <w:u w:val="single"/>
        </w:rPr>
        <w:t xml:space="preserve"> </w:t>
      </w:r>
      <w:r>
        <w:rPr>
          <w:rFonts w:hint="eastAsia" w:ascii="宋体" w:hAnsi="宋体" w:eastAsia="宋体" w:cs="宋体"/>
          <w:bCs/>
          <w:color w:val="auto"/>
          <w:spacing w:val="0"/>
          <w:sz w:val="24"/>
          <w:szCs w:val="24"/>
          <w:highlight w:val="none"/>
          <w:u w:val="single"/>
        </w:rPr>
        <w:t xml:space="preserve">中标人招标，招标人参与管理 </w:t>
      </w:r>
      <w:r>
        <w:rPr>
          <w:rFonts w:hint="eastAsia" w:ascii="宋体" w:hAnsi="宋体" w:eastAsia="宋体" w:cs="宋体"/>
          <w:bCs/>
          <w:color w:val="auto"/>
          <w:spacing w:val="0"/>
          <w:sz w:val="24"/>
          <w:szCs w:val="24"/>
          <w:highlight w:val="none"/>
        </w:rPr>
        <w:t>，</w:t>
      </w:r>
      <w:r>
        <w:rPr>
          <w:rFonts w:hint="eastAsia" w:ascii="宋体" w:hAnsi="宋体" w:eastAsia="宋体" w:cs="宋体"/>
          <w:color w:val="auto"/>
          <w:spacing w:val="0"/>
          <w:sz w:val="24"/>
          <w:szCs w:val="24"/>
          <w:highlight w:val="none"/>
        </w:rPr>
        <w:t>确定专业工程承包人（或材料、工程 设备供应商）和合同价格。</w:t>
      </w:r>
    </w:p>
    <w:p w14:paraId="748F67E9">
      <w:pPr>
        <w:keepNext w:val="0"/>
        <w:keepLines w:val="0"/>
        <w:pageBreakBefore w:val="0"/>
        <w:wordWrap w:val="0"/>
        <w:overflowPunct/>
        <w:topLinePunct w:val="0"/>
        <w:bidi w:val="0"/>
        <w:spacing w:before="30" w:line="299" w:lineRule="auto"/>
        <w:ind w:left="11" w:right="65"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（2）暂估价项目按工程、货物的类别分类汇总的金额，未达到必须招标规模标准但适用政府采购规定的，按照政府采购规定确定专业工程承包人（或材料、工程设备供应商）和合同价格。</w:t>
      </w:r>
    </w:p>
    <w:p w14:paraId="6736DF1E">
      <w:pPr>
        <w:keepNext w:val="0"/>
        <w:keepLines w:val="0"/>
        <w:pageBreakBefore w:val="0"/>
        <w:wordWrap w:val="0"/>
        <w:overflowPunct/>
        <w:topLinePunct w:val="0"/>
        <w:bidi w:val="0"/>
        <w:spacing w:before="154" w:line="309" w:lineRule="auto"/>
        <w:ind w:left="11" w:right="65"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暂估价项目按工程、货物的类别分类汇总的金额，未达到必须招标规模标准也不适用政府采购规定，中标人具备相应资格条件的，由中标人承包；中标人不具备相应资格条件但具备分包权的，由中标人分包，招标人同中标人结算原则按本招标文件相关条款执行。</w:t>
      </w:r>
    </w:p>
    <w:p w14:paraId="6EC26BD9">
      <w:pPr>
        <w:keepNext w:val="0"/>
        <w:keepLines w:val="0"/>
        <w:pageBreakBefore w:val="0"/>
        <w:wordWrap w:val="0"/>
        <w:overflowPunct/>
        <w:topLinePunct w:val="0"/>
        <w:bidi w:val="0"/>
        <w:spacing w:before="154" w:line="299" w:lineRule="auto"/>
        <w:ind w:left="11" w:right="65"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（4）暂估价项目按工程、货物的类别分类汇总的金额，未达到必须招标规模标准也不适用政府采购规定，中标人既不具备相应资格条件又不具备分包权的，由招标人另行发包。</w:t>
      </w:r>
    </w:p>
    <w:p w14:paraId="51638999">
      <w:pPr>
        <w:keepNext w:val="0"/>
        <w:keepLines w:val="0"/>
        <w:pageBreakBefore w:val="0"/>
        <w:wordWrap w:val="0"/>
        <w:overflowPunct/>
        <w:topLinePunct w:val="0"/>
        <w:bidi w:val="0"/>
        <w:spacing w:before="155" w:line="279" w:lineRule="auto"/>
        <w:ind w:left="9" w:right="66"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（5）暂估价项目由其他承包人承包的，纳入中标人的管理和协调范围，由其他承包人向中标人承担质量、安全、文明施工、工期责任，中标人向招标人承担责任。</w:t>
      </w:r>
    </w:p>
    <w:p w14:paraId="06A8222B">
      <w:pPr>
        <w:keepNext w:val="0"/>
        <w:keepLines w:val="0"/>
        <w:pageBreakBefore w:val="0"/>
        <w:wordWrap w:val="0"/>
        <w:overflowPunct/>
        <w:topLinePunct w:val="0"/>
        <w:bidi w:val="0"/>
        <w:spacing w:before="155" w:line="333" w:lineRule="auto"/>
        <w:ind w:left="10" w:right="65" w:firstLine="478"/>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本招标项目以暂列金额形式列入招标工程量清单中的所需货物和服务的采购（以下统称“暂列金额项目 ”）若有发生，按照本节第 </w:t>
      </w:r>
      <w:r>
        <w:rPr>
          <w:rFonts w:hint="eastAsia" w:ascii="宋体" w:hAnsi="宋体" w:eastAsia="宋体" w:cs="宋体"/>
          <w:b/>
          <w:bCs/>
          <w:color w:val="auto"/>
          <w:spacing w:val="0"/>
          <w:sz w:val="24"/>
          <w:szCs w:val="24"/>
          <w:highlight w:val="none"/>
        </w:rPr>
        <w:t xml:space="preserve">8.5 </w:t>
      </w:r>
      <w:r>
        <w:rPr>
          <w:rFonts w:hint="eastAsia" w:ascii="宋体" w:hAnsi="宋体" w:eastAsia="宋体" w:cs="宋体"/>
          <w:color w:val="auto"/>
          <w:spacing w:val="0"/>
          <w:sz w:val="24"/>
          <w:szCs w:val="24"/>
          <w:highlight w:val="none"/>
        </w:rPr>
        <w:t>条的规定确定货物（或服务）供应商和合同价格。暂列金额项目由其他承包人承包的，纳入中标人的管理和协调范围</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由其他承包人向中标人承担质量、安全、文明施工、工期责任，中标人向招标人承担责任。</w:t>
      </w:r>
    </w:p>
    <w:p w14:paraId="44041CF4">
      <w:pPr>
        <w:keepNext w:val="0"/>
        <w:keepLines w:val="0"/>
        <w:pageBreakBefore w:val="0"/>
        <w:wordWrap w:val="0"/>
        <w:overflowPunct/>
        <w:topLinePunct w:val="0"/>
        <w:bidi w:val="0"/>
        <w:spacing w:before="79" w:line="219" w:lineRule="auto"/>
        <w:ind w:left="487"/>
        <w:outlineLvl w:val="4"/>
        <w:rPr>
          <w:rFonts w:hint="eastAsia" w:ascii="宋体" w:hAnsi="宋体" w:eastAsia="宋体" w:cs="宋体"/>
          <w:color w:val="auto"/>
          <w:spacing w:val="0"/>
          <w:sz w:val="24"/>
          <w:szCs w:val="24"/>
          <w:highlight w:val="none"/>
        </w:rPr>
      </w:pPr>
      <w:bookmarkStart w:id="31" w:name="_Toc22978"/>
      <w:r>
        <w:rPr>
          <w:rFonts w:hint="eastAsia" w:ascii="宋体" w:hAnsi="宋体" w:eastAsia="宋体" w:cs="宋体"/>
          <w:b/>
          <w:bCs/>
          <w:color w:val="auto"/>
          <w:spacing w:val="0"/>
          <w:sz w:val="24"/>
          <w:szCs w:val="24"/>
          <w:highlight w:val="none"/>
        </w:rPr>
        <w:t>9 ．投标报价</w:t>
      </w:r>
      <w:bookmarkEnd w:id="31"/>
    </w:p>
    <w:p w14:paraId="0ED2EF22">
      <w:pPr>
        <w:keepNext w:val="0"/>
        <w:keepLines w:val="0"/>
        <w:pageBreakBefore w:val="0"/>
        <w:wordWrap w:val="0"/>
        <w:overflowPunct/>
        <w:topLinePunct w:val="0"/>
        <w:bidi w:val="0"/>
        <w:spacing w:before="157" w:line="219" w:lineRule="auto"/>
        <w:ind w:left="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9.1  </w:t>
      </w:r>
      <w:r>
        <w:rPr>
          <w:rFonts w:hint="eastAsia" w:ascii="宋体" w:hAnsi="宋体" w:eastAsia="宋体" w:cs="宋体"/>
          <w:color w:val="auto"/>
          <w:spacing w:val="0"/>
          <w:sz w:val="24"/>
          <w:szCs w:val="24"/>
          <w:highlight w:val="none"/>
        </w:rPr>
        <w:t>投标人应按照以下依据编制投标报价：</w:t>
      </w:r>
    </w:p>
    <w:p w14:paraId="5DFFCF42">
      <w:pPr>
        <w:keepNext w:val="0"/>
        <w:keepLines w:val="0"/>
        <w:pageBreakBefore w:val="0"/>
        <w:wordWrap w:val="0"/>
        <w:overflowPunct/>
        <w:topLinePunct w:val="0"/>
        <w:bidi w:val="0"/>
        <w:spacing w:before="155"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1C5DC104">
      <w:pPr>
        <w:keepNext w:val="0"/>
        <w:keepLines w:val="0"/>
        <w:pageBreakBefore w:val="0"/>
        <w:wordWrap w:val="0"/>
        <w:overflowPunct/>
        <w:topLinePunct w:val="0"/>
        <w:bidi w:val="0"/>
        <w:spacing w:before="153" w:line="309" w:lineRule="auto"/>
        <w:ind w:left="9" w:right="65"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56A82739">
      <w:pPr>
        <w:keepNext w:val="0"/>
        <w:keepLines w:val="0"/>
        <w:pageBreakBefore w:val="0"/>
        <w:wordWrap w:val="0"/>
        <w:overflowPunct/>
        <w:topLinePunct w:val="0"/>
        <w:bidi w:val="0"/>
        <w:spacing w:before="78" w:line="220" w:lineRule="auto"/>
        <w:ind w:left="501"/>
        <w:rPr>
          <w:rFonts w:hint="eastAsia" w:ascii="宋体" w:hAnsi="宋体" w:eastAsia="宋体" w:cs="宋体"/>
          <w:color w:val="auto"/>
          <w:spacing w:val="0"/>
          <w:sz w:val="24"/>
          <w:szCs w:val="24"/>
          <w:highlight w:val="none"/>
        </w:rPr>
      </w:pPr>
      <w:bookmarkStart w:id="32" w:name="bookmark120"/>
      <w:bookmarkEnd w:id="32"/>
      <w:r>
        <w:rPr>
          <w:rFonts w:hint="eastAsia" w:ascii="宋体" w:hAnsi="宋体" w:eastAsia="宋体" w:cs="宋体"/>
          <w:color w:val="auto"/>
          <w:spacing w:val="0"/>
          <w:sz w:val="24"/>
          <w:szCs w:val="24"/>
          <w:highlight w:val="none"/>
        </w:rPr>
        <w:t>（3）企业定额；</w:t>
      </w:r>
    </w:p>
    <w:p w14:paraId="21D7AB3A">
      <w:pPr>
        <w:keepNext w:val="0"/>
        <w:keepLines w:val="0"/>
        <w:pageBreakBefore w:val="0"/>
        <w:wordWrap w:val="0"/>
        <w:overflowPunct/>
        <w:topLinePunct w:val="0"/>
        <w:bidi w:val="0"/>
        <w:spacing w:before="155"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（4）招标文件及其答疑（或修改）公告、招标工程量清单；</w:t>
      </w:r>
    </w:p>
    <w:p w14:paraId="6C148BBB">
      <w:pPr>
        <w:keepNext w:val="0"/>
        <w:keepLines w:val="0"/>
        <w:pageBreakBefore w:val="0"/>
        <w:wordWrap w:val="0"/>
        <w:overflowPunct/>
        <w:topLinePunct w:val="0"/>
        <w:bidi w:val="0"/>
        <w:spacing w:before="154" w:line="221"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（5）施工图及相关资料；</w:t>
      </w:r>
    </w:p>
    <w:p w14:paraId="05C84BB3">
      <w:pPr>
        <w:keepNext w:val="0"/>
        <w:keepLines w:val="0"/>
        <w:pageBreakBefore w:val="0"/>
        <w:wordWrap w:val="0"/>
        <w:overflowPunct/>
        <w:topLinePunct w:val="0"/>
        <w:bidi w:val="0"/>
        <w:spacing w:before="152"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（6）施工现场情况、工程特点及投标时拟定的施工组织设计或施工方案；</w:t>
      </w:r>
    </w:p>
    <w:p w14:paraId="42F852A9">
      <w:pPr>
        <w:keepNext w:val="0"/>
        <w:keepLines w:val="0"/>
        <w:pageBreakBefore w:val="0"/>
        <w:wordWrap w:val="0"/>
        <w:overflowPunct/>
        <w:topLinePunct w:val="0"/>
        <w:bidi w:val="0"/>
        <w:spacing w:before="156"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（7）市场价格信息或项目所在地工程造价管理机构发布的工程造价信息；</w:t>
      </w:r>
    </w:p>
    <w:p w14:paraId="42E67E93">
      <w:pPr>
        <w:keepNext w:val="0"/>
        <w:keepLines w:val="0"/>
        <w:pageBreakBefore w:val="0"/>
        <w:wordWrap w:val="0"/>
        <w:overflowPunct/>
        <w:topLinePunct w:val="0"/>
        <w:bidi w:val="0"/>
        <w:spacing w:before="155"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（8）与建设项目相关的标准、规范、技术资料。</w:t>
      </w:r>
    </w:p>
    <w:p w14:paraId="655BD8EA">
      <w:pPr>
        <w:keepNext w:val="0"/>
        <w:keepLines w:val="0"/>
        <w:pageBreakBefore w:val="0"/>
        <w:wordWrap w:val="0"/>
        <w:overflowPunct/>
        <w:topLinePunct w:val="0"/>
        <w:bidi w:val="0"/>
        <w:spacing w:before="153" w:line="309" w:lineRule="auto"/>
        <w:ind w:left="8" w:right="150"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9.2  </w:t>
      </w:r>
      <w:r>
        <w:rPr>
          <w:rFonts w:hint="eastAsia" w:ascii="宋体" w:hAnsi="宋体" w:eastAsia="宋体" w:cs="宋体"/>
          <w:color w:val="auto"/>
          <w:spacing w:val="0"/>
          <w:sz w:val="24"/>
          <w:szCs w:val="24"/>
          <w:highlight w:val="none"/>
        </w:rPr>
        <w:t>投标人应根据招标工程量清单、工程量清单计价</w:t>
      </w:r>
      <w:r>
        <w:rPr>
          <w:rFonts w:hint="eastAsia" w:ascii="宋体" w:hAnsi="宋体" w:eastAsia="宋体" w:cs="宋体"/>
          <w:color w:val="auto"/>
          <w:spacing w:val="0"/>
          <w:sz w:val="24"/>
          <w:szCs w:val="24"/>
          <w:highlight w:val="none"/>
          <w:lang w:val="en-US" w:eastAsia="zh-CN"/>
        </w:rPr>
        <w:t>标准</w:t>
      </w:r>
      <w:r>
        <w:rPr>
          <w:rFonts w:hint="eastAsia" w:ascii="宋体" w:hAnsi="宋体" w:eastAsia="宋体" w:cs="宋体"/>
          <w:color w:val="auto"/>
          <w:spacing w:val="0"/>
          <w:sz w:val="24"/>
          <w:szCs w:val="24"/>
          <w:highlight w:val="none"/>
        </w:rPr>
        <w:t>中的工作内容、设计文件和有关要求、施工现场实际情况、投标人拟定的施工组织设计、本单位的企业定额和市场价格进行编制，自行报价，并承担一定范围内的风险费用。所谓“一定范围内的风险 ”是指合同约定的风险。</w:t>
      </w:r>
    </w:p>
    <w:p w14:paraId="7D8B28AF">
      <w:pPr>
        <w:keepNext w:val="0"/>
        <w:keepLines w:val="0"/>
        <w:pageBreakBefore w:val="0"/>
        <w:wordWrap w:val="0"/>
        <w:overflowPunct/>
        <w:topLinePunct w:val="0"/>
        <w:bidi w:val="0"/>
        <w:spacing w:before="152" w:line="309" w:lineRule="auto"/>
        <w:ind w:left="9" w:right="150" w:firstLine="55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9.3  </w:t>
      </w:r>
      <w:r>
        <w:rPr>
          <w:rFonts w:hint="eastAsia" w:ascii="宋体" w:hAnsi="宋体" w:eastAsia="宋体" w:cs="宋体"/>
          <w:color w:val="auto"/>
          <w:spacing w:val="0"/>
          <w:sz w:val="24"/>
          <w:szCs w:val="24"/>
          <w:highlight w:val="none"/>
        </w:rPr>
        <w:t>招标人及招标代理机构不集中组织现场踏勘，投标人需要了解现场情况的，可自行进行现场踏勘。各投标人应勘察施工现场及周围环境、地形、地貌、水文、交通等情况，以获得一切可能影响到投标的直接资料。投标人应针对现场情况编制施工组织设计，并在编制投标报价时考虑现场情况的影响。</w:t>
      </w:r>
    </w:p>
    <w:p w14:paraId="7BD0F3F4">
      <w:pPr>
        <w:keepNext w:val="0"/>
        <w:keepLines w:val="0"/>
        <w:pageBreakBefore w:val="0"/>
        <w:wordWrap w:val="0"/>
        <w:overflowPunct/>
        <w:topLinePunct w:val="0"/>
        <w:bidi w:val="0"/>
        <w:spacing w:before="155" w:line="279" w:lineRule="auto"/>
        <w:ind w:left="10" w:right="150"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9.4  </w:t>
      </w:r>
      <w:r>
        <w:rPr>
          <w:rFonts w:hint="eastAsia" w:ascii="宋体" w:hAnsi="宋体" w:eastAsia="宋体" w:cs="宋体"/>
          <w:color w:val="auto"/>
          <w:spacing w:val="0"/>
          <w:sz w:val="24"/>
          <w:szCs w:val="24"/>
          <w:highlight w:val="none"/>
        </w:rPr>
        <w:t>招标人向投标人提供的有关现场的数据和资料，是招标人现有的能被投标人利用的资料，招标人对投标人做出的任何推论、理解和结论均不负责任。</w:t>
      </w:r>
    </w:p>
    <w:p w14:paraId="18DC3EDD">
      <w:pPr>
        <w:keepNext w:val="0"/>
        <w:keepLines w:val="0"/>
        <w:pageBreakBefore w:val="0"/>
        <w:wordWrap w:val="0"/>
        <w:overflowPunct/>
        <w:topLinePunct w:val="0"/>
        <w:bidi w:val="0"/>
        <w:spacing w:before="154" w:line="299" w:lineRule="auto"/>
        <w:ind w:left="12" w:firstLine="55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9.5  </w:t>
      </w:r>
      <w:r>
        <w:rPr>
          <w:rFonts w:hint="eastAsia" w:ascii="宋体" w:hAnsi="宋体" w:eastAsia="宋体" w:cs="宋体"/>
          <w:color w:val="auto"/>
          <w:spacing w:val="0"/>
          <w:sz w:val="24"/>
          <w:szCs w:val="24"/>
          <w:highlight w:val="none"/>
        </w:rPr>
        <w:t>投标人必须按照招标工程量清单及表格填报价格。项目编码、项目名称、项目特征、计量单位、工程量必须与招标工程量清单一致。所有报价均以人民币“元 ”为单位，并保留小数点后两位。</w:t>
      </w:r>
    </w:p>
    <w:p w14:paraId="2DEC74A0">
      <w:pPr>
        <w:keepNext w:val="0"/>
        <w:keepLines w:val="0"/>
        <w:pageBreakBefore w:val="0"/>
        <w:wordWrap w:val="0"/>
        <w:overflowPunct/>
        <w:topLinePunct w:val="0"/>
        <w:bidi w:val="0"/>
        <w:spacing w:before="158" w:line="314" w:lineRule="auto"/>
        <w:ind w:left="9" w:right="150" w:firstLine="55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9.6  </w:t>
      </w:r>
      <w:r>
        <w:rPr>
          <w:rFonts w:hint="eastAsia" w:ascii="宋体" w:hAnsi="宋体" w:eastAsia="宋体" w:cs="宋体"/>
          <w:color w:val="auto"/>
          <w:spacing w:val="0"/>
          <w:sz w:val="24"/>
          <w:szCs w:val="24"/>
          <w:highlight w:val="none"/>
        </w:rPr>
        <w:t>投标人只允许有一个投标总价。投标总价必须同时用大、小写表示，大、小写报价应保持一致，若不一致，以大写报价为准。招标工程量清单与计价表中列明的所有需要填写单价和合价的项目，投标人均应填写且只允许有一个报价。未填写单价和合价的项目，视为此项费用已包含在已标价工程量清单其他项目的单价和合价中，竣工结算时不得重新组价和调整。</w:t>
      </w:r>
    </w:p>
    <w:p w14:paraId="40CE886C">
      <w:pPr>
        <w:keepNext w:val="0"/>
        <w:keepLines w:val="0"/>
        <w:pageBreakBefore w:val="0"/>
        <w:wordWrap w:val="0"/>
        <w:overflowPunct/>
        <w:topLinePunct w:val="0"/>
        <w:bidi w:val="0"/>
        <w:spacing w:before="152" w:line="309" w:lineRule="auto"/>
        <w:ind w:left="7" w:right="120" w:firstLine="48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 xml:space="preserve">9.7  </w:t>
      </w:r>
      <w:r>
        <w:rPr>
          <w:rFonts w:hint="eastAsia" w:ascii="宋体" w:hAnsi="宋体" w:eastAsia="宋体" w:cs="宋体"/>
          <w:color w:val="auto"/>
          <w:spacing w:val="0"/>
          <w:sz w:val="24"/>
          <w:szCs w:val="24"/>
          <w:highlight w:val="none"/>
        </w:rPr>
        <w:t>投标人的投标总价不得高于</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，也不得低于工程成本。投标人对投标总价的所有优惠（降价、让利等），均应当反映在具体清单项目或其综合单价的报价上。</w:t>
      </w:r>
      <w:r>
        <w:rPr>
          <w:rFonts w:hint="eastAsia" w:ascii="宋体" w:hAnsi="宋体" w:eastAsia="宋体" w:cs="宋体"/>
          <w:b/>
          <w:bCs/>
          <w:color w:val="auto"/>
          <w:spacing w:val="0"/>
          <w:sz w:val="24"/>
          <w:szCs w:val="24"/>
          <w:highlight w:val="none"/>
        </w:rPr>
        <w:t>如果投标人的投标总价下浮率高于</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15%时，投标人必须在投标文件中专项作出详细合理的书面说明并提供以往类似工程详细成本分析报告供评标委员会审查。</w:t>
      </w:r>
    </w:p>
    <w:p w14:paraId="2EE97EFC">
      <w:pPr>
        <w:keepNext w:val="0"/>
        <w:keepLines w:val="0"/>
        <w:pageBreakBefore w:val="0"/>
        <w:wordWrap w:val="0"/>
        <w:overflowPunct/>
        <w:topLinePunct w:val="0"/>
        <w:bidi w:val="0"/>
        <w:outlineLvl w:val="9"/>
        <w:rPr>
          <w:rFonts w:hint="eastAsia" w:ascii="宋体" w:hAnsi="宋体" w:eastAsia="宋体" w:cs="宋体"/>
          <w:color w:val="auto"/>
          <w:spacing w:val="0"/>
          <w:highlight w:val="none"/>
          <w:lang w:eastAsia="zh-CN"/>
        </w:rPr>
      </w:pPr>
      <w:r>
        <w:rPr>
          <w:rFonts w:hint="eastAsia" w:ascii="宋体" w:hAnsi="宋体" w:eastAsia="宋体" w:cs="宋体"/>
          <w:b/>
          <w:bCs/>
          <w:color w:val="auto"/>
          <w:spacing w:val="0"/>
          <w:sz w:val="24"/>
          <w:szCs w:val="24"/>
          <w:highlight w:val="none"/>
          <w:lang w:eastAsia="zh-CN"/>
        </w:rPr>
        <w:t>投标总价下浮率=（1-投标总价</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eastAsia="zh-CN"/>
        </w:rPr>
        <w:t>100%</w:t>
      </w:r>
    </w:p>
    <w:p w14:paraId="0A848A62">
      <w:pPr>
        <w:keepNext w:val="0"/>
        <w:keepLines w:val="0"/>
        <w:pageBreakBefore w:val="0"/>
        <w:wordWrap w:val="0"/>
        <w:overflowPunct/>
        <w:topLinePunct w:val="0"/>
        <w:bidi w:val="0"/>
        <w:spacing w:before="146" w:line="325" w:lineRule="auto"/>
        <w:ind w:left="29" w:right="153" w:firstLine="458"/>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9.8  </w:t>
      </w:r>
      <w:r>
        <w:rPr>
          <w:rFonts w:hint="eastAsia" w:ascii="宋体" w:hAnsi="宋体" w:eastAsia="宋体" w:cs="宋体"/>
          <w:color w:val="auto"/>
          <w:spacing w:val="0"/>
          <w:sz w:val="24"/>
          <w:szCs w:val="24"/>
          <w:highlight w:val="none"/>
        </w:rPr>
        <w:t>投标人的</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费报价必须达到或超过</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中提供的</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费。</w:t>
      </w:r>
    </w:p>
    <w:p w14:paraId="76AD78D0">
      <w:pPr>
        <w:keepNext w:val="0"/>
        <w:keepLines w:val="0"/>
        <w:pageBreakBefore w:val="0"/>
        <w:wordWrap w:val="0"/>
        <w:overflowPunct/>
        <w:topLinePunct w:val="0"/>
        <w:bidi w:val="0"/>
        <w:spacing w:before="78" w:line="309" w:lineRule="auto"/>
        <w:ind w:right="99"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9.9  </w:t>
      </w:r>
      <w:r>
        <w:rPr>
          <w:rFonts w:hint="eastAsia" w:ascii="宋体" w:hAnsi="宋体" w:eastAsia="宋体" w:cs="宋体"/>
          <w:color w:val="auto"/>
          <w:spacing w:val="0"/>
          <w:sz w:val="24"/>
          <w:szCs w:val="24"/>
          <w:highlight w:val="none"/>
        </w:rPr>
        <w:t>投标人必须按照招标工程量清单中提供的暂列金额和暂估价统一报价。投标人应充分考虑暂估价项目（或暂列金额项目）的管理和协调所发生的费用，并将其纳入已标价工程量清单中的适当项目。招标人视该项管理和协调所发生的费用已包含在其它有价款的竞争性报价内，不再另行支付。</w:t>
      </w:r>
    </w:p>
    <w:p w14:paraId="31555D04">
      <w:pPr>
        <w:pStyle w:val="6"/>
        <w:keepNext w:val="0"/>
        <w:keepLines w:val="0"/>
        <w:pageBreakBefore w:val="0"/>
        <w:widowControl/>
        <w:kinsoku w:val="0"/>
        <w:wordWrap w:val="0"/>
        <w:overflowPunct/>
        <w:topLinePunct w:val="0"/>
        <w:autoSpaceDE w:val="0"/>
        <w:autoSpaceDN w:val="0"/>
        <w:bidi w:val="0"/>
        <w:adjustRightInd w:val="0"/>
        <w:snapToGrid w:val="0"/>
        <w:spacing w:line="310" w:lineRule="auto"/>
        <w:ind w:firstLine="422" w:firstLineChars="200"/>
        <w:textAlignment w:val="baseline"/>
        <w:rPr>
          <w:rFonts w:hint="eastAsia" w:ascii="宋体" w:hAnsi="宋体" w:eastAsia="宋体" w:cs="宋体"/>
          <w:snapToGrid w:val="0"/>
          <w:color w:val="auto"/>
          <w:spacing w:val="0"/>
          <w:sz w:val="24"/>
          <w:szCs w:val="24"/>
          <w:highlight w:val="none"/>
          <w:lang w:val="en-US" w:eastAsia="en-US" w:bidi="ar-SA"/>
        </w:rPr>
      </w:pPr>
      <w:r>
        <w:rPr>
          <w:rFonts w:hint="eastAsia" w:ascii="宋体" w:hAnsi="宋体" w:eastAsia="宋体" w:cs="宋体"/>
          <w:b/>
          <w:bCs/>
          <w:color w:val="auto"/>
          <w:spacing w:val="0"/>
          <w:highlight w:val="none"/>
        </w:rPr>
        <w:t xml:space="preserve">9.10 </w:t>
      </w:r>
      <w:r>
        <w:rPr>
          <w:rFonts w:hint="eastAsia" w:ascii="宋体" w:hAnsi="宋体" w:eastAsia="宋体" w:cs="宋体"/>
          <w:snapToGrid w:val="0"/>
          <w:color w:val="auto"/>
          <w:spacing w:val="0"/>
          <w:sz w:val="24"/>
          <w:szCs w:val="24"/>
          <w:highlight w:val="none"/>
          <w:lang w:val="en-US" w:eastAsia="en-US" w:bidi="ar-SA"/>
        </w:rPr>
        <w:t>预算包干内容一般包括施工雨（污）水的排除、因地形影响造成的场内料具二次运输、20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等。投标报价时，应按《广东省建设工程计价依据（2018）》规定的费率报价，若招标工程量清单明确说明不计算预算包干费或另外确定预算包干费费率的，则按招标工程量清单报价。</w:t>
      </w:r>
    </w:p>
    <w:p w14:paraId="02BC6D0D">
      <w:pPr>
        <w:keepNext w:val="0"/>
        <w:keepLines w:val="0"/>
        <w:pageBreakBefore w:val="0"/>
        <w:wordWrap w:val="0"/>
        <w:overflowPunct/>
        <w:topLinePunct w:val="0"/>
        <w:bidi w:val="0"/>
        <w:spacing w:before="78" w:line="220" w:lineRule="auto"/>
        <w:ind w:left="496"/>
        <w:outlineLvl w:val="4"/>
        <w:rPr>
          <w:rFonts w:hint="eastAsia" w:ascii="宋体" w:hAnsi="宋体" w:eastAsia="宋体" w:cs="宋体"/>
          <w:color w:val="auto"/>
          <w:spacing w:val="0"/>
          <w:sz w:val="24"/>
          <w:szCs w:val="24"/>
          <w:highlight w:val="none"/>
        </w:rPr>
      </w:pPr>
      <w:bookmarkStart w:id="33" w:name="_Toc16322"/>
      <w:r>
        <w:rPr>
          <w:rFonts w:hint="eastAsia" w:ascii="宋体" w:hAnsi="宋体" w:eastAsia="宋体" w:cs="宋体"/>
          <w:b/>
          <w:bCs/>
          <w:color w:val="auto"/>
          <w:spacing w:val="0"/>
          <w:sz w:val="24"/>
          <w:szCs w:val="24"/>
          <w:highlight w:val="none"/>
        </w:rPr>
        <w:t>10 ．投标文件的编制要求</w:t>
      </w:r>
      <w:bookmarkEnd w:id="33"/>
    </w:p>
    <w:p w14:paraId="1ADA1598">
      <w:pPr>
        <w:keepNext w:val="0"/>
        <w:keepLines w:val="0"/>
        <w:pageBreakBefore w:val="0"/>
        <w:wordWrap w:val="0"/>
        <w:overflowPunct/>
        <w:topLinePunct w:val="0"/>
        <w:bidi w:val="0"/>
        <w:spacing w:before="152" w:line="222" w:lineRule="auto"/>
        <w:ind w:left="496"/>
        <w:outlineLvl w:val="5"/>
        <w:rPr>
          <w:rFonts w:hint="eastAsia" w:ascii="宋体" w:hAnsi="宋体" w:eastAsia="宋体" w:cs="宋体"/>
          <w:color w:val="auto"/>
          <w:spacing w:val="0"/>
          <w:sz w:val="24"/>
          <w:szCs w:val="24"/>
          <w:highlight w:val="none"/>
        </w:rPr>
      </w:pPr>
      <w:bookmarkStart w:id="34" w:name="_Toc20590"/>
      <w:bookmarkStart w:id="35" w:name="_Toc22937"/>
      <w:r>
        <w:rPr>
          <w:rFonts w:hint="eastAsia" w:ascii="宋体" w:hAnsi="宋体" w:eastAsia="宋体" w:cs="宋体"/>
          <w:b/>
          <w:bCs/>
          <w:color w:val="auto"/>
          <w:spacing w:val="0"/>
          <w:sz w:val="24"/>
          <w:szCs w:val="24"/>
          <w:highlight w:val="none"/>
        </w:rPr>
        <w:t xml:space="preserve">10.1  </w:t>
      </w:r>
      <w:r>
        <w:rPr>
          <w:rFonts w:hint="eastAsia" w:ascii="宋体" w:hAnsi="宋体" w:eastAsia="宋体" w:cs="宋体"/>
          <w:color w:val="auto"/>
          <w:spacing w:val="0"/>
          <w:sz w:val="24"/>
          <w:szCs w:val="24"/>
          <w:highlight w:val="none"/>
        </w:rPr>
        <w:t>一般要求</w:t>
      </w:r>
      <w:bookmarkEnd w:id="34"/>
      <w:bookmarkEnd w:id="35"/>
    </w:p>
    <w:p w14:paraId="3BA09E09">
      <w:pPr>
        <w:keepNext w:val="0"/>
        <w:keepLines w:val="0"/>
        <w:pageBreakBefore w:val="0"/>
        <w:wordWrap w:val="0"/>
        <w:overflowPunct/>
        <w:topLinePunct w:val="0"/>
        <w:bidi w:val="0"/>
        <w:spacing w:before="118" w:line="295" w:lineRule="auto"/>
        <w:ind w:left="11" w:right="99"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投标文件应按第六章投标文件格式规定的内容，投标人提交的投标文件应当使用招标文件所提供的投标文件全部格式。</w:t>
      </w:r>
    </w:p>
    <w:p w14:paraId="64F68F54">
      <w:pPr>
        <w:keepNext w:val="0"/>
        <w:keepLines w:val="0"/>
        <w:pageBreakBefore w:val="0"/>
        <w:wordWrap w:val="0"/>
        <w:overflowPunct/>
        <w:topLinePunct w:val="0"/>
        <w:bidi w:val="0"/>
        <w:spacing w:before="68" w:line="299" w:lineRule="auto"/>
        <w:ind w:left="11" w:right="99" w:firstLine="56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10.1.1  </w:t>
      </w:r>
      <w:r>
        <w:rPr>
          <w:rFonts w:hint="eastAsia" w:ascii="宋体" w:hAnsi="宋体" w:eastAsia="宋体" w:cs="宋体"/>
          <w:color w:val="auto"/>
          <w:spacing w:val="0"/>
          <w:sz w:val="24"/>
          <w:szCs w:val="24"/>
          <w:highlight w:val="none"/>
        </w:rPr>
        <w:t>投标人必须响应招标文件，并在充分理解招标人提供的全部文件、设计图纸、资料及现场条件的基础上编制投标文件。因投标文件不符合招标文件的要求而造成的损失和后果，由投标人自行承担。</w:t>
      </w:r>
    </w:p>
    <w:p w14:paraId="51122B59">
      <w:pPr>
        <w:keepNext w:val="0"/>
        <w:keepLines w:val="0"/>
        <w:pageBreakBefore w:val="0"/>
        <w:wordWrap w:val="0"/>
        <w:overflowPunct/>
        <w:topLinePunct w:val="0"/>
        <w:bidi w:val="0"/>
        <w:spacing w:before="123" w:line="290" w:lineRule="auto"/>
        <w:ind w:left="8" w:firstLine="56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10.1.2  </w:t>
      </w:r>
      <w:r>
        <w:rPr>
          <w:rFonts w:hint="eastAsia" w:ascii="宋体" w:hAnsi="宋体" w:eastAsia="宋体" w:cs="宋体"/>
          <w:color w:val="auto"/>
          <w:spacing w:val="0"/>
          <w:sz w:val="24"/>
          <w:szCs w:val="24"/>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 ·韶关市）交易指引。</w:t>
      </w:r>
    </w:p>
    <w:p w14:paraId="1C1308EF">
      <w:pPr>
        <w:keepNext w:val="0"/>
        <w:keepLines w:val="0"/>
        <w:pageBreakBefore w:val="0"/>
        <w:wordWrap w:val="0"/>
        <w:overflowPunct/>
        <w:topLinePunct w:val="0"/>
        <w:bidi w:val="0"/>
        <w:spacing w:before="1" w:line="219" w:lineRule="auto"/>
        <w:ind w:left="57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10.1.3  </w:t>
      </w:r>
      <w:r>
        <w:rPr>
          <w:rFonts w:hint="eastAsia" w:ascii="宋体" w:hAnsi="宋体" w:eastAsia="宋体" w:cs="宋体"/>
          <w:color w:val="auto"/>
          <w:spacing w:val="0"/>
          <w:sz w:val="24"/>
          <w:szCs w:val="24"/>
          <w:highlight w:val="none"/>
        </w:rPr>
        <w:t>投标文件需按以下要求签字、盖章：电子投标文件：</w:t>
      </w:r>
    </w:p>
    <w:p w14:paraId="75FDA074">
      <w:pPr>
        <w:keepNext w:val="0"/>
        <w:keepLines w:val="0"/>
        <w:pageBreakBefore w:val="0"/>
        <w:wordWrap w:val="0"/>
        <w:overflowPunct/>
        <w:topLinePunct w:val="0"/>
        <w:bidi w:val="0"/>
        <w:spacing w:before="111" w:line="279" w:lineRule="auto"/>
        <w:ind w:right="133" w:firstLine="57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"10.1.3.1"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10.1.3.1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投标文件封面、组成内容中凡注明“签字 ”处由要求的人员签字或电子签章；凡注明“签字或盖章 ”处由要求的人员签字或盖其私章（电子印章）；凡注明 “签字并盖执业印章 ”处由要求的人员签字并盖其执业印章。</w:t>
      </w:r>
    </w:p>
    <w:p w14:paraId="6358B792">
      <w:pPr>
        <w:keepNext w:val="0"/>
        <w:keepLines w:val="0"/>
        <w:pageBreakBefore w:val="0"/>
        <w:wordWrap w:val="0"/>
        <w:overflowPunct/>
        <w:topLinePunct w:val="0"/>
        <w:bidi w:val="0"/>
        <w:spacing w:before="112" w:line="264" w:lineRule="auto"/>
        <w:ind w:left="13" w:right="133" w:firstLine="5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"10.1.3.2"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10.1.3.2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投标文件封套、封面、组成内容中凡要求录入投标人名称且注明“盖单位章 ”处盖单位法人公章（电子印章）。</w:t>
      </w:r>
    </w:p>
    <w:p w14:paraId="3F70DCC9">
      <w:pPr>
        <w:keepNext w:val="0"/>
        <w:keepLines w:val="0"/>
        <w:pageBreakBefore w:val="0"/>
        <w:wordWrap w:val="0"/>
        <w:overflowPunct/>
        <w:topLinePunct w:val="0"/>
        <w:bidi w:val="0"/>
        <w:spacing w:before="146" w:line="279" w:lineRule="auto"/>
        <w:ind w:left="16" w:right="135" w:firstLine="56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"10.1.3.3"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10.1.3.3</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投标文件的签字均为签字人本人亲笔署名或签章（电子印章），其余部分的复印件无须另行签字、盖章。</w:t>
      </w:r>
    </w:p>
    <w:p w14:paraId="2DA037BE">
      <w:pPr>
        <w:keepNext w:val="0"/>
        <w:keepLines w:val="0"/>
        <w:pageBreakBefore w:val="0"/>
        <w:wordWrap w:val="0"/>
        <w:overflowPunct/>
        <w:topLinePunct w:val="0"/>
        <w:bidi w:val="0"/>
        <w:spacing w:before="155" w:line="219" w:lineRule="auto"/>
        <w:ind w:left="0" w:leftChars="0" w:firstLine="482" w:firstLineChars="200"/>
        <w:outlineLvl w:val="5"/>
        <w:rPr>
          <w:rFonts w:hint="eastAsia" w:ascii="宋体" w:hAnsi="宋体" w:eastAsia="宋体" w:cs="宋体"/>
          <w:b w:val="0"/>
          <w:bCs w:val="0"/>
          <w:color w:val="auto"/>
          <w:spacing w:val="0"/>
          <w:sz w:val="24"/>
          <w:szCs w:val="24"/>
          <w:highlight w:val="none"/>
        </w:rPr>
      </w:pPr>
      <w:bookmarkStart w:id="36" w:name="_Toc20223"/>
      <w:bookmarkStart w:id="37" w:name="_Toc21271"/>
      <w:r>
        <w:rPr>
          <w:rFonts w:hint="eastAsia" w:ascii="宋体" w:hAnsi="宋体" w:eastAsia="宋体" w:cs="宋体"/>
          <w:b/>
          <w:bCs/>
          <w:color w:val="auto"/>
          <w:spacing w:val="0"/>
          <w:sz w:val="24"/>
          <w:szCs w:val="24"/>
          <w:highlight w:val="none"/>
        </w:rPr>
        <w:t xml:space="preserve">10.1.3.4 </w:t>
      </w:r>
      <w:r>
        <w:rPr>
          <w:rFonts w:hint="eastAsia" w:ascii="宋体" w:hAnsi="宋体" w:eastAsia="宋体" w:cs="宋体"/>
          <w:color w:val="auto"/>
          <w:spacing w:val="0"/>
          <w:sz w:val="24"/>
          <w:szCs w:val="24"/>
          <w:highlight w:val="none"/>
        </w:rPr>
        <w:t>联合体投标的，除《联合体协议书》外，由联合体牵头人按以上要求签亲笔署名或签章（电子印章）即可。</w:t>
      </w:r>
    </w:p>
    <w:p w14:paraId="0C858C64">
      <w:pPr>
        <w:keepNext w:val="0"/>
        <w:keepLines w:val="0"/>
        <w:pageBreakBefore w:val="0"/>
        <w:wordWrap w:val="0"/>
        <w:overflowPunct/>
        <w:topLinePunct w:val="0"/>
        <w:bidi w:val="0"/>
        <w:spacing w:before="155" w:line="219" w:lineRule="auto"/>
        <w:ind w:left="500"/>
        <w:outlineLvl w:val="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  </w:t>
      </w:r>
      <w:r>
        <w:rPr>
          <w:rFonts w:hint="eastAsia" w:ascii="宋体" w:hAnsi="宋体" w:eastAsia="宋体" w:cs="宋体"/>
          <w:color w:val="auto"/>
          <w:spacing w:val="0"/>
          <w:sz w:val="24"/>
          <w:szCs w:val="24"/>
          <w:highlight w:val="none"/>
        </w:rPr>
        <w:t>商务标书的编制要求</w:t>
      </w:r>
      <w:bookmarkEnd w:id="36"/>
      <w:bookmarkEnd w:id="37"/>
    </w:p>
    <w:p w14:paraId="0C2AF9BC">
      <w:pPr>
        <w:keepNext w:val="0"/>
        <w:keepLines w:val="0"/>
        <w:pageBreakBefore w:val="0"/>
        <w:wordWrap w:val="0"/>
        <w:overflowPunct/>
        <w:topLinePunct w:val="0"/>
        <w:bidi w:val="0"/>
        <w:spacing w:before="157" w:line="219" w:lineRule="auto"/>
        <w:ind w:left="581"/>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10.2.1 </w:t>
      </w:r>
      <w:r>
        <w:rPr>
          <w:rFonts w:hint="eastAsia" w:ascii="宋体" w:hAnsi="宋体" w:eastAsia="宋体" w:cs="宋体"/>
          <w:color w:val="auto"/>
          <w:spacing w:val="0"/>
          <w:sz w:val="24"/>
          <w:szCs w:val="24"/>
          <w:highlight w:val="none"/>
        </w:rPr>
        <w:t>商务标书包括但不限于以下内容：</w:t>
      </w:r>
    </w:p>
    <w:p w14:paraId="352E57AE">
      <w:pPr>
        <w:keepNext w:val="0"/>
        <w:keepLines w:val="0"/>
        <w:pageBreakBefore w:val="0"/>
        <w:wordWrap w:val="0"/>
        <w:overflowPunct/>
        <w:topLinePunct w:val="0"/>
        <w:bidi w:val="0"/>
        <w:spacing w:before="154"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（1）封面（格式一）；</w:t>
      </w:r>
    </w:p>
    <w:p w14:paraId="76EADC31">
      <w:pPr>
        <w:keepNext w:val="0"/>
        <w:keepLines w:val="0"/>
        <w:pageBreakBefore w:val="0"/>
        <w:wordWrap w:val="0"/>
        <w:overflowPunct/>
        <w:topLinePunct w:val="0"/>
        <w:bidi w:val="0"/>
        <w:spacing w:before="153" w:line="222"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目录；</w:t>
      </w:r>
    </w:p>
    <w:p w14:paraId="774FBD39">
      <w:pPr>
        <w:keepNext w:val="0"/>
        <w:keepLines w:val="0"/>
        <w:pageBreakBefore w:val="0"/>
        <w:wordWrap w:val="0"/>
        <w:overflowPunct/>
        <w:topLinePunct w:val="0"/>
        <w:bidi w:val="0"/>
        <w:spacing w:before="153"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（3）《投标函》（格式二）；</w:t>
      </w:r>
    </w:p>
    <w:p w14:paraId="720161C8">
      <w:pPr>
        <w:keepNext w:val="0"/>
        <w:keepLines w:val="0"/>
        <w:pageBreakBefore w:val="0"/>
        <w:wordWrap w:val="0"/>
        <w:overflowPunct/>
        <w:topLinePunct w:val="0"/>
        <w:bidi w:val="0"/>
        <w:spacing w:before="153"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（4）《各项承诺一览表》（格式三）；</w:t>
      </w:r>
    </w:p>
    <w:p w14:paraId="7094AFC2">
      <w:pPr>
        <w:keepNext w:val="0"/>
        <w:keepLines w:val="0"/>
        <w:pageBreakBefore w:val="0"/>
        <w:wordWrap w:val="0"/>
        <w:overflowPunct/>
        <w:topLinePunct w:val="0"/>
        <w:bidi w:val="0"/>
        <w:spacing w:before="154"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（5）《授权委托书》（格式四）；</w:t>
      </w:r>
    </w:p>
    <w:p w14:paraId="3AF70EF9">
      <w:pPr>
        <w:keepNext w:val="0"/>
        <w:keepLines w:val="0"/>
        <w:pageBreakBefore w:val="0"/>
        <w:wordWrap w:val="0"/>
        <w:overflowPunct/>
        <w:topLinePunct w:val="0"/>
        <w:bidi w:val="0"/>
        <w:spacing w:before="156"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（6）《法定代表人身份证明》（格式五）；</w:t>
      </w:r>
    </w:p>
    <w:p w14:paraId="2DB8A529">
      <w:pPr>
        <w:keepNext w:val="0"/>
        <w:keepLines w:val="0"/>
        <w:pageBreakBefore w:val="0"/>
        <w:wordWrap w:val="0"/>
        <w:overflowPunct/>
        <w:topLinePunct w:val="0"/>
        <w:bidi w:val="0"/>
        <w:spacing w:before="154"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（7）《联合体协议书》</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如有</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（格式六）及所附资料；</w:t>
      </w:r>
    </w:p>
    <w:p w14:paraId="6673BC70">
      <w:pPr>
        <w:keepNext w:val="0"/>
        <w:keepLines w:val="0"/>
        <w:pageBreakBefore w:val="0"/>
        <w:wordWrap w:val="0"/>
        <w:overflowPunct/>
        <w:topLinePunct w:val="0"/>
        <w:bidi w:val="0"/>
        <w:spacing w:before="153" w:line="309" w:lineRule="auto"/>
        <w:ind w:left="13" w:right="133"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投标保证缴纳证明（投标人采用投标保证金的，附建设工程交易系统《缴纳投标保证金通知书》页面截图和银行转账单彩色扫描件；采用投标保证担保的，附银行保函彩色扫描件；采用投标保证保险的，附电子保单和</w:t>
      </w:r>
      <w:r>
        <w:rPr>
          <w:rFonts w:hint="eastAsia" w:ascii="宋体" w:hAnsi="宋体" w:eastAsia="宋体" w:cs="宋体"/>
          <w:b/>
          <w:bCs/>
          <w:color w:val="auto"/>
          <w:spacing w:val="0"/>
          <w:sz w:val="24"/>
          <w:szCs w:val="24"/>
          <w:highlight w:val="none"/>
        </w:rPr>
        <w:t>《韶关市公共资源交易一体化平台保证金缴纳信息》页面截图</w:t>
      </w:r>
      <w:r>
        <w:rPr>
          <w:rFonts w:hint="eastAsia" w:ascii="宋体" w:hAnsi="宋体" w:eastAsia="宋体" w:cs="宋体"/>
          <w:color w:val="auto"/>
          <w:spacing w:val="0"/>
          <w:sz w:val="24"/>
          <w:szCs w:val="24"/>
          <w:highlight w:val="none"/>
        </w:rPr>
        <w:t>）；</w:t>
      </w:r>
    </w:p>
    <w:p w14:paraId="36031B27">
      <w:pPr>
        <w:keepNext w:val="0"/>
        <w:keepLines w:val="0"/>
        <w:pageBreakBefore w:val="0"/>
        <w:wordWrap w:val="0"/>
        <w:overflowPunct/>
        <w:topLinePunct w:val="0"/>
        <w:bidi w:val="0"/>
        <w:spacing w:before="156"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（9）《投标人基本情况表》（格式七）及所附资料；</w:t>
      </w:r>
    </w:p>
    <w:p w14:paraId="2CE7262F">
      <w:pPr>
        <w:keepNext w:val="0"/>
        <w:keepLines w:val="0"/>
        <w:pageBreakBefore w:val="0"/>
        <w:wordWrap w:val="0"/>
        <w:overflowPunct/>
        <w:topLinePunct w:val="0"/>
        <w:bidi w:val="0"/>
        <w:spacing w:before="155"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（10）《项目经理简历表》（格式八）及所附资料；</w:t>
      </w:r>
    </w:p>
    <w:p w14:paraId="4BF4D313">
      <w:pPr>
        <w:keepNext w:val="0"/>
        <w:keepLines w:val="0"/>
        <w:pageBreakBefore w:val="0"/>
        <w:wordWrap w:val="0"/>
        <w:overflowPunct/>
        <w:topLinePunct w:val="0"/>
        <w:bidi w:val="0"/>
        <w:spacing w:before="154"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（11）《项目经理任职声明》（格式九）；</w:t>
      </w:r>
    </w:p>
    <w:p w14:paraId="6D95CC60">
      <w:pPr>
        <w:keepNext w:val="0"/>
        <w:keepLines w:val="0"/>
        <w:pageBreakBefore w:val="0"/>
        <w:wordWrap w:val="0"/>
        <w:overflowPunct/>
        <w:topLinePunct w:val="0"/>
        <w:bidi w:val="0"/>
        <w:spacing w:before="156"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（12）《项目技术负责人简历表》（格式十）及所附资料；</w:t>
      </w:r>
    </w:p>
    <w:p w14:paraId="0132BAD9">
      <w:pPr>
        <w:keepNext w:val="0"/>
        <w:keepLines w:val="0"/>
        <w:pageBreakBefore w:val="0"/>
        <w:wordWrap w:val="0"/>
        <w:overflowPunct/>
        <w:topLinePunct w:val="0"/>
        <w:bidi w:val="0"/>
        <w:spacing w:before="154"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（13）《项</w:t>
      </w:r>
      <w:bookmarkStart w:id="38" w:name="OLE_LINK7"/>
      <w:r>
        <w:rPr>
          <w:rFonts w:hint="eastAsia" w:ascii="宋体" w:hAnsi="宋体" w:eastAsia="宋体" w:cs="宋体"/>
          <w:color w:val="auto"/>
          <w:spacing w:val="0"/>
          <w:sz w:val="24"/>
          <w:szCs w:val="24"/>
          <w:highlight w:val="none"/>
        </w:rPr>
        <w:t>目管理机构组成表》（格式十一）及</w:t>
      </w:r>
      <w:bookmarkEnd w:id="38"/>
      <w:r>
        <w:rPr>
          <w:rFonts w:hint="eastAsia" w:ascii="宋体" w:hAnsi="宋体" w:eastAsia="宋体" w:cs="宋体"/>
          <w:color w:val="auto"/>
          <w:spacing w:val="0"/>
          <w:sz w:val="24"/>
          <w:szCs w:val="24"/>
          <w:highlight w:val="none"/>
        </w:rPr>
        <w:t>所附资料；</w:t>
      </w:r>
    </w:p>
    <w:p w14:paraId="6E0A04ED">
      <w:pPr>
        <w:keepNext w:val="0"/>
        <w:keepLines w:val="0"/>
        <w:pageBreakBefore w:val="0"/>
        <w:wordWrap w:val="0"/>
        <w:overflowPunct/>
        <w:topLinePunct w:val="0"/>
        <w:bidi w:val="0"/>
        <w:spacing w:before="155"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（14）本节第 </w:t>
      </w:r>
      <w:r>
        <w:rPr>
          <w:rFonts w:hint="eastAsia" w:ascii="宋体" w:hAnsi="宋体" w:eastAsia="宋体" w:cs="宋体"/>
          <w:b/>
          <w:bCs/>
          <w:color w:val="auto"/>
          <w:spacing w:val="0"/>
          <w:sz w:val="24"/>
          <w:szCs w:val="24"/>
          <w:highlight w:val="none"/>
        </w:rPr>
        <w:t xml:space="preserve">15.5.1 </w:t>
      </w:r>
      <w:r>
        <w:rPr>
          <w:rFonts w:hint="eastAsia" w:ascii="宋体" w:hAnsi="宋体" w:eastAsia="宋体" w:cs="宋体"/>
          <w:color w:val="auto"/>
          <w:spacing w:val="0"/>
          <w:sz w:val="24"/>
          <w:szCs w:val="24"/>
          <w:highlight w:val="none"/>
        </w:rPr>
        <w:t>目“评标方法 ”要求提供的评审资料；</w:t>
      </w:r>
    </w:p>
    <w:p w14:paraId="03DF9A5F">
      <w:pPr>
        <w:keepNext w:val="0"/>
        <w:keepLines w:val="0"/>
        <w:pageBreakBefore w:val="0"/>
        <w:wordWrap w:val="0"/>
        <w:overflowPunct/>
        <w:topLinePunct w:val="0"/>
        <w:bidi w:val="0"/>
        <w:spacing w:before="78" w:line="299" w:lineRule="auto"/>
        <w:ind w:left="8" w:right="61"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（15）投标人认为有必要补充的其他资料。（例如投标人已经工商变更，但其企业资质证书、安全生产许可证或其员工执业资格注册证书上的企业名称未能在投标期间完成变更的书面说明和佐证材料等）</w:t>
      </w:r>
    </w:p>
    <w:p w14:paraId="29D2CA8C">
      <w:pPr>
        <w:keepNext w:val="0"/>
        <w:keepLines w:val="0"/>
        <w:pageBreakBefore w:val="0"/>
        <w:wordWrap w:val="0"/>
        <w:overflowPunct/>
        <w:topLinePunct w:val="0"/>
        <w:bidi w:val="0"/>
        <w:spacing w:before="155" w:line="262" w:lineRule="auto"/>
        <w:ind w:left="9" w:right="61" w:firstLine="48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10.2.2  </w:t>
      </w:r>
      <w:r>
        <w:rPr>
          <w:rFonts w:hint="eastAsia" w:ascii="宋体" w:hAnsi="宋体" w:eastAsia="宋体" w:cs="宋体"/>
          <w:color w:val="auto"/>
          <w:spacing w:val="0"/>
          <w:sz w:val="24"/>
          <w:szCs w:val="24"/>
          <w:highlight w:val="none"/>
        </w:rPr>
        <w:t xml:space="preserve">本节第 </w:t>
      </w:r>
      <w:r>
        <w:rPr>
          <w:rFonts w:hint="eastAsia" w:ascii="宋体" w:hAnsi="宋体" w:eastAsia="宋体" w:cs="宋体"/>
          <w:b/>
          <w:bCs/>
          <w:color w:val="auto"/>
          <w:spacing w:val="0"/>
          <w:sz w:val="24"/>
          <w:szCs w:val="24"/>
          <w:highlight w:val="none"/>
        </w:rPr>
        <w:t xml:space="preserve">10.2.1  </w:t>
      </w:r>
      <w:r>
        <w:rPr>
          <w:rFonts w:hint="eastAsia" w:ascii="宋体" w:hAnsi="宋体" w:eastAsia="宋体" w:cs="宋体"/>
          <w:color w:val="auto"/>
          <w:spacing w:val="0"/>
          <w:sz w:val="24"/>
          <w:szCs w:val="24"/>
          <w:highlight w:val="none"/>
        </w:rPr>
        <w:t>目中所列出的商务标书组成内容中，第（1）至第（13）项所有投标人均应提供，</w:t>
      </w:r>
      <w:r>
        <w:rPr>
          <w:rFonts w:hint="eastAsia" w:ascii="宋体" w:hAnsi="宋体" w:eastAsia="宋体" w:cs="宋体"/>
          <w:b/>
          <w:bCs/>
          <w:color w:val="auto"/>
          <w:spacing w:val="0"/>
          <w:sz w:val="24"/>
          <w:szCs w:val="24"/>
          <w:highlight w:val="none"/>
        </w:rPr>
        <w:t>但非联合体投标的，无需提供第（7）项内容。</w:t>
      </w:r>
    </w:p>
    <w:p w14:paraId="2F3F2186">
      <w:pPr>
        <w:keepNext w:val="0"/>
        <w:keepLines w:val="0"/>
        <w:pageBreakBefore w:val="0"/>
        <w:wordWrap w:val="0"/>
        <w:overflowPunct/>
        <w:topLinePunct w:val="0"/>
        <w:bidi w:val="0"/>
        <w:spacing w:before="199" w:line="279" w:lineRule="auto"/>
        <w:ind w:right="61"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10.2.3 </w:t>
      </w:r>
      <w:r>
        <w:rPr>
          <w:rFonts w:hint="eastAsia" w:ascii="宋体" w:hAnsi="宋体" w:eastAsia="宋体" w:cs="宋体"/>
          <w:color w:val="auto"/>
          <w:spacing w:val="0"/>
          <w:sz w:val="24"/>
          <w:szCs w:val="24"/>
          <w:highlight w:val="none"/>
        </w:rPr>
        <w:t>商务标书的组成内容按本节第 10.2.1 目规定的顺序整理、编排后，逐页（页码起始从封面开始）连续标记页码。</w:t>
      </w:r>
    </w:p>
    <w:p w14:paraId="2120F2BD">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2D4DCA8F">
      <w:pPr>
        <w:keepNext w:val="0"/>
        <w:keepLines w:val="0"/>
        <w:pageBreakBefore w:val="0"/>
        <w:wordWrap w:val="0"/>
        <w:overflowPunct/>
        <w:topLinePunct w:val="0"/>
        <w:bidi w:val="0"/>
        <w:spacing w:before="78" w:line="219" w:lineRule="auto"/>
        <w:ind w:left="496"/>
        <w:outlineLvl w:val="5"/>
        <w:rPr>
          <w:rFonts w:hint="eastAsia" w:ascii="宋体" w:hAnsi="宋体" w:eastAsia="宋体" w:cs="宋体"/>
          <w:color w:val="auto"/>
          <w:spacing w:val="0"/>
          <w:sz w:val="24"/>
          <w:szCs w:val="24"/>
          <w:highlight w:val="none"/>
        </w:rPr>
      </w:pPr>
      <w:bookmarkStart w:id="39" w:name="_Toc29370"/>
      <w:bookmarkStart w:id="40" w:name="_Toc10602"/>
      <w:r>
        <w:rPr>
          <w:rFonts w:hint="eastAsia" w:ascii="宋体" w:hAnsi="宋体" w:eastAsia="宋体" w:cs="宋体"/>
          <w:b/>
          <w:bCs/>
          <w:color w:val="auto"/>
          <w:spacing w:val="0"/>
          <w:sz w:val="24"/>
          <w:szCs w:val="24"/>
          <w:highlight w:val="none"/>
        </w:rPr>
        <w:t xml:space="preserve">10.3  </w:t>
      </w:r>
      <w:r>
        <w:rPr>
          <w:rFonts w:hint="eastAsia" w:ascii="宋体" w:hAnsi="宋体" w:eastAsia="宋体" w:cs="宋体"/>
          <w:color w:val="auto"/>
          <w:spacing w:val="0"/>
          <w:sz w:val="24"/>
          <w:szCs w:val="24"/>
          <w:highlight w:val="none"/>
        </w:rPr>
        <w:t>经济标书的编制要求</w:t>
      </w:r>
      <w:bookmarkEnd w:id="39"/>
      <w:bookmarkEnd w:id="40"/>
    </w:p>
    <w:p w14:paraId="1F78619A">
      <w:pPr>
        <w:keepNext w:val="0"/>
        <w:keepLines w:val="0"/>
        <w:pageBreakBefore w:val="0"/>
        <w:wordWrap w:val="0"/>
        <w:overflowPunct/>
        <w:topLinePunct w:val="0"/>
        <w:bidi w:val="0"/>
        <w:spacing w:before="154"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10.3.1  </w:t>
      </w:r>
      <w:r>
        <w:rPr>
          <w:rFonts w:hint="eastAsia" w:ascii="宋体" w:hAnsi="宋体" w:eastAsia="宋体" w:cs="宋体"/>
          <w:color w:val="auto"/>
          <w:spacing w:val="0"/>
          <w:sz w:val="24"/>
          <w:szCs w:val="24"/>
          <w:highlight w:val="none"/>
        </w:rPr>
        <w:t>经济标书包括以下内容：</w:t>
      </w:r>
    </w:p>
    <w:p w14:paraId="57663477">
      <w:pPr>
        <w:keepNext w:val="0"/>
        <w:keepLines w:val="0"/>
        <w:pageBreakBefore w:val="0"/>
        <w:wordWrap w:val="0"/>
        <w:overflowPunct/>
        <w:topLinePunct w:val="0"/>
        <w:bidi w:val="0"/>
        <w:spacing w:before="156"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（1）封面（格式一）；</w:t>
      </w:r>
    </w:p>
    <w:p w14:paraId="18A4AD47">
      <w:pPr>
        <w:keepNext w:val="0"/>
        <w:keepLines w:val="0"/>
        <w:pageBreakBefore w:val="0"/>
        <w:wordWrap w:val="0"/>
        <w:overflowPunct/>
        <w:topLinePunct w:val="0"/>
        <w:bidi w:val="0"/>
        <w:spacing w:before="153" w:line="222"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目录；</w:t>
      </w:r>
    </w:p>
    <w:p w14:paraId="74083071">
      <w:pPr>
        <w:keepNext w:val="0"/>
        <w:keepLines w:val="0"/>
        <w:pageBreakBefore w:val="0"/>
        <w:wordWrap w:val="0"/>
        <w:overflowPunct/>
        <w:topLinePunct w:val="0"/>
        <w:bidi w:val="0"/>
        <w:spacing w:before="150"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（3）《投标总价》；</w:t>
      </w:r>
    </w:p>
    <w:p w14:paraId="105877BB">
      <w:pPr>
        <w:keepNext w:val="0"/>
        <w:keepLines w:val="0"/>
        <w:pageBreakBefore w:val="0"/>
        <w:wordWrap w:val="0"/>
        <w:overflowPunct/>
        <w:topLinePunct w:val="0"/>
        <w:bidi w:val="0"/>
        <w:spacing w:before="155" w:line="220" w:lineRule="auto"/>
        <w:ind w:left="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说明：《投标总价》的格式按照《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》（GB/T50500-2024）执行，并应满足以下要求：</w:t>
      </w:r>
    </w:p>
    <w:p w14:paraId="2569EC2C">
      <w:pPr>
        <w:keepNext w:val="0"/>
        <w:keepLines w:val="0"/>
        <w:pageBreakBefore w:val="0"/>
        <w:wordWrap w:val="0"/>
        <w:overflowPunct/>
        <w:topLinePunct w:val="0"/>
        <w:bidi w:val="0"/>
        <w:spacing w:before="150" w:line="309" w:lineRule="auto"/>
        <w:ind w:left="8" w:firstLine="482"/>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．《投标总价》后应附编制人的造价工程师注册证书彩色扫描件（须扫描至变更注册栏，</w:t>
      </w:r>
      <w:r>
        <w:rPr>
          <w:rFonts w:hint="eastAsia" w:ascii="宋体" w:hAnsi="宋体" w:eastAsia="宋体" w:cs="宋体"/>
          <w:b/>
          <w:bCs/>
          <w:color w:val="auto"/>
          <w:spacing w:val="0"/>
          <w:sz w:val="24"/>
          <w:szCs w:val="24"/>
          <w:highlight w:val="none"/>
        </w:rPr>
        <w:t>一级造价师或二级造价师均可提供电子证书</w:t>
      </w:r>
      <w:r>
        <w:rPr>
          <w:rFonts w:hint="eastAsia" w:ascii="宋体" w:hAnsi="宋体" w:eastAsia="宋体" w:cs="宋体"/>
          <w:color w:val="auto"/>
          <w:spacing w:val="0"/>
          <w:sz w:val="24"/>
          <w:szCs w:val="24"/>
          <w:highlight w:val="none"/>
        </w:rPr>
        <w:t>）；投标人委托造价咨询单位编制《投标总价》的，在该扉页“投标人”栏目加盖造价咨询人公章，并在该扉页后附造价咨询人的营业执照副本彩色扫描件。</w:t>
      </w:r>
    </w:p>
    <w:p w14:paraId="068BAFD3">
      <w:pPr>
        <w:keepNext w:val="0"/>
        <w:keepLines w:val="0"/>
        <w:pageBreakBefore w:val="0"/>
        <w:wordWrap w:val="0"/>
        <w:overflowPunct/>
        <w:topLinePunct w:val="0"/>
        <w:bidi w:val="0"/>
        <w:spacing w:before="119" w:line="314" w:lineRule="auto"/>
        <w:ind w:left="10" w:right="61"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b.  </w:t>
      </w:r>
      <w:r>
        <w:rPr>
          <w:rFonts w:hint="eastAsia" w:ascii="宋体" w:hAnsi="宋体" w:eastAsia="宋体" w:cs="宋体"/>
          <w:color w:val="auto"/>
          <w:spacing w:val="0"/>
          <w:sz w:val="24"/>
          <w:szCs w:val="24"/>
          <w:highlight w:val="none"/>
        </w:rPr>
        <w:t>投标人认为有必要补充的其他资料（例如关于投标总价下浮率超过 15%的书面说明和佐证材料）。</w:t>
      </w:r>
    </w:p>
    <w:p w14:paraId="05D38EAE">
      <w:pPr>
        <w:keepNext w:val="0"/>
        <w:keepLines w:val="0"/>
        <w:pageBreakBefore w:val="0"/>
        <w:wordWrap w:val="0"/>
        <w:overflowPunct/>
        <w:topLinePunct w:val="0"/>
        <w:bidi w:val="0"/>
        <w:spacing w:before="99" w:line="280" w:lineRule="auto"/>
        <w:ind w:left="10" w:right="63" w:firstLine="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10.3.2  </w:t>
      </w:r>
      <w:r>
        <w:rPr>
          <w:rFonts w:hint="eastAsia" w:ascii="宋体" w:hAnsi="宋体" w:eastAsia="宋体" w:cs="宋体"/>
          <w:color w:val="auto"/>
          <w:spacing w:val="0"/>
          <w:sz w:val="24"/>
          <w:szCs w:val="24"/>
          <w:highlight w:val="none"/>
        </w:rPr>
        <w:t xml:space="preserve">本节第 </w:t>
      </w:r>
      <w:r>
        <w:rPr>
          <w:rFonts w:hint="eastAsia" w:ascii="宋体" w:hAnsi="宋体" w:eastAsia="宋体" w:cs="宋体"/>
          <w:b/>
          <w:bCs/>
          <w:color w:val="auto"/>
          <w:spacing w:val="0"/>
          <w:sz w:val="24"/>
          <w:szCs w:val="24"/>
          <w:highlight w:val="none"/>
        </w:rPr>
        <w:t xml:space="preserve">10.3.1  </w:t>
      </w:r>
      <w:r>
        <w:rPr>
          <w:rFonts w:hint="eastAsia" w:ascii="宋体" w:hAnsi="宋体" w:eastAsia="宋体" w:cs="宋体"/>
          <w:color w:val="auto"/>
          <w:spacing w:val="0"/>
          <w:sz w:val="24"/>
          <w:szCs w:val="24"/>
          <w:highlight w:val="none"/>
        </w:rPr>
        <w:t>目中所列出的经济标书组成内容中，第（1）至第（3）项所有投标人均应提供。</w:t>
      </w:r>
    </w:p>
    <w:p w14:paraId="1592DD8B">
      <w:pPr>
        <w:keepNext w:val="0"/>
        <w:keepLines w:val="0"/>
        <w:pageBreakBefore w:val="0"/>
        <w:wordWrap w:val="0"/>
        <w:overflowPunct/>
        <w:topLinePunct w:val="0"/>
        <w:bidi w:val="0"/>
        <w:spacing w:before="155" w:line="279" w:lineRule="auto"/>
        <w:ind w:left="8" w:right="61" w:firstLine="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10.3.3 </w:t>
      </w:r>
      <w:r>
        <w:rPr>
          <w:rFonts w:hint="eastAsia" w:ascii="宋体" w:hAnsi="宋体" w:eastAsia="宋体" w:cs="宋体"/>
          <w:color w:val="auto"/>
          <w:spacing w:val="0"/>
          <w:sz w:val="24"/>
          <w:szCs w:val="24"/>
          <w:highlight w:val="none"/>
        </w:rPr>
        <w:t>经济标书的组成内容按本节第 10.3.1 目规定的顺序整理、编排后，逐页（页码起始从封面开始）连续标记页码。</w:t>
      </w:r>
    </w:p>
    <w:p w14:paraId="3A6D334B">
      <w:pPr>
        <w:keepNext w:val="0"/>
        <w:keepLines w:val="0"/>
        <w:pageBreakBefore w:val="0"/>
        <w:wordWrap w:val="0"/>
        <w:overflowPunct/>
        <w:topLinePunct w:val="0"/>
        <w:bidi w:val="0"/>
        <w:spacing w:before="82" w:line="213" w:lineRule="auto"/>
        <w:ind w:left="496"/>
        <w:outlineLvl w:val="5"/>
        <w:rPr>
          <w:rFonts w:hint="eastAsia" w:ascii="宋体" w:hAnsi="宋体" w:eastAsia="宋体" w:cs="宋体"/>
          <w:color w:val="auto"/>
          <w:spacing w:val="0"/>
          <w:sz w:val="25"/>
          <w:szCs w:val="25"/>
          <w:highlight w:val="none"/>
        </w:rPr>
      </w:pPr>
      <w:r>
        <w:rPr>
          <w:rFonts w:hint="eastAsia" w:ascii="宋体" w:hAnsi="宋体" w:eastAsia="宋体" w:cs="宋体"/>
          <w:b/>
          <w:bCs/>
          <w:color w:val="auto"/>
          <w:spacing w:val="0"/>
          <w:sz w:val="24"/>
          <w:szCs w:val="24"/>
          <w:highlight w:val="none"/>
        </w:rPr>
        <w:t xml:space="preserve">10.4  </w:t>
      </w:r>
      <w:r>
        <w:rPr>
          <w:rFonts w:hint="eastAsia" w:ascii="宋体" w:hAnsi="宋体" w:eastAsia="宋体" w:cs="宋体"/>
          <w:color w:val="auto"/>
          <w:spacing w:val="0"/>
          <w:sz w:val="24"/>
          <w:szCs w:val="24"/>
          <w:highlight w:val="none"/>
        </w:rPr>
        <w:t>施工组织设计的编制要求</w:t>
      </w:r>
    </w:p>
    <w:p w14:paraId="7828F48B">
      <w:pPr>
        <w:keepNext w:val="0"/>
        <w:keepLines w:val="0"/>
        <w:pageBreakBefore w:val="0"/>
        <w:wordWrap w:val="0"/>
        <w:overflowPunct/>
        <w:topLinePunct w:val="0"/>
        <w:bidi w:val="0"/>
        <w:spacing w:before="151"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10.4.1 </w:t>
      </w:r>
      <w:r>
        <w:rPr>
          <w:rFonts w:hint="eastAsia" w:ascii="宋体" w:hAnsi="宋体" w:eastAsia="宋体" w:cs="宋体"/>
          <w:color w:val="auto"/>
          <w:spacing w:val="0"/>
          <w:sz w:val="24"/>
          <w:szCs w:val="24"/>
          <w:highlight w:val="none"/>
        </w:rPr>
        <w:t>施工组织设计的编制依据包括且不限于：</w:t>
      </w:r>
    </w:p>
    <w:p w14:paraId="69CA5D7C">
      <w:pPr>
        <w:keepNext w:val="0"/>
        <w:keepLines w:val="0"/>
        <w:pageBreakBefore w:val="0"/>
        <w:wordWrap w:val="0"/>
        <w:overflowPunct/>
        <w:topLinePunct w:val="0"/>
        <w:bidi w:val="0"/>
        <w:spacing w:before="156"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（1）招标文件及其答疑（或修改）公告；</w:t>
      </w:r>
    </w:p>
    <w:p w14:paraId="3D9B573B">
      <w:pPr>
        <w:keepNext w:val="0"/>
        <w:keepLines w:val="0"/>
        <w:pageBreakBefore w:val="0"/>
        <w:wordWrap w:val="0"/>
        <w:overflowPunct/>
        <w:topLinePunct w:val="0"/>
        <w:bidi w:val="0"/>
        <w:spacing w:before="155" w:line="221"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（2）施工图及相关资料；</w:t>
      </w:r>
    </w:p>
    <w:p w14:paraId="56E6D366">
      <w:pPr>
        <w:keepNext w:val="0"/>
        <w:keepLines w:val="0"/>
        <w:pageBreakBefore w:val="0"/>
        <w:wordWrap w:val="0"/>
        <w:overflowPunct/>
        <w:topLinePunct w:val="0"/>
        <w:bidi w:val="0"/>
        <w:spacing w:before="152"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（3）施工现场情况、工程特点；</w:t>
      </w:r>
    </w:p>
    <w:p w14:paraId="3FE9ED6F">
      <w:pPr>
        <w:keepNext w:val="0"/>
        <w:keepLines w:val="0"/>
        <w:pageBreakBefore w:val="0"/>
        <w:wordWrap w:val="0"/>
        <w:overflowPunct/>
        <w:topLinePunct w:val="0"/>
        <w:bidi w:val="0"/>
        <w:spacing w:before="78"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（4）相关法律、法规、规定；</w:t>
      </w:r>
    </w:p>
    <w:p w14:paraId="059FD045">
      <w:pPr>
        <w:keepNext w:val="0"/>
        <w:keepLines w:val="0"/>
        <w:pageBreakBefore w:val="0"/>
        <w:wordWrap w:val="0"/>
        <w:overflowPunct/>
        <w:topLinePunct w:val="0"/>
        <w:bidi w:val="0"/>
        <w:spacing w:before="153" w:line="299" w:lineRule="auto"/>
        <w:ind w:left="10" w:right="21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50B2B5BD">
      <w:pPr>
        <w:keepNext w:val="0"/>
        <w:keepLines w:val="0"/>
        <w:pageBreakBefore w:val="0"/>
        <w:wordWrap w:val="0"/>
        <w:overflowPunct/>
        <w:topLinePunct w:val="0"/>
        <w:bidi w:val="0"/>
        <w:spacing w:before="155"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（6）企业内部标准、工法。</w:t>
      </w:r>
    </w:p>
    <w:p w14:paraId="6608343E">
      <w:pPr>
        <w:keepNext w:val="0"/>
        <w:keepLines w:val="0"/>
        <w:pageBreakBefore w:val="0"/>
        <w:wordWrap w:val="0"/>
        <w:overflowPunct/>
        <w:topLinePunct w:val="0"/>
        <w:bidi w:val="0"/>
        <w:spacing w:before="153"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10.4.2 </w:t>
      </w:r>
      <w:r>
        <w:rPr>
          <w:rFonts w:hint="eastAsia" w:ascii="宋体" w:hAnsi="宋体" w:eastAsia="宋体" w:cs="宋体"/>
          <w:color w:val="auto"/>
          <w:spacing w:val="0"/>
          <w:sz w:val="24"/>
          <w:szCs w:val="24"/>
          <w:highlight w:val="none"/>
        </w:rPr>
        <w:t>施工组织设计包括但不限于以下内容：</w:t>
      </w:r>
    </w:p>
    <w:p w14:paraId="11AC19C5">
      <w:pPr>
        <w:keepNext w:val="0"/>
        <w:keepLines w:val="0"/>
        <w:pageBreakBefore w:val="0"/>
        <w:wordWrap w:val="0"/>
        <w:overflowPunct/>
        <w:topLinePunct w:val="0"/>
        <w:bidi w:val="0"/>
        <w:spacing w:before="153"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（1）封面（格式一）；</w:t>
      </w:r>
    </w:p>
    <w:p w14:paraId="0D89566C">
      <w:pPr>
        <w:keepNext w:val="0"/>
        <w:keepLines w:val="0"/>
        <w:pageBreakBefore w:val="0"/>
        <w:wordWrap w:val="0"/>
        <w:overflowPunct/>
        <w:topLinePunct w:val="0"/>
        <w:bidi w:val="0"/>
        <w:spacing w:before="156" w:line="222"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（2）目录；</w:t>
      </w:r>
    </w:p>
    <w:p w14:paraId="42EF60D6">
      <w:pPr>
        <w:keepNext w:val="0"/>
        <w:keepLines w:val="0"/>
        <w:pageBreakBefore w:val="0"/>
        <w:wordWrap w:val="0"/>
        <w:overflowPunct/>
        <w:topLinePunct w:val="0"/>
        <w:bidi w:val="0"/>
        <w:spacing w:before="150"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（3）总体概述（包括施工程序总体设想及施工段划分等内容）；</w:t>
      </w:r>
    </w:p>
    <w:p w14:paraId="2188CD8A">
      <w:pPr>
        <w:keepNext w:val="0"/>
        <w:keepLines w:val="0"/>
        <w:pageBreakBefore w:val="0"/>
        <w:wordWrap w:val="0"/>
        <w:overflowPunct/>
        <w:topLinePunct w:val="0"/>
        <w:bidi w:val="0"/>
        <w:spacing w:before="154" w:line="299" w:lineRule="auto"/>
        <w:ind w:left="9" w:right="211"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（4）施工总进度计划及保证措施（包括进度管理目标；以横道图或标明关键线路的网络进度计划；保障进度计划需要的人、材、机需求计划及保证措施；违约责任承诺等内容）；</w:t>
      </w:r>
    </w:p>
    <w:p w14:paraId="1FC69F82">
      <w:pPr>
        <w:keepNext w:val="0"/>
        <w:keepLines w:val="0"/>
        <w:pageBreakBefore w:val="0"/>
        <w:wordWrap w:val="0"/>
        <w:overflowPunct/>
        <w:topLinePunct w:val="0"/>
        <w:bidi w:val="0"/>
        <w:spacing w:before="153"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（5）质量保证措施（包括质量管理目标；相应保证措施；违约责任承诺等内容</w:t>
      </w:r>
      <w:r>
        <w:rPr>
          <w:rFonts w:hint="eastAsia" w:ascii="宋体" w:hAnsi="宋体" w:eastAsia="宋体" w:cs="宋体"/>
          <w:color w:val="auto"/>
          <w:spacing w:val="0"/>
          <w:w w:val="97"/>
          <w:sz w:val="24"/>
          <w:szCs w:val="24"/>
          <w:highlight w:val="none"/>
        </w:rPr>
        <w:t>）；</w:t>
      </w:r>
    </w:p>
    <w:p w14:paraId="69700B99">
      <w:pPr>
        <w:keepNext w:val="0"/>
        <w:keepLines w:val="0"/>
        <w:pageBreakBefore w:val="0"/>
        <w:wordWrap w:val="0"/>
        <w:overflowPunct/>
        <w:topLinePunct w:val="0"/>
        <w:bidi w:val="0"/>
        <w:spacing w:before="156" w:line="279" w:lineRule="auto"/>
        <w:ind w:left="11" w:right="21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（6）施工技术措施（包括关键施工技术、工艺及工程项目实施的重点、难点分析和解决方案；新技术应用与承诺等内容）；</w:t>
      </w:r>
    </w:p>
    <w:p w14:paraId="4D11B874">
      <w:pPr>
        <w:keepNext w:val="0"/>
        <w:keepLines w:val="0"/>
        <w:pageBreakBefore w:val="0"/>
        <w:wordWrap w:val="0"/>
        <w:overflowPunct/>
        <w:topLinePunct w:val="0"/>
        <w:bidi w:val="0"/>
        <w:spacing w:before="118" w:line="297" w:lineRule="auto"/>
        <w:ind w:left="11" w:right="3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（7）绿色施工、安全防护、文明施工措施计划(应对建设单位组织的勘察设计等单位在施工招标文件中列出的危大工程清单(详见格式十三)进行投标文件回应，如有)；</w:t>
      </w:r>
    </w:p>
    <w:p w14:paraId="00EDD96D">
      <w:pPr>
        <w:keepNext w:val="0"/>
        <w:keepLines w:val="0"/>
        <w:pageBreakBefore w:val="0"/>
        <w:wordWrap w:val="0"/>
        <w:overflowPunct/>
        <w:topLinePunct w:val="0"/>
        <w:bidi w:val="0"/>
        <w:spacing w:before="118" w:line="297" w:lineRule="auto"/>
        <w:ind w:left="11" w:right="3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（8）施工现场总平面布置（</w:t>
      </w:r>
      <w:bookmarkStart w:id="41" w:name="OLE_LINK8"/>
      <w:r>
        <w:rPr>
          <w:rFonts w:hint="eastAsia" w:ascii="宋体" w:hAnsi="宋体" w:eastAsia="宋体" w:cs="宋体"/>
          <w:color w:val="auto"/>
          <w:spacing w:val="0"/>
          <w:sz w:val="24"/>
          <w:szCs w:val="24"/>
          <w:highlight w:val="none"/>
        </w:rPr>
        <w:t>投标人应递交一份施工现场总平面布置图，绘出现场临时设施布置图表并附文字说明，说明临时设施、加工车间、现场办公、设备及仓储、供电、供水、卫生、生活、道路、消防等设施的情况和布置</w:t>
      </w:r>
      <w:bookmarkEnd w:id="41"/>
      <w:r>
        <w:rPr>
          <w:rFonts w:hint="eastAsia" w:ascii="宋体" w:hAnsi="宋体" w:eastAsia="宋体" w:cs="宋体"/>
          <w:color w:val="auto"/>
          <w:spacing w:val="0"/>
          <w:sz w:val="24"/>
          <w:szCs w:val="24"/>
          <w:highlight w:val="none"/>
        </w:rPr>
        <w:t>）；</w:t>
      </w:r>
    </w:p>
    <w:p w14:paraId="523DCF6A">
      <w:pPr>
        <w:keepNext w:val="0"/>
        <w:keepLines w:val="0"/>
        <w:pageBreakBefore w:val="0"/>
        <w:wordWrap w:val="0"/>
        <w:overflowPunct/>
        <w:topLinePunct w:val="0"/>
        <w:bidi w:val="0"/>
        <w:spacing w:before="155"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（9）项目管理机构。</w:t>
      </w:r>
    </w:p>
    <w:p w14:paraId="16991E29">
      <w:pPr>
        <w:keepNext w:val="0"/>
        <w:keepLines w:val="0"/>
        <w:pageBreakBefore w:val="0"/>
        <w:wordWrap w:val="0"/>
        <w:overflowPunct/>
        <w:topLinePunct w:val="0"/>
        <w:bidi w:val="0"/>
        <w:spacing w:before="154" w:line="280" w:lineRule="auto"/>
        <w:ind w:right="211"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（10）投标人认为有必要补充的其他内容（例如对总包管理的认识以及对专业分包工程的管理、协调、配合、服务方案）。</w:t>
      </w:r>
    </w:p>
    <w:p w14:paraId="5EA512C0">
      <w:pPr>
        <w:keepNext w:val="0"/>
        <w:keepLines w:val="0"/>
        <w:pageBreakBefore w:val="0"/>
        <w:wordWrap w:val="0"/>
        <w:overflowPunct/>
        <w:topLinePunct w:val="0"/>
        <w:bidi w:val="0"/>
        <w:spacing w:before="152" w:line="279" w:lineRule="auto"/>
        <w:ind w:right="196"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10.4.3  </w:t>
      </w:r>
      <w:r>
        <w:rPr>
          <w:rFonts w:hint="eastAsia" w:ascii="宋体" w:hAnsi="宋体" w:eastAsia="宋体" w:cs="宋体"/>
          <w:color w:val="auto"/>
          <w:spacing w:val="0"/>
          <w:sz w:val="24"/>
          <w:szCs w:val="24"/>
          <w:highlight w:val="none"/>
        </w:rPr>
        <w:t xml:space="preserve">本节第 </w:t>
      </w:r>
      <w:r>
        <w:rPr>
          <w:rFonts w:hint="eastAsia" w:ascii="宋体" w:hAnsi="宋体" w:eastAsia="宋体" w:cs="宋体"/>
          <w:b/>
          <w:bCs/>
          <w:color w:val="auto"/>
          <w:spacing w:val="0"/>
          <w:sz w:val="24"/>
          <w:szCs w:val="24"/>
          <w:highlight w:val="none"/>
        </w:rPr>
        <w:t xml:space="preserve">10.4.2  </w:t>
      </w:r>
      <w:r>
        <w:rPr>
          <w:rFonts w:hint="eastAsia" w:ascii="宋体" w:hAnsi="宋体" w:eastAsia="宋体" w:cs="宋体"/>
          <w:color w:val="auto"/>
          <w:spacing w:val="0"/>
          <w:sz w:val="24"/>
          <w:szCs w:val="24"/>
          <w:highlight w:val="none"/>
        </w:rPr>
        <w:t>目中所列出的施工组织设计组成内容中，第（1）至第（9）项所有投标人均应提供。</w:t>
      </w:r>
    </w:p>
    <w:p w14:paraId="6B854B9F">
      <w:pPr>
        <w:keepNext w:val="0"/>
        <w:keepLines w:val="0"/>
        <w:pageBreakBefore w:val="0"/>
        <w:wordWrap w:val="0"/>
        <w:overflowPunct/>
        <w:topLinePunct w:val="0"/>
        <w:bidi w:val="0"/>
        <w:spacing w:before="157" w:line="279" w:lineRule="auto"/>
        <w:ind w:right="211"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10.4.4 </w:t>
      </w:r>
      <w:r>
        <w:rPr>
          <w:rFonts w:hint="eastAsia" w:ascii="宋体" w:hAnsi="宋体" w:eastAsia="宋体" w:cs="宋体"/>
          <w:color w:val="auto"/>
          <w:spacing w:val="0"/>
          <w:sz w:val="24"/>
          <w:szCs w:val="24"/>
          <w:highlight w:val="none"/>
        </w:rPr>
        <w:t>施工组织设计的组成内容按本节第 10.4.2 目规定的顺序整理、编排后，逐页（页码起始从封面开始）连续标记页码。</w:t>
      </w:r>
    </w:p>
    <w:p w14:paraId="7DA830C4">
      <w:pPr>
        <w:keepNext w:val="0"/>
        <w:keepLines w:val="0"/>
        <w:pageBreakBefore w:val="0"/>
        <w:wordWrap w:val="0"/>
        <w:overflowPunct/>
        <w:topLinePunct w:val="0"/>
        <w:bidi w:val="0"/>
        <w:ind w:firstLine="480"/>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b/>
          <w:bCs/>
          <w:color w:val="auto"/>
          <w:spacing w:val="0"/>
          <w:sz w:val="24"/>
          <w:szCs w:val="24"/>
          <w:highlight w:val="none"/>
        </w:rPr>
        <w:t>10.4.5</w:t>
      </w:r>
      <w:bookmarkStart w:id="42" w:name="OLE_LINK9"/>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施工组织设计的正文不得超过</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200</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页</w:t>
      </w:r>
      <w:r>
        <w:rPr>
          <w:rFonts w:hint="eastAsia" w:ascii="宋体" w:hAnsi="宋体" w:eastAsia="宋体" w:cs="宋体"/>
          <w:color w:val="auto"/>
          <w:spacing w:val="0"/>
          <w:sz w:val="24"/>
          <w:szCs w:val="24"/>
          <w:highlight w:val="none"/>
          <w:lang w:eastAsia="zh-CN"/>
        </w:rPr>
        <w:t>。</w:t>
      </w:r>
      <w:bookmarkEnd w:id="42"/>
      <w:bookmarkStart w:id="43" w:name="bookmark121"/>
      <w:bookmarkEnd w:id="43"/>
    </w:p>
    <w:p w14:paraId="10D83226">
      <w:pPr>
        <w:keepNext w:val="0"/>
        <w:keepLines w:val="0"/>
        <w:pageBreakBefore w:val="0"/>
        <w:wordWrap w:val="0"/>
        <w:overflowPunct/>
        <w:topLinePunct w:val="0"/>
        <w:bidi w:val="0"/>
        <w:ind w:firstLine="480"/>
        <w:outlineLvl w:val="9"/>
        <w:rPr>
          <w:rFonts w:hint="eastAsia" w:ascii="宋体" w:hAnsi="宋体" w:eastAsia="宋体" w:cs="宋体"/>
          <w:color w:val="auto"/>
          <w:spacing w:val="0"/>
          <w:sz w:val="24"/>
          <w:szCs w:val="24"/>
          <w:highlight w:val="none"/>
          <w:lang w:eastAsia="zh-CN"/>
        </w:rPr>
      </w:pPr>
    </w:p>
    <w:p w14:paraId="4408858C">
      <w:pPr>
        <w:keepNext w:val="0"/>
        <w:keepLines w:val="0"/>
        <w:pageBreakBefore w:val="0"/>
        <w:wordWrap w:val="0"/>
        <w:overflowPunct/>
        <w:topLinePunct w:val="0"/>
        <w:bidi w:val="0"/>
        <w:spacing w:before="78" w:line="219" w:lineRule="auto"/>
        <w:ind w:left="496"/>
        <w:outlineLvl w:val="3"/>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10.</w:t>
      </w:r>
      <w:r>
        <w:rPr>
          <w:rFonts w:hint="eastAsia" w:ascii="宋体" w:hAnsi="宋体" w:eastAsia="宋体" w:cs="宋体"/>
          <w:b/>
          <w:bCs/>
          <w:color w:val="auto"/>
          <w:spacing w:val="0"/>
          <w:sz w:val="24"/>
          <w:szCs w:val="24"/>
          <w:highlight w:val="none"/>
          <w:lang w:val="en-US" w:eastAsia="zh-CN"/>
        </w:rPr>
        <w:t>5</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定标文件的编制要求</w:t>
      </w:r>
    </w:p>
    <w:p w14:paraId="504314F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0.5</w:t>
      </w:r>
      <w:r>
        <w:rPr>
          <w:rFonts w:hint="eastAsia" w:ascii="宋体" w:hAnsi="宋体" w:eastAsia="宋体" w:cs="宋体"/>
          <w:b w:val="0"/>
          <w:bCs w:val="0"/>
          <w:color w:val="auto"/>
          <w:sz w:val="24"/>
          <w:highlight w:val="none"/>
        </w:rPr>
        <w:t xml:space="preserve">.1 </w:t>
      </w:r>
      <w:r>
        <w:rPr>
          <w:rFonts w:hint="eastAsia" w:ascii="宋体" w:hAnsi="宋体" w:eastAsia="宋体" w:cs="宋体"/>
          <w:b w:val="0"/>
          <w:bCs w:val="0"/>
          <w:color w:val="auto"/>
          <w:sz w:val="24"/>
          <w:highlight w:val="none"/>
          <w:lang w:val="en-US" w:eastAsia="zh-CN"/>
        </w:rPr>
        <w:t>定标文件</w:t>
      </w:r>
      <w:r>
        <w:rPr>
          <w:rFonts w:hint="eastAsia" w:ascii="宋体" w:hAnsi="宋体" w:eastAsia="宋体" w:cs="宋体"/>
          <w:b w:val="0"/>
          <w:bCs w:val="0"/>
          <w:color w:val="auto"/>
          <w:sz w:val="24"/>
          <w:highlight w:val="none"/>
        </w:rPr>
        <w:t>包括以下内容：</w:t>
      </w:r>
    </w:p>
    <w:p w14:paraId="49C08FDD">
      <w:pPr>
        <w:keepNext w:val="0"/>
        <w:keepLines w:val="0"/>
        <w:pageBreakBefore w:val="0"/>
        <w:wordWrap w:val="0"/>
        <w:overflowPunct/>
        <w:topLinePunct w:val="0"/>
        <w:bidi w:val="0"/>
        <w:spacing w:before="156"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w:t>
      </w:r>
      <w:r>
        <w:rPr>
          <w:rFonts w:hint="eastAsia" w:ascii="宋体" w:hAnsi="宋体" w:eastAsia="宋体" w:cs="宋体"/>
          <w:color w:val="auto"/>
          <w:spacing w:val="0"/>
          <w:sz w:val="24"/>
          <w:szCs w:val="24"/>
          <w:highlight w:val="none"/>
          <w:lang w:val="en-US" w:eastAsia="zh-CN"/>
        </w:rPr>
        <w:t>十四</w:t>
      </w:r>
      <w:r>
        <w:rPr>
          <w:rFonts w:hint="eastAsia" w:ascii="宋体" w:hAnsi="宋体" w:eastAsia="宋体" w:cs="宋体"/>
          <w:color w:val="auto"/>
          <w:spacing w:val="0"/>
          <w:sz w:val="24"/>
          <w:szCs w:val="24"/>
          <w:highlight w:val="none"/>
        </w:rPr>
        <w:t>）；</w:t>
      </w:r>
    </w:p>
    <w:p w14:paraId="0BE569D4">
      <w:pPr>
        <w:keepNext w:val="0"/>
        <w:keepLines w:val="0"/>
        <w:pageBreakBefore w:val="0"/>
        <w:wordWrap w:val="0"/>
        <w:overflowPunct/>
        <w:topLinePunct w:val="0"/>
        <w:bidi w:val="0"/>
        <w:spacing w:before="153" w:line="222"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目录；</w:t>
      </w:r>
    </w:p>
    <w:p w14:paraId="6615EA3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w:t>
      </w:r>
      <w:r>
        <w:rPr>
          <w:rFonts w:hint="eastAsia" w:ascii="宋体" w:hAnsi="宋体" w:eastAsia="宋体" w:cs="宋体"/>
          <w:b w:val="0"/>
          <w:bCs w:val="0"/>
          <w:color w:val="auto"/>
          <w:sz w:val="24"/>
          <w:highlight w:val="none"/>
          <w:lang w:val="en-US" w:eastAsia="zh-CN"/>
        </w:rPr>
        <w:t xml:space="preserve"> 定标因素评审资料（格式十五）</w:t>
      </w:r>
    </w:p>
    <w:p w14:paraId="2451D94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b/>
          <w:bCs/>
          <w:highlight w:val="none"/>
        </w:rPr>
      </w:pPr>
      <w:r>
        <w:rPr>
          <w:rFonts w:hint="eastAsia" w:ascii="宋体" w:hAnsi="宋体" w:eastAsia="宋体" w:cs="宋体"/>
          <w:b/>
          <w:bCs/>
          <w:color w:val="auto"/>
          <w:sz w:val="24"/>
          <w:highlight w:val="none"/>
          <w:lang w:val="en-US" w:eastAsia="zh-CN"/>
        </w:rPr>
        <w:t>注：第10.5的定标文件按照本章节第16.5定标因素所列提供，其中第16.5.6无需提供，其余</w:t>
      </w:r>
      <w:r>
        <w:rPr>
          <w:rFonts w:hint="eastAsia" w:ascii="宋体" w:hAnsi="宋体" w:eastAsia="宋体" w:cs="宋体"/>
          <w:b/>
          <w:bCs/>
          <w:color w:val="auto"/>
          <w:sz w:val="24"/>
          <w:highlight w:val="none"/>
        </w:rPr>
        <w:t>所有投标人均应提供。</w:t>
      </w:r>
    </w:p>
    <w:p w14:paraId="246CC548">
      <w:pPr>
        <w:keepNext w:val="0"/>
        <w:keepLines w:val="0"/>
        <w:pageBreakBefore w:val="0"/>
        <w:wordWrap w:val="0"/>
        <w:overflowPunct/>
        <w:topLinePunct w:val="0"/>
        <w:bidi w:val="0"/>
        <w:ind w:firstLine="480"/>
        <w:outlineLvl w:val="9"/>
        <w:rPr>
          <w:rFonts w:hint="eastAsia" w:ascii="宋体" w:hAnsi="宋体" w:eastAsia="宋体" w:cs="宋体"/>
          <w:color w:val="auto"/>
          <w:spacing w:val="0"/>
          <w:sz w:val="24"/>
          <w:szCs w:val="24"/>
          <w:highlight w:val="none"/>
          <w:lang w:eastAsia="zh-CN"/>
        </w:rPr>
      </w:pPr>
    </w:p>
    <w:p w14:paraId="334D0149">
      <w:pPr>
        <w:keepNext w:val="0"/>
        <w:keepLines w:val="0"/>
        <w:pageBreakBefore w:val="0"/>
        <w:wordWrap w:val="0"/>
        <w:overflowPunct/>
        <w:topLinePunct w:val="0"/>
        <w:bidi w:val="0"/>
        <w:spacing w:before="78" w:line="221" w:lineRule="auto"/>
        <w:ind w:left="496"/>
        <w:outlineLvl w:val="4"/>
        <w:rPr>
          <w:rFonts w:hint="eastAsia" w:ascii="宋体" w:hAnsi="宋体" w:eastAsia="宋体" w:cs="宋体"/>
          <w:color w:val="auto"/>
          <w:spacing w:val="0"/>
          <w:sz w:val="24"/>
          <w:szCs w:val="24"/>
          <w:highlight w:val="none"/>
        </w:rPr>
      </w:pPr>
      <w:bookmarkStart w:id="44" w:name="_Toc21936"/>
      <w:r>
        <w:rPr>
          <w:rFonts w:hint="eastAsia" w:ascii="宋体" w:hAnsi="宋体" w:eastAsia="宋体" w:cs="宋体"/>
          <w:b/>
          <w:bCs/>
          <w:color w:val="auto"/>
          <w:spacing w:val="0"/>
          <w:sz w:val="24"/>
          <w:szCs w:val="24"/>
          <w:highlight w:val="none"/>
        </w:rPr>
        <w:t xml:space="preserve">11. </w:t>
      </w:r>
      <w:r>
        <w:rPr>
          <w:rFonts w:hint="eastAsia" w:ascii="宋体" w:hAnsi="宋体" w:eastAsia="宋体" w:cs="宋体"/>
          <w:color w:val="auto"/>
          <w:spacing w:val="0"/>
          <w:sz w:val="24"/>
          <w:szCs w:val="24"/>
          <w:highlight w:val="none"/>
        </w:rPr>
        <w:t>电子投标：</w:t>
      </w:r>
      <w:bookmarkEnd w:id="44"/>
    </w:p>
    <w:p w14:paraId="2928C8B1">
      <w:pPr>
        <w:keepNext w:val="0"/>
        <w:keepLines w:val="0"/>
        <w:pageBreakBefore w:val="0"/>
        <w:wordWrap w:val="0"/>
        <w:overflowPunct/>
        <w:topLinePunct w:val="0"/>
        <w:bidi w:val="0"/>
        <w:spacing w:before="112" w:line="295" w:lineRule="auto"/>
        <w:ind w:left="10" w:firstLine="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11.1  </w:t>
      </w:r>
      <w:r>
        <w:rPr>
          <w:rFonts w:hint="eastAsia" w:ascii="宋体" w:hAnsi="宋体" w:eastAsia="宋体" w:cs="宋体"/>
          <w:color w:val="auto"/>
          <w:spacing w:val="0"/>
          <w:sz w:val="24"/>
          <w:szCs w:val="24"/>
          <w:highlight w:val="none"/>
        </w:rPr>
        <w:t>在建设工程交易系统上传加盖了电子印章的投标文件、录入相关信息及标书页码信息，</w:t>
      </w:r>
      <w:r>
        <w:rPr>
          <w:rFonts w:hint="eastAsia" w:ascii="宋体" w:hAnsi="宋体" w:eastAsia="宋体" w:cs="宋体"/>
          <w:b/>
          <w:bCs/>
          <w:color w:val="auto"/>
          <w:spacing w:val="0"/>
          <w:sz w:val="24"/>
          <w:szCs w:val="24"/>
          <w:highlight w:val="none"/>
        </w:rPr>
        <w:t>（页码起始从封面开始）</w:t>
      </w:r>
      <w:r>
        <w:rPr>
          <w:rFonts w:hint="eastAsia" w:ascii="宋体" w:hAnsi="宋体" w:eastAsia="宋体" w:cs="宋体"/>
          <w:color w:val="auto"/>
          <w:spacing w:val="0"/>
          <w:sz w:val="24"/>
          <w:szCs w:val="24"/>
          <w:highlight w:val="none"/>
        </w:rPr>
        <w:t>并提交投标标书。提交标书为已加密投标文件。 具体操作参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1973AD4">
      <w:pPr>
        <w:keepNext w:val="0"/>
        <w:keepLines w:val="0"/>
        <w:pageBreakBefore w:val="0"/>
        <w:wordWrap w:val="0"/>
        <w:overflowPunct/>
        <w:topLinePunct w:val="0"/>
        <w:bidi w:val="0"/>
        <w:spacing w:before="115" w:line="286" w:lineRule="auto"/>
        <w:ind w:left="10" w:right="81" w:firstLine="485"/>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11.2  </w:t>
      </w:r>
      <w:r>
        <w:rPr>
          <w:rFonts w:hint="eastAsia" w:ascii="宋体" w:hAnsi="宋体" w:eastAsia="宋体" w:cs="宋体"/>
          <w:color w:val="auto"/>
          <w:spacing w:val="0"/>
          <w:sz w:val="24"/>
          <w:szCs w:val="24"/>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05B82554">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78" w:line="286" w:lineRule="auto"/>
        <w:ind w:firstLine="482" w:firstLineChars="200"/>
        <w:textAlignment w:val="baseline"/>
        <w:outlineLvl w:val="4"/>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12.</w:t>
      </w:r>
      <w:r>
        <w:rPr>
          <w:rFonts w:hint="eastAsia" w:ascii="宋体" w:hAnsi="宋体" w:eastAsia="宋体" w:cs="宋体"/>
          <w:b/>
          <w:bCs/>
          <w:color w:val="auto"/>
          <w:spacing w:val="0"/>
          <w:w w:val="101"/>
          <w:sz w:val="24"/>
          <w:szCs w:val="24"/>
          <w:highlight w:val="none"/>
        </w:rPr>
        <w:t xml:space="preserve"> </w:t>
      </w:r>
      <w:bookmarkStart w:id="45" w:name="_Toc29834"/>
      <w:r>
        <w:rPr>
          <w:rFonts w:hint="eastAsia" w:ascii="宋体" w:hAnsi="宋体" w:eastAsia="宋体" w:cs="宋体"/>
          <w:b/>
          <w:bCs/>
          <w:color w:val="auto"/>
          <w:spacing w:val="0"/>
          <w:sz w:val="24"/>
          <w:szCs w:val="24"/>
          <w:highlight w:val="none"/>
        </w:rPr>
        <w:t>电子投标及投标解密失败及突发情况的补救方案</w:t>
      </w:r>
      <w:bookmarkEnd w:id="45"/>
    </w:p>
    <w:p w14:paraId="656A950F">
      <w:pPr>
        <w:keepNext w:val="0"/>
        <w:keepLines w:val="0"/>
        <w:pageBreakBefore w:val="0"/>
        <w:widowControl/>
        <w:kinsoku w:val="0"/>
        <w:wordWrap w:val="0"/>
        <w:overflowPunct/>
        <w:topLinePunct w:val="0"/>
        <w:autoSpaceDE w:val="0"/>
        <w:autoSpaceDN w:val="0"/>
        <w:bidi w:val="0"/>
        <w:adjustRightInd w:val="0"/>
        <w:snapToGrid w:val="0"/>
        <w:spacing w:before="78" w:line="286" w:lineRule="auto"/>
        <w:ind w:firstLine="482"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12.1 </w:t>
      </w:r>
      <w:r>
        <w:rPr>
          <w:rFonts w:hint="eastAsia" w:ascii="宋体" w:hAnsi="宋体" w:eastAsia="宋体" w:cs="宋体"/>
          <w:color w:val="auto"/>
          <w:spacing w:val="0"/>
          <w:sz w:val="24"/>
          <w:szCs w:val="24"/>
          <w:highlight w:val="none"/>
        </w:rPr>
        <w:t>按照交易平台关于全流程电子化项目的相关指南进行操作。详见：全国公共资源交易平台（广东省 ·韶关市）（https://ygp.gdzwfw.gov.cn/ggzy-portal/#/44 0200/index）服务指南栏目发布的最新版操作指引。</w:t>
      </w:r>
    </w:p>
    <w:p w14:paraId="3E34A594">
      <w:pPr>
        <w:keepNext w:val="0"/>
        <w:keepLines w:val="0"/>
        <w:pageBreakBefore w:val="0"/>
        <w:widowControl/>
        <w:kinsoku w:val="0"/>
        <w:wordWrap w:val="0"/>
        <w:overflowPunct/>
        <w:topLinePunct w:val="0"/>
        <w:autoSpaceDE w:val="0"/>
        <w:autoSpaceDN w:val="0"/>
        <w:bidi w:val="0"/>
        <w:adjustRightInd w:val="0"/>
        <w:snapToGrid w:val="0"/>
        <w:spacing w:before="113" w:line="286" w:lineRule="auto"/>
        <w:ind w:left="496"/>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12.2  </w:t>
      </w:r>
      <w:r>
        <w:rPr>
          <w:rFonts w:hint="eastAsia" w:ascii="宋体" w:hAnsi="宋体" w:eastAsia="宋体" w:cs="宋体"/>
          <w:color w:val="auto"/>
          <w:spacing w:val="0"/>
          <w:sz w:val="24"/>
          <w:szCs w:val="24"/>
          <w:highlight w:val="none"/>
        </w:rPr>
        <w:t>补救方案：</w:t>
      </w:r>
    </w:p>
    <w:p w14:paraId="7A5C0062">
      <w:pPr>
        <w:keepNext w:val="0"/>
        <w:keepLines w:val="0"/>
        <w:pageBreakBefore w:val="0"/>
        <w:wordWrap w:val="0"/>
        <w:overflowPunct/>
        <w:topLinePunct w:val="0"/>
        <w:bidi w:val="0"/>
        <w:spacing w:before="115"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12.2.1  </w:t>
      </w:r>
      <w:r>
        <w:rPr>
          <w:rFonts w:hint="eastAsia" w:ascii="宋体" w:hAnsi="宋体" w:eastAsia="宋体" w:cs="宋体"/>
          <w:color w:val="auto"/>
          <w:spacing w:val="0"/>
          <w:sz w:val="24"/>
          <w:szCs w:val="24"/>
          <w:highlight w:val="none"/>
        </w:rPr>
        <w:t>投标文件解密失败的补救方案：</w:t>
      </w:r>
    </w:p>
    <w:p w14:paraId="2D1DE68F">
      <w:pPr>
        <w:keepNext w:val="0"/>
        <w:keepLines w:val="0"/>
        <w:pageBreakBefore w:val="0"/>
        <w:wordWrap w:val="0"/>
        <w:overflowPunct/>
        <w:topLinePunct w:val="0"/>
        <w:bidi w:val="0"/>
        <w:spacing w:before="115" w:line="298" w:lineRule="auto"/>
        <w:ind w:right="81"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 30 分钟内）内</w:t>
      </w:r>
      <w:bookmarkStart w:id="46" w:name="bookmark122"/>
      <w:bookmarkEnd w:id="46"/>
      <w:r>
        <w:rPr>
          <w:rFonts w:hint="eastAsia" w:ascii="宋体" w:hAnsi="宋体" w:eastAsia="宋体" w:cs="宋体"/>
          <w:color w:val="auto"/>
          <w:spacing w:val="0"/>
          <w:sz w:val="24"/>
          <w:szCs w:val="24"/>
          <w:highlight w:val="none"/>
        </w:rPr>
        <w:t>重新提交投标文件继续开标程序。</w:t>
      </w:r>
    </w:p>
    <w:p w14:paraId="0F175F6A">
      <w:pPr>
        <w:keepNext w:val="0"/>
        <w:keepLines w:val="0"/>
        <w:pageBreakBefore w:val="0"/>
        <w:wordWrap w:val="0"/>
        <w:overflowPunct/>
        <w:topLinePunct w:val="0"/>
        <w:bidi w:val="0"/>
        <w:spacing w:before="114"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12.2.2  </w:t>
      </w:r>
      <w:r>
        <w:rPr>
          <w:rFonts w:hint="eastAsia" w:ascii="宋体" w:hAnsi="宋体" w:eastAsia="宋体" w:cs="宋体"/>
          <w:color w:val="auto"/>
          <w:spacing w:val="0"/>
          <w:sz w:val="24"/>
          <w:szCs w:val="24"/>
          <w:highlight w:val="none"/>
        </w:rPr>
        <w:t>评标时突发情况的补救方案</w:t>
      </w:r>
    </w:p>
    <w:p w14:paraId="5863CD1F">
      <w:pPr>
        <w:keepNext w:val="0"/>
        <w:keepLines w:val="0"/>
        <w:pageBreakBefore w:val="0"/>
        <w:wordWrap w:val="0"/>
        <w:overflowPunct/>
        <w:topLinePunct w:val="0"/>
        <w:bidi w:val="0"/>
        <w:spacing w:before="114" w:line="303" w:lineRule="auto"/>
        <w:ind w:right="81"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在评标过程中，因主场或副场网络故障、电子设备或者评标系统故障，以及其他原因导致无法继续进行评标时，在 4 小时以内解除故障的可继续评标，超过 4 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58ACD5FB">
      <w:pPr>
        <w:keepNext w:val="0"/>
        <w:keepLines w:val="0"/>
        <w:pageBreakBefore w:val="0"/>
        <w:wordWrap w:val="0"/>
        <w:overflowPunct/>
        <w:topLinePunct w:val="0"/>
        <w:bidi w:val="0"/>
        <w:spacing w:before="69" w:line="324" w:lineRule="auto"/>
        <w:ind w:left="11" w:right="81" w:firstLine="484"/>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12.2.3  </w:t>
      </w:r>
      <w:r>
        <w:rPr>
          <w:rFonts w:hint="eastAsia" w:ascii="宋体" w:hAnsi="宋体" w:eastAsia="宋体" w:cs="宋体"/>
          <w:color w:val="auto"/>
          <w:spacing w:val="0"/>
          <w:sz w:val="24"/>
          <w:szCs w:val="24"/>
          <w:highlight w:val="none"/>
        </w:rPr>
        <w:t>除发生上述情况外，开标评标均以投标人（联合体投标的，由联合体牵头人）通过交易平台网上递交的电子投标文件为准。</w:t>
      </w:r>
    </w:p>
    <w:p w14:paraId="5DCEDB99">
      <w:pPr>
        <w:keepNext w:val="0"/>
        <w:keepLines w:val="0"/>
        <w:pageBreakBefore w:val="0"/>
        <w:wordWrap w:val="0"/>
        <w:overflowPunct/>
        <w:topLinePunct w:val="0"/>
        <w:bidi w:val="0"/>
        <w:spacing w:before="78" w:line="220" w:lineRule="auto"/>
        <w:ind w:left="496"/>
        <w:outlineLvl w:val="4"/>
        <w:rPr>
          <w:rFonts w:hint="eastAsia" w:ascii="宋体" w:hAnsi="宋体" w:eastAsia="宋体" w:cs="宋体"/>
          <w:color w:val="auto"/>
          <w:spacing w:val="0"/>
          <w:sz w:val="24"/>
          <w:szCs w:val="24"/>
          <w:highlight w:val="none"/>
        </w:rPr>
      </w:pPr>
      <w:bookmarkStart w:id="47" w:name="_Toc27195"/>
      <w:r>
        <w:rPr>
          <w:rFonts w:hint="eastAsia" w:ascii="宋体" w:hAnsi="宋体" w:eastAsia="宋体" w:cs="宋体"/>
          <w:b/>
          <w:bCs/>
          <w:color w:val="auto"/>
          <w:spacing w:val="0"/>
          <w:sz w:val="24"/>
          <w:szCs w:val="24"/>
          <w:highlight w:val="none"/>
        </w:rPr>
        <w:t>13 ．投标文件的提交</w:t>
      </w:r>
      <w:bookmarkEnd w:id="47"/>
    </w:p>
    <w:p w14:paraId="7068EE2E">
      <w:pPr>
        <w:keepNext w:val="0"/>
        <w:keepLines w:val="0"/>
        <w:pageBreakBefore w:val="0"/>
        <w:wordWrap w:val="0"/>
        <w:overflowPunct/>
        <w:topLinePunct w:val="0"/>
        <w:bidi w:val="0"/>
        <w:spacing w:before="123" w:line="278" w:lineRule="auto"/>
        <w:ind w:left="13" w:right="81" w:firstLine="482"/>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13.1  </w:t>
      </w:r>
      <w:r>
        <w:rPr>
          <w:rFonts w:hint="eastAsia" w:ascii="宋体" w:hAnsi="宋体" w:eastAsia="宋体" w:cs="宋体"/>
          <w:color w:val="auto"/>
          <w:spacing w:val="0"/>
          <w:sz w:val="24"/>
          <w:szCs w:val="24"/>
          <w:highlight w:val="none"/>
        </w:rPr>
        <w:t>在投标文件提交截止时间前，投标人通过全国公共资源交易平台（广东省 ·韶关市）提交已加密投标文件。逾期提交的电子投标文件，全国公共资源交易平台（广东省 ·韶关市）将予以拒收。</w:t>
      </w:r>
    </w:p>
    <w:p w14:paraId="09924D0F">
      <w:pPr>
        <w:keepNext w:val="0"/>
        <w:keepLines w:val="0"/>
        <w:pageBreakBefore w:val="0"/>
        <w:wordWrap w:val="0"/>
        <w:overflowPunct/>
        <w:topLinePunct w:val="0"/>
        <w:bidi w:val="0"/>
        <w:spacing w:before="115"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13.2  </w:t>
      </w:r>
      <w:r>
        <w:rPr>
          <w:rFonts w:hint="eastAsia" w:ascii="宋体" w:hAnsi="宋体" w:eastAsia="宋体" w:cs="宋体"/>
          <w:color w:val="auto"/>
          <w:spacing w:val="0"/>
          <w:sz w:val="24"/>
          <w:szCs w:val="24"/>
          <w:highlight w:val="none"/>
        </w:rPr>
        <w:t>提交时间和地点：见本章第二节“重要事项时间地点一览表 ”</w:t>
      </w:r>
    </w:p>
    <w:p w14:paraId="683F40A3">
      <w:pPr>
        <w:keepNext w:val="0"/>
        <w:keepLines w:val="0"/>
        <w:pageBreakBefore w:val="0"/>
        <w:wordWrap w:val="0"/>
        <w:overflowPunct/>
        <w:topLinePunct w:val="0"/>
        <w:bidi w:val="0"/>
        <w:spacing w:before="113" w:line="279" w:lineRule="auto"/>
        <w:ind w:left="9" w:right="24" w:firstLine="48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13.3  </w:t>
      </w:r>
      <w:r>
        <w:rPr>
          <w:rFonts w:hint="eastAsia" w:ascii="宋体" w:hAnsi="宋体" w:eastAsia="宋体" w:cs="宋体"/>
          <w:color w:val="auto"/>
          <w:spacing w:val="0"/>
          <w:sz w:val="24"/>
          <w:szCs w:val="24"/>
          <w:highlight w:val="none"/>
        </w:rPr>
        <w:t>递交时间和地点：投标人如有招标文件要求提交的用于评审的证书、证件、证明原件（附一式两份清单），由投标人法定代表人或其委托代理人在指定的时间和地点递交（见“重要事项时间地点一览表 ”）。</w:t>
      </w:r>
    </w:p>
    <w:p w14:paraId="1E722792">
      <w:pPr>
        <w:keepNext w:val="0"/>
        <w:keepLines w:val="0"/>
        <w:pageBreakBefore w:val="0"/>
        <w:wordWrap w:val="0"/>
        <w:overflowPunct/>
        <w:topLinePunct w:val="0"/>
        <w:bidi w:val="0"/>
        <w:spacing w:before="112" w:line="219" w:lineRule="auto"/>
        <w:ind w:firstLine="482" w:firstLineChars="20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13.4  </w:t>
      </w:r>
      <w:r>
        <w:rPr>
          <w:rFonts w:hint="eastAsia" w:ascii="宋体" w:hAnsi="宋体" w:eastAsia="宋体" w:cs="宋体"/>
          <w:color w:val="auto"/>
          <w:spacing w:val="0"/>
          <w:sz w:val="24"/>
          <w:szCs w:val="24"/>
          <w:highlight w:val="none"/>
        </w:rPr>
        <w:t>代理机构对因不可抗力事件造成的投标文件的损坏、丢失的，不承担责任。</w:t>
      </w:r>
    </w:p>
    <w:p w14:paraId="458845F2">
      <w:pPr>
        <w:keepNext w:val="0"/>
        <w:keepLines w:val="0"/>
        <w:pageBreakBefore w:val="0"/>
        <w:wordWrap w:val="0"/>
        <w:overflowPunct/>
        <w:topLinePunct w:val="0"/>
        <w:bidi w:val="0"/>
        <w:spacing w:before="116"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13.5  </w:t>
      </w:r>
      <w:r>
        <w:rPr>
          <w:rFonts w:hint="eastAsia" w:ascii="宋体" w:hAnsi="宋体" w:eastAsia="宋体" w:cs="宋体"/>
          <w:color w:val="auto"/>
          <w:spacing w:val="0"/>
          <w:sz w:val="24"/>
          <w:szCs w:val="24"/>
          <w:highlight w:val="none"/>
        </w:rPr>
        <w:t>出现下述情形之一，属于未成功提交投标文件，按无效投标处理：</w:t>
      </w:r>
    </w:p>
    <w:p w14:paraId="26FD4E45">
      <w:pPr>
        <w:keepNext w:val="0"/>
        <w:keepLines w:val="0"/>
        <w:pageBreakBefore w:val="0"/>
        <w:wordWrap w:val="0"/>
        <w:overflowPunct/>
        <w:topLinePunct w:val="0"/>
        <w:bidi w:val="0"/>
        <w:spacing w:before="115" w:line="219" w:lineRule="auto"/>
        <w:ind w:left="74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（1）至提交投标文件截止时，投标文件未完整上传及提交标书；</w:t>
      </w:r>
    </w:p>
    <w:p w14:paraId="0801F50A">
      <w:pPr>
        <w:keepNext w:val="0"/>
        <w:keepLines w:val="0"/>
        <w:pageBreakBefore w:val="0"/>
        <w:wordWrap w:val="0"/>
        <w:overflowPunct/>
        <w:topLinePunct w:val="0"/>
        <w:bidi w:val="0"/>
        <w:spacing w:before="114" w:line="220" w:lineRule="auto"/>
        <w:ind w:left="74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（2）解密失败且在规定时间内未重新提交投标文件的；</w:t>
      </w:r>
    </w:p>
    <w:p w14:paraId="04D5C6EB">
      <w:pPr>
        <w:keepNext w:val="0"/>
        <w:keepLines w:val="0"/>
        <w:pageBreakBefore w:val="0"/>
        <w:wordWrap w:val="0"/>
        <w:overflowPunct/>
        <w:topLinePunct w:val="0"/>
        <w:bidi w:val="0"/>
        <w:spacing w:before="115" w:line="220" w:lineRule="auto"/>
        <w:ind w:left="74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（3）投标文件损坏或格式不正确的；</w:t>
      </w:r>
    </w:p>
    <w:p w14:paraId="43D9083E">
      <w:pPr>
        <w:keepNext w:val="0"/>
        <w:keepLines w:val="0"/>
        <w:pageBreakBefore w:val="0"/>
        <w:wordWrap w:val="0"/>
        <w:overflowPunct/>
        <w:topLinePunct w:val="0"/>
        <w:bidi w:val="0"/>
        <w:spacing w:before="115"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13.6  </w:t>
      </w:r>
      <w:r>
        <w:rPr>
          <w:rFonts w:hint="eastAsia" w:ascii="宋体" w:hAnsi="宋体" w:eastAsia="宋体" w:cs="宋体"/>
          <w:color w:val="auto"/>
          <w:spacing w:val="0"/>
          <w:sz w:val="24"/>
          <w:szCs w:val="24"/>
          <w:highlight w:val="none"/>
        </w:rPr>
        <w:t>联合体投标的，由联合体牵头人按以上要求递交相关资料。</w:t>
      </w:r>
    </w:p>
    <w:p w14:paraId="7FCFB836">
      <w:pPr>
        <w:keepNext w:val="0"/>
        <w:keepLines w:val="0"/>
        <w:pageBreakBefore w:val="0"/>
        <w:widowControl/>
        <w:kinsoku w:val="0"/>
        <w:wordWrap w:val="0"/>
        <w:overflowPunct/>
        <w:topLinePunct w:val="0"/>
        <w:autoSpaceDE w:val="0"/>
        <w:autoSpaceDN w:val="0"/>
        <w:bidi w:val="0"/>
        <w:adjustRightInd w:val="0"/>
        <w:snapToGrid w:val="0"/>
        <w:spacing w:before="113" w:line="286" w:lineRule="auto"/>
        <w:ind w:left="11"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13.7  </w:t>
      </w:r>
      <w:r>
        <w:rPr>
          <w:rFonts w:hint="eastAsia" w:ascii="宋体" w:hAnsi="宋体" w:eastAsia="宋体" w:cs="宋体"/>
          <w:color w:val="auto"/>
          <w:spacing w:val="0"/>
          <w:sz w:val="24"/>
          <w:szCs w:val="24"/>
          <w:highlight w:val="none"/>
        </w:rPr>
        <w:t>招标人或其授权的招标代理机构核对、接收投标人递交的投标相关资料后，应向投标人出具标明签收人和签收时间的凭证，并妥善保管。</w:t>
      </w:r>
    </w:p>
    <w:p w14:paraId="465B9D6E">
      <w:pPr>
        <w:keepNext w:val="0"/>
        <w:keepLines w:val="0"/>
        <w:pageBreakBefore w:val="0"/>
        <w:wordWrap w:val="0"/>
        <w:overflowPunct/>
        <w:topLinePunct w:val="0"/>
        <w:bidi w:val="0"/>
        <w:spacing w:before="113" w:line="279" w:lineRule="auto"/>
        <w:ind w:left="9" w:right="24" w:firstLine="48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13.8 </w:t>
      </w:r>
      <w:r>
        <w:rPr>
          <w:rFonts w:hint="eastAsia" w:ascii="宋体" w:hAnsi="宋体" w:eastAsia="宋体" w:cs="宋体"/>
          <w:color w:val="auto"/>
          <w:spacing w:val="0"/>
          <w:sz w:val="24"/>
          <w:szCs w:val="24"/>
          <w:highlight w:val="none"/>
        </w:rPr>
        <w:t xml:space="preserve"> 本次招标投标有效期为</w:t>
      </w:r>
      <w:r>
        <w:rPr>
          <w:rFonts w:hint="eastAsia" w:ascii="宋体" w:hAnsi="宋体" w:eastAsia="宋体" w:cs="宋体"/>
          <w:color w:val="auto"/>
          <w:spacing w:val="0"/>
          <w:sz w:val="24"/>
          <w:szCs w:val="24"/>
          <w:highlight w:val="none"/>
          <w:u w:val="single"/>
          <w:lang w:eastAsia="zh-CN"/>
        </w:rPr>
        <w:t>90</w:t>
      </w:r>
      <w:r>
        <w:rPr>
          <w:rFonts w:hint="eastAsia" w:ascii="宋体" w:hAnsi="宋体" w:eastAsia="宋体" w:cs="宋体"/>
          <w:color w:val="auto"/>
          <w:spacing w:val="0"/>
          <w:sz w:val="24"/>
          <w:szCs w:val="24"/>
          <w:highlight w:val="none"/>
        </w:rPr>
        <w:t>个日历天，投标有效期从提交投标文件的截止之日起计算。在此期间，投标人不得撤销或修改其投标文件，否则其投标保证不予退还。</w:t>
      </w:r>
    </w:p>
    <w:p w14:paraId="2CB00EB8">
      <w:pPr>
        <w:keepNext w:val="0"/>
        <w:keepLines w:val="0"/>
        <w:pageBreakBefore w:val="0"/>
        <w:wordWrap w:val="0"/>
        <w:overflowPunct/>
        <w:topLinePunct w:val="0"/>
        <w:bidi w:val="0"/>
        <w:spacing w:before="145" w:line="221" w:lineRule="auto"/>
        <w:ind w:left="496"/>
        <w:outlineLvl w:val="3"/>
        <w:rPr>
          <w:rFonts w:hint="eastAsia" w:ascii="宋体" w:hAnsi="宋体" w:eastAsia="宋体" w:cs="宋体"/>
          <w:color w:val="auto"/>
          <w:spacing w:val="0"/>
          <w:sz w:val="24"/>
          <w:szCs w:val="24"/>
          <w:highlight w:val="none"/>
        </w:rPr>
      </w:pPr>
      <w:bookmarkStart w:id="48" w:name="_Toc22047"/>
      <w:r>
        <w:rPr>
          <w:rFonts w:hint="eastAsia" w:ascii="宋体" w:hAnsi="宋体" w:eastAsia="宋体" w:cs="宋体"/>
          <w:b/>
          <w:bCs/>
          <w:color w:val="auto"/>
          <w:spacing w:val="0"/>
          <w:sz w:val="24"/>
          <w:szCs w:val="24"/>
          <w:highlight w:val="none"/>
        </w:rPr>
        <w:t>14 ．开标</w:t>
      </w:r>
      <w:bookmarkEnd w:id="48"/>
    </w:p>
    <w:p w14:paraId="034EB3D3">
      <w:pPr>
        <w:keepNext w:val="0"/>
        <w:keepLines w:val="0"/>
        <w:pageBreakBefore w:val="0"/>
        <w:wordWrap w:val="0"/>
        <w:overflowPunct/>
        <w:topLinePunct w:val="0"/>
        <w:bidi w:val="0"/>
        <w:spacing w:before="155" w:line="329" w:lineRule="auto"/>
        <w:ind w:left="10" w:right="81" w:firstLine="485"/>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14.1  </w:t>
      </w:r>
      <w:r>
        <w:rPr>
          <w:rFonts w:hint="eastAsia" w:ascii="宋体" w:hAnsi="宋体" w:eastAsia="宋体" w:cs="宋体"/>
          <w:color w:val="auto"/>
          <w:spacing w:val="0"/>
          <w:sz w:val="24"/>
          <w:szCs w:val="24"/>
          <w:highlight w:val="none"/>
        </w:rPr>
        <w:t>招标人邀请所有正确获取招标文件、电子投标、缴纳投标保证的投标人参加开标，投标人可自主决定是否参加。投标人可登陆交易平台观看开标实况、提出异议或进行澄清、确认等操作（具体按招标文件和系统操作手册为准）。投标人不参加开</w:t>
      </w:r>
      <w:bookmarkStart w:id="49" w:name="bookmark123"/>
      <w:bookmarkEnd w:id="49"/>
      <w:r>
        <w:rPr>
          <w:rFonts w:hint="eastAsia" w:ascii="宋体" w:hAnsi="宋体" w:eastAsia="宋体" w:cs="宋体"/>
          <w:color w:val="auto"/>
          <w:spacing w:val="0"/>
          <w:sz w:val="24"/>
          <w:szCs w:val="24"/>
          <w:highlight w:val="none"/>
        </w:rPr>
        <w:t>标的，视其默认开标结果，以及放弃在开标期间见证、监督、投诉、申辩的权利。</w:t>
      </w:r>
    </w:p>
    <w:p w14:paraId="05862D79">
      <w:pPr>
        <w:keepNext w:val="0"/>
        <w:keepLines w:val="0"/>
        <w:pageBreakBefore w:val="0"/>
        <w:wordWrap w:val="0"/>
        <w:overflowPunct/>
        <w:topLinePunct w:val="0"/>
        <w:bidi w:val="0"/>
        <w:spacing w:before="156"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14.1.1  </w:t>
      </w:r>
      <w:r>
        <w:rPr>
          <w:rFonts w:hint="eastAsia" w:ascii="宋体" w:hAnsi="宋体" w:eastAsia="宋体" w:cs="宋体"/>
          <w:color w:val="auto"/>
          <w:spacing w:val="0"/>
          <w:sz w:val="24"/>
          <w:szCs w:val="24"/>
          <w:highlight w:val="none"/>
        </w:rPr>
        <w:t>开标时间和地点：见本章第二节“重要事项时间地点一览表 ”。</w:t>
      </w:r>
    </w:p>
    <w:p w14:paraId="08F091B7">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14.1.2 </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开标前 24 小时，若建设工程交易系统显示缴纳投标保证（包括投标保证金、投标保证担保、投标保证保险）的投标人数量不足 3 个时，招标人将取消原定于次日召开的开标活动。投标人可在投标保证缴纳截止时间（见本章第二节“重要事项时间 地点一览表 ”）至电子投标截止时间（见本章第二节“重要事项时间地点一览表 ”） 期间登录全国公共资源交易平台（广东省 ·韶关市）（https://ygp.gdzwfw.gov.cn/ ggzy-portal/#/440200/index）查询是否发布了取消开标活动的相关信息。</w:t>
      </w:r>
    </w:p>
    <w:p w14:paraId="55E539B0">
      <w:pPr>
        <w:keepNext w:val="0"/>
        <w:keepLines w:val="0"/>
        <w:pageBreakBefore w:val="0"/>
        <w:wordWrap w:val="0"/>
        <w:overflowPunct/>
        <w:topLinePunct w:val="0"/>
        <w:bidi w:val="0"/>
        <w:spacing w:before="159" w:line="319" w:lineRule="auto"/>
        <w:ind w:left="10" w:right="80" w:firstLine="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14.1.3</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本项目实行全流程电子化招标投标，投标人在交易平台按要求上传加盖电子印章并经加密的电子投标文件，并在交易平台录入准确的页码信息即可完成在线投标</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7A2CFB6D">
      <w:pPr>
        <w:keepNext w:val="0"/>
        <w:keepLines w:val="0"/>
        <w:pageBreakBefore w:val="0"/>
        <w:wordWrap w:val="0"/>
        <w:overflowPunct/>
        <w:topLinePunct w:val="0"/>
        <w:bidi w:val="0"/>
        <w:spacing w:before="152" w:line="221"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14.2  </w:t>
      </w:r>
      <w:r>
        <w:rPr>
          <w:rFonts w:hint="eastAsia" w:ascii="宋体" w:hAnsi="宋体" w:eastAsia="宋体" w:cs="宋体"/>
          <w:color w:val="auto"/>
          <w:spacing w:val="0"/>
          <w:sz w:val="24"/>
          <w:szCs w:val="24"/>
          <w:highlight w:val="none"/>
        </w:rPr>
        <w:t>开标程序</w:t>
      </w:r>
    </w:p>
    <w:p w14:paraId="48C37DE6">
      <w:pPr>
        <w:keepNext w:val="0"/>
        <w:keepLines w:val="0"/>
        <w:pageBreakBefore w:val="0"/>
        <w:wordWrap w:val="0"/>
        <w:overflowPunct/>
        <w:topLinePunct w:val="0"/>
        <w:bidi w:val="0"/>
        <w:spacing w:before="42" w:line="219" w:lineRule="auto"/>
        <w:ind w:left="501"/>
        <w:outlineLvl w:val="9"/>
        <w:rPr>
          <w:rFonts w:hint="eastAsia" w:ascii="宋体" w:hAnsi="宋体" w:eastAsia="宋体" w:cs="宋体"/>
          <w:color w:val="auto"/>
          <w:spacing w:val="0"/>
          <w:sz w:val="24"/>
          <w:szCs w:val="24"/>
          <w:highlight w:val="none"/>
        </w:rPr>
      </w:pPr>
      <w:bookmarkStart w:id="50" w:name="_Toc10685"/>
      <w:bookmarkStart w:id="51" w:name="_Toc15587"/>
      <w:bookmarkStart w:id="52" w:name="_Toc10291"/>
      <w:bookmarkStart w:id="53" w:name="_Toc8314"/>
      <w:r>
        <w:rPr>
          <w:rFonts w:hint="eastAsia" w:ascii="宋体" w:hAnsi="宋体" w:eastAsia="宋体" w:cs="宋体"/>
          <w:color w:val="auto"/>
          <w:spacing w:val="0"/>
          <w:sz w:val="24"/>
          <w:szCs w:val="24"/>
          <w:highlight w:val="none"/>
        </w:rPr>
        <w:t>（1）主持人（招标人代表或招标人授权的招标代理机构人员）宣读开标纪律。</w:t>
      </w:r>
      <w:bookmarkEnd w:id="50"/>
      <w:bookmarkEnd w:id="51"/>
      <w:bookmarkEnd w:id="52"/>
      <w:bookmarkEnd w:id="53"/>
    </w:p>
    <w:p w14:paraId="776645C0">
      <w:pPr>
        <w:keepNext w:val="0"/>
        <w:keepLines w:val="0"/>
        <w:pageBreakBefore w:val="0"/>
        <w:wordWrap w:val="0"/>
        <w:overflowPunct/>
        <w:topLinePunct w:val="0"/>
        <w:bidi w:val="0"/>
        <w:spacing w:before="181" w:line="219" w:lineRule="auto"/>
        <w:ind w:left="501"/>
        <w:outlineLvl w:val="9"/>
        <w:rPr>
          <w:rFonts w:hint="eastAsia" w:ascii="宋体" w:hAnsi="宋体" w:eastAsia="宋体" w:cs="宋体"/>
          <w:color w:val="auto"/>
          <w:spacing w:val="0"/>
          <w:sz w:val="24"/>
          <w:szCs w:val="24"/>
          <w:highlight w:val="none"/>
        </w:rPr>
      </w:pPr>
      <w:bookmarkStart w:id="54" w:name="_Toc30853"/>
      <w:bookmarkStart w:id="55" w:name="_Toc20238"/>
      <w:bookmarkStart w:id="56" w:name="_Toc2011"/>
      <w:bookmarkStart w:id="57" w:name="_Toc16292"/>
      <w:r>
        <w:rPr>
          <w:rFonts w:hint="eastAsia" w:ascii="宋体" w:hAnsi="宋体" w:eastAsia="宋体" w:cs="宋体"/>
          <w:color w:val="auto"/>
          <w:spacing w:val="0"/>
          <w:sz w:val="24"/>
          <w:szCs w:val="24"/>
          <w:highlight w:val="none"/>
        </w:rPr>
        <w:t>（2）主持人宣布唱标人、记录人、见证人、监督人等有关人员姓名。</w:t>
      </w:r>
      <w:bookmarkEnd w:id="54"/>
      <w:bookmarkEnd w:id="55"/>
      <w:bookmarkEnd w:id="56"/>
      <w:bookmarkEnd w:id="57"/>
    </w:p>
    <w:p w14:paraId="505384A6">
      <w:pPr>
        <w:keepNext w:val="0"/>
        <w:keepLines w:val="0"/>
        <w:pageBreakBefore w:val="0"/>
        <w:wordWrap w:val="0"/>
        <w:overflowPunct/>
        <w:topLinePunct w:val="0"/>
        <w:bidi w:val="0"/>
        <w:spacing w:before="183" w:line="219" w:lineRule="auto"/>
        <w:ind w:left="501"/>
        <w:outlineLvl w:val="9"/>
        <w:rPr>
          <w:rFonts w:hint="eastAsia" w:ascii="宋体" w:hAnsi="宋体" w:eastAsia="宋体" w:cs="宋体"/>
          <w:color w:val="auto"/>
          <w:spacing w:val="0"/>
          <w:sz w:val="24"/>
          <w:szCs w:val="24"/>
          <w:highlight w:val="none"/>
        </w:rPr>
      </w:pPr>
      <w:bookmarkStart w:id="58" w:name="_Toc31716"/>
      <w:bookmarkStart w:id="59" w:name="_Toc1974"/>
      <w:bookmarkStart w:id="60" w:name="_Toc26494"/>
      <w:bookmarkStart w:id="61" w:name="_Toc17462"/>
      <w:r>
        <w:rPr>
          <w:rFonts w:hint="eastAsia" w:ascii="宋体" w:hAnsi="宋体" w:eastAsia="宋体" w:cs="宋体"/>
          <w:color w:val="auto"/>
          <w:spacing w:val="0"/>
          <w:sz w:val="24"/>
          <w:szCs w:val="24"/>
          <w:highlight w:val="none"/>
        </w:rPr>
        <w:t>（3）唱标人公布在投标截止时间前进行投标文件的投标人数量和名称</w:t>
      </w:r>
      <w:bookmarkEnd w:id="58"/>
      <w:bookmarkEnd w:id="59"/>
      <w:bookmarkEnd w:id="60"/>
      <w:bookmarkEnd w:id="61"/>
    </w:p>
    <w:p w14:paraId="224B54ED">
      <w:pPr>
        <w:keepNext w:val="0"/>
        <w:keepLines w:val="0"/>
        <w:pageBreakBefore w:val="0"/>
        <w:wordWrap w:val="0"/>
        <w:overflowPunct/>
        <w:topLinePunct w:val="0"/>
        <w:bidi w:val="0"/>
        <w:spacing w:before="181" w:line="219" w:lineRule="auto"/>
        <w:ind w:left="501"/>
        <w:outlineLvl w:val="9"/>
        <w:rPr>
          <w:rFonts w:hint="eastAsia" w:ascii="宋体" w:hAnsi="宋体" w:eastAsia="宋体" w:cs="宋体"/>
          <w:color w:val="auto"/>
          <w:spacing w:val="0"/>
          <w:sz w:val="24"/>
          <w:szCs w:val="24"/>
          <w:highlight w:val="none"/>
        </w:rPr>
      </w:pPr>
      <w:bookmarkStart w:id="62" w:name="_Toc8179"/>
      <w:bookmarkStart w:id="63" w:name="_Toc15860"/>
      <w:bookmarkStart w:id="64" w:name="_Toc27967"/>
      <w:bookmarkStart w:id="65" w:name="_Toc20559"/>
      <w:r>
        <w:rPr>
          <w:rFonts w:hint="eastAsia" w:ascii="宋体" w:hAnsi="宋体" w:eastAsia="宋体" w:cs="宋体"/>
          <w:color w:val="auto"/>
          <w:spacing w:val="0"/>
          <w:sz w:val="24"/>
          <w:szCs w:val="24"/>
          <w:highlight w:val="none"/>
        </w:rPr>
        <w:t>（4）招标代理机构会同交易场所工作人员对投标人的电子投标信息进行解密，</w:t>
      </w:r>
      <w:bookmarkEnd w:id="62"/>
      <w:bookmarkEnd w:id="63"/>
      <w:bookmarkEnd w:id="64"/>
      <w:bookmarkEnd w:id="65"/>
    </w:p>
    <w:p w14:paraId="0C0A9C7B">
      <w:pPr>
        <w:keepNext w:val="0"/>
        <w:keepLines w:val="0"/>
        <w:pageBreakBefore w:val="0"/>
        <w:wordWrap w:val="0"/>
        <w:overflowPunct/>
        <w:topLinePunct w:val="0"/>
        <w:bidi w:val="0"/>
        <w:spacing w:before="183" w:line="22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建设工程交易系统自动生成《投标保证缴纳情况表》和《开标一览表》。</w:t>
      </w:r>
    </w:p>
    <w:p w14:paraId="7C434C90">
      <w:pPr>
        <w:keepNext w:val="0"/>
        <w:keepLines w:val="0"/>
        <w:pageBreakBefore w:val="0"/>
        <w:wordWrap w:val="0"/>
        <w:overflowPunct/>
        <w:topLinePunct w:val="0"/>
        <w:bidi w:val="0"/>
        <w:spacing w:before="182" w:line="360" w:lineRule="auto"/>
        <w:ind w:firstLine="482" w:firstLineChars="200"/>
        <w:outlineLvl w:val="9"/>
        <w:rPr>
          <w:rFonts w:hint="eastAsia" w:ascii="宋体" w:hAnsi="宋体" w:eastAsia="宋体" w:cs="宋体"/>
          <w:color w:val="auto"/>
          <w:spacing w:val="0"/>
          <w:sz w:val="24"/>
          <w:szCs w:val="24"/>
          <w:highlight w:val="none"/>
        </w:rPr>
      </w:pPr>
      <w:bookmarkStart w:id="66" w:name="_Toc28266"/>
      <w:bookmarkStart w:id="67" w:name="_Toc28812"/>
      <w:bookmarkStart w:id="68" w:name="_Toc2199"/>
      <w:bookmarkStart w:id="69" w:name="_Toc26216"/>
      <w:r>
        <w:rPr>
          <w:rFonts w:hint="eastAsia" w:ascii="宋体" w:hAnsi="宋体" w:eastAsia="宋体" w:cs="宋体"/>
          <w:b/>
          <w:bCs/>
          <w:color w:val="auto"/>
          <w:spacing w:val="0"/>
          <w:sz w:val="24"/>
          <w:szCs w:val="24"/>
          <w:highlight w:val="none"/>
        </w:rPr>
        <w:t>温馨提示：因本项目实行全流程电子化招标投标，投标人无须进行现场签到，可</w:t>
      </w:r>
      <w:bookmarkEnd w:id="66"/>
      <w:bookmarkEnd w:id="67"/>
      <w:bookmarkEnd w:id="68"/>
      <w:r>
        <w:rPr>
          <w:rFonts w:hint="eastAsia" w:ascii="宋体" w:hAnsi="宋体" w:eastAsia="宋体" w:cs="宋体"/>
          <w:b/>
          <w:bCs/>
          <w:color w:val="auto"/>
          <w:spacing w:val="0"/>
          <w:sz w:val="24"/>
          <w:szCs w:val="24"/>
          <w:highlight w:val="none"/>
        </w:rPr>
        <w:t>登录交易平台观看开标实况、提出异议或进行澄清、确认等操作，对开标事项的异议未在开标期间提出的，招标</w:t>
      </w:r>
      <w:r>
        <w:rPr>
          <w:rFonts w:hint="eastAsia" w:ascii="宋体" w:hAnsi="宋体" w:eastAsia="宋体" w:cs="宋体"/>
          <w:b/>
          <w:bCs/>
          <w:color w:val="auto"/>
          <w:spacing w:val="0"/>
          <w:sz w:val="24"/>
          <w:szCs w:val="24"/>
          <w:highlight w:val="none"/>
          <w:lang w:eastAsia="zh-CN"/>
        </w:rPr>
        <w:t>人不</w:t>
      </w:r>
      <w:r>
        <w:rPr>
          <w:rFonts w:hint="eastAsia" w:ascii="宋体" w:hAnsi="宋体" w:eastAsia="宋体" w:cs="宋体"/>
          <w:b/>
          <w:bCs/>
          <w:color w:val="auto"/>
          <w:spacing w:val="0"/>
          <w:sz w:val="24"/>
          <w:szCs w:val="24"/>
          <w:highlight w:val="none"/>
        </w:rPr>
        <w:t>予受理。具体按招标文件和系统操作手册为准。</w:t>
      </w:r>
      <w:bookmarkEnd w:id="69"/>
    </w:p>
    <w:p w14:paraId="29DDC04A">
      <w:pPr>
        <w:keepNext w:val="0"/>
        <w:keepLines w:val="0"/>
        <w:pageBreakBefore w:val="0"/>
        <w:wordWrap w:val="0"/>
        <w:overflowPunct/>
        <w:topLinePunct w:val="0"/>
        <w:bidi w:val="0"/>
        <w:spacing w:before="143" w:line="299" w:lineRule="auto"/>
        <w:ind w:left="11" w:right="80" w:firstLine="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14.3  </w:t>
      </w:r>
      <w:r>
        <w:rPr>
          <w:rFonts w:hint="eastAsia" w:ascii="宋体" w:hAnsi="宋体" w:eastAsia="宋体" w:cs="宋体"/>
          <w:color w:val="auto"/>
          <w:spacing w:val="0"/>
          <w:sz w:val="24"/>
          <w:szCs w:val="24"/>
          <w:highlight w:val="none"/>
        </w:rPr>
        <w:t>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14:paraId="1DB30EA2">
      <w:pPr>
        <w:keepNext w:val="0"/>
        <w:keepLines w:val="0"/>
        <w:pageBreakBefore w:val="0"/>
        <w:wordWrap w:val="0"/>
        <w:overflowPunct/>
        <w:topLinePunct w:val="0"/>
        <w:bidi w:val="0"/>
        <w:spacing w:before="155" w:line="279" w:lineRule="auto"/>
        <w:ind w:left="8" w:right="82" w:firstLine="487"/>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14.4 </w:t>
      </w:r>
      <w:r>
        <w:rPr>
          <w:rFonts w:hint="eastAsia" w:ascii="宋体" w:hAnsi="宋体" w:eastAsia="宋体" w:cs="宋体"/>
          <w:color w:val="auto"/>
          <w:spacing w:val="0"/>
          <w:sz w:val="24"/>
          <w:szCs w:val="24"/>
          <w:highlight w:val="none"/>
        </w:rPr>
        <w:t>招标代理机构将资料原件（如有）、《开标一览表》以及其他有关资料移交评标委员会。</w:t>
      </w:r>
    </w:p>
    <w:p w14:paraId="2E809B78">
      <w:pPr>
        <w:keepNext w:val="0"/>
        <w:keepLines w:val="0"/>
        <w:pageBreakBefore w:val="0"/>
        <w:wordWrap w:val="0"/>
        <w:overflowPunct/>
        <w:topLinePunct w:val="0"/>
        <w:bidi w:val="0"/>
        <w:spacing w:before="78" w:line="221" w:lineRule="auto"/>
        <w:ind w:left="496"/>
        <w:outlineLvl w:val="3"/>
        <w:rPr>
          <w:rFonts w:hint="eastAsia" w:ascii="宋体" w:hAnsi="宋体" w:eastAsia="宋体" w:cs="宋体"/>
          <w:color w:val="auto"/>
          <w:spacing w:val="0"/>
          <w:highlight w:val="none"/>
        </w:rPr>
      </w:pPr>
      <w:bookmarkStart w:id="70" w:name="_Toc961"/>
      <w:r>
        <w:rPr>
          <w:rFonts w:hint="eastAsia" w:ascii="宋体" w:hAnsi="宋体" w:eastAsia="宋体" w:cs="宋体"/>
          <w:b/>
          <w:bCs/>
          <w:color w:val="auto"/>
          <w:spacing w:val="0"/>
          <w:sz w:val="24"/>
          <w:szCs w:val="24"/>
          <w:highlight w:val="none"/>
        </w:rPr>
        <w:t>15 ．评标</w:t>
      </w:r>
      <w:bookmarkEnd w:id="70"/>
    </w:p>
    <w:p w14:paraId="42D28C78">
      <w:pPr>
        <w:keepNext w:val="0"/>
        <w:keepLines w:val="0"/>
        <w:pageBreakBefore w:val="0"/>
        <w:wordWrap w:val="0"/>
        <w:overflowPunct/>
        <w:topLinePunct w:val="0"/>
        <w:bidi w:val="0"/>
        <w:spacing w:before="78" w:line="331" w:lineRule="auto"/>
        <w:ind w:left="8" w:right="65" w:firstLine="480"/>
        <w:rPr>
          <w:rFonts w:hint="eastAsia" w:ascii="宋体" w:hAnsi="宋体" w:eastAsia="宋体" w:cs="宋体"/>
          <w:color w:val="auto"/>
          <w:spacing w:val="0"/>
          <w:sz w:val="24"/>
          <w:szCs w:val="24"/>
          <w:highlight w:val="none"/>
        </w:rPr>
      </w:pPr>
      <w:bookmarkStart w:id="71" w:name="bookmark124"/>
      <w:bookmarkEnd w:id="71"/>
      <w:r>
        <w:rPr>
          <w:rFonts w:hint="eastAsia" w:ascii="宋体" w:hAnsi="宋体" w:eastAsia="宋体" w:cs="宋体"/>
          <w:color w:val="auto"/>
          <w:spacing w:val="0"/>
          <w:sz w:val="24"/>
          <w:szCs w:val="24"/>
          <w:highlight w:val="none"/>
        </w:rPr>
        <w:t>评标分为初步评审和详细评审两个阶段，由评标委员会在有关部门的监督下，严格按照本招标文件指定的评标方法，对投标人的投标文件进行审查、评审。评标委员会完成评标后，向招标人推荐</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b/>
          <w:bCs/>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个</w:t>
      </w:r>
      <w:r>
        <w:rPr>
          <w:rFonts w:hint="eastAsia" w:ascii="宋体" w:hAnsi="宋体" w:eastAsia="宋体" w:cs="宋体"/>
          <w:b/>
          <w:bCs/>
          <w:color w:val="auto"/>
          <w:spacing w:val="0"/>
          <w:sz w:val="24"/>
          <w:szCs w:val="24"/>
          <w:highlight w:val="none"/>
          <w:lang w:val="en-US" w:eastAsia="zh-CN"/>
        </w:rPr>
        <w:t>定</w:t>
      </w:r>
      <w:r>
        <w:rPr>
          <w:rFonts w:hint="eastAsia" w:ascii="宋体" w:hAnsi="宋体" w:eastAsia="宋体" w:cs="宋体"/>
          <w:b/>
          <w:bCs/>
          <w:color w:val="auto"/>
          <w:spacing w:val="0"/>
          <w:sz w:val="24"/>
          <w:szCs w:val="24"/>
          <w:highlight w:val="none"/>
        </w:rPr>
        <w:t>标候选人</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如不足5个，则往下递减，但不可少于3个</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color w:val="auto"/>
          <w:spacing w:val="0"/>
          <w:sz w:val="24"/>
          <w:szCs w:val="24"/>
          <w:highlight w:val="none"/>
        </w:rPr>
        <w:t>，并向招标人提交由全体评标委员会成员签字的评标报告。</w:t>
      </w:r>
    </w:p>
    <w:p w14:paraId="1AE0EC81">
      <w:pPr>
        <w:keepNext w:val="0"/>
        <w:keepLines w:val="0"/>
        <w:pageBreakBefore w:val="0"/>
        <w:wordWrap w:val="0"/>
        <w:overflowPunct/>
        <w:topLinePunct w:val="0"/>
        <w:bidi w:val="0"/>
        <w:spacing w:before="38"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  </w:t>
      </w:r>
      <w:r>
        <w:rPr>
          <w:rFonts w:hint="eastAsia" w:ascii="宋体" w:hAnsi="宋体" w:eastAsia="宋体" w:cs="宋体"/>
          <w:color w:val="auto"/>
          <w:spacing w:val="0"/>
          <w:sz w:val="24"/>
          <w:szCs w:val="24"/>
          <w:highlight w:val="none"/>
        </w:rPr>
        <w:t>评标委员会</w:t>
      </w:r>
    </w:p>
    <w:p w14:paraId="31B92F0C">
      <w:pPr>
        <w:keepNext w:val="0"/>
        <w:keepLines w:val="0"/>
        <w:pageBreakBefore w:val="0"/>
        <w:wordWrap w:val="0"/>
        <w:overflowPunct/>
        <w:topLinePunct w:val="0"/>
        <w:bidi w:val="0"/>
        <w:spacing w:before="155" w:line="324" w:lineRule="auto"/>
        <w:ind w:left="10" w:right="65" w:firstLine="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15.1.1 </w:t>
      </w:r>
      <w:r>
        <w:rPr>
          <w:rFonts w:hint="eastAsia" w:ascii="宋体" w:hAnsi="宋体" w:eastAsia="宋体" w:cs="宋体"/>
          <w:color w:val="auto"/>
          <w:spacing w:val="0"/>
          <w:sz w:val="24"/>
          <w:szCs w:val="24"/>
          <w:highlight w:val="none"/>
        </w:rPr>
        <w:t>评标委员会由</w:t>
      </w:r>
      <w:r>
        <w:rPr>
          <w:rFonts w:hint="eastAsia" w:ascii="宋体" w:hAnsi="宋体" w:eastAsia="宋体" w:cs="宋体"/>
          <w:color w:val="auto"/>
          <w:spacing w:val="0"/>
          <w:sz w:val="24"/>
          <w:szCs w:val="24"/>
          <w:highlight w:val="none"/>
          <w:u w:val="single"/>
        </w:rPr>
        <w:t xml:space="preserve"> 5 </w:t>
      </w:r>
      <w:r>
        <w:rPr>
          <w:rFonts w:hint="eastAsia" w:ascii="宋体" w:hAnsi="宋体" w:eastAsia="宋体" w:cs="宋体"/>
          <w:color w:val="auto"/>
          <w:spacing w:val="0"/>
          <w:sz w:val="24"/>
          <w:szCs w:val="24"/>
          <w:highlight w:val="none"/>
        </w:rPr>
        <w:t>人组成，其中招标人代表</w:t>
      </w:r>
      <w:r>
        <w:rPr>
          <w:rFonts w:hint="eastAsia" w:ascii="宋体" w:hAnsi="宋体" w:eastAsia="宋体" w:cs="宋体"/>
          <w:color w:val="auto"/>
          <w:spacing w:val="0"/>
          <w:sz w:val="24"/>
          <w:szCs w:val="24"/>
          <w:highlight w:val="none"/>
          <w:u w:val="single"/>
        </w:rPr>
        <w:t xml:space="preserve"> 0 </w:t>
      </w:r>
      <w:r>
        <w:rPr>
          <w:rFonts w:hint="eastAsia" w:ascii="宋体" w:hAnsi="宋体" w:eastAsia="宋体" w:cs="宋体"/>
          <w:color w:val="auto"/>
          <w:spacing w:val="0"/>
          <w:sz w:val="24"/>
          <w:szCs w:val="24"/>
          <w:highlight w:val="none"/>
        </w:rPr>
        <w:t>人，专家</w:t>
      </w:r>
      <w:r>
        <w:rPr>
          <w:rFonts w:hint="eastAsia" w:ascii="宋体" w:hAnsi="宋体" w:eastAsia="宋体" w:cs="宋体"/>
          <w:color w:val="auto"/>
          <w:spacing w:val="0"/>
          <w:sz w:val="24"/>
          <w:szCs w:val="24"/>
          <w:highlight w:val="none"/>
          <w:u w:val="single"/>
        </w:rPr>
        <w:t xml:space="preserve"> 5 </w:t>
      </w:r>
      <w:r>
        <w:rPr>
          <w:rFonts w:hint="eastAsia" w:ascii="宋体" w:hAnsi="宋体" w:eastAsia="宋体" w:cs="宋体"/>
          <w:color w:val="auto"/>
          <w:spacing w:val="0"/>
          <w:sz w:val="24"/>
          <w:szCs w:val="24"/>
          <w:highlight w:val="none"/>
        </w:rPr>
        <w:t>人。专家从</w:t>
      </w:r>
      <w:r>
        <w:rPr>
          <w:rFonts w:hint="eastAsia" w:ascii="宋体" w:hAnsi="宋体" w:eastAsia="宋体" w:cs="宋体"/>
          <w:color w:val="auto"/>
          <w:spacing w:val="0"/>
          <w:sz w:val="24"/>
          <w:szCs w:val="24"/>
          <w:highlight w:val="none"/>
          <w:u w:val="none"/>
        </w:rPr>
        <w:t>广东省综合评标评审专家库</w:t>
      </w:r>
      <w:r>
        <w:rPr>
          <w:rFonts w:hint="eastAsia" w:ascii="宋体" w:hAnsi="宋体" w:eastAsia="宋体" w:cs="宋体"/>
          <w:color w:val="auto"/>
          <w:spacing w:val="0"/>
          <w:sz w:val="24"/>
          <w:szCs w:val="24"/>
          <w:highlight w:val="none"/>
          <w:u w:val="single"/>
          <w:lang w:eastAsia="zh-CN"/>
        </w:rPr>
        <w:t>（</w:t>
      </w:r>
      <w:r>
        <w:rPr>
          <w:rFonts w:hint="eastAsia" w:ascii="宋体" w:hAnsi="宋体" w:eastAsia="宋体" w:cs="宋体"/>
          <w:color w:val="auto"/>
          <w:spacing w:val="0"/>
          <w:sz w:val="24"/>
          <w:szCs w:val="24"/>
          <w:highlight w:val="none"/>
          <w:u w:val="single"/>
        </w:rPr>
        <w:t>韶关区域</w:t>
      </w:r>
      <w:r>
        <w:rPr>
          <w:rFonts w:hint="eastAsia" w:ascii="宋体" w:hAnsi="宋体" w:eastAsia="宋体" w:cs="宋体"/>
          <w:color w:val="auto"/>
          <w:spacing w:val="0"/>
          <w:sz w:val="24"/>
          <w:szCs w:val="24"/>
          <w:highlight w:val="none"/>
          <w:u w:val="single"/>
          <w:lang w:eastAsia="zh-CN"/>
        </w:rPr>
        <w:t>）</w:t>
      </w:r>
      <w:r>
        <w:rPr>
          <w:rFonts w:hint="eastAsia" w:ascii="宋体" w:hAnsi="宋体" w:eastAsia="宋体" w:cs="宋体"/>
          <w:color w:val="auto"/>
          <w:spacing w:val="0"/>
          <w:sz w:val="24"/>
          <w:szCs w:val="24"/>
          <w:highlight w:val="none"/>
        </w:rPr>
        <w:t>中随机抽取，其中技术类专家</w:t>
      </w:r>
      <w:r>
        <w:rPr>
          <w:rFonts w:hint="eastAsia" w:ascii="宋体" w:hAnsi="宋体" w:eastAsia="宋体" w:cs="宋体"/>
          <w:color w:val="auto"/>
          <w:spacing w:val="0"/>
          <w:sz w:val="24"/>
          <w:szCs w:val="24"/>
          <w:highlight w:val="none"/>
          <w:u w:val="single"/>
        </w:rPr>
        <w:t xml:space="preserve"> 3 </w:t>
      </w:r>
      <w:r>
        <w:rPr>
          <w:rFonts w:hint="eastAsia" w:ascii="宋体" w:hAnsi="宋体" w:eastAsia="宋体" w:cs="宋体"/>
          <w:color w:val="auto"/>
          <w:spacing w:val="0"/>
          <w:sz w:val="24"/>
          <w:szCs w:val="24"/>
          <w:highlight w:val="none"/>
        </w:rPr>
        <w:t>人，经济类专家</w:t>
      </w:r>
      <w:r>
        <w:rPr>
          <w:rFonts w:hint="eastAsia" w:ascii="宋体" w:hAnsi="宋体" w:eastAsia="宋体" w:cs="宋体"/>
          <w:color w:val="auto"/>
          <w:spacing w:val="0"/>
          <w:sz w:val="24"/>
          <w:szCs w:val="24"/>
          <w:highlight w:val="none"/>
          <w:u w:val="single"/>
        </w:rPr>
        <w:t xml:space="preserve"> 2 </w:t>
      </w:r>
      <w:r>
        <w:rPr>
          <w:rFonts w:hint="eastAsia" w:ascii="宋体" w:hAnsi="宋体" w:eastAsia="宋体" w:cs="宋体"/>
          <w:color w:val="auto"/>
          <w:spacing w:val="0"/>
          <w:sz w:val="24"/>
          <w:szCs w:val="24"/>
          <w:highlight w:val="none"/>
        </w:rPr>
        <w:t>人。评标委员会设负责人，由评标委员会成员推举产生。评标委员会负责人与评标委员会的其他成员有同等的表决权。</w:t>
      </w:r>
    </w:p>
    <w:p w14:paraId="3773E95D">
      <w:pPr>
        <w:keepNext w:val="0"/>
        <w:keepLines w:val="0"/>
        <w:pageBreakBefore w:val="0"/>
        <w:wordWrap w:val="0"/>
        <w:overflowPunct/>
        <w:topLinePunct w:val="0"/>
        <w:bidi w:val="0"/>
        <w:spacing w:before="32" w:line="280" w:lineRule="auto"/>
        <w:ind w:left="13" w:right="7" w:firstLine="561"/>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15.1.2  </w:t>
      </w:r>
      <w:r>
        <w:rPr>
          <w:rFonts w:hint="eastAsia" w:ascii="宋体" w:hAnsi="宋体" w:eastAsia="宋体" w:cs="宋体"/>
          <w:color w:val="auto"/>
          <w:spacing w:val="0"/>
          <w:sz w:val="24"/>
          <w:szCs w:val="24"/>
          <w:highlight w:val="none"/>
        </w:rPr>
        <w:t>评标委员会应认真、公正、诚实、廉洁地履行职责。有下列情形之一的，不得担任评标委员会成员：</w:t>
      </w:r>
    </w:p>
    <w:p w14:paraId="630ECC06">
      <w:pPr>
        <w:keepNext w:val="0"/>
        <w:keepLines w:val="0"/>
        <w:pageBreakBefore w:val="0"/>
        <w:wordWrap w:val="0"/>
        <w:overflowPunct/>
        <w:topLinePunct w:val="0"/>
        <w:bidi w:val="0"/>
        <w:spacing w:before="154"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（1）投标人或投标人主要负责人的近亲属；</w:t>
      </w:r>
    </w:p>
    <w:p w14:paraId="6812A920">
      <w:pPr>
        <w:keepNext w:val="0"/>
        <w:keepLines w:val="0"/>
        <w:pageBreakBefore w:val="0"/>
        <w:wordWrap w:val="0"/>
        <w:overflowPunct/>
        <w:topLinePunct w:val="0"/>
        <w:bidi w:val="0"/>
        <w:spacing w:before="153"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（2）项目主管部门或者行政监督部门的人员；</w:t>
      </w:r>
    </w:p>
    <w:p w14:paraId="4E3A1FF1">
      <w:pPr>
        <w:keepNext w:val="0"/>
        <w:keepLines w:val="0"/>
        <w:pageBreakBefore w:val="0"/>
        <w:wordWrap w:val="0"/>
        <w:overflowPunct/>
        <w:topLinePunct w:val="0"/>
        <w:bidi w:val="0"/>
        <w:spacing w:before="155" w:line="221" w:lineRule="auto"/>
        <w:ind w:left="5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（3）与投标人有经济利益关系，可能影响对投标公正评审的；</w:t>
      </w:r>
    </w:p>
    <w:p w14:paraId="6C955D4C">
      <w:pPr>
        <w:keepNext w:val="0"/>
        <w:keepLines w:val="0"/>
        <w:pageBreakBefore w:val="0"/>
        <w:wordWrap w:val="0"/>
        <w:overflowPunct/>
        <w:topLinePunct w:val="0"/>
        <w:bidi w:val="0"/>
        <w:spacing w:before="153" w:line="279" w:lineRule="auto"/>
        <w:ind w:left="8" w:right="65" w:firstLine="57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（4）曾因在招标、评标以及其他与招标投标有关活动中从事违法行为而受过行政处罚或刑事处罚的。</w:t>
      </w:r>
    </w:p>
    <w:p w14:paraId="3C4B0D01">
      <w:pPr>
        <w:keepNext w:val="0"/>
        <w:keepLines w:val="0"/>
        <w:pageBreakBefore w:val="0"/>
        <w:wordWrap w:val="0"/>
        <w:overflowPunct/>
        <w:topLinePunct w:val="0"/>
        <w:bidi w:val="0"/>
        <w:spacing w:before="155"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评标委员会成员有以上情形之一的，应主动提出回避。</w:t>
      </w:r>
    </w:p>
    <w:p w14:paraId="779D0486">
      <w:pPr>
        <w:keepNext w:val="0"/>
        <w:keepLines w:val="0"/>
        <w:pageBreakBefore w:val="0"/>
        <w:wordWrap w:val="0"/>
        <w:overflowPunct/>
        <w:topLinePunct w:val="0"/>
        <w:bidi w:val="0"/>
        <w:spacing w:before="154" w:line="279" w:lineRule="auto"/>
        <w:ind w:left="8" w:right="65" w:firstLine="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15.1.3  </w:t>
      </w:r>
      <w:r>
        <w:rPr>
          <w:rFonts w:hint="eastAsia" w:ascii="宋体" w:hAnsi="宋体" w:eastAsia="宋体" w:cs="宋体"/>
          <w:color w:val="auto"/>
          <w:spacing w:val="0"/>
          <w:sz w:val="24"/>
          <w:szCs w:val="24"/>
          <w:highlight w:val="none"/>
        </w:rPr>
        <w:t>评标全过程实行封闭式管理，在中标结果公布前，禁止评标委员会成员以任何方式私下接触投标人。</w:t>
      </w:r>
    </w:p>
    <w:p w14:paraId="4E1CA66A">
      <w:pPr>
        <w:keepNext w:val="0"/>
        <w:keepLines w:val="0"/>
        <w:pageBreakBefore w:val="0"/>
        <w:wordWrap w:val="0"/>
        <w:overflowPunct/>
        <w:topLinePunct w:val="0"/>
        <w:bidi w:val="0"/>
        <w:spacing w:before="157" w:line="298" w:lineRule="auto"/>
        <w:ind w:left="11" w:right="65" w:firstLine="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15.1.4  </w:t>
      </w:r>
      <w:r>
        <w:rPr>
          <w:rFonts w:hint="eastAsia" w:ascii="宋体" w:hAnsi="宋体" w:eastAsia="宋体" w:cs="宋体"/>
          <w:color w:val="auto"/>
          <w:spacing w:val="0"/>
          <w:sz w:val="24"/>
          <w:szCs w:val="24"/>
          <w:highlight w:val="none"/>
        </w:rPr>
        <w:t>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2761184C">
      <w:pPr>
        <w:keepNext w:val="0"/>
        <w:keepLines w:val="0"/>
        <w:pageBreakBefore w:val="0"/>
        <w:wordWrap w:val="0"/>
        <w:overflowPunct/>
        <w:topLinePunct w:val="0"/>
        <w:bidi w:val="0"/>
        <w:spacing w:before="156" w:line="309" w:lineRule="auto"/>
        <w:ind w:left="8" w:right="65" w:firstLine="56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15.1.5  </w:t>
      </w:r>
      <w:r>
        <w:rPr>
          <w:rFonts w:hint="eastAsia" w:ascii="宋体" w:hAnsi="宋体" w:eastAsia="宋体" w:cs="宋体"/>
          <w:color w:val="auto"/>
          <w:spacing w:val="0"/>
          <w:sz w:val="24"/>
          <w:szCs w:val="24"/>
          <w:highlight w:val="none"/>
        </w:rPr>
        <w:t>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3267A2AD">
      <w:pPr>
        <w:keepNext w:val="0"/>
        <w:keepLines w:val="0"/>
        <w:pageBreakBefore w:val="0"/>
        <w:wordWrap w:val="0"/>
        <w:overflowPunct/>
        <w:topLinePunct w:val="0"/>
        <w:bidi w:val="0"/>
        <w:spacing w:before="79" w:line="221" w:lineRule="auto"/>
        <w:ind w:left="577"/>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15.2  </w:t>
      </w:r>
      <w:r>
        <w:rPr>
          <w:rFonts w:hint="eastAsia" w:ascii="宋体" w:hAnsi="宋体" w:eastAsia="宋体" w:cs="宋体"/>
          <w:color w:val="auto"/>
          <w:spacing w:val="0"/>
          <w:sz w:val="24"/>
          <w:szCs w:val="24"/>
          <w:highlight w:val="none"/>
        </w:rPr>
        <w:t>评标方法</w:t>
      </w:r>
    </w:p>
    <w:p w14:paraId="31CCE9AE">
      <w:pPr>
        <w:keepNext w:val="0"/>
        <w:keepLines w:val="0"/>
        <w:pageBreakBefore w:val="0"/>
        <w:wordWrap w:val="0"/>
        <w:overflowPunct/>
        <w:topLinePunct w:val="0"/>
        <w:bidi w:val="0"/>
        <w:spacing w:before="78" w:line="326" w:lineRule="auto"/>
        <w:ind w:left="231" w:right="181" w:firstLine="560"/>
        <w:rPr>
          <w:rFonts w:hint="eastAsia" w:ascii="宋体" w:hAnsi="宋体" w:eastAsia="宋体" w:cs="宋体"/>
          <w:color w:val="auto"/>
          <w:spacing w:val="0"/>
          <w:highlight w:val="none"/>
        </w:rPr>
      </w:pPr>
      <w:bookmarkStart w:id="72" w:name="bookmark125"/>
      <w:bookmarkEnd w:id="72"/>
      <w:r>
        <w:rPr>
          <w:rFonts w:hint="eastAsia" w:ascii="宋体" w:hAnsi="宋体" w:eastAsia="宋体" w:cs="宋体"/>
          <w:color w:val="auto"/>
          <w:spacing w:val="0"/>
          <w:sz w:val="24"/>
          <w:szCs w:val="24"/>
          <w:highlight w:val="none"/>
        </w:rPr>
        <w:t>根据有关法律、法规的相关规定，结合本招标项目资金来源和规模特点，本次招标采用</w:t>
      </w:r>
      <w:r>
        <w:rPr>
          <w:rFonts w:hint="eastAsia" w:ascii="宋体" w:hAnsi="宋体" w:eastAsia="宋体" w:cs="宋体"/>
          <w:b/>
          <w:bCs/>
          <w:color w:val="auto"/>
          <w:spacing w:val="0"/>
          <w:sz w:val="24"/>
          <w:szCs w:val="24"/>
          <w:highlight w:val="none"/>
          <w:u w:val="single"/>
        </w:rPr>
        <w:t xml:space="preserve"> 综合评估法 </w:t>
      </w:r>
      <w:r>
        <w:rPr>
          <w:rFonts w:hint="eastAsia" w:ascii="宋体" w:hAnsi="宋体" w:eastAsia="宋体" w:cs="宋体"/>
          <w:color w:val="auto"/>
          <w:spacing w:val="0"/>
          <w:sz w:val="24"/>
          <w:szCs w:val="24"/>
          <w:highlight w:val="none"/>
          <w:u w:val="single"/>
        </w:rPr>
        <w:t>（</w:t>
      </w:r>
      <w:r>
        <w:rPr>
          <w:rFonts w:hint="eastAsia" w:ascii="宋体" w:hAnsi="宋体" w:eastAsia="宋体" w:cs="宋体"/>
          <w:color w:val="auto"/>
          <w:spacing w:val="0"/>
          <w:sz w:val="24"/>
          <w:szCs w:val="24"/>
          <w:highlight w:val="none"/>
        </w:rPr>
        <w:t>评标方法名称）进行评标。</w:t>
      </w:r>
    </w:p>
    <w:p w14:paraId="444FBDD2">
      <w:pPr>
        <w:keepNext w:val="0"/>
        <w:keepLines w:val="0"/>
        <w:pageBreakBefore w:val="0"/>
        <w:wordWrap w:val="0"/>
        <w:overflowPunct/>
        <w:topLinePunct w:val="0"/>
        <w:bidi w:val="0"/>
        <w:spacing w:before="154" w:line="269" w:lineRule="auto"/>
        <w:ind w:left="220" w:right="33" w:firstLine="496"/>
        <w:rPr>
          <w:rFonts w:hint="eastAsia" w:ascii="宋体" w:hAnsi="宋体" w:eastAsia="宋体" w:cs="宋体"/>
          <w:color w:val="auto"/>
          <w:spacing w:val="0"/>
          <w:sz w:val="25"/>
          <w:szCs w:val="25"/>
          <w:highlight w:val="none"/>
        </w:rPr>
      </w:pPr>
      <w:r>
        <w:rPr>
          <w:rFonts w:hint="eastAsia" w:ascii="宋体" w:hAnsi="宋体" w:eastAsia="宋体" w:cs="宋体"/>
          <w:b/>
          <w:bCs/>
          <w:color w:val="auto"/>
          <w:spacing w:val="0"/>
          <w:sz w:val="24"/>
          <w:szCs w:val="24"/>
          <w:highlight w:val="none"/>
        </w:rPr>
        <w:t xml:space="preserve">15.3  </w:t>
      </w:r>
      <w:r>
        <w:rPr>
          <w:rFonts w:hint="eastAsia" w:ascii="宋体" w:hAnsi="宋体" w:eastAsia="宋体" w:cs="宋体"/>
          <w:color w:val="auto"/>
          <w:spacing w:val="0"/>
          <w:sz w:val="24"/>
          <w:szCs w:val="24"/>
          <w:highlight w:val="none"/>
        </w:rPr>
        <w:t>评审范围：评标委员会应对所有投标人的投标文件进行评审。</w:t>
      </w:r>
    </w:p>
    <w:p w14:paraId="0A158934">
      <w:pPr>
        <w:keepNext w:val="0"/>
        <w:keepLines w:val="0"/>
        <w:pageBreakBefore w:val="0"/>
        <w:wordWrap w:val="0"/>
        <w:overflowPunct/>
        <w:topLinePunct w:val="0"/>
        <w:bidi w:val="0"/>
        <w:spacing w:before="153" w:line="220" w:lineRule="auto"/>
        <w:ind w:left="71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15.4  </w:t>
      </w:r>
      <w:r>
        <w:rPr>
          <w:rFonts w:hint="eastAsia" w:ascii="宋体" w:hAnsi="宋体" w:eastAsia="宋体" w:cs="宋体"/>
          <w:color w:val="auto"/>
          <w:spacing w:val="0"/>
          <w:sz w:val="24"/>
          <w:szCs w:val="24"/>
          <w:highlight w:val="none"/>
        </w:rPr>
        <w:t>初步评审阶段</w:t>
      </w:r>
    </w:p>
    <w:p w14:paraId="0814EC29">
      <w:pPr>
        <w:keepNext w:val="0"/>
        <w:keepLines w:val="0"/>
        <w:pageBreakBefore w:val="0"/>
        <w:wordWrap w:val="0"/>
        <w:overflowPunct/>
        <w:topLinePunct w:val="0"/>
        <w:bidi w:val="0"/>
        <w:spacing w:before="153" w:line="220" w:lineRule="auto"/>
        <w:ind w:left="70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初步评审阶段分为资格评审、形式评审和响应性评审三个环节。</w:t>
      </w:r>
    </w:p>
    <w:p w14:paraId="58B00498">
      <w:pPr>
        <w:keepNext w:val="0"/>
        <w:keepLines w:val="0"/>
        <w:pageBreakBefore w:val="0"/>
        <w:tabs>
          <w:tab w:val="left" w:pos="3360"/>
        </w:tabs>
        <w:wordWrap w:val="0"/>
        <w:overflowPunct/>
        <w:topLinePunct w:val="0"/>
        <w:bidi w:val="0"/>
        <w:spacing w:before="155" w:line="279" w:lineRule="auto"/>
        <w:ind w:left="719" w:right="6040" w:rightChars="0" w:hanging="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15.4.1 </w:t>
      </w:r>
      <w:r>
        <w:rPr>
          <w:rFonts w:hint="eastAsia" w:ascii="宋体" w:hAnsi="宋体" w:eastAsia="宋体" w:cs="宋体"/>
          <w:color w:val="auto"/>
          <w:spacing w:val="0"/>
          <w:sz w:val="24"/>
          <w:szCs w:val="24"/>
          <w:highlight w:val="none"/>
        </w:rPr>
        <w:t xml:space="preserve"> 资格评审环节 资格评审事项</w:t>
      </w:r>
      <w:r>
        <w:rPr>
          <w:rFonts w:hint="eastAsia" w:ascii="宋体" w:hAnsi="宋体" w:eastAsia="宋体" w:cs="宋体"/>
          <w:color w:val="auto"/>
          <w:spacing w:val="0"/>
          <w:sz w:val="24"/>
          <w:szCs w:val="24"/>
          <w:highlight w:val="none"/>
          <w:lang w:val="en-US" w:eastAsia="zh-CN"/>
        </w:rPr>
        <w:t>包括</w:t>
      </w:r>
      <w:r>
        <w:rPr>
          <w:rFonts w:hint="eastAsia" w:ascii="宋体" w:hAnsi="宋体" w:eastAsia="宋体" w:cs="宋体"/>
          <w:color w:val="auto"/>
          <w:spacing w:val="0"/>
          <w:sz w:val="24"/>
          <w:szCs w:val="24"/>
          <w:highlight w:val="none"/>
        </w:rPr>
        <w:t>：</w:t>
      </w:r>
    </w:p>
    <w:p w14:paraId="18695609">
      <w:pPr>
        <w:keepNext w:val="0"/>
        <w:keepLines w:val="0"/>
        <w:pageBreakBefore w:val="0"/>
        <w:wordWrap w:val="0"/>
        <w:overflowPunct/>
        <w:topLinePunct w:val="0"/>
        <w:bidi w:val="0"/>
        <w:spacing w:before="152" w:line="315" w:lineRule="auto"/>
        <w:ind w:left="23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（1）投标人是否符合本章第三节第 </w:t>
      </w: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条“禁止投标条款 ”规定。如果“禁止投标条款 ”包括失信惩戒的，投标人信用信息的获取采用现场实时查询的方式实施。由</w:t>
      </w:r>
      <w:r>
        <w:rPr>
          <w:rFonts w:hint="eastAsia" w:ascii="宋体" w:hAnsi="宋体" w:eastAsia="宋体" w:cs="宋体"/>
          <w:color w:val="auto"/>
          <w:spacing w:val="0"/>
          <w:sz w:val="24"/>
          <w:szCs w:val="24"/>
          <w:highlight w:val="none"/>
          <w:lang w:val="en-US" w:eastAsia="zh-CN"/>
        </w:rPr>
        <w:t>代理机构</w:t>
      </w:r>
      <w:r>
        <w:rPr>
          <w:rFonts w:hint="eastAsia" w:ascii="宋体" w:hAnsi="宋体" w:eastAsia="宋体" w:cs="宋体"/>
          <w:color w:val="auto"/>
          <w:spacing w:val="0"/>
          <w:sz w:val="24"/>
          <w:szCs w:val="24"/>
          <w:highlight w:val="none"/>
        </w:rPr>
        <w:t xml:space="preserve">登录信用中国网站（https://www.creditchina.gov.cn），在企业查询界面下载和打印《法人和非法人组织公共信用信息报告》。 </w:t>
      </w:r>
    </w:p>
    <w:p w14:paraId="375F7385">
      <w:pPr>
        <w:keepNext w:val="0"/>
        <w:keepLines w:val="0"/>
        <w:pageBreakBefore w:val="0"/>
        <w:wordWrap w:val="0"/>
        <w:overflowPunct/>
        <w:topLinePunct w:val="0"/>
        <w:bidi w:val="0"/>
        <w:spacing w:before="155" w:line="219" w:lineRule="auto"/>
        <w:ind w:left="72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（2）投标人名称是否与营业执照、资质证书、安全生产许可证一致。</w:t>
      </w:r>
    </w:p>
    <w:p w14:paraId="164D7887">
      <w:pPr>
        <w:keepNext w:val="0"/>
        <w:keepLines w:val="0"/>
        <w:pageBreakBefore w:val="0"/>
        <w:widowControl/>
        <w:kinsoku w:val="0"/>
        <w:wordWrap w:val="0"/>
        <w:overflowPunct/>
        <w:topLinePunct w:val="0"/>
        <w:autoSpaceDE w:val="0"/>
        <w:autoSpaceDN w:val="0"/>
        <w:bidi w:val="0"/>
        <w:adjustRightInd w:val="0"/>
        <w:snapToGrid w:val="0"/>
        <w:spacing w:before="155" w:line="286" w:lineRule="auto"/>
        <w:ind w:left="232" w:right="96"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（3）投标人的资质是否符合招标文件规定；其营业执照、资质证书、安全生产许可证（含实时网页查询页，可参考网址 https://zlaq.mohurd.gov.cn/fwmh/bjxcjgl/fwm</w:t>
      </w:r>
      <w:bookmarkStart w:id="73" w:name="bookmark126"/>
      <w:bookmarkEnd w:id="73"/>
      <w:r>
        <w:rPr>
          <w:rFonts w:hint="eastAsia" w:ascii="宋体" w:hAnsi="宋体" w:eastAsia="宋体" w:cs="宋体"/>
          <w:color w:val="auto"/>
          <w:spacing w:val="0"/>
          <w:position w:val="3"/>
          <w:sz w:val="24"/>
          <w:szCs w:val="24"/>
          <w:highlight w:val="none"/>
        </w:rPr>
        <w:t>h/pages/construction_safety/qyaqscxkz/qyaqscxkz）是否合法、有效、准确。</w:t>
      </w:r>
    </w:p>
    <w:p w14:paraId="540CBBB1">
      <w:pPr>
        <w:keepNext w:val="0"/>
        <w:keepLines w:val="0"/>
        <w:pageBreakBefore w:val="0"/>
        <w:wordWrap w:val="0"/>
        <w:overflowPunct/>
        <w:topLinePunct w:val="0"/>
        <w:bidi w:val="0"/>
        <w:spacing w:before="144"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（4）《项目经理简历表》中拟派项目经理是否与《开标一览表》一致。</w:t>
      </w:r>
    </w:p>
    <w:p w14:paraId="6B9B0D89">
      <w:pPr>
        <w:keepNext w:val="0"/>
        <w:keepLines w:val="0"/>
        <w:pageBreakBefore w:val="0"/>
        <w:wordWrap w:val="0"/>
        <w:overflowPunct/>
        <w:topLinePunct w:val="0"/>
        <w:bidi w:val="0"/>
        <w:spacing w:before="151" w:line="315" w:lineRule="auto"/>
        <w:ind w:left="1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拟派项目经理、项目技术负责人、专职安全员的条件是否符合招标文件规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33FF0F7A">
      <w:pPr>
        <w:keepNext w:val="0"/>
        <w:keepLines w:val="0"/>
        <w:pageBreakBefore w:val="0"/>
        <w:wordWrap w:val="0"/>
        <w:overflowPunct/>
        <w:topLinePunct w:val="0"/>
        <w:bidi w:val="0"/>
        <w:spacing w:before="156" w:line="298" w:lineRule="auto"/>
        <w:ind w:left="9"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12F54F61">
      <w:pPr>
        <w:keepNext w:val="0"/>
        <w:keepLines w:val="0"/>
        <w:pageBreakBefore w:val="0"/>
        <w:wordWrap w:val="0"/>
        <w:overflowPunct/>
        <w:topLinePunct w:val="0"/>
        <w:bidi w:val="0"/>
        <w:spacing w:before="155" w:line="360" w:lineRule="auto"/>
        <w:ind w:left="8" w:right="2"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（7）投标人为外省建筑企业的，是否按规定在“进粤企业和人员诚信信息登记平台 ”录入企业及其拟派人员有关信息并通过数据规范检查。</w:t>
      </w:r>
    </w:p>
    <w:p w14:paraId="27E19AD3">
      <w:pPr>
        <w:keepNext w:val="0"/>
        <w:keepLines w:val="0"/>
        <w:pageBreakBefore w:val="0"/>
        <w:wordWrap w:val="0"/>
        <w:overflowPunct/>
        <w:topLinePunct w:val="0"/>
        <w:bidi w:val="0"/>
        <w:spacing w:before="15" w:line="360" w:lineRule="auto"/>
        <w:ind w:right="2" w:firstLine="482" w:firstLineChars="200"/>
        <w:jc w:val="both"/>
        <w:outlineLvl w:val="9"/>
        <w:rPr>
          <w:rFonts w:hint="eastAsia" w:ascii="宋体" w:hAnsi="宋体" w:eastAsia="宋体" w:cs="宋体"/>
          <w:color w:val="auto"/>
          <w:spacing w:val="0"/>
          <w:sz w:val="24"/>
          <w:szCs w:val="24"/>
          <w:highlight w:val="none"/>
        </w:rPr>
      </w:pPr>
      <w:bookmarkStart w:id="74" w:name="_Toc22778"/>
      <w:r>
        <w:rPr>
          <w:rFonts w:hint="eastAsia" w:ascii="宋体" w:hAnsi="宋体" w:eastAsia="宋体" w:cs="宋体"/>
          <w:b/>
          <w:bCs/>
          <w:color w:val="auto"/>
          <w:spacing w:val="0"/>
          <w:sz w:val="24"/>
          <w:szCs w:val="24"/>
          <w:highlight w:val="none"/>
        </w:rPr>
        <w:t xml:space="preserve">15.4.2 </w:t>
      </w:r>
      <w:r>
        <w:rPr>
          <w:rFonts w:hint="eastAsia" w:ascii="宋体" w:hAnsi="宋体" w:eastAsia="宋体" w:cs="宋体"/>
          <w:color w:val="auto"/>
          <w:spacing w:val="0"/>
          <w:sz w:val="24"/>
          <w:szCs w:val="24"/>
          <w:highlight w:val="none"/>
        </w:rPr>
        <w:t xml:space="preserve"> 形式评审环节</w:t>
      </w:r>
    </w:p>
    <w:p w14:paraId="72253524">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形式评审事</w:t>
      </w:r>
      <w:r>
        <w:rPr>
          <w:rFonts w:hint="eastAsia" w:ascii="宋体" w:hAnsi="宋体" w:eastAsia="宋体" w:cs="宋体"/>
          <w:color w:val="auto"/>
          <w:spacing w:val="0"/>
          <w:sz w:val="24"/>
          <w:szCs w:val="24"/>
          <w:highlight w:val="none"/>
          <w:lang w:eastAsia="zh-CN"/>
        </w:rPr>
        <w:t>项包括</w:t>
      </w:r>
      <w:bookmarkEnd w:id="74"/>
      <w:r>
        <w:rPr>
          <w:rFonts w:hint="eastAsia" w:ascii="宋体" w:hAnsi="宋体" w:eastAsia="宋体" w:cs="宋体"/>
          <w:color w:val="auto"/>
          <w:spacing w:val="0"/>
          <w:sz w:val="24"/>
          <w:szCs w:val="24"/>
          <w:highlight w:val="none"/>
          <w:lang w:eastAsia="zh-CN"/>
        </w:rPr>
        <w:t>：</w:t>
      </w:r>
    </w:p>
    <w:p w14:paraId="4EA57E30">
      <w:pPr>
        <w:keepNext w:val="0"/>
        <w:keepLines w:val="0"/>
        <w:pageBreakBefore w:val="0"/>
        <w:wordWrap w:val="0"/>
        <w:overflowPunct/>
        <w:topLinePunct w:val="0"/>
        <w:bidi w:val="0"/>
        <w:spacing w:before="40" w:line="360" w:lineRule="auto"/>
        <w:ind w:left="501"/>
        <w:outlineLvl w:val="9"/>
        <w:rPr>
          <w:rFonts w:hint="eastAsia" w:ascii="宋体" w:hAnsi="宋体" w:eastAsia="宋体" w:cs="宋体"/>
          <w:color w:val="auto"/>
          <w:spacing w:val="0"/>
          <w:sz w:val="24"/>
          <w:szCs w:val="24"/>
          <w:highlight w:val="none"/>
        </w:rPr>
      </w:pPr>
      <w:bookmarkStart w:id="75" w:name="_Toc23632"/>
      <w:bookmarkStart w:id="76" w:name="_Toc13304"/>
      <w:bookmarkStart w:id="77" w:name="_Toc4914"/>
      <w:bookmarkStart w:id="78" w:name="_Toc20481"/>
      <w:r>
        <w:rPr>
          <w:rFonts w:hint="eastAsia" w:ascii="宋体" w:hAnsi="宋体" w:eastAsia="宋体" w:cs="宋体"/>
          <w:color w:val="auto"/>
          <w:spacing w:val="0"/>
          <w:sz w:val="24"/>
          <w:szCs w:val="24"/>
          <w:highlight w:val="none"/>
        </w:rPr>
        <w:t>（1）各分册是否按招标文件规定加盖电子印章。</w:t>
      </w:r>
      <w:bookmarkEnd w:id="75"/>
      <w:bookmarkEnd w:id="76"/>
      <w:bookmarkEnd w:id="77"/>
      <w:bookmarkEnd w:id="78"/>
    </w:p>
    <w:p w14:paraId="1B27A302">
      <w:pPr>
        <w:keepNext w:val="0"/>
        <w:keepLines w:val="0"/>
        <w:pageBreakBefore w:val="0"/>
        <w:wordWrap w:val="0"/>
        <w:overflowPunct/>
        <w:topLinePunct w:val="0"/>
        <w:bidi w:val="0"/>
        <w:spacing w:before="15" w:line="360" w:lineRule="auto"/>
        <w:ind w:firstLine="480" w:firstLineChars="200"/>
        <w:outlineLvl w:val="9"/>
        <w:rPr>
          <w:rFonts w:hint="eastAsia" w:ascii="宋体" w:hAnsi="宋体" w:eastAsia="宋体" w:cs="宋体"/>
          <w:color w:val="auto"/>
          <w:spacing w:val="0"/>
          <w:sz w:val="24"/>
          <w:szCs w:val="24"/>
          <w:highlight w:val="none"/>
          <w:lang w:eastAsia="zh-CN"/>
        </w:rPr>
      </w:pPr>
      <w:bookmarkStart w:id="79" w:name="_Toc10806"/>
      <w:bookmarkStart w:id="80" w:name="_Toc27432"/>
      <w:bookmarkStart w:id="81" w:name="_Toc28409"/>
      <w:bookmarkStart w:id="82" w:name="_Toc12756"/>
      <w:r>
        <w:rPr>
          <w:rFonts w:hint="eastAsia" w:ascii="宋体" w:hAnsi="宋体" w:eastAsia="宋体" w:cs="宋体"/>
          <w:color w:val="auto"/>
          <w:spacing w:val="0"/>
          <w:sz w:val="24"/>
          <w:szCs w:val="24"/>
          <w:highlight w:val="none"/>
        </w:rPr>
        <w:t>（2）本节第</w:t>
      </w:r>
      <w:r>
        <w:rPr>
          <w:rFonts w:hint="eastAsia" w:ascii="宋体" w:hAnsi="宋体" w:eastAsia="宋体" w:cs="宋体"/>
          <w:b/>
          <w:bCs/>
          <w:color w:val="auto"/>
          <w:spacing w:val="0"/>
          <w:sz w:val="24"/>
          <w:szCs w:val="24"/>
          <w:highlight w:val="none"/>
        </w:rPr>
        <w:t xml:space="preserve"> 10.2.2 </w:t>
      </w:r>
      <w:r>
        <w:rPr>
          <w:rFonts w:hint="eastAsia" w:ascii="宋体" w:hAnsi="宋体" w:eastAsia="宋体" w:cs="宋体"/>
          <w:color w:val="auto"/>
          <w:spacing w:val="0"/>
          <w:sz w:val="24"/>
          <w:szCs w:val="24"/>
          <w:highlight w:val="none"/>
        </w:rPr>
        <w:t xml:space="preserve"> 目、第 </w:t>
      </w:r>
      <w:r>
        <w:rPr>
          <w:rFonts w:hint="eastAsia" w:ascii="宋体" w:hAnsi="宋体" w:eastAsia="宋体" w:cs="宋体"/>
          <w:b/>
          <w:bCs/>
          <w:color w:val="auto"/>
          <w:spacing w:val="0"/>
          <w:sz w:val="24"/>
          <w:szCs w:val="24"/>
          <w:highlight w:val="none"/>
        </w:rPr>
        <w:t xml:space="preserve">10.3.2 </w:t>
      </w:r>
      <w:r>
        <w:rPr>
          <w:rFonts w:hint="eastAsia" w:ascii="宋体" w:hAnsi="宋体" w:eastAsia="宋体" w:cs="宋体"/>
          <w:color w:val="auto"/>
          <w:spacing w:val="0"/>
          <w:sz w:val="24"/>
          <w:szCs w:val="24"/>
          <w:highlight w:val="none"/>
        </w:rPr>
        <w:t xml:space="preserve"> 目、第</w:t>
      </w:r>
      <w:r>
        <w:rPr>
          <w:rFonts w:hint="eastAsia" w:ascii="宋体" w:hAnsi="宋体" w:eastAsia="宋体" w:cs="宋体"/>
          <w:b/>
          <w:bCs/>
          <w:color w:val="auto"/>
          <w:spacing w:val="0"/>
          <w:sz w:val="24"/>
          <w:szCs w:val="24"/>
          <w:highlight w:val="none"/>
        </w:rPr>
        <w:t xml:space="preserve"> 10.4.3 </w:t>
      </w:r>
      <w:r>
        <w:rPr>
          <w:rFonts w:hint="eastAsia" w:ascii="宋体" w:hAnsi="宋体" w:eastAsia="宋体" w:cs="宋体"/>
          <w:color w:val="auto"/>
          <w:spacing w:val="0"/>
          <w:sz w:val="24"/>
          <w:szCs w:val="24"/>
          <w:highlight w:val="none"/>
        </w:rPr>
        <w:t xml:space="preserve"> 目中规定的“所有投标人均应提</w:t>
      </w:r>
      <w:bookmarkEnd w:id="79"/>
      <w:bookmarkEnd w:id="80"/>
      <w:bookmarkEnd w:id="81"/>
      <w:r>
        <w:rPr>
          <w:rFonts w:hint="eastAsia" w:ascii="宋体" w:hAnsi="宋体" w:eastAsia="宋体" w:cs="宋体"/>
          <w:color w:val="auto"/>
          <w:spacing w:val="0"/>
          <w:sz w:val="24"/>
          <w:szCs w:val="24"/>
          <w:highlight w:val="none"/>
        </w:rPr>
        <w:t>供 ”的组成内容（包括该组成内容的所附资料）是否完整、齐全</w:t>
      </w:r>
      <w:bookmarkEnd w:id="82"/>
      <w:r>
        <w:rPr>
          <w:rFonts w:hint="eastAsia" w:ascii="宋体" w:hAnsi="宋体" w:eastAsia="宋体" w:cs="宋体"/>
          <w:color w:val="auto"/>
          <w:spacing w:val="0"/>
          <w:sz w:val="24"/>
          <w:szCs w:val="24"/>
          <w:highlight w:val="none"/>
          <w:lang w:eastAsia="zh-CN"/>
        </w:rPr>
        <w:t>。</w:t>
      </w:r>
    </w:p>
    <w:p w14:paraId="15AF52E2">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auto"/>
          <w:spacing w:val="0"/>
          <w:sz w:val="24"/>
          <w:szCs w:val="24"/>
          <w:highlight w:val="none"/>
        </w:rPr>
      </w:pPr>
      <w:bookmarkStart w:id="83" w:name="_Toc9581"/>
      <w:bookmarkStart w:id="84" w:name="_Toc15678"/>
      <w:bookmarkStart w:id="85" w:name="_Toc22691"/>
      <w:bookmarkStart w:id="86" w:name="_Toc17918"/>
      <w:r>
        <w:rPr>
          <w:rFonts w:hint="eastAsia" w:ascii="宋体" w:hAnsi="宋体" w:eastAsia="宋体" w:cs="宋体"/>
          <w:color w:val="auto"/>
          <w:spacing w:val="0"/>
          <w:sz w:val="24"/>
          <w:szCs w:val="24"/>
          <w:highlight w:val="none"/>
          <w:lang w:eastAsia="zh-CN"/>
        </w:rPr>
        <w:t>（3）</w:t>
      </w:r>
      <w:r>
        <w:rPr>
          <w:rFonts w:hint="eastAsia" w:ascii="宋体" w:hAnsi="宋体" w:eastAsia="宋体" w:cs="宋体"/>
          <w:color w:val="auto"/>
          <w:spacing w:val="0"/>
          <w:sz w:val="24"/>
          <w:szCs w:val="24"/>
          <w:highlight w:val="none"/>
        </w:rPr>
        <w:t>施工组织设计采用“暗标 ”方式进行评审的，施工组织设计的规格颜色、文字排版、正文篇幅（若有）是否符合规定；其任何部位是否出现手写以及涂改、行间插字或删除痕迹；其任何部位是否出现投标人的名称和其它可识别投标人身份的字符、徽标、人员名称以及其他特殊标记。</w:t>
      </w:r>
      <w:bookmarkEnd w:id="83"/>
      <w:bookmarkEnd w:id="84"/>
      <w:bookmarkEnd w:id="85"/>
      <w:bookmarkEnd w:id="86"/>
    </w:p>
    <w:p w14:paraId="5B0B29C4">
      <w:pPr>
        <w:keepNext w:val="0"/>
        <w:keepLines w:val="0"/>
        <w:pageBreakBefore w:val="0"/>
        <w:wordWrap w:val="0"/>
        <w:overflowPunct/>
        <w:topLinePunct w:val="0"/>
        <w:bidi w:val="0"/>
        <w:spacing w:before="15" w:line="360" w:lineRule="auto"/>
        <w:ind w:right="2" w:firstLine="482" w:firstLineChars="200"/>
        <w:jc w:val="both"/>
        <w:outlineLvl w:val="9"/>
        <w:rPr>
          <w:rFonts w:hint="eastAsia" w:ascii="宋体" w:hAnsi="宋体" w:eastAsia="宋体" w:cs="宋体"/>
          <w:color w:val="auto"/>
          <w:spacing w:val="0"/>
          <w:sz w:val="24"/>
          <w:szCs w:val="24"/>
          <w:highlight w:val="none"/>
        </w:rPr>
      </w:pPr>
      <w:bookmarkStart w:id="87" w:name="_Toc16645"/>
      <w:bookmarkStart w:id="88" w:name="_Toc22562"/>
      <w:bookmarkStart w:id="89" w:name="_Toc22642"/>
      <w:bookmarkStart w:id="90" w:name="_Toc14202"/>
      <w:r>
        <w:rPr>
          <w:rFonts w:hint="eastAsia" w:ascii="宋体" w:hAnsi="宋体" w:eastAsia="宋体" w:cs="宋体"/>
          <w:b/>
          <w:bCs/>
          <w:color w:val="auto"/>
          <w:spacing w:val="0"/>
          <w:sz w:val="24"/>
          <w:szCs w:val="24"/>
          <w:highlight w:val="none"/>
        </w:rPr>
        <w:t xml:space="preserve">15.4.3  </w:t>
      </w:r>
      <w:r>
        <w:rPr>
          <w:rFonts w:hint="eastAsia" w:ascii="宋体" w:hAnsi="宋体" w:eastAsia="宋体" w:cs="宋体"/>
          <w:color w:val="auto"/>
          <w:spacing w:val="0"/>
          <w:sz w:val="24"/>
          <w:szCs w:val="24"/>
          <w:highlight w:val="none"/>
        </w:rPr>
        <w:t xml:space="preserve">响应性评审环节 </w:t>
      </w:r>
    </w:p>
    <w:p w14:paraId="69F5E200">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响应性评项包括：</w:t>
      </w:r>
      <w:bookmarkEnd w:id="87"/>
      <w:bookmarkEnd w:id="88"/>
      <w:bookmarkEnd w:id="89"/>
      <w:bookmarkEnd w:id="90"/>
    </w:p>
    <w:p w14:paraId="0A2173BC">
      <w:pPr>
        <w:keepNext w:val="0"/>
        <w:keepLines w:val="0"/>
        <w:pageBreakBefore w:val="0"/>
        <w:wordWrap w:val="0"/>
        <w:overflowPunct/>
        <w:topLinePunct w:val="0"/>
        <w:bidi w:val="0"/>
        <w:spacing w:before="155" w:line="360" w:lineRule="auto"/>
        <w:ind w:left="9"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（1）投标有效期、质量标准、工期等是否响应招标文件实质性要求；是否擅自修改、遗漏《投标函》《各项承诺一览表》的实质性内容。</w:t>
      </w:r>
    </w:p>
    <w:p w14:paraId="5225B394">
      <w:pPr>
        <w:keepNext w:val="0"/>
        <w:keepLines w:val="0"/>
        <w:pageBreakBefore w:val="0"/>
        <w:wordWrap w:val="0"/>
        <w:overflowPunct/>
        <w:topLinePunct w:val="0"/>
        <w:bidi w:val="0"/>
        <w:spacing w:before="152" w:line="36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（2）编制《投标总价》的造价工程师，其注册证书是否合法、有效。</w:t>
      </w:r>
    </w:p>
    <w:p w14:paraId="407B50B8">
      <w:pPr>
        <w:keepNext w:val="0"/>
        <w:keepLines w:val="0"/>
        <w:pageBreakBefore w:val="0"/>
        <w:wordWrap w:val="0"/>
        <w:overflowPunct/>
        <w:topLinePunct w:val="0"/>
        <w:bidi w:val="0"/>
        <w:spacing w:before="158" w:line="360" w:lineRule="auto"/>
        <w:ind w:left="21" w:right="2"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（3）投标人委托造价咨询单位编制《投标总价》的，是否在《投标总价》“投标人 ”栏目加盖造价咨询人公章；是否提供造价咨询人的营业执照副本彩色扫描件；</w:t>
      </w:r>
    </w:p>
    <w:p w14:paraId="33F4A496">
      <w:pPr>
        <w:keepNext w:val="0"/>
        <w:keepLines w:val="0"/>
        <w:pageBreakBefore w:val="0"/>
        <w:wordWrap w:val="0"/>
        <w:overflowPunct/>
        <w:topLinePunct w:val="0"/>
        <w:bidi w:val="0"/>
        <w:spacing w:before="158" w:line="328" w:lineRule="auto"/>
        <w:ind w:left="9" w:firstLine="491"/>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（4）投标总价是否唯一；投标总价是否超出</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费是否达到最低要求；暂列金额、暂估价是否按照招标工程量清单统一报价；投标人是否以低于成本的价格竞标。</w:t>
      </w:r>
    </w:p>
    <w:p w14:paraId="0FEFD797">
      <w:pPr>
        <w:keepNext w:val="0"/>
        <w:keepLines w:val="0"/>
        <w:pageBreakBefore w:val="0"/>
        <w:wordWrap w:val="0"/>
        <w:overflowPunct/>
        <w:topLinePunct w:val="0"/>
        <w:bidi w:val="0"/>
        <w:spacing w:before="38" w:line="360" w:lineRule="auto"/>
        <w:ind w:right="2" w:firstLine="482" w:firstLineChars="200"/>
        <w:jc w:val="both"/>
        <w:rPr>
          <w:rFonts w:hint="eastAsia" w:ascii="宋体" w:hAnsi="宋体" w:eastAsia="宋体" w:cs="宋体"/>
          <w:color w:val="auto"/>
          <w:spacing w:val="0"/>
          <w:position w:val="-8"/>
          <w:sz w:val="24"/>
          <w:szCs w:val="24"/>
          <w:highlight w:val="none"/>
        </w:rPr>
      </w:pPr>
      <w:r>
        <w:rPr>
          <w:rFonts w:hint="eastAsia" w:ascii="宋体" w:hAnsi="宋体" w:eastAsia="宋体" w:cs="宋体"/>
          <w:b/>
          <w:bCs/>
          <w:color w:val="auto"/>
          <w:spacing w:val="0"/>
          <w:sz w:val="24"/>
          <w:szCs w:val="24"/>
          <w:highlight w:val="none"/>
        </w:rPr>
        <w:t>注：如果某投标人的投标总价下浮率超过</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15% ，又未提供相应书面说明和佐证</w:t>
      </w:r>
      <w:bookmarkStart w:id="91" w:name="bookmark127"/>
      <w:bookmarkEnd w:id="91"/>
      <w:r>
        <w:rPr>
          <w:rFonts w:hint="eastAsia" w:ascii="宋体" w:hAnsi="宋体" w:eastAsia="宋体" w:cs="宋体"/>
          <w:b/>
          <w:bCs/>
          <w:color w:val="auto"/>
          <w:spacing w:val="0"/>
          <w:sz w:val="24"/>
          <w:szCs w:val="24"/>
          <w:highlight w:val="none"/>
        </w:rPr>
        <w:t>材料或提供的书面说明和佐证材料不能令人信服的，评标委员会应认定其以低于成本的价格竞标，并否决其投标。评标委员会接受该投标人的投标总价而未否决其投标的，应在评标报告中说明判断理由。投标总价下浮率＝（1－投标总价÷</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rPr>
        <w:t>）×100% 。</w:t>
      </w:r>
    </w:p>
    <w:p w14:paraId="2485C4DD">
      <w:pPr>
        <w:keepNext w:val="0"/>
        <w:keepLines w:val="0"/>
        <w:pageBreakBefore w:val="0"/>
        <w:wordWrap w:val="0"/>
        <w:overflowPunct/>
        <w:topLinePunct w:val="0"/>
        <w:bidi w:val="0"/>
        <w:spacing w:before="157" w:line="360" w:lineRule="auto"/>
        <w:ind w:left="11" w:right="114" w:firstLine="501" w:firstLineChars="209"/>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（5）施工组织设计的质量、进度保障措施是否符合国家和省市现行有关规范、规定、标准，是否能实现工程质量、进度管理目标。</w:t>
      </w:r>
    </w:p>
    <w:p w14:paraId="27A6EA2D">
      <w:pPr>
        <w:keepNext w:val="0"/>
        <w:keepLines w:val="0"/>
        <w:pageBreakBefore w:val="0"/>
        <w:wordWrap w:val="0"/>
        <w:overflowPunct/>
        <w:topLinePunct w:val="0"/>
        <w:bidi w:val="0"/>
        <w:spacing w:before="82" w:line="211" w:lineRule="auto"/>
        <w:ind w:left="580"/>
        <w:outlineLvl w:val="9"/>
        <w:rPr>
          <w:rFonts w:hint="eastAsia" w:ascii="宋体" w:hAnsi="宋体" w:eastAsia="宋体" w:cs="宋体"/>
          <w:color w:val="auto"/>
          <w:spacing w:val="0"/>
          <w:sz w:val="25"/>
          <w:szCs w:val="25"/>
          <w:highlight w:val="none"/>
        </w:rPr>
      </w:pPr>
      <w:bookmarkStart w:id="92" w:name="_Toc18204"/>
      <w:bookmarkStart w:id="93" w:name="_Toc32114"/>
      <w:bookmarkStart w:id="94" w:name="_Toc19814"/>
      <w:bookmarkStart w:id="95" w:name="_Toc15367"/>
      <w:r>
        <w:rPr>
          <w:rFonts w:hint="eastAsia" w:ascii="宋体" w:hAnsi="宋体" w:eastAsia="宋体" w:cs="宋体"/>
          <w:b/>
          <w:bCs/>
          <w:color w:val="auto"/>
          <w:spacing w:val="0"/>
          <w:sz w:val="24"/>
          <w:szCs w:val="24"/>
          <w:highlight w:val="none"/>
        </w:rPr>
        <w:t xml:space="preserve">15.4.4  </w:t>
      </w:r>
      <w:r>
        <w:rPr>
          <w:rFonts w:hint="eastAsia" w:ascii="宋体" w:hAnsi="宋体" w:eastAsia="宋体" w:cs="宋体"/>
          <w:color w:val="auto"/>
          <w:spacing w:val="0"/>
          <w:sz w:val="24"/>
          <w:szCs w:val="24"/>
          <w:highlight w:val="none"/>
        </w:rPr>
        <w:t>否决投标说明</w:t>
      </w:r>
      <w:bookmarkEnd w:id="92"/>
      <w:bookmarkEnd w:id="93"/>
      <w:bookmarkEnd w:id="94"/>
      <w:bookmarkEnd w:id="95"/>
    </w:p>
    <w:p w14:paraId="71D5DBDC">
      <w:pPr>
        <w:keepNext w:val="0"/>
        <w:keepLines w:val="0"/>
        <w:pageBreakBefore w:val="0"/>
        <w:wordWrap w:val="0"/>
        <w:overflowPunct/>
        <w:topLinePunct w:val="0"/>
        <w:bidi w:val="0"/>
        <w:spacing w:before="152" w:line="333" w:lineRule="auto"/>
        <w:ind w:left="11" w:right="175" w:firstLine="561"/>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初步评审阶段各个环节否决投标的全部条件，在本章第四节“否决投标条件 ”第</w:t>
      </w:r>
      <w:r>
        <w:rPr>
          <w:rFonts w:hint="eastAsia" w:ascii="宋体" w:hAnsi="宋体" w:eastAsia="宋体" w:cs="宋体"/>
          <w:b/>
          <w:bCs/>
          <w:color w:val="auto"/>
          <w:spacing w:val="0"/>
          <w:sz w:val="24"/>
          <w:szCs w:val="24"/>
          <w:highlight w:val="none"/>
        </w:rPr>
        <w:t xml:space="preserve">1 </w:t>
      </w:r>
      <w:r>
        <w:rPr>
          <w:rFonts w:hint="eastAsia" w:ascii="宋体" w:hAnsi="宋体" w:eastAsia="宋体" w:cs="宋体"/>
          <w:color w:val="auto"/>
          <w:spacing w:val="0"/>
          <w:sz w:val="24"/>
          <w:szCs w:val="24"/>
          <w:highlight w:val="none"/>
        </w:rPr>
        <w:t xml:space="preserve">条至第 </w:t>
      </w:r>
      <w:r>
        <w:rPr>
          <w:rFonts w:hint="eastAsia" w:ascii="宋体" w:hAnsi="宋体" w:eastAsia="宋体" w:cs="宋体"/>
          <w:b/>
          <w:bCs/>
          <w:color w:val="auto"/>
          <w:spacing w:val="0"/>
          <w:sz w:val="24"/>
          <w:szCs w:val="24"/>
          <w:highlight w:val="none"/>
        </w:rPr>
        <w:t xml:space="preserve">4 </w:t>
      </w:r>
      <w:r>
        <w:rPr>
          <w:rFonts w:hint="eastAsia" w:ascii="宋体" w:hAnsi="宋体" w:eastAsia="宋体" w:cs="宋体"/>
          <w:color w:val="auto"/>
          <w:spacing w:val="0"/>
          <w:sz w:val="24"/>
          <w:szCs w:val="24"/>
          <w:highlight w:val="none"/>
        </w:rPr>
        <w:t>条中集中列示。投标人有其中所列任何一种情形的，由评标委员会否决其投标。在初步评审阶段任何环节被否决的投标人，不进入下一环节（或阶段）评审。在初步评审阶段任何环节</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评标委员会经评审，认为所有投标都不符合招标文件要求的，可否决所有投标，项目的所有投标被否决的，招标人应依法重新组织招标。</w:t>
      </w:r>
    </w:p>
    <w:p w14:paraId="132A65C3">
      <w:pPr>
        <w:keepNext w:val="0"/>
        <w:keepLines w:val="0"/>
        <w:pageBreakBefore w:val="0"/>
        <w:wordWrap w:val="0"/>
        <w:overflowPunct/>
        <w:topLinePunct w:val="0"/>
        <w:bidi w:val="0"/>
        <w:spacing w:before="78" w:line="221" w:lineRule="auto"/>
        <w:ind w:left="5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drawing>
          <wp:anchor distT="0" distB="0" distL="114300" distR="114300" simplePos="0" relativeHeight="251662336"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7"/>
                    <a:stretch>
                      <a:fillRect/>
                    </a:stretch>
                  </pic:blipFill>
                  <pic:spPr>
                    <a:xfrm>
                      <a:off x="0" y="0"/>
                      <a:ext cx="6350" cy="279400"/>
                    </a:xfrm>
                    <a:prstGeom prst="rect">
                      <a:avLst/>
                    </a:prstGeom>
                    <a:noFill/>
                    <a:ln>
                      <a:noFill/>
                    </a:ln>
                  </pic:spPr>
                </pic:pic>
              </a:graphicData>
            </a:graphic>
          </wp:anchor>
        </w:drawing>
      </w:r>
      <w:bookmarkStart w:id="96" w:name="bookmark128"/>
      <w:bookmarkEnd w:id="96"/>
      <w:r>
        <w:rPr>
          <w:rFonts w:hint="eastAsia" w:ascii="宋体" w:hAnsi="宋体" w:eastAsia="宋体" w:cs="宋体"/>
          <w:b/>
          <w:bCs/>
          <w:color w:val="auto"/>
          <w:spacing w:val="0"/>
          <w:sz w:val="24"/>
          <w:szCs w:val="24"/>
          <w:highlight w:val="none"/>
        </w:rPr>
        <w:t xml:space="preserve">15.5  </w:t>
      </w:r>
      <w:r>
        <w:rPr>
          <w:rFonts w:hint="eastAsia" w:ascii="宋体" w:hAnsi="宋体" w:eastAsia="宋体" w:cs="宋体"/>
          <w:color w:val="auto"/>
          <w:spacing w:val="0"/>
          <w:sz w:val="24"/>
          <w:szCs w:val="24"/>
          <w:highlight w:val="none"/>
        </w:rPr>
        <w:t>详细评审阶段</w:t>
      </w:r>
    </w:p>
    <w:p w14:paraId="60660A02">
      <w:pPr>
        <w:keepNext w:val="0"/>
        <w:keepLines w:val="0"/>
        <w:pageBreakBefore w:val="0"/>
        <w:wordWrap w:val="0"/>
        <w:overflowPunct/>
        <w:topLinePunct w:val="0"/>
        <w:bidi w:val="0"/>
        <w:spacing w:before="81" w:line="211" w:lineRule="auto"/>
        <w:ind w:left="498"/>
        <w:outlineLvl w:val="9"/>
        <w:rPr>
          <w:rFonts w:hint="eastAsia" w:ascii="宋体" w:hAnsi="宋体" w:eastAsia="宋体" w:cs="宋体"/>
          <w:color w:val="auto"/>
          <w:spacing w:val="0"/>
          <w:sz w:val="25"/>
          <w:szCs w:val="25"/>
          <w:highlight w:val="none"/>
        </w:rPr>
      </w:pPr>
      <w:bookmarkStart w:id="97" w:name="_Toc28572"/>
      <w:bookmarkStart w:id="98" w:name="_Toc4119"/>
      <w:bookmarkStart w:id="99" w:name="_Toc14991"/>
      <w:bookmarkStart w:id="100" w:name="_Toc10503"/>
      <w:r>
        <w:rPr>
          <w:rFonts w:hint="eastAsia" w:ascii="宋体" w:hAnsi="宋体" w:eastAsia="宋体" w:cs="宋体"/>
          <w:b/>
          <w:bCs/>
          <w:color w:val="auto"/>
          <w:spacing w:val="0"/>
          <w:sz w:val="24"/>
          <w:szCs w:val="24"/>
          <w:highlight w:val="none"/>
        </w:rPr>
        <w:t xml:space="preserve">15.5.1  </w:t>
      </w:r>
      <w:r>
        <w:rPr>
          <w:rFonts w:hint="eastAsia" w:ascii="宋体" w:hAnsi="宋体" w:eastAsia="宋体" w:cs="宋体"/>
          <w:color w:val="auto"/>
          <w:spacing w:val="0"/>
          <w:sz w:val="24"/>
          <w:szCs w:val="24"/>
          <w:highlight w:val="none"/>
        </w:rPr>
        <w:t>“综合评估法 ”评审程序</w:t>
      </w:r>
      <w:bookmarkEnd w:id="97"/>
      <w:bookmarkEnd w:id="98"/>
      <w:bookmarkEnd w:id="99"/>
      <w:bookmarkEnd w:id="100"/>
    </w:p>
    <w:p w14:paraId="1C11D96B">
      <w:pPr>
        <w:keepNext w:val="0"/>
        <w:keepLines w:val="0"/>
        <w:pageBreakBefore w:val="0"/>
        <w:wordWrap w:val="0"/>
        <w:overflowPunct/>
        <w:topLinePunct w:val="0"/>
        <w:bidi w:val="0"/>
        <w:spacing w:before="152" w:line="329" w:lineRule="auto"/>
        <w:ind w:left="14" w:right="81"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评审内容分为商务技术和投标报价两大部分。其中，商务技术合计满分</w:t>
      </w:r>
      <w:r>
        <w:rPr>
          <w:rFonts w:hint="eastAsia" w:ascii="宋体" w:hAnsi="宋体" w:eastAsia="宋体" w:cs="宋体"/>
          <w:color w:val="auto"/>
          <w:spacing w:val="0"/>
          <w:sz w:val="24"/>
          <w:szCs w:val="24"/>
          <w:highlight w:val="none"/>
          <w:lang w:eastAsia="zh-CN"/>
        </w:rPr>
        <w:t>100</w:t>
      </w:r>
      <w:r>
        <w:rPr>
          <w:rFonts w:hint="eastAsia" w:ascii="宋体" w:hAnsi="宋体" w:eastAsia="宋体" w:cs="宋体"/>
          <w:color w:val="auto"/>
          <w:spacing w:val="0"/>
          <w:sz w:val="24"/>
          <w:szCs w:val="24"/>
          <w:highlight w:val="none"/>
        </w:rPr>
        <w:t>分，权重为</w:t>
      </w:r>
      <w:r>
        <w:rPr>
          <w:rFonts w:hint="eastAsia" w:ascii="宋体" w:hAnsi="宋体" w:eastAsia="宋体" w:cs="宋体"/>
          <w:color w:val="auto"/>
          <w:spacing w:val="0"/>
          <w:sz w:val="24"/>
          <w:szCs w:val="24"/>
          <w:highlight w:val="none"/>
          <w:lang w:eastAsia="zh-CN"/>
        </w:rPr>
        <w:t>40</w:t>
      </w:r>
      <w:r>
        <w:rPr>
          <w:rFonts w:hint="eastAsia" w:ascii="宋体" w:hAnsi="宋体" w:eastAsia="宋体" w:cs="宋体"/>
          <w:color w:val="auto"/>
          <w:spacing w:val="0"/>
          <w:sz w:val="24"/>
          <w:szCs w:val="24"/>
          <w:highlight w:val="none"/>
        </w:rPr>
        <w:t>%；投标报价满分 100 分，权重为</w:t>
      </w:r>
      <w:r>
        <w:rPr>
          <w:rFonts w:hint="eastAsia" w:ascii="宋体" w:hAnsi="宋体" w:eastAsia="宋体" w:cs="宋体"/>
          <w:color w:val="auto"/>
          <w:spacing w:val="0"/>
          <w:sz w:val="24"/>
          <w:szCs w:val="24"/>
          <w:highlight w:val="none"/>
          <w:lang w:eastAsia="zh-CN"/>
        </w:rPr>
        <w:t>60</w:t>
      </w:r>
      <w:r>
        <w:rPr>
          <w:rFonts w:hint="eastAsia" w:ascii="宋体" w:hAnsi="宋体" w:eastAsia="宋体" w:cs="宋体"/>
          <w:color w:val="auto"/>
          <w:spacing w:val="0"/>
          <w:sz w:val="24"/>
          <w:szCs w:val="24"/>
          <w:highlight w:val="none"/>
        </w:rPr>
        <w:t>% 。两大部分权重之和应为 100%。</w:t>
      </w:r>
    </w:p>
    <w:p w14:paraId="3ABDDFFD">
      <w:pPr>
        <w:keepNext w:val="0"/>
        <w:keepLines w:val="0"/>
        <w:pageBreakBefore w:val="0"/>
        <w:wordWrap w:val="0"/>
        <w:overflowPunct/>
        <w:topLinePunct w:val="0"/>
        <w:bidi w:val="0"/>
        <w:spacing w:before="153" w:line="324" w:lineRule="auto"/>
        <w:ind w:left="14" w:right="81"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除特别注明外，综合得分以及商务技术得分、投标报价得分的中间过程计算值和最终值，均按“ 四舍五入 ”原则精确到两位小数。</w:t>
      </w:r>
    </w:p>
    <w:p w14:paraId="11F14EEB">
      <w:pPr>
        <w:keepNext w:val="0"/>
        <w:keepLines w:val="0"/>
        <w:pageBreakBefore w:val="0"/>
        <w:wordWrap w:val="0"/>
        <w:overflowPunct/>
        <w:topLinePunct w:val="0"/>
        <w:bidi w:val="0"/>
        <w:spacing w:before="38" w:line="220" w:lineRule="auto"/>
        <w:ind w:left="503"/>
        <w:outlineLvl w:val="9"/>
        <w:rPr>
          <w:rFonts w:hint="eastAsia" w:ascii="宋体" w:hAnsi="宋体" w:eastAsia="宋体" w:cs="宋体"/>
          <w:color w:val="auto"/>
          <w:spacing w:val="0"/>
          <w:sz w:val="24"/>
          <w:szCs w:val="24"/>
          <w:highlight w:val="none"/>
        </w:rPr>
      </w:pPr>
      <w:bookmarkStart w:id="101" w:name="_Toc10398"/>
      <w:bookmarkStart w:id="102" w:name="_Toc18029"/>
      <w:bookmarkStart w:id="103" w:name="_Toc17510"/>
      <w:bookmarkStart w:id="104" w:name="_Toc22949"/>
      <w:r>
        <w:rPr>
          <w:rFonts w:hint="eastAsia" w:ascii="宋体" w:hAnsi="宋体" w:eastAsia="宋体" w:cs="宋体"/>
          <w:color w:val="auto"/>
          <w:spacing w:val="0"/>
          <w:sz w:val="24"/>
          <w:szCs w:val="24"/>
          <w:highlight w:val="none"/>
        </w:rPr>
        <w:t>（1）商务技术得分 M</w:t>
      </w:r>
      <w:bookmarkEnd w:id="101"/>
      <w:bookmarkEnd w:id="102"/>
      <w:bookmarkEnd w:id="103"/>
      <w:bookmarkEnd w:id="104"/>
    </w:p>
    <w:p w14:paraId="7F4E18BB">
      <w:pPr>
        <w:keepNext w:val="0"/>
        <w:keepLines w:val="0"/>
        <w:pageBreakBefore w:val="0"/>
        <w:wordWrap w:val="0"/>
        <w:overflowPunct/>
        <w:topLinePunct w:val="0"/>
        <w:bidi w:val="0"/>
        <w:spacing w:before="153" w:line="279" w:lineRule="auto"/>
        <w:ind w:left="15" w:right="81"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．评标委员会按照《综合评分表》商务部分指定的评分标准对各评分因素进行打分。各评分因素得分之和即为某投标人的商务得分 M</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sz w:val="24"/>
          <w:szCs w:val="24"/>
          <w:highlight w:val="none"/>
        </w:rPr>
        <w:t>。</w:t>
      </w:r>
    </w:p>
    <w:p w14:paraId="20931295">
      <w:pPr>
        <w:keepNext w:val="0"/>
        <w:keepLines w:val="0"/>
        <w:pageBreakBefore w:val="0"/>
        <w:wordWrap w:val="0"/>
        <w:overflowPunct/>
        <w:topLinePunct w:val="0"/>
        <w:bidi w:val="0"/>
        <w:spacing w:before="154" w:line="299" w:lineRule="auto"/>
        <w:ind w:left="12" w:right="81"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b </w:t>
      </w:r>
      <w:r>
        <w:rPr>
          <w:rFonts w:hint="eastAsia" w:ascii="宋体" w:hAnsi="宋体" w:eastAsia="宋体" w:cs="宋体"/>
          <w:color w:val="auto"/>
          <w:spacing w:val="0"/>
          <w:sz w:val="24"/>
          <w:szCs w:val="24"/>
          <w:highlight w:val="none"/>
        </w:rPr>
        <w:t>．评标委员会各成员独立按照《综合评分表》技术部分（施工组织设计）指定的评分标准对各评分因素进行打分，累加后得出技术评分。将评标委员会所有成员的技术评分去掉最高分和最低分后，取算术平均值，即为某投标人的技术得分 M</w:t>
      </w:r>
      <w:r>
        <w:rPr>
          <w:rFonts w:hint="eastAsia" w:ascii="宋体" w:hAnsi="宋体" w:eastAsia="宋体" w:cs="宋体"/>
          <w:color w:val="auto"/>
          <w:spacing w:val="0"/>
          <w:position w:val="-1"/>
          <w:sz w:val="15"/>
          <w:szCs w:val="15"/>
          <w:highlight w:val="none"/>
        </w:rPr>
        <w:t>2</w:t>
      </w:r>
      <w:r>
        <w:rPr>
          <w:rFonts w:hint="eastAsia" w:ascii="宋体" w:hAnsi="宋体" w:eastAsia="宋体" w:cs="宋体"/>
          <w:color w:val="auto"/>
          <w:spacing w:val="0"/>
          <w:sz w:val="24"/>
          <w:szCs w:val="24"/>
          <w:highlight w:val="none"/>
        </w:rPr>
        <w:t>。</w:t>
      </w:r>
    </w:p>
    <w:p w14:paraId="0C018EDE">
      <w:pPr>
        <w:keepNext w:val="0"/>
        <w:keepLines w:val="0"/>
        <w:pageBreakBefore w:val="0"/>
        <w:wordWrap w:val="0"/>
        <w:overflowPunct/>
        <w:topLinePunct w:val="0"/>
        <w:bidi w:val="0"/>
        <w:spacing w:before="155" w:line="231" w:lineRule="auto"/>
        <w:ind w:left="491"/>
        <w:rPr>
          <w:rFonts w:hint="eastAsia" w:ascii="宋体" w:hAnsi="宋体" w:eastAsia="宋体" w:cs="宋体"/>
          <w:color w:val="auto"/>
          <w:spacing w:val="0"/>
          <w:sz w:val="15"/>
          <w:szCs w:val="15"/>
          <w:highlight w:val="none"/>
        </w:rPr>
      </w:pPr>
      <w:r>
        <w:rPr>
          <w:rFonts w:hint="eastAsia" w:ascii="宋体" w:hAnsi="宋体" w:eastAsia="宋体" w:cs="宋体"/>
          <w:b/>
          <w:bCs/>
          <w:color w:val="auto"/>
          <w:spacing w:val="0"/>
          <w:sz w:val="24"/>
          <w:szCs w:val="24"/>
          <w:highlight w:val="none"/>
        </w:rPr>
        <w:t xml:space="preserve">c </w:t>
      </w:r>
      <w:r>
        <w:rPr>
          <w:rFonts w:hint="eastAsia" w:ascii="宋体" w:hAnsi="宋体" w:eastAsia="宋体" w:cs="宋体"/>
          <w:color w:val="auto"/>
          <w:spacing w:val="0"/>
          <w:sz w:val="24"/>
          <w:szCs w:val="24"/>
          <w:highlight w:val="none"/>
        </w:rPr>
        <w:t>．M ＝M</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sz w:val="24"/>
          <w:szCs w:val="24"/>
          <w:highlight w:val="none"/>
        </w:rPr>
        <w:t>＋M</w:t>
      </w:r>
      <w:r>
        <w:rPr>
          <w:rFonts w:hint="eastAsia" w:ascii="宋体" w:hAnsi="宋体" w:eastAsia="宋体" w:cs="宋体"/>
          <w:color w:val="auto"/>
          <w:spacing w:val="0"/>
          <w:position w:val="-1"/>
          <w:sz w:val="15"/>
          <w:szCs w:val="15"/>
          <w:highlight w:val="none"/>
        </w:rPr>
        <w:t>2</w:t>
      </w:r>
    </w:p>
    <w:p w14:paraId="277B94CD">
      <w:pPr>
        <w:keepNext w:val="0"/>
        <w:keepLines w:val="0"/>
        <w:pageBreakBefore w:val="0"/>
        <w:wordWrap w:val="0"/>
        <w:overflowPunct/>
        <w:topLinePunct w:val="0"/>
        <w:bidi w:val="0"/>
        <w:spacing w:before="139"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式中：M</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w w:val="101"/>
          <w:position w:val="-1"/>
          <w:sz w:val="15"/>
          <w:szCs w:val="15"/>
          <w:highlight w:val="none"/>
        </w:rPr>
        <w:t xml:space="preserve"> </w:t>
      </w:r>
      <w:r>
        <w:rPr>
          <w:rFonts w:hint="eastAsia" w:ascii="宋体" w:hAnsi="宋体" w:eastAsia="宋体" w:cs="宋体"/>
          <w:color w:val="auto"/>
          <w:spacing w:val="0"/>
          <w:sz w:val="24"/>
          <w:szCs w:val="24"/>
          <w:highlight w:val="none"/>
        </w:rPr>
        <w:t>为某投标人的商务得分，M</w:t>
      </w:r>
      <w:r>
        <w:rPr>
          <w:rFonts w:hint="eastAsia" w:ascii="宋体" w:hAnsi="宋体" w:eastAsia="宋体" w:cs="宋体"/>
          <w:color w:val="auto"/>
          <w:spacing w:val="0"/>
          <w:position w:val="-1"/>
          <w:sz w:val="15"/>
          <w:szCs w:val="15"/>
          <w:highlight w:val="none"/>
        </w:rPr>
        <w:t xml:space="preserve">2 </w:t>
      </w:r>
      <w:r>
        <w:rPr>
          <w:rFonts w:hint="eastAsia" w:ascii="宋体" w:hAnsi="宋体" w:eastAsia="宋体" w:cs="宋体"/>
          <w:color w:val="auto"/>
          <w:spacing w:val="0"/>
          <w:sz w:val="24"/>
          <w:szCs w:val="24"/>
          <w:highlight w:val="none"/>
        </w:rPr>
        <w:t>为某投标人的技术得分。</w:t>
      </w:r>
    </w:p>
    <w:p w14:paraId="6B037580">
      <w:pPr>
        <w:keepNext w:val="0"/>
        <w:keepLines w:val="0"/>
        <w:pageBreakBefore w:val="0"/>
        <w:wordWrap w:val="0"/>
        <w:overflowPunct/>
        <w:topLinePunct w:val="0"/>
        <w:bidi w:val="0"/>
        <w:spacing w:before="153" w:line="219" w:lineRule="auto"/>
        <w:ind w:left="503"/>
        <w:outlineLvl w:val="9"/>
        <w:rPr>
          <w:rFonts w:hint="eastAsia" w:ascii="宋体" w:hAnsi="宋体" w:eastAsia="宋体" w:cs="宋体"/>
          <w:color w:val="auto"/>
          <w:spacing w:val="0"/>
          <w:sz w:val="24"/>
          <w:szCs w:val="24"/>
          <w:highlight w:val="none"/>
        </w:rPr>
      </w:pPr>
      <w:bookmarkStart w:id="105" w:name="_Toc3958"/>
      <w:bookmarkStart w:id="106" w:name="_Toc14059"/>
      <w:bookmarkStart w:id="107" w:name="_Toc27609"/>
      <w:bookmarkStart w:id="108" w:name="_Toc16136"/>
      <w:r>
        <w:rPr>
          <w:rFonts w:hint="eastAsia" w:ascii="宋体" w:hAnsi="宋体" w:eastAsia="宋体" w:cs="宋体"/>
          <w:color w:val="auto"/>
          <w:spacing w:val="0"/>
          <w:sz w:val="24"/>
          <w:szCs w:val="24"/>
          <w:highlight w:val="none"/>
        </w:rPr>
        <w:t>（2）投标报价得分 N</w:t>
      </w:r>
      <w:bookmarkEnd w:id="105"/>
      <w:bookmarkEnd w:id="106"/>
      <w:bookmarkEnd w:id="107"/>
      <w:bookmarkEnd w:id="108"/>
    </w:p>
    <w:p w14:paraId="1BB7535A">
      <w:pPr>
        <w:keepNext w:val="0"/>
        <w:keepLines w:val="0"/>
        <w:pageBreakBefore w:val="0"/>
        <w:wordWrap w:val="0"/>
        <w:overflowPunct/>
        <w:topLinePunct w:val="0"/>
        <w:bidi w:val="0"/>
        <w:spacing w:before="157" w:line="219" w:lineRule="auto"/>
        <w:ind w:firstLine="482" w:firstLineChars="20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．评标委员会按照《综合评分表》投标报价部分指定的方法计算评标基准价 D。</w:t>
      </w:r>
    </w:p>
    <w:p w14:paraId="58AA9DB6">
      <w:pPr>
        <w:keepNext w:val="0"/>
        <w:keepLines w:val="0"/>
        <w:pageBreakBefore w:val="0"/>
        <w:wordWrap w:val="0"/>
        <w:overflowPunct/>
        <w:topLinePunct w:val="0"/>
        <w:bidi w:val="0"/>
        <w:spacing w:before="155" w:line="299" w:lineRule="auto"/>
        <w:ind w:left="12" w:right="83"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b </w:t>
      </w:r>
      <w:r>
        <w:rPr>
          <w:rFonts w:hint="eastAsia" w:ascii="宋体" w:hAnsi="宋体" w:eastAsia="宋体" w:cs="宋体"/>
          <w:color w:val="auto"/>
          <w:spacing w:val="0"/>
          <w:sz w:val="24"/>
          <w:szCs w:val="24"/>
          <w:highlight w:val="none"/>
        </w:rPr>
        <w:t xml:space="preserve">．采用内插法计算某投标人的投标报价得分 N ，即当投标人的投标总价等于评标基准价时得 100 分，每高于评标基准价一个百分点扣 </w:t>
      </w:r>
      <w:r>
        <w:rPr>
          <w:rFonts w:hint="eastAsia" w:ascii="宋体" w:hAnsi="宋体" w:eastAsia="宋体" w:cs="宋体"/>
          <w:b/>
          <w:bCs/>
          <w:color w:val="auto"/>
          <w:spacing w:val="0"/>
          <w:sz w:val="24"/>
          <w:szCs w:val="24"/>
          <w:highlight w:val="none"/>
        </w:rPr>
        <w:t xml:space="preserve">1 分, </w:t>
      </w:r>
      <w:r>
        <w:rPr>
          <w:rFonts w:hint="eastAsia" w:ascii="宋体" w:hAnsi="宋体" w:eastAsia="宋体" w:cs="宋体"/>
          <w:color w:val="auto"/>
          <w:spacing w:val="0"/>
          <w:sz w:val="24"/>
          <w:szCs w:val="24"/>
          <w:highlight w:val="none"/>
        </w:rPr>
        <w:t xml:space="preserve">每低于评标基准价一个百分点扣 </w:t>
      </w:r>
      <w:r>
        <w:rPr>
          <w:rFonts w:hint="eastAsia" w:ascii="宋体" w:hAnsi="宋体" w:eastAsia="宋体" w:cs="宋体"/>
          <w:b/>
          <w:bCs/>
          <w:color w:val="auto"/>
          <w:spacing w:val="0"/>
          <w:sz w:val="24"/>
          <w:szCs w:val="24"/>
          <w:highlight w:val="none"/>
        </w:rPr>
        <w:t>0.5 分</w:t>
      </w:r>
      <w:r>
        <w:rPr>
          <w:rFonts w:hint="eastAsia" w:ascii="宋体" w:hAnsi="宋体" w:eastAsia="宋体" w:cs="宋体"/>
          <w:color w:val="auto"/>
          <w:spacing w:val="0"/>
          <w:sz w:val="24"/>
          <w:szCs w:val="24"/>
          <w:highlight w:val="none"/>
        </w:rPr>
        <w:t>，扣完为止。公式如下：</w:t>
      </w:r>
    </w:p>
    <w:p w14:paraId="232F1429">
      <w:pPr>
        <w:keepNext w:val="0"/>
        <w:keepLines w:val="0"/>
        <w:pageBreakBefore w:val="0"/>
        <w:wordWrap w:val="0"/>
        <w:overflowPunct/>
        <w:topLinePunct w:val="0"/>
        <w:bidi w:val="0"/>
        <w:spacing w:before="118" w:line="333" w:lineRule="exact"/>
        <w:ind w:left="241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N ＝100－（| Di－D | ÷D） × 100×E</w:t>
      </w:r>
    </w:p>
    <w:p w14:paraId="6B667673">
      <w:pPr>
        <w:keepNext w:val="0"/>
        <w:keepLines w:val="0"/>
        <w:pageBreakBefore w:val="0"/>
        <w:wordWrap w:val="0"/>
        <w:overflowPunct/>
        <w:topLinePunct w:val="0"/>
        <w:bidi w:val="0"/>
        <w:spacing w:before="106" w:line="316" w:lineRule="auto"/>
        <w:ind w:left="7" w:right="17"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式中：D 为评标基准价；Di为某投标人的投标总价；E 为扣分因子，当 Di＞D时，E ＝</w:t>
      </w:r>
      <w:r>
        <w:rPr>
          <w:rFonts w:hint="eastAsia" w:ascii="宋体" w:hAnsi="宋体" w:eastAsia="宋体" w:cs="宋体"/>
          <w:b/>
          <w:bCs/>
          <w:color w:val="auto"/>
          <w:spacing w:val="0"/>
          <w:sz w:val="24"/>
          <w:szCs w:val="24"/>
          <w:highlight w:val="none"/>
        </w:rPr>
        <w:t>1 ；</w:t>
      </w:r>
      <w:r>
        <w:rPr>
          <w:rFonts w:hint="eastAsia" w:ascii="宋体" w:hAnsi="宋体" w:eastAsia="宋体" w:cs="宋体"/>
          <w:color w:val="auto"/>
          <w:spacing w:val="0"/>
          <w:sz w:val="24"/>
          <w:szCs w:val="24"/>
          <w:highlight w:val="none"/>
        </w:rPr>
        <w:t>当 Di＜D</w:t>
      </w:r>
      <w:r>
        <w:rPr>
          <w:rFonts w:hint="eastAsia" w:ascii="宋体" w:hAnsi="宋体" w:eastAsia="宋体" w:cs="宋体"/>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 xml:space="preserve">时，E </w:t>
      </w:r>
      <w:r>
        <w:rPr>
          <w:rFonts w:hint="eastAsia" w:ascii="宋体" w:hAnsi="宋体" w:eastAsia="宋体" w:cs="宋体"/>
          <w:b/>
          <w:bCs/>
          <w:color w:val="auto"/>
          <w:spacing w:val="0"/>
          <w:sz w:val="24"/>
          <w:szCs w:val="24"/>
          <w:highlight w:val="none"/>
        </w:rPr>
        <w:t>＝0.5</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w:t>
      </w:r>
    </w:p>
    <w:p w14:paraId="6F340CA9">
      <w:pPr>
        <w:keepNext w:val="0"/>
        <w:keepLines w:val="0"/>
        <w:pageBreakBefore w:val="0"/>
        <w:wordWrap w:val="0"/>
        <w:overflowPunct/>
        <w:topLinePunct w:val="0"/>
        <w:bidi w:val="0"/>
        <w:spacing w:before="95" w:line="220" w:lineRule="auto"/>
        <w:ind w:left="503"/>
        <w:outlineLvl w:val="9"/>
        <w:rPr>
          <w:rFonts w:hint="eastAsia" w:ascii="宋体" w:hAnsi="宋体" w:eastAsia="宋体" w:cs="宋体"/>
          <w:color w:val="auto"/>
          <w:spacing w:val="0"/>
          <w:sz w:val="24"/>
          <w:szCs w:val="24"/>
          <w:highlight w:val="none"/>
        </w:rPr>
      </w:pPr>
      <w:bookmarkStart w:id="109" w:name="_Toc3861"/>
      <w:bookmarkStart w:id="110" w:name="_Toc7915"/>
      <w:bookmarkStart w:id="111" w:name="_Toc576"/>
      <w:bookmarkStart w:id="112" w:name="_Toc4990"/>
      <w:r>
        <w:rPr>
          <w:rFonts w:hint="eastAsia" w:ascii="宋体" w:hAnsi="宋体" w:eastAsia="宋体" w:cs="宋体"/>
          <w:color w:val="auto"/>
          <w:spacing w:val="0"/>
          <w:sz w:val="24"/>
          <w:szCs w:val="24"/>
          <w:highlight w:val="none"/>
        </w:rPr>
        <w:t>（3）综合得分</w:t>
      </w:r>
      <w:bookmarkEnd w:id="109"/>
      <w:bookmarkEnd w:id="110"/>
      <w:bookmarkEnd w:id="111"/>
      <w:bookmarkEnd w:id="112"/>
    </w:p>
    <w:p w14:paraId="50217631">
      <w:pPr>
        <w:keepNext w:val="0"/>
        <w:keepLines w:val="0"/>
        <w:pageBreakBefore w:val="0"/>
        <w:wordWrap w:val="0"/>
        <w:overflowPunct/>
        <w:topLinePunct w:val="0"/>
        <w:bidi w:val="0"/>
        <w:spacing w:before="153" w:line="220" w:lineRule="auto"/>
        <w:ind w:left="49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综合得分换算为百分制，满分 100 分，公式如下：</w:t>
      </w:r>
    </w:p>
    <w:p w14:paraId="215CB6BC">
      <w:pPr>
        <w:keepNext w:val="0"/>
        <w:keepLines w:val="0"/>
        <w:pageBreakBefore w:val="0"/>
        <w:wordWrap w:val="0"/>
        <w:overflowPunct/>
        <w:topLinePunct w:val="0"/>
        <w:bidi w:val="0"/>
        <w:spacing w:before="155" w:line="324" w:lineRule="auto"/>
        <w:ind w:left="496" w:right="532" w:hanging="3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综合得分＝M÷商务技术合计满分×100×商务技术权重＋N×投标报价权重</w:t>
      </w:r>
    </w:p>
    <w:p w14:paraId="390CA99F">
      <w:pPr>
        <w:keepNext w:val="0"/>
        <w:keepLines w:val="0"/>
        <w:pageBreakBefore w:val="0"/>
        <w:wordWrap w:val="0"/>
        <w:overflowPunct/>
        <w:topLinePunct w:val="0"/>
        <w:bidi w:val="0"/>
        <w:spacing w:before="155" w:line="324" w:lineRule="auto"/>
        <w:ind w:left="496" w:right="532" w:hanging="3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式中：M 为商务技术得分，N 为投标报价得分。</w:t>
      </w:r>
    </w:p>
    <w:p w14:paraId="07CFCF80">
      <w:pPr>
        <w:keepNext w:val="0"/>
        <w:keepLines w:val="0"/>
        <w:pageBreakBefore w:val="0"/>
        <w:wordWrap w:val="0"/>
        <w:overflowPunct/>
        <w:topLinePunct w:val="0"/>
        <w:bidi w:val="0"/>
        <w:spacing w:before="37" w:line="219" w:lineRule="auto"/>
        <w:ind w:left="503"/>
        <w:outlineLvl w:val="9"/>
        <w:rPr>
          <w:rFonts w:hint="eastAsia" w:ascii="宋体" w:hAnsi="宋体" w:eastAsia="宋体" w:cs="宋体"/>
          <w:color w:val="auto"/>
          <w:spacing w:val="0"/>
          <w:highlight w:val="none"/>
        </w:rPr>
      </w:pPr>
      <w:bookmarkStart w:id="113" w:name="_Toc25214"/>
      <w:bookmarkStart w:id="114" w:name="_Toc2885"/>
      <w:bookmarkStart w:id="115" w:name="_Toc32384"/>
      <w:bookmarkStart w:id="116" w:name="_Toc30671"/>
      <w:r>
        <w:rPr>
          <w:rFonts w:hint="eastAsia" w:ascii="宋体" w:hAnsi="宋体" w:eastAsia="宋体" w:cs="宋体"/>
          <w:color w:val="auto"/>
          <w:spacing w:val="0"/>
          <w:sz w:val="24"/>
          <w:szCs w:val="24"/>
          <w:highlight w:val="none"/>
        </w:rPr>
        <w:t>（4）评标委员会汇总、比较所有投标人的综合得分后，取综合得分最高的投标</w:t>
      </w:r>
      <w:bookmarkEnd w:id="113"/>
      <w:bookmarkEnd w:id="114"/>
      <w:bookmarkEnd w:id="115"/>
      <w:bookmarkEnd w:id="116"/>
    </w:p>
    <w:p w14:paraId="24898226">
      <w:pPr>
        <w:keepNext w:val="0"/>
        <w:keepLines w:val="0"/>
        <w:pageBreakBefore w:val="0"/>
        <w:wordWrap w:val="0"/>
        <w:overflowPunct/>
        <w:topLinePunct w:val="0"/>
        <w:bidi w:val="0"/>
        <w:spacing w:before="78" w:line="329" w:lineRule="auto"/>
        <w:ind w:left="276" w:right="263" w:hanging="1"/>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人为第一中标候选人，取综合得分第二、第三高的投标人为第二、第三中标候选人。 如果最高综合得分相同，取投标总价低者为第一中标候选人，并依此确定第二、第三 中标候选人。如果最高综合得分相同，投标总价也相同，由评标委员会投票确定。</w:t>
      </w:r>
    </w:p>
    <w:p w14:paraId="2F23EBA4">
      <w:pPr>
        <w:keepNext w:val="0"/>
        <w:keepLines w:val="0"/>
        <w:pageBreakBefore w:val="0"/>
        <w:wordWrap w:val="0"/>
        <w:overflowPunct/>
        <w:topLinePunct w:val="0"/>
        <w:bidi w:val="0"/>
        <w:spacing w:before="78" w:line="329" w:lineRule="auto"/>
        <w:ind w:left="276" w:right="263" w:hanging="1"/>
        <w:jc w:val="both"/>
        <w:rPr>
          <w:rFonts w:hint="default"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15.</w:t>
      </w:r>
      <w:r>
        <w:rPr>
          <w:rFonts w:hint="eastAsia" w:ascii="宋体" w:hAnsi="宋体" w:eastAsia="宋体" w:cs="宋体"/>
          <w:b/>
          <w:bCs/>
          <w:color w:val="auto"/>
          <w:spacing w:val="0"/>
          <w:sz w:val="24"/>
          <w:szCs w:val="24"/>
          <w:highlight w:val="none"/>
          <w:lang w:val="en-US" w:eastAsia="zh-CN"/>
        </w:rPr>
        <w:t>6 推荐定标候选人</w:t>
      </w:r>
    </w:p>
    <w:p w14:paraId="71B54385">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评标委员会按照</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评审综合总得分</w:t>
      </w:r>
      <w:r>
        <w:rPr>
          <w:rFonts w:hint="eastAsia" w:ascii="宋体" w:hAnsi="宋体" w:eastAsia="宋体" w:cs="宋体"/>
          <w:color w:val="auto"/>
          <w:sz w:val="24"/>
          <w:highlight w:val="none"/>
          <w:lang w:eastAsia="zh-CN"/>
        </w:rPr>
        <w:t>由</w:t>
      </w:r>
      <w:r>
        <w:rPr>
          <w:rFonts w:hint="eastAsia" w:ascii="宋体" w:hAnsi="宋体" w:eastAsia="宋体" w:cs="宋体"/>
          <w:color w:val="auto"/>
          <w:sz w:val="24"/>
          <w:highlight w:val="none"/>
        </w:rPr>
        <w:t>高</w:t>
      </w:r>
      <w:r>
        <w:rPr>
          <w:rFonts w:hint="eastAsia" w:ascii="宋体" w:hAnsi="宋体" w:eastAsia="宋体" w:cs="宋体"/>
          <w:color w:val="auto"/>
          <w:sz w:val="24"/>
          <w:highlight w:val="none"/>
          <w:lang w:eastAsia="zh-CN"/>
        </w:rPr>
        <w:t>到</w:t>
      </w:r>
      <w:r>
        <w:rPr>
          <w:rFonts w:hint="eastAsia" w:ascii="宋体" w:hAnsi="宋体" w:eastAsia="宋体" w:cs="宋体"/>
          <w:color w:val="auto"/>
          <w:sz w:val="24"/>
          <w:highlight w:val="none"/>
        </w:rPr>
        <w:t>低的</w:t>
      </w:r>
      <w:r>
        <w:rPr>
          <w:rFonts w:hint="eastAsia" w:ascii="宋体" w:hAnsi="宋体" w:eastAsia="宋体" w:cs="宋体"/>
          <w:color w:val="auto"/>
          <w:sz w:val="24"/>
          <w:highlight w:val="none"/>
          <w:lang w:eastAsia="zh-CN"/>
        </w:rPr>
        <w:t>原则</w:t>
      </w:r>
      <w:r>
        <w:rPr>
          <w:rFonts w:hint="eastAsia" w:ascii="宋体" w:hAnsi="宋体" w:eastAsia="宋体" w:cs="宋体"/>
          <w:color w:val="auto"/>
          <w:sz w:val="24"/>
          <w:highlight w:val="none"/>
        </w:rPr>
        <w:t>,向招标人推荐</w:t>
      </w:r>
      <w:r>
        <w:rPr>
          <w:rFonts w:hint="eastAsia" w:ascii="宋体" w:hAnsi="宋体" w:eastAsia="宋体" w:cs="宋体"/>
          <w:color w:val="auto"/>
          <w:sz w:val="24"/>
          <w:highlight w:val="none"/>
          <w:lang w:val="en-US" w:eastAsia="zh-CN"/>
        </w:rPr>
        <w:t>已明确的</w:t>
      </w:r>
      <w:r>
        <w:rPr>
          <w:rFonts w:hint="eastAsia" w:ascii="宋体" w:hAnsi="宋体" w:eastAsia="宋体" w:cs="宋体"/>
          <w:color w:val="auto"/>
          <w:sz w:val="24"/>
          <w:highlight w:val="none"/>
        </w:rPr>
        <w:t>定标候选人</w:t>
      </w:r>
      <w:r>
        <w:rPr>
          <w:rFonts w:hint="eastAsia" w:ascii="宋体" w:hAnsi="宋体" w:eastAsia="宋体" w:cs="宋体"/>
          <w:color w:val="auto"/>
          <w:sz w:val="24"/>
          <w:highlight w:val="none"/>
          <w:lang w:eastAsia="zh-CN"/>
        </w:rPr>
        <w:t>数量</w:t>
      </w:r>
      <w:r>
        <w:rPr>
          <w:rFonts w:hint="eastAsia" w:ascii="宋体" w:hAnsi="宋体" w:eastAsia="宋体" w:cs="宋体"/>
          <w:color w:val="auto"/>
          <w:sz w:val="24"/>
          <w:highlight w:val="none"/>
        </w:rPr>
        <w:t>（不</w:t>
      </w:r>
      <w:r>
        <w:rPr>
          <w:rFonts w:hint="eastAsia" w:ascii="宋体" w:hAnsi="宋体" w:eastAsia="宋体" w:cs="宋体"/>
          <w:color w:val="auto"/>
          <w:sz w:val="24"/>
          <w:highlight w:val="none"/>
          <w:lang w:val="en-US" w:eastAsia="zh-CN"/>
        </w:rPr>
        <w:t>标明</w:t>
      </w:r>
      <w:r>
        <w:rPr>
          <w:rFonts w:hint="eastAsia" w:ascii="宋体" w:hAnsi="宋体" w:eastAsia="宋体" w:cs="宋体"/>
          <w:color w:val="auto"/>
          <w:sz w:val="24"/>
          <w:highlight w:val="none"/>
        </w:rPr>
        <w:t>排序）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评标委员会推荐定标候选人后，</w:t>
      </w:r>
      <w:r>
        <w:rPr>
          <w:rFonts w:hint="eastAsia" w:ascii="宋体" w:hAnsi="宋体" w:eastAsia="宋体" w:cs="宋体"/>
          <w:color w:val="auto"/>
          <w:sz w:val="24"/>
          <w:highlight w:val="none"/>
        </w:rPr>
        <w:t>招标人应</w:t>
      </w:r>
      <w:r>
        <w:rPr>
          <w:rFonts w:hint="eastAsia" w:ascii="宋体" w:hAnsi="宋体" w:eastAsia="宋体" w:cs="宋体"/>
          <w:color w:val="auto"/>
          <w:sz w:val="24"/>
          <w:highlight w:val="none"/>
          <w:lang w:eastAsia="zh-CN"/>
        </w:rPr>
        <w:t>于评标会结束后</w:t>
      </w:r>
      <w:r>
        <w:rPr>
          <w:rFonts w:hint="eastAsia" w:ascii="宋体" w:hAnsi="宋体" w:eastAsia="宋体" w:cs="宋体"/>
          <w:color w:val="auto"/>
          <w:sz w:val="24"/>
          <w:highlight w:val="none"/>
          <w:lang w:val="en-US" w:eastAsia="zh-CN"/>
        </w:rPr>
        <w:t>3个工作日内将</w:t>
      </w:r>
      <w:r>
        <w:rPr>
          <w:rFonts w:hint="eastAsia" w:ascii="宋体" w:hAnsi="宋体" w:eastAsia="宋体" w:cs="宋体"/>
          <w:color w:val="auto"/>
          <w:sz w:val="24"/>
          <w:highlight w:val="none"/>
          <w:lang w:eastAsia="zh-CN"/>
        </w:rPr>
        <w:t>定</w:t>
      </w:r>
      <w:r>
        <w:rPr>
          <w:rFonts w:hint="eastAsia" w:ascii="宋体" w:hAnsi="宋体" w:eastAsia="宋体" w:cs="宋体"/>
          <w:color w:val="auto"/>
          <w:sz w:val="24"/>
          <w:highlight w:val="none"/>
        </w:rPr>
        <w:t>标候选</w:t>
      </w:r>
      <w:r>
        <w:rPr>
          <w:rFonts w:hint="eastAsia" w:ascii="宋体" w:hAnsi="宋体" w:eastAsia="宋体" w:cs="宋体"/>
          <w:color w:val="auto"/>
          <w:sz w:val="24"/>
          <w:highlight w:val="none"/>
          <w:lang w:eastAsia="zh-CN"/>
        </w:rPr>
        <w:t>人和评标情况</w:t>
      </w:r>
      <w:r>
        <w:rPr>
          <w:rFonts w:hint="eastAsia" w:ascii="宋体" w:hAnsi="宋体" w:eastAsia="宋体" w:cs="宋体"/>
          <w:color w:val="auto"/>
          <w:sz w:val="24"/>
          <w:highlight w:val="none"/>
          <w:lang w:val="en-US" w:eastAsia="zh-CN"/>
        </w:rPr>
        <w:t>在广东省招标投标监管网和</w:t>
      </w:r>
      <w:r>
        <w:rPr>
          <w:rFonts w:hint="eastAsia" w:ascii="宋体" w:hAnsi="宋体" w:eastAsia="宋体" w:cs="宋体"/>
          <w:color w:val="auto"/>
          <w:sz w:val="24"/>
          <w:highlight w:val="none"/>
        </w:rPr>
        <w:t>韶关市公共资源交易中心</w:t>
      </w:r>
      <w:r>
        <w:rPr>
          <w:rFonts w:hint="eastAsia" w:ascii="宋体" w:hAnsi="宋体" w:eastAsia="宋体" w:cs="宋体"/>
          <w:color w:val="auto"/>
          <w:sz w:val="24"/>
          <w:highlight w:val="none"/>
          <w:lang w:eastAsia="zh-CN"/>
        </w:rPr>
        <w:t>建设工程交易系统</w:t>
      </w:r>
      <w:r>
        <w:rPr>
          <w:rFonts w:hint="eastAsia" w:ascii="宋体" w:hAnsi="宋体" w:eastAsia="宋体" w:cs="宋体"/>
          <w:color w:val="auto"/>
          <w:sz w:val="24"/>
          <w:highlight w:val="none"/>
          <w:lang w:val="en-US" w:eastAsia="zh-CN"/>
        </w:rPr>
        <w:t>上</w:t>
      </w:r>
      <w:r>
        <w:rPr>
          <w:rFonts w:hint="eastAsia" w:ascii="宋体" w:hAnsi="宋体" w:eastAsia="宋体" w:cs="宋体"/>
          <w:color w:val="auto"/>
          <w:sz w:val="24"/>
          <w:highlight w:val="none"/>
        </w:rPr>
        <w:t>公示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公示时间不少于3个工作日。</w:t>
      </w:r>
      <w:r>
        <w:rPr>
          <w:rFonts w:hint="eastAsia" w:ascii="宋体" w:hAnsi="宋体" w:eastAsia="宋体" w:cs="宋体"/>
          <w:color w:val="auto"/>
          <w:kern w:val="0"/>
          <w:sz w:val="24"/>
          <w:szCs w:val="24"/>
          <w:highlight w:val="none"/>
          <w:u w:val="none" w:color="auto"/>
          <w:lang w:eastAsia="zh-CN"/>
        </w:rPr>
        <w:t>公示主要内容包括：（</w:t>
      </w:r>
      <w:r>
        <w:rPr>
          <w:rFonts w:hint="eastAsia" w:ascii="宋体" w:hAnsi="宋体" w:eastAsia="宋体" w:cs="宋体"/>
          <w:b w:val="0"/>
          <w:bCs w:val="0"/>
          <w:color w:val="auto"/>
          <w:spacing w:val="0"/>
          <w:position w:val="0"/>
          <w:sz w:val="24"/>
          <w:szCs w:val="24"/>
          <w:highlight w:val="none"/>
          <w:u w:val="none" w:color="auto"/>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5F2F2FA3">
      <w:pPr>
        <w:keepNext w:val="0"/>
        <w:keepLines w:val="0"/>
        <w:pageBreakBefore w:val="0"/>
        <w:wordWrap w:val="0"/>
        <w:overflowPunct/>
        <w:topLinePunct w:val="0"/>
        <w:bidi w:val="0"/>
        <w:spacing w:before="78" w:line="329" w:lineRule="auto"/>
        <w:ind w:left="276" w:right="263" w:hanging="1"/>
        <w:jc w:val="both"/>
        <w:rPr>
          <w:rFonts w:hint="eastAsia" w:ascii="宋体" w:hAnsi="宋体" w:eastAsia="宋体" w:cs="宋体"/>
          <w:color w:val="auto"/>
          <w:spacing w:val="0"/>
          <w:sz w:val="24"/>
          <w:szCs w:val="24"/>
          <w:highlight w:val="none"/>
        </w:rPr>
      </w:pPr>
    </w:p>
    <w:p w14:paraId="22C172D9">
      <w:pPr>
        <w:keepNext w:val="0"/>
        <w:keepLines w:val="0"/>
        <w:pageBreakBefore w:val="0"/>
        <w:wordWrap w:val="0"/>
        <w:overflowPunct/>
        <w:topLinePunct w:val="0"/>
        <w:bidi w:val="0"/>
        <w:rPr>
          <w:rFonts w:hint="eastAsia" w:ascii="宋体" w:hAnsi="宋体" w:eastAsia="宋体" w:cs="宋体"/>
          <w:b/>
          <w:bCs/>
          <w:color w:val="auto"/>
          <w:spacing w:val="0"/>
          <w:sz w:val="30"/>
          <w:szCs w:val="30"/>
          <w:highlight w:val="none"/>
        </w:rPr>
      </w:pPr>
      <w:bookmarkStart w:id="117" w:name="_Toc3020"/>
      <w:bookmarkStart w:id="118" w:name="_Toc16801"/>
      <w:bookmarkStart w:id="119" w:name="_Toc17375"/>
      <w:r>
        <w:rPr>
          <w:rFonts w:hint="eastAsia" w:ascii="宋体" w:hAnsi="宋体" w:eastAsia="宋体" w:cs="宋体"/>
          <w:b/>
          <w:bCs/>
          <w:color w:val="auto"/>
          <w:spacing w:val="0"/>
          <w:sz w:val="30"/>
          <w:szCs w:val="30"/>
          <w:highlight w:val="none"/>
        </w:rPr>
        <w:br w:type="page"/>
      </w:r>
    </w:p>
    <w:p w14:paraId="042A8A28">
      <w:pPr>
        <w:keepNext w:val="0"/>
        <w:keepLines w:val="0"/>
        <w:pageBreakBefore w:val="0"/>
        <w:wordWrap w:val="0"/>
        <w:overflowPunct/>
        <w:topLinePunct w:val="0"/>
        <w:bidi w:val="0"/>
        <w:spacing w:before="98" w:line="221" w:lineRule="auto"/>
        <w:ind w:left="4248"/>
        <w:outlineLvl w:val="9"/>
        <w:rPr>
          <w:rFonts w:hint="eastAsia" w:ascii="宋体" w:hAnsi="宋体" w:eastAsia="宋体" w:cs="宋体"/>
          <w:b/>
          <w:bCs/>
          <w:color w:val="auto"/>
          <w:spacing w:val="0"/>
          <w:sz w:val="30"/>
          <w:szCs w:val="30"/>
          <w:highlight w:val="none"/>
        </w:rPr>
      </w:pPr>
      <w:r>
        <w:rPr>
          <w:rFonts w:hint="eastAsia" w:ascii="宋体" w:hAnsi="宋体" w:eastAsia="宋体" w:cs="宋体"/>
          <w:b/>
          <w:bCs/>
          <w:color w:val="auto"/>
          <w:spacing w:val="0"/>
          <w:sz w:val="30"/>
          <w:szCs w:val="30"/>
          <w:highlight w:val="none"/>
        </w:rPr>
        <w:t>综合评分表</w:t>
      </w:r>
      <w:bookmarkEnd w:id="117"/>
      <w:bookmarkEnd w:id="118"/>
      <w:bookmarkEnd w:id="119"/>
    </w:p>
    <w:tbl>
      <w:tblPr>
        <w:tblStyle w:val="15"/>
        <w:tblW w:w="10307" w:type="dxa"/>
        <w:jc w:val="center"/>
        <w:tblLayout w:type="fixed"/>
        <w:tblCellMar>
          <w:top w:w="0" w:type="dxa"/>
          <w:left w:w="108" w:type="dxa"/>
          <w:bottom w:w="0" w:type="dxa"/>
          <w:right w:w="108" w:type="dxa"/>
        </w:tblCellMar>
      </w:tblPr>
      <w:tblGrid>
        <w:gridCol w:w="1216"/>
        <w:gridCol w:w="3733"/>
        <w:gridCol w:w="5358"/>
      </w:tblGrid>
      <w:tr w14:paraId="496476D5">
        <w:tblPrEx>
          <w:tblCellMar>
            <w:top w:w="0" w:type="dxa"/>
            <w:left w:w="108" w:type="dxa"/>
            <w:bottom w:w="0" w:type="dxa"/>
            <w:right w:w="108" w:type="dxa"/>
          </w:tblCellMar>
        </w:tblPrEx>
        <w:trPr>
          <w:trHeight w:val="587" w:hRule="exact"/>
          <w:jc w:val="center"/>
        </w:trPr>
        <w:tc>
          <w:tcPr>
            <w:tcW w:w="10307"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14:paraId="4B82839E">
            <w:pPr>
              <w:widowControl w:val="0"/>
              <w:tabs>
                <w:tab w:val="left" w:pos="1354"/>
                <w:tab w:val="left" w:pos="1459"/>
                <w:tab w:val="center" w:pos="3902"/>
                <w:tab w:val="right" w:pos="7805"/>
              </w:tabs>
              <w:wordWrap w:val="0"/>
              <w:spacing w:after="0" w:line="240" w:lineRule="auto"/>
              <w:jc w:val="both"/>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b/>
                <w:bCs/>
                <w:snapToGrid w:val="0"/>
                <w:color w:val="auto"/>
                <w:kern w:val="0"/>
                <w:sz w:val="24"/>
                <w:szCs w:val="24"/>
                <w:highlight w:val="none"/>
                <w:lang w:val="en-US" w:eastAsia="zh-CN" w:bidi="ar-SA"/>
              </w:rPr>
              <w:t>商务部分，满分：</w:t>
            </w:r>
            <w:r>
              <w:rPr>
                <w:rFonts w:hint="eastAsia" w:asciiTheme="minorEastAsia" w:hAnsiTheme="minorEastAsia" w:eastAsiaTheme="minorEastAsia" w:cstheme="minorEastAsia"/>
                <w:b/>
                <w:bCs/>
                <w:snapToGrid w:val="0"/>
                <w:color w:val="auto"/>
                <w:kern w:val="0"/>
                <w:sz w:val="24"/>
                <w:szCs w:val="24"/>
                <w:highlight w:val="none"/>
                <w:u w:val="single"/>
                <w:lang w:val="en-US" w:eastAsia="zh-CN" w:bidi="ar-SA"/>
              </w:rPr>
              <w:t xml:space="preserve">  80  </w:t>
            </w:r>
            <w:r>
              <w:rPr>
                <w:rFonts w:hint="eastAsia" w:asciiTheme="minorEastAsia" w:hAnsiTheme="minorEastAsia" w:eastAsiaTheme="minorEastAsia" w:cstheme="minorEastAsia"/>
                <w:b/>
                <w:bCs/>
                <w:snapToGrid w:val="0"/>
                <w:color w:val="auto"/>
                <w:kern w:val="0"/>
                <w:sz w:val="24"/>
                <w:szCs w:val="24"/>
                <w:highlight w:val="none"/>
                <w:lang w:val="en-US" w:eastAsia="zh-CN" w:bidi="ar-SA"/>
              </w:rPr>
              <w:t>分。</w:t>
            </w:r>
          </w:p>
        </w:tc>
      </w:tr>
      <w:tr w14:paraId="7FEA8820">
        <w:tblPrEx>
          <w:tblCellMar>
            <w:top w:w="0" w:type="dxa"/>
            <w:left w:w="108" w:type="dxa"/>
            <w:bottom w:w="0" w:type="dxa"/>
            <w:right w:w="108" w:type="dxa"/>
          </w:tblCellMar>
        </w:tblPrEx>
        <w:trPr>
          <w:trHeight w:val="583"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CA743F0">
            <w:pPr>
              <w:widowControl w:val="0"/>
              <w:tabs>
                <w:tab w:val="left" w:pos="1354"/>
                <w:tab w:val="left" w:pos="1459"/>
                <w:tab w:val="center" w:pos="3902"/>
                <w:tab w:val="right" w:pos="7805"/>
              </w:tabs>
              <w:wordWrap w:val="0"/>
              <w:adjustRightInd w:val="0"/>
              <w:spacing w:after="0"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评分因素</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7858857E">
            <w:pPr>
              <w:widowControl w:val="0"/>
              <w:tabs>
                <w:tab w:val="left" w:pos="1354"/>
                <w:tab w:val="left" w:pos="1459"/>
                <w:tab w:val="center" w:pos="3902"/>
                <w:tab w:val="right" w:pos="7805"/>
              </w:tabs>
              <w:wordWrap w:val="0"/>
              <w:adjustRightInd w:val="0"/>
              <w:spacing w:after="0"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评分标准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3918AC3D">
            <w:pPr>
              <w:widowControl w:val="0"/>
              <w:tabs>
                <w:tab w:val="left" w:pos="1354"/>
                <w:tab w:val="left" w:pos="1459"/>
                <w:tab w:val="center" w:pos="3902"/>
                <w:tab w:val="right" w:pos="7805"/>
              </w:tabs>
              <w:wordWrap w:val="0"/>
              <w:adjustRightInd w:val="0"/>
              <w:spacing w:after="0"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备注</w:t>
            </w:r>
          </w:p>
        </w:tc>
      </w:tr>
      <w:tr w14:paraId="5E057B61">
        <w:tblPrEx>
          <w:tblCellMar>
            <w:top w:w="0" w:type="dxa"/>
            <w:left w:w="108" w:type="dxa"/>
            <w:bottom w:w="0" w:type="dxa"/>
            <w:right w:w="108" w:type="dxa"/>
          </w:tblCellMar>
        </w:tblPrEx>
        <w:trPr>
          <w:trHeight w:val="4464"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0EE9971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企业奖项</w:t>
            </w:r>
          </w:p>
          <w:p w14:paraId="6257824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lang w:val="en-US" w:eastAsia="zh-CN"/>
              </w:rPr>
              <w:t>20</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4C9D96C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企业近</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5</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年来（202</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lang w:eastAsia="zh-CN"/>
              </w:rPr>
              <w:t>年1月1日至今）获得</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中国古遗迹保护协会</w:t>
            </w:r>
            <w:r>
              <w:rPr>
                <w:rFonts w:hint="eastAsia" w:asciiTheme="minorEastAsia" w:hAnsiTheme="minorEastAsia" w:eastAsiaTheme="minorEastAsia" w:cstheme="minorEastAsia"/>
                <w:snapToGrid w:val="0"/>
                <w:color w:val="auto"/>
                <w:kern w:val="0"/>
                <w:sz w:val="21"/>
                <w:szCs w:val="21"/>
                <w:highlight w:val="none"/>
                <w:u w:val="none"/>
                <w:lang w:val="en-US" w:eastAsia="zh-CN"/>
              </w:rPr>
              <w:t>颁发</w:t>
            </w:r>
            <w:r>
              <w:rPr>
                <w:rFonts w:hint="eastAsia" w:asciiTheme="minorEastAsia" w:hAnsiTheme="minorEastAsia" w:eastAsiaTheme="minorEastAsia" w:cstheme="minorEastAsia"/>
                <w:snapToGrid w:val="0"/>
                <w:color w:val="auto"/>
                <w:kern w:val="0"/>
                <w:sz w:val="21"/>
                <w:szCs w:val="21"/>
                <w:highlight w:val="none"/>
                <w:lang w:val="en-US" w:eastAsia="zh-CN"/>
              </w:rPr>
              <w:t>的</w:t>
            </w:r>
            <w:r>
              <w:rPr>
                <w:rFonts w:hint="eastAsia" w:asciiTheme="minorEastAsia" w:hAnsiTheme="minorEastAsia" w:eastAsiaTheme="minorEastAsia" w:cstheme="minorEastAsia"/>
                <w:snapToGrid w:val="0"/>
                <w:color w:val="auto"/>
                <w:kern w:val="0"/>
                <w:sz w:val="21"/>
                <w:szCs w:val="21"/>
                <w:highlight w:val="none"/>
                <w:lang w:eastAsia="zh-CN"/>
              </w:rPr>
              <w:t>奖项</w:t>
            </w:r>
            <w:r>
              <w:rPr>
                <w:rFonts w:hint="eastAsia" w:asciiTheme="minorEastAsia" w:hAnsiTheme="minorEastAsia" w:eastAsiaTheme="minorEastAsia" w:cstheme="minorEastAsia"/>
                <w:snapToGrid w:val="0"/>
                <w:color w:val="auto"/>
                <w:kern w:val="0"/>
                <w:sz w:val="21"/>
                <w:szCs w:val="21"/>
                <w:highlight w:val="none"/>
                <w:lang w:val="en-US" w:eastAsia="zh-CN"/>
              </w:rPr>
              <w:t>的，每个得20分</w:t>
            </w:r>
            <w:r>
              <w:rPr>
                <w:rFonts w:hint="eastAsia" w:asciiTheme="minorEastAsia" w:hAnsiTheme="minorEastAsia" w:eastAsiaTheme="minorEastAsia" w:cstheme="minorEastAsia"/>
                <w:snapToGrid w:val="0"/>
                <w:color w:val="auto"/>
                <w:kern w:val="0"/>
                <w:sz w:val="21"/>
                <w:szCs w:val="21"/>
                <w:highlight w:val="none"/>
                <w:lang w:eastAsia="zh-CN"/>
              </w:rPr>
              <w:t>：</w:t>
            </w:r>
          </w:p>
          <w:p w14:paraId="2BE3DF4A">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本项最高得</w:t>
            </w:r>
            <w:r>
              <w:rPr>
                <w:rFonts w:hint="eastAsia" w:asciiTheme="minorEastAsia" w:hAnsiTheme="minorEastAsia" w:eastAsiaTheme="minorEastAsia" w:cstheme="minorEastAsia"/>
                <w:b/>
                <w:bCs/>
                <w:snapToGrid w:val="0"/>
                <w:color w:val="auto"/>
                <w:kern w:val="0"/>
                <w:sz w:val="21"/>
                <w:szCs w:val="21"/>
                <w:highlight w:val="none"/>
                <w:lang w:val="en-US" w:eastAsia="zh-CN"/>
              </w:rPr>
              <w:t>20</w:t>
            </w:r>
            <w:r>
              <w:rPr>
                <w:rFonts w:hint="eastAsia" w:asciiTheme="minorEastAsia" w:hAnsiTheme="minorEastAsia" w:eastAsiaTheme="minorEastAsia" w:cstheme="minorEastAsia"/>
                <w:b/>
                <w:bCs/>
                <w:snapToGrid w:val="0"/>
                <w:color w:val="auto"/>
                <w:kern w:val="0"/>
                <w:sz w:val="21"/>
                <w:szCs w:val="21"/>
                <w:highlight w:val="none"/>
                <w:lang w:eastAsia="zh-CN"/>
              </w:rPr>
              <w:t>分。</w:t>
            </w:r>
          </w:p>
          <w:p w14:paraId="0B9CBF5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p>
          <w:p w14:paraId="1CE4A1B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p>
        </w:tc>
        <w:tc>
          <w:tcPr>
            <w:tcW w:w="5358" w:type="dxa"/>
            <w:tcBorders>
              <w:top w:val="single" w:color="auto" w:sz="4" w:space="0"/>
              <w:left w:val="single" w:color="auto" w:sz="4" w:space="0"/>
              <w:bottom w:val="single" w:color="auto" w:sz="4" w:space="0"/>
              <w:right w:val="single" w:color="auto" w:sz="4" w:space="0"/>
            </w:tcBorders>
            <w:noWrap w:val="0"/>
            <w:vAlign w:val="center"/>
          </w:tcPr>
          <w:p w14:paraId="3CFA378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lang w:eastAsia="zh-CN"/>
              </w:rPr>
              <w:t>．需附有关奖项证明复印件（或打印件或扫描件)，</w:t>
            </w:r>
            <w:r>
              <w:rPr>
                <w:rFonts w:hint="eastAsia" w:asciiTheme="minorEastAsia" w:hAnsiTheme="minorEastAsia" w:eastAsiaTheme="minorEastAsia" w:cstheme="minorEastAsia"/>
                <w:b/>
                <w:bCs/>
                <w:snapToGrid w:val="0"/>
                <w:color w:val="auto"/>
                <w:kern w:val="0"/>
                <w:sz w:val="21"/>
                <w:szCs w:val="21"/>
                <w:highlight w:val="none"/>
                <w:lang w:eastAsia="zh-CN"/>
              </w:rPr>
              <w:t>同时提供原件供核对。（奖项如电子证书的除外）</w:t>
            </w:r>
          </w:p>
          <w:p w14:paraId="1A85A8E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lang w:eastAsia="zh-CN"/>
              </w:rPr>
              <w:t>．获奖时间以奖项证明的落款日期为准。</w:t>
            </w:r>
          </w:p>
          <w:p w14:paraId="105AC44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lang w:eastAsia="zh-CN"/>
              </w:rPr>
              <w:t>．任一奖项有以下情形之一的，该奖项视为无效，不予计分：</w:t>
            </w:r>
          </w:p>
          <w:p w14:paraId="0018085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①未提供奖项原件的；</w:t>
            </w:r>
          </w:p>
          <w:p w14:paraId="7206815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②奖项不属于指定类别的；</w:t>
            </w:r>
          </w:p>
          <w:p w14:paraId="72615D8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③获奖时间不符合要求的。</w:t>
            </w:r>
          </w:p>
          <w:p w14:paraId="2EA52FC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说明：以上所称“要求”均指本表评分标准及备注的要求，下同。</w:t>
            </w:r>
          </w:p>
        </w:tc>
      </w:tr>
      <w:tr w14:paraId="7FD4FA97">
        <w:tblPrEx>
          <w:tblCellMar>
            <w:top w:w="0" w:type="dxa"/>
            <w:left w:w="108" w:type="dxa"/>
            <w:bottom w:w="0" w:type="dxa"/>
            <w:right w:w="108" w:type="dxa"/>
          </w:tblCellMar>
        </w:tblPrEx>
        <w:trPr>
          <w:trHeight w:val="2264"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AC6330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企业</w:t>
            </w:r>
            <w:r>
              <w:rPr>
                <w:rFonts w:hint="eastAsia" w:asciiTheme="minorEastAsia" w:hAnsiTheme="minorEastAsia" w:eastAsiaTheme="minorEastAsia" w:cstheme="minorEastAsia"/>
                <w:snapToGrid w:val="0"/>
                <w:color w:val="auto"/>
                <w:kern w:val="0"/>
                <w:sz w:val="21"/>
                <w:szCs w:val="21"/>
                <w:highlight w:val="none"/>
                <w:lang w:val="en-US" w:eastAsia="zh-CN"/>
              </w:rPr>
              <w:t>荣誉</w:t>
            </w:r>
          </w:p>
          <w:p w14:paraId="239A4A8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（1</w:t>
            </w:r>
            <w:r>
              <w:rPr>
                <w:rFonts w:hint="eastAsia" w:asciiTheme="minorEastAsia" w:hAnsiTheme="minorEastAsia" w:eastAsiaTheme="minorEastAsia" w:cstheme="minorEastAsia"/>
                <w:b/>
                <w:bCs/>
                <w:snapToGrid w:val="0"/>
                <w:color w:val="auto"/>
                <w:kern w:val="0"/>
                <w:sz w:val="21"/>
                <w:szCs w:val="21"/>
                <w:highlight w:val="none"/>
                <w:lang w:val="en-US" w:eastAsia="zh-CN"/>
              </w:rPr>
              <w:t>5</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7B226620">
            <w:pPr>
              <w:widowControl w:val="0"/>
              <w:kinsoku/>
              <w:wordWrap w:val="0"/>
              <w:autoSpaceDE/>
              <w:autoSpaceDN/>
              <w:adjustRightInd w:val="0"/>
              <w:snapToGrid w:val="0"/>
              <w:spacing w:line="400" w:lineRule="exact"/>
              <w:jc w:val="both"/>
              <w:textAlignment w:val="auto"/>
              <w:rPr>
                <w:rFonts w:hint="eastAsia"/>
                <w:color w:val="auto"/>
                <w:spacing w:val="-4"/>
                <w:highlight w:val="none"/>
                <w:lang w:eastAsia="zh-CN"/>
              </w:rPr>
            </w:pPr>
            <w:r>
              <w:rPr>
                <w:rFonts w:hint="eastAsia"/>
                <w:color w:val="auto"/>
                <w:spacing w:val="-4"/>
                <w:highlight w:val="none"/>
                <w:lang w:eastAsia="zh-CN"/>
              </w:rPr>
              <w:t>企业</w:t>
            </w:r>
            <w:r>
              <w:rPr>
                <w:rFonts w:hint="eastAsia"/>
                <w:color w:val="auto"/>
                <w:spacing w:val="-4"/>
                <w:highlight w:val="none"/>
                <w:lang w:val="en-US" w:eastAsia="zh-CN"/>
              </w:rPr>
              <w:t>获得</w:t>
            </w:r>
            <w:r>
              <w:rPr>
                <w:rFonts w:hint="eastAsia"/>
                <w:color w:val="auto"/>
                <w:spacing w:val="-4"/>
                <w:highlight w:val="none"/>
                <w:lang w:eastAsia="zh-CN"/>
              </w:rPr>
              <w:t>由行政主管部门或行业协会评定信用评价</w:t>
            </w:r>
            <w:r>
              <w:rPr>
                <w:rFonts w:hint="eastAsia"/>
                <w:color w:val="auto"/>
                <w:spacing w:val="-4"/>
                <w:highlight w:val="none"/>
                <w:lang w:val="en-US" w:eastAsia="zh-CN"/>
              </w:rPr>
              <w:t>证书，且在有效期内</w:t>
            </w:r>
            <w:r>
              <w:rPr>
                <w:rFonts w:hint="eastAsia"/>
                <w:color w:val="auto"/>
                <w:spacing w:val="-4"/>
                <w:highlight w:val="none"/>
                <w:lang w:eastAsia="zh-CN"/>
              </w:rPr>
              <w:t>。</w:t>
            </w:r>
          </w:p>
          <w:p w14:paraId="6106B66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w:t>
            </w:r>
            <w:r>
              <w:rPr>
                <w:rFonts w:hint="eastAsia" w:asciiTheme="minorEastAsia" w:hAnsiTheme="minorEastAsia" w:eastAsiaTheme="minorEastAsia" w:cstheme="minorEastAsia"/>
                <w:snapToGrid w:val="0"/>
                <w:color w:val="auto"/>
                <w:kern w:val="0"/>
                <w:sz w:val="21"/>
                <w:szCs w:val="21"/>
                <w:highlight w:val="none"/>
                <w:lang w:val="en-US" w:eastAsia="zh-CN"/>
              </w:rPr>
              <w:t>评价等级</w:t>
            </w:r>
            <w:r>
              <w:rPr>
                <w:rFonts w:hint="eastAsia" w:asciiTheme="minorEastAsia" w:hAnsiTheme="minorEastAsia" w:eastAsiaTheme="minorEastAsia" w:cstheme="minorEastAsia"/>
                <w:snapToGrid w:val="0"/>
                <w:color w:val="auto"/>
                <w:kern w:val="0"/>
                <w:sz w:val="21"/>
                <w:szCs w:val="21"/>
                <w:highlight w:val="none"/>
                <w:lang w:eastAsia="zh-CN"/>
              </w:rPr>
              <w:t>AAA的，得</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1</w:t>
            </w:r>
            <w:r>
              <w:rPr>
                <w:rFonts w:hint="eastAsia" w:asciiTheme="minorEastAsia" w:hAnsiTheme="minorEastAsia" w:eastAsiaTheme="minorEastAsia" w:cstheme="minorEastAsia"/>
                <w:snapToGrid w:val="0"/>
                <w:color w:val="auto"/>
                <w:kern w:val="0"/>
                <w:sz w:val="21"/>
                <w:szCs w:val="21"/>
                <w:highlight w:val="none"/>
                <w:u w:val="single"/>
                <w:lang w:val="en-US" w:eastAsia="zh-CN"/>
              </w:rPr>
              <w:t>5</w:t>
            </w:r>
            <w:r>
              <w:rPr>
                <w:rFonts w:hint="eastAsia" w:asciiTheme="minorEastAsia" w:hAnsiTheme="minorEastAsia" w:eastAsiaTheme="minorEastAsia" w:cstheme="minorEastAsia"/>
                <w:snapToGrid w:val="0"/>
                <w:color w:val="auto"/>
                <w:kern w:val="0"/>
                <w:sz w:val="21"/>
                <w:szCs w:val="21"/>
                <w:highlight w:val="none"/>
                <w:lang w:eastAsia="zh-CN"/>
              </w:rPr>
              <w:t>分；</w:t>
            </w:r>
          </w:p>
          <w:p w14:paraId="2C96237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w:t>
            </w:r>
            <w:r>
              <w:rPr>
                <w:rFonts w:hint="eastAsia" w:asciiTheme="minorEastAsia" w:hAnsiTheme="minorEastAsia" w:eastAsiaTheme="minorEastAsia" w:cstheme="minorEastAsia"/>
                <w:snapToGrid w:val="0"/>
                <w:color w:val="auto"/>
                <w:kern w:val="0"/>
                <w:sz w:val="21"/>
                <w:szCs w:val="21"/>
                <w:highlight w:val="none"/>
                <w:lang w:val="en-US" w:eastAsia="zh-CN"/>
              </w:rPr>
              <w:t>评价等级</w:t>
            </w:r>
            <w:r>
              <w:rPr>
                <w:rFonts w:hint="eastAsia" w:asciiTheme="minorEastAsia" w:hAnsiTheme="minorEastAsia" w:eastAsiaTheme="minorEastAsia" w:cstheme="minorEastAsia"/>
                <w:snapToGrid w:val="0"/>
                <w:color w:val="auto"/>
                <w:kern w:val="0"/>
                <w:sz w:val="21"/>
                <w:szCs w:val="21"/>
                <w:highlight w:val="none"/>
                <w:lang w:eastAsia="zh-CN"/>
              </w:rPr>
              <w:t>AA（含AA＋、AA－）的，得</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10</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分。</w:t>
            </w:r>
          </w:p>
          <w:p w14:paraId="227E556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w:t>
            </w:r>
            <w:r>
              <w:rPr>
                <w:rFonts w:hint="eastAsia" w:asciiTheme="minorEastAsia" w:hAnsiTheme="minorEastAsia" w:eastAsiaTheme="minorEastAsia" w:cstheme="minorEastAsia"/>
                <w:snapToGrid w:val="0"/>
                <w:color w:val="auto"/>
                <w:kern w:val="0"/>
                <w:sz w:val="21"/>
                <w:szCs w:val="21"/>
                <w:highlight w:val="none"/>
                <w:lang w:val="en-US" w:eastAsia="zh-CN"/>
              </w:rPr>
              <w:t>评价等级</w:t>
            </w:r>
            <w:r>
              <w:rPr>
                <w:rFonts w:hint="eastAsia" w:asciiTheme="minorEastAsia" w:hAnsiTheme="minorEastAsia" w:eastAsiaTheme="minorEastAsia" w:cstheme="minorEastAsia"/>
                <w:snapToGrid w:val="0"/>
                <w:color w:val="auto"/>
                <w:kern w:val="0"/>
                <w:sz w:val="21"/>
                <w:szCs w:val="21"/>
                <w:highlight w:val="none"/>
                <w:lang w:eastAsia="zh-CN"/>
              </w:rPr>
              <w:t>A（含A＋、A－）的，得</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5</w:t>
            </w:r>
            <w:r>
              <w:rPr>
                <w:rFonts w:hint="eastAsia" w:asciiTheme="minorEastAsia" w:hAnsiTheme="minorEastAsia" w:eastAsiaTheme="minorEastAsia" w:cstheme="minorEastAsia"/>
                <w:snapToGrid w:val="0"/>
                <w:color w:val="auto"/>
                <w:kern w:val="0"/>
                <w:sz w:val="21"/>
                <w:szCs w:val="21"/>
                <w:highlight w:val="none"/>
                <w:lang w:eastAsia="zh-CN"/>
              </w:rPr>
              <w:t>分。</w:t>
            </w:r>
          </w:p>
          <w:p w14:paraId="7359A08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4．未获得过以上评级的，或评级证书无效的，不予计分。</w:t>
            </w:r>
          </w:p>
          <w:p w14:paraId="59FE8BED">
            <w:pPr>
              <w:widowControl/>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5．本项最高得1</w:t>
            </w:r>
            <w:r>
              <w:rPr>
                <w:rFonts w:hint="eastAsia" w:asciiTheme="minorEastAsia" w:hAnsiTheme="minorEastAsia" w:eastAsiaTheme="minorEastAsia" w:cstheme="minorEastAsia"/>
                <w:b/>
                <w:bCs/>
                <w:snapToGrid w:val="0"/>
                <w:color w:val="auto"/>
                <w:kern w:val="0"/>
                <w:sz w:val="21"/>
                <w:szCs w:val="21"/>
                <w:highlight w:val="none"/>
                <w:lang w:val="en-US" w:eastAsia="zh-CN"/>
              </w:rPr>
              <w:t>5</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02EB349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1．需附在有效期内的证书（证明）复印件（或打印件或扫描件)，</w:t>
            </w:r>
            <w:r>
              <w:rPr>
                <w:rFonts w:hint="eastAsia" w:asciiTheme="minorEastAsia" w:hAnsiTheme="minorEastAsia" w:eastAsiaTheme="minorEastAsia" w:cstheme="minorEastAsia"/>
                <w:b/>
                <w:bCs/>
                <w:snapToGrid w:val="0"/>
                <w:color w:val="auto"/>
                <w:kern w:val="0"/>
                <w:sz w:val="21"/>
                <w:szCs w:val="21"/>
                <w:highlight w:val="none"/>
                <w:lang w:eastAsia="zh-CN"/>
              </w:rPr>
              <w:t>同时提供原件供核对</w:t>
            </w:r>
            <w:r>
              <w:rPr>
                <w:rFonts w:hint="eastAsia" w:asciiTheme="minorEastAsia" w:hAnsiTheme="minorEastAsia" w:eastAsiaTheme="minorEastAsia" w:cstheme="minorEastAsia"/>
                <w:snapToGrid w:val="0"/>
                <w:color w:val="auto"/>
                <w:kern w:val="0"/>
                <w:sz w:val="21"/>
                <w:szCs w:val="21"/>
                <w:highlight w:val="none"/>
                <w:lang w:eastAsia="zh-CN"/>
              </w:rPr>
              <w:t>。</w:t>
            </w:r>
          </w:p>
          <w:p w14:paraId="308FE09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2</w:t>
            </w:r>
            <w:r>
              <w:rPr>
                <w:rFonts w:hint="eastAsia" w:asciiTheme="minorEastAsia" w:hAnsiTheme="minorEastAsia" w:eastAsiaTheme="minorEastAsia" w:cstheme="minorEastAsia"/>
                <w:snapToGrid w:val="0"/>
                <w:color w:val="auto"/>
                <w:kern w:val="0"/>
                <w:sz w:val="21"/>
                <w:szCs w:val="21"/>
                <w:highlight w:val="none"/>
                <w:lang w:eastAsia="zh-CN"/>
              </w:rPr>
              <w:t>．评级证书（证明）有以下情形之一的，视为无效：</w:t>
            </w:r>
          </w:p>
          <w:p w14:paraId="5714BED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①未提供评级证书（证明）原件的；</w:t>
            </w:r>
          </w:p>
          <w:p w14:paraId="71B6BA2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②评级证书（证明）不在有效期内的；</w:t>
            </w:r>
          </w:p>
          <w:p w14:paraId="17BAB831">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③出具机构不符合要求的。</w:t>
            </w:r>
          </w:p>
          <w:p w14:paraId="136A81F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p>
        </w:tc>
      </w:tr>
      <w:tr w14:paraId="6FAFD7C7">
        <w:tblPrEx>
          <w:tblCellMar>
            <w:top w:w="0" w:type="dxa"/>
            <w:left w:w="108" w:type="dxa"/>
            <w:bottom w:w="0" w:type="dxa"/>
            <w:right w:w="108" w:type="dxa"/>
          </w:tblCellMar>
        </w:tblPrEx>
        <w:trPr>
          <w:trHeight w:val="5268"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89596E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企业业绩</w:t>
            </w:r>
          </w:p>
          <w:p w14:paraId="25290D1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lang w:val="en-US" w:eastAsia="zh-CN"/>
              </w:rPr>
              <w:t>30</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2B99F5A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企业近</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5</w:t>
            </w:r>
            <w:r>
              <w:rPr>
                <w:rFonts w:hint="eastAsia" w:asciiTheme="minorEastAsia" w:hAnsiTheme="minorEastAsia" w:eastAsiaTheme="minorEastAsia" w:cstheme="minorEastAsia"/>
                <w:snapToGrid w:val="0"/>
                <w:color w:val="auto"/>
                <w:kern w:val="0"/>
                <w:sz w:val="21"/>
                <w:szCs w:val="21"/>
                <w:highlight w:val="none"/>
                <w:lang w:eastAsia="zh-CN"/>
              </w:rPr>
              <w:t>年来（202</w:t>
            </w: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lang w:eastAsia="zh-CN"/>
              </w:rPr>
              <w:t>年1月1日至今）业绩情况：</w:t>
            </w:r>
          </w:p>
          <w:p w14:paraId="4C6EBC6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承接 </w:t>
            </w:r>
            <w:r>
              <w:rPr>
                <w:rFonts w:hint="eastAsia" w:asciiTheme="minorEastAsia" w:hAnsiTheme="minorEastAsia" w:eastAsiaTheme="minorEastAsia" w:cstheme="minorEastAsia"/>
                <w:snapToGrid w:val="0"/>
                <w:color w:val="auto"/>
                <w:kern w:val="0"/>
                <w:sz w:val="21"/>
                <w:szCs w:val="21"/>
                <w:highlight w:val="none"/>
                <w:lang w:eastAsia="zh-CN"/>
              </w:rPr>
              <w:t>过类似工程的，每个得</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6</w:t>
            </w:r>
            <w:r>
              <w:rPr>
                <w:rFonts w:hint="eastAsia" w:asciiTheme="minorEastAsia" w:hAnsiTheme="minorEastAsia" w:eastAsiaTheme="minorEastAsia" w:cstheme="minorEastAsia"/>
                <w:snapToGrid w:val="0"/>
                <w:color w:val="auto"/>
                <w:kern w:val="0"/>
                <w:sz w:val="21"/>
                <w:szCs w:val="21"/>
                <w:highlight w:val="none"/>
                <w:lang w:eastAsia="zh-CN"/>
              </w:rPr>
              <w:t>分。</w:t>
            </w:r>
          </w:p>
          <w:p w14:paraId="4A34003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2．未</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承接 </w:t>
            </w:r>
            <w:r>
              <w:rPr>
                <w:rFonts w:hint="eastAsia" w:asciiTheme="minorEastAsia" w:hAnsiTheme="minorEastAsia" w:eastAsiaTheme="minorEastAsia" w:cstheme="minorEastAsia"/>
                <w:snapToGrid w:val="0"/>
                <w:color w:val="auto"/>
                <w:kern w:val="0"/>
                <w:sz w:val="21"/>
                <w:szCs w:val="21"/>
                <w:highlight w:val="none"/>
                <w:lang w:eastAsia="zh-CN"/>
              </w:rPr>
              <w:t>过类似工程的，不予计分。</w:t>
            </w:r>
          </w:p>
          <w:p w14:paraId="4B2097C1">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3．本项最高得</w:t>
            </w:r>
            <w:r>
              <w:rPr>
                <w:rFonts w:hint="eastAsia" w:asciiTheme="minorEastAsia" w:hAnsiTheme="minorEastAsia" w:eastAsiaTheme="minorEastAsia" w:cstheme="minorEastAsia"/>
                <w:b/>
                <w:bCs/>
                <w:snapToGrid w:val="0"/>
                <w:color w:val="auto"/>
                <w:kern w:val="0"/>
                <w:sz w:val="21"/>
                <w:szCs w:val="21"/>
                <w:highlight w:val="none"/>
                <w:lang w:val="en-US" w:eastAsia="zh-CN"/>
              </w:rPr>
              <w:t>30</w:t>
            </w:r>
            <w:r>
              <w:rPr>
                <w:rFonts w:hint="eastAsia" w:asciiTheme="minorEastAsia" w:hAnsiTheme="minorEastAsia" w:eastAsiaTheme="minorEastAsia" w:cstheme="minorEastAsia"/>
                <w:b/>
                <w:bCs/>
                <w:snapToGrid w:val="0"/>
                <w:color w:val="auto"/>
                <w:kern w:val="0"/>
                <w:sz w:val="21"/>
                <w:szCs w:val="21"/>
                <w:highlight w:val="none"/>
                <w:lang w:eastAsia="zh-CN"/>
              </w:rPr>
              <w:t xml:space="preserve">分。 </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038D89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u w:val="singl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1．类似工程指：</w:t>
            </w:r>
            <w:r>
              <w:rPr>
                <w:rFonts w:hint="eastAsia"/>
                <w:b/>
                <w:bCs/>
                <w:color w:val="auto"/>
                <w:highlight w:val="none"/>
                <w:u w:val="single"/>
                <w:lang w:eastAsia="zh-CN"/>
              </w:rPr>
              <w:t>≥800万元人民币的</w:t>
            </w:r>
            <w:r>
              <w:rPr>
                <w:b/>
                <w:bCs/>
                <w:color w:val="auto"/>
                <w:highlight w:val="none"/>
                <w:u w:val="single"/>
                <w:lang w:eastAsia="zh-CN"/>
              </w:rPr>
              <w:t>全国重点文物保护单位（</w:t>
            </w:r>
            <w:r>
              <w:rPr>
                <w:rFonts w:hint="eastAsia"/>
                <w:b/>
                <w:bCs/>
                <w:color w:val="auto"/>
                <w:highlight w:val="none"/>
                <w:u w:val="single"/>
                <w:lang w:eastAsia="zh-CN"/>
              </w:rPr>
              <w:t>类别：</w:t>
            </w:r>
            <w:r>
              <w:rPr>
                <w:b/>
                <w:bCs/>
                <w:color w:val="auto"/>
                <w:highlight w:val="none"/>
                <w:u w:val="single"/>
                <w:lang w:eastAsia="zh-CN"/>
              </w:rPr>
              <w:t>古</w:t>
            </w:r>
            <w:r>
              <w:rPr>
                <w:rFonts w:hint="eastAsia"/>
                <w:b/>
                <w:bCs/>
                <w:color w:val="auto"/>
                <w:highlight w:val="none"/>
                <w:u w:val="single"/>
                <w:lang w:val="en-US" w:eastAsia="zh-CN"/>
              </w:rPr>
              <w:t>文化</w:t>
            </w:r>
            <w:r>
              <w:rPr>
                <w:b/>
                <w:bCs/>
                <w:color w:val="auto"/>
                <w:highlight w:val="none"/>
                <w:u w:val="single"/>
                <w:lang w:eastAsia="zh-CN"/>
              </w:rPr>
              <w:t>遗址</w:t>
            </w:r>
            <w:r>
              <w:rPr>
                <w:rFonts w:hint="eastAsia"/>
                <w:b/>
                <w:bCs/>
                <w:color w:val="auto"/>
                <w:highlight w:val="none"/>
                <w:u w:val="single"/>
                <w:lang w:val="en-US" w:eastAsia="zh-CN"/>
              </w:rPr>
              <w:t>古墓葬</w:t>
            </w:r>
            <w:r>
              <w:rPr>
                <w:b/>
                <w:bCs/>
                <w:color w:val="auto"/>
                <w:highlight w:val="none"/>
                <w:u w:val="single"/>
                <w:lang w:eastAsia="zh-CN"/>
              </w:rPr>
              <w:t>）</w:t>
            </w:r>
            <w:r>
              <w:rPr>
                <w:rFonts w:hint="eastAsia"/>
                <w:b/>
                <w:bCs/>
                <w:color w:val="auto"/>
                <w:highlight w:val="none"/>
                <w:u w:val="single"/>
                <w:lang w:eastAsia="zh-CN"/>
              </w:rPr>
              <w:t>的</w:t>
            </w:r>
            <w:r>
              <w:rPr>
                <w:b/>
                <w:bCs/>
                <w:color w:val="auto"/>
                <w:highlight w:val="none"/>
                <w:u w:val="single"/>
                <w:lang w:eastAsia="zh-CN"/>
              </w:rPr>
              <w:t>文物保护工程施工</w:t>
            </w:r>
            <w:r>
              <w:rPr>
                <w:rFonts w:hint="eastAsia" w:asciiTheme="minorEastAsia" w:hAnsiTheme="minorEastAsia" w:eastAsiaTheme="minorEastAsia" w:cstheme="minorEastAsia"/>
                <w:snapToGrid w:val="0"/>
                <w:color w:val="auto"/>
                <w:kern w:val="0"/>
                <w:sz w:val="21"/>
                <w:szCs w:val="21"/>
                <w:highlight w:val="none"/>
                <w:u w:val="single"/>
                <w:lang w:eastAsia="zh-CN"/>
              </w:rPr>
              <w:t>。</w:t>
            </w:r>
          </w:p>
          <w:p w14:paraId="3CAF5ED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i/>
                <w:i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2．需附有关业绩（仅限于以施工</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总承包单位 </w:t>
            </w:r>
            <w:r>
              <w:rPr>
                <w:rFonts w:hint="eastAsia" w:asciiTheme="minorEastAsia" w:hAnsiTheme="minorEastAsia" w:eastAsiaTheme="minorEastAsia" w:cstheme="minorEastAsia"/>
                <w:snapToGrid w:val="0"/>
                <w:color w:val="auto"/>
                <w:kern w:val="0"/>
                <w:sz w:val="21"/>
                <w:szCs w:val="21"/>
                <w:highlight w:val="none"/>
                <w:lang w:eastAsia="zh-CN"/>
              </w:rPr>
              <w:t>身份参建的项目）</w:t>
            </w:r>
            <w:r>
              <w:rPr>
                <w:rFonts w:hint="eastAsia" w:asciiTheme="minorEastAsia" w:hAnsiTheme="minorEastAsia" w:eastAsiaTheme="minorEastAsia" w:cstheme="minorEastAsia"/>
                <w:snapToGrid/>
                <w:color w:val="auto"/>
                <w:kern w:val="0"/>
                <w:sz w:val="21"/>
                <w:szCs w:val="21"/>
                <w:highlight w:val="none"/>
                <w:lang w:eastAsia="zh-CN"/>
              </w:rPr>
              <w:t>合同、</w:t>
            </w:r>
            <w:r>
              <w:rPr>
                <w:rFonts w:hint="eastAsia" w:asciiTheme="minorEastAsia" w:hAnsiTheme="minorEastAsia" w:eastAsiaTheme="minorEastAsia" w:cstheme="minorEastAsia"/>
                <w:snapToGrid/>
                <w:color w:val="auto"/>
                <w:kern w:val="0"/>
                <w:sz w:val="21"/>
                <w:szCs w:val="21"/>
                <w:highlight w:val="none"/>
                <w:lang w:val="en-US" w:eastAsia="zh-CN"/>
              </w:rPr>
              <w:t>中标通知书、全国重点文物保护单位等证明材料</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lang w:eastAsia="zh-CN"/>
              </w:rPr>
              <w:t>同时提供原件供核对</w:t>
            </w:r>
            <w:r>
              <w:rPr>
                <w:rFonts w:hint="eastAsia" w:asciiTheme="minorEastAsia" w:hAnsiTheme="minorEastAsia" w:eastAsiaTheme="minorEastAsia" w:cstheme="minorEastAsia"/>
                <w:snapToGrid w:val="0"/>
                <w:color w:val="auto"/>
                <w:kern w:val="0"/>
                <w:sz w:val="21"/>
                <w:szCs w:val="21"/>
                <w:highlight w:val="none"/>
                <w:lang w:eastAsia="zh-CN"/>
              </w:rPr>
              <w:t>。</w:t>
            </w:r>
          </w:p>
          <w:p w14:paraId="2840706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3．业绩时间以合同日期为准。</w:t>
            </w:r>
          </w:p>
          <w:p w14:paraId="02E3CF2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4．任一业绩有以下情形之一的，该业绩视为无效，不予计分：</w:t>
            </w:r>
          </w:p>
          <w:p w14:paraId="7613344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①未提供业绩证明材料原件的；</w:t>
            </w:r>
          </w:p>
          <w:p w14:paraId="4A635C7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②未提</w:t>
            </w:r>
            <w:r>
              <w:rPr>
                <w:rFonts w:hint="eastAsia" w:asciiTheme="minorEastAsia" w:hAnsiTheme="minorEastAsia" w:eastAsiaTheme="minorEastAsia" w:cstheme="minorEastAsia"/>
                <w:snapToGrid w:val="0"/>
                <w:color w:val="auto"/>
                <w:kern w:val="0"/>
                <w:sz w:val="21"/>
                <w:szCs w:val="21"/>
                <w:highlight w:val="none"/>
                <w:lang w:val="en-US" w:eastAsia="zh-CN"/>
              </w:rPr>
              <w:t>中标通知书</w:t>
            </w:r>
            <w:r>
              <w:rPr>
                <w:rFonts w:hint="eastAsia" w:asciiTheme="minorEastAsia" w:hAnsiTheme="minorEastAsia" w:eastAsiaTheme="minorEastAsia" w:cstheme="minorEastAsia"/>
                <w:snapToGrid w:val="0"/>
                <w:color w:val="auto"/>
                <w:kern w:val="0"/>
                <w:sz w:val="21"/>
                <w:szCs w:val="21"/>
                <w:highlight w:val="none"/>
                <w:lang w:eastAsia="zh-CN"/>
              </w:rPr>
              <w:t>证明材料的；</w:t>
            </w:r>
          </w:p>
          <w:p w14:paraId="4816077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③</w:t>
            </w:r>
            <w:r>
              <w:rPr>
                <w:rFonts w:hint="eastAsia" w:asciiTheme="minorEastAsia" w:hAnsiTheme="minorEastAsia" w:eastAsiaTheme="minorEastAsia" w:cstheme="minorEastAsia"/>
                <w:snapToGrid w:val="0"/>
                <w:color w:val="auto"/>
                <w:kern w:val="0"/>
                <w:sz w:val="21"/>
                <w:szCs w:val="21"/>
                <w:highlight w:val="none"/>
                <w:lang w:val="en-US" w:eastAsia="zh-CN"/>
              </w:rPr>
              <w:t>未提供全国重点文物保护单位证明材料得</w:t>
            </w:r>
            <w:r>
              <w:rPr>
                <w:rFonts w:hint="eastAsia" w:asciiTheme="minorEastAsia" w:hAnsiTheme="minorEastAsia" w:eastAsiaTheme="minorEastAsia" w:cstheme="minorEastAsia"/>
                <w:snapToGrid w:val="0"/>
                <w:color w:val="auto"/>
                <w:kern w:val="0"/>
                <w:sz w:val="21"/>
                <w:szCs w:val="21"/>
                <w:highlight w:val="none"/>
                <w:lang w:eastAsia="zh-CN"/>
              </w:rPr>
              <w:t>；</w:t>
            </w:r>
          </w:p>
          <w:p w14:paraId="7D80E4B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④业绩时间不符合要求的。</w:t>
            </w:r>
          </w:p>
        </w:tc>
      </w:tr>
      <w:tr w14:paraId="7A88D8D9">
        <w:tblPrEx>
          <w:tblCellMar>
            <w:top w:w="0" w:type="dxa"/>
            <w:left w:w="108" w:type="dxa"/>
            <w:bottom w:w="0" w:type="dxa"/>
            <w:right w:w="108" w:type="dxa"/>
          </w:tblCellMar>
        </w:tblPrEx>
        <w:trPr>
          <w:trHeight w:val="3461"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AB7D5CC">
            <w:pPr>
              <w:widowControl w:val="0"/>
              <w:kinsoku/>
              <w:wordWrap w:val="0"/>
              <w:autoSpaceDE/>
              <w:autoSpaceDN/>
              <w:adjustRightInd w:val="0"/>
              <w:snapToGrid w:val="0"/>
              <w:spacing w:line="400" w:lineRule="exact"/>
              <w:jc w:val="center"/>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项目</w:t>
            </w:r>
            <w:r>
              <w:rPr>
                <w:rFonts w:hint="eastAsia" w:asciiTheme="minorEastAsia" w:hAnsiTheme="minorEastAsia" w:eastAsiaTheme="minorEastAsia" w:cstheme="minorEastAsia"/>
                <w:snapToGrid w:val="0"/>
                <w:color w:val="auto"/>
                <w:kern w:val="0"/>
                <w:sz w:val="21"/>
                <w:szCs w:val="21"/>
                <w:highlight w:val="none"/>
                <w:lang w:val="en-US" w:eastAsia="zh-CN"/>
              </w:rPr>
              <w:t>技术负责人</w:t>
            </w:r>
          </w:p>
          <w:p w14:paraId="2D950BA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综合素质</w:t>
            </w:r>
          </w:p>
          <w:p w14:paraId="220DD40D">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lang w:val="en-US" w:eastAsia="zh-CN"/>
              </w:rPr>
              <w:t>5</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80823E0">
            <w:pPr>
              <w:widowControl/>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bidi="ar"/>
              </w:rPr>
              <w:t>项目</w:t>
            </w:r>
            <w:r>
              <w:rPr>
                <w:rFonts w:hint="eastAsia" w:asciiTheme="minorEastAsia" w:hAnsiTheme="minorEastAsia" w:eastAsiaTheme="minorEastAsia" w:cstheme="minorEastAsia"/>
                <w:snapToGrid/>
                <w:color w:val="auto"/>
                <w:kern w:val="0"/>
                <w:sz w:val="21"/>
                <w:szCs w:val="21"/>
                <w:highlight w:val="none"/>
                <w:lang w:val="en-US" w:eastAsia="zh-CN" w:bidi="ar"/>
              </w:rPr>
              <w:t>技术负责人</w:t>
            </w:r>
            <w:r>
              <w:rPr>
                <w:rFonts w:hint="eastAsia" w:asciiTheme="minorEastAsia" w:hAnsiTheme="minorEastAsia" w:eastAsiaTheme="minorEastAsia" w:cstheme="minorEastAsia"/>
                <w:snapToGrid/>
                <w:color w:val="auto"/>
                <w:kern w:val="0"/>
                <w:sz w:val="21"/>
                <w:szCs w:val="21"/>
                <w:highlight w:val="none"/>
                <w:lang w:eastAsia="zh-CN" w:bidi="ar"/>
              </w:rPr>
              <w:t xml:space="preserve">工程类技术职称情况： </w:t>
            </w:r>
          </w:p>
          <w:p w14:paraId="3F15AB94">
            <w:pPr>
              <w:kinsoku/>
              <w:autoSpaceDE/>
              <w:autoSpaceDN/>
              <w:adjustRightInd/>
              <w:snapToGrid/>
              <w:spacing w:line="360" w:lineRule="auto"/>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color w:val="auto"/>
                <w:highlight w:val="none"/>
                <w:lang w:eastAsia="zh-CN" w:bidi="ar"/>
              </w:rPr>
              <w:t>1.</w:t>
            </w:r>
            <w:r>
              <w:rPr>
                <w:rFonts w:asciiTheme="minorEastAsia" w:hAnsiTheme="minorEastAsia" w:eastAsiaTheme="minorEastAsia" w:cstheme="minorEastAsia"/>
                <w:snapToGrid/>
                <w:color w:val="auto"/>
                <w:highlight w:val="none"/>
                <w:lang w:eastAsia="zh-CN" w:bidi="ar"/>
              </w:rPr>
              <w:t>具有文物保护</w:t>
            </w:r>
            <w:r>
              <w:rPr>
                <w:rFonts w:hint="eastAsia" w:asciiTheme="minorEastAsia" w:hAnsiTheme="minorEastAsia" w:eastAsiaTheme="minorEastAsia" w:cstheme="minorEastAsia"/>
                <w:snapToGrid/>
                <w:color w:val="auto"/>
                <w:highlight w:val="none"/>
                <w:lang w:eastAsia="zh-CN" w:bidi="ar"/>
              </w:rPr>
              <w:t>工程</w:t>
            </w:r>
            <w:r>
              <w:rPr>
                <w:rFonts w:asciiTheme="minorEastAsia" w:hAnsiTheme="minorEastAsia" w:eastAsiaTheme="minorEastAsia" w:cstheme="minorEastAsia"/>
                <w:snapToGrid/>
                <w:color w:val="auto"/>
                <w:highlight w:val="none"/>
                <w:lang w:eastAsia="zh-CN" w:bidi="ar"/>
              </w:rPr>
              <w:t>责任工程师</w:t>
            </w:r>
            <w:r>
              <w:rPr>
                <w:rFonts w:hint="eastAsia" w:asciiTheme="minorEastAsia" w:hAnsiTheme="minorEastAsia" w:eastAsiaTheme="minorEastAsia" w:cstheme="minorEastAsia"/>
                <w:snapToGrid/>
                <w:color w:val="auto"/>
                <w:highlight w:val="none"/>
                <w:lang w:val="en-US" w:eastAsia="zh-CN" w:bidi="ar"/>
              </w:rPr>
              <w:t>证书</w:t>
            </w:r>
            <w:r>
              <w:rPr>
                <w:rFonts w:hint="eastAsia" w:asciiTheme="minorEastAsia" w:hAnsiTheme="minorEastAsia" w:eastAsiaTheme="minorEastAsia" w:cstheme="minorEastAsia"/>
                <w:snapToGrid/>
                <w:color w:val="auto"/>
                <w:highlight w:val="none"/>
                <w:lang w:eastAsia="zh-CN" w:bidi="ar"/>
              </w:rPr>
              <w:t>，</w:t>
            </w:r>
            <w:r>
              <w:rPr>
                <w:rFonts w:asciiTheme="minorEastAsia" w:hAnsiTheme="minorEastAsia" w:eastAsiaTheme="minorEastAsia" w:cstheme="minorEastAsia"/>
                <w:snapToGrid/>
                <w:color w:val="auto"/>
                <w:highlight w:val="none"/>
                <w:lang w:eastAsia="zh-CN" w:bidi="ar"/>
              </w:rPr>
              <w:t xml:space="preserve">得 </w:t>
            </w:r>
            <w:r>
              <w:rPr>
                <w:rFonts w:hint="eastAsia" w:asciiTheme="minorEastAsia" w:hAnsiTheme="minorEastAsia" w:eastAsiaTheme="minorEastAsia" w:cstheme="minorEastAsia"/>
                <w:snapToGrid/>
                <w:color w:val="auto"/>
                <w:highlight w:val="none"/>
                <w:lang w:eastAsia="zh-CN" w:bidi="ar"/>
              </w:rPr>
              <w:t xml:space="preserve">5 </w:t>
            </w:r>
            <w:r>
              <w:rPr>
                <w:rFonts w:asciiTheme="minorEastAsia" w:hAnsiTheme="minorEastAsia" w:eastAsiaTheme="minorEastAsia" w:cstheme="minorEastAsia"/>
                <w:snapToGrid/>
                <w:color w:val="auto"/>
                <w:highlight w:val="none"/>
                <w:lang w:eastAsia="zh-CN" w:bidi="ar"/>
              </w:rPr>
              <w:t>分</w:t>
            </w:r>
            <w:r>
              <w:rPr>
                <w:rFonts w:hint="eastAsia" w:asciiTheme="minorEastAsia" w:hAnsiTheme="minorEastAsia" w:eastAsiaTheme="minorEastAsia" w:cstheme="minorEastAsia"/>
                <w:snapToGrid/>
                <w:color w:val="auto"/>
                <w:highlight w:val="none"/>
                <w:lang w:eastAsia="zh-CN" w:bidi="ar"/>
              </w:rPr>
              <w:t>；</w:t>
            </w:r>
            <w:r>
              <w:rPr>
                <w:rFonts w:hint="eastAsia" w:asciiTheme="minorEastAsia" w:hAnsiTheme="minorEastAsia" w:eastAsiaTheme="minorEastAsia" w:cstheme="minorEastAsia"/>
                <w:snapToGrid/>
                <w:color w:val="auto"/>
                <w:kern w:val="0"/>
                <w:sz w:val="21"/>
                <w:szCs w:val="21"/>
                <w:highlight w:val="none"/>
                <w:lang w:eastAsia="zh-CN" w:bidi="ar"/>
              </w:rPr>
              <w:t xml:space="preserve"> </w:t>
            </w:r>
          </w:p>
          <w:p w14:paraId="53E12A63">
            <w:pPr>
              <w:widowControl/>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auto"/>
                <w:kern w:val="0"/>
                <w:sz w:val="21"/>
                <w:szCs w:val="21"/>
                <w:highlight w:val="none"/>
                <w:lang w:eastAsia="zh-CN" w:bidi="ar"/>
              </w:rPr>
            </w:pPr>
            <w:r>
              <w:rPr>
                <w:rFonts w:hint="eastAsia" w:asciiTheme="minorEastAsia" w:hAnsiTheme="minorEastAsia" w:eastAsiaTheme="minorEastAsia" w:cstheme="minorEastAsia"/>
                <w:snapToGrid/>
                <w:color w:val="auto"/>
                <w:kern w:val="0"/>
                <w:sz w:val="21"/>
                <w:szCs w:val="21"/>
                <w:highlight w:val="none"/>
                <w:lang w:val="en-US" w:eastAsia="zh-CN" w:bidi="ar"/>
              </w:rPr>
              <w:t>2</w:t>
            </w: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snapToGrid/>
                <w:color w:val="auto"/>
                <w:kern w:val="0"/>
                <w:sz w:val="21"/>
                <w:szCs w:val="21"/>
                <w:highlight w:val="none"/>
                <w:lang w:eastAsia="zh-CN" w:bidi="ar"/>
              </w:rPr>
              <w:t>不具备以上</w:t>
            </w:r>
            <w:r>
              <w:rPr>
                <w:rFonts w:hint="eastAsia" w:asciiTheme="minorEastAsia" w:hAnsiTheme="minorEastAsia" w:eastAsiaTheme="minorEastAsia" w:cstheme="minorEastAsia"/>
                <w:snapToGrid/>
                <w:color w:val="auto"/>
                <w:kern w:val="0"/>
                <w:sz w:val="21"/>
                <w:szCs w:val="21"/>
                <w:highlight w:val="none"/>
                <w:lang w:val="en-US" w:eastAsia="zh-CN" w:bidi="ar"/>
              </w:rPr>
              <w:t>证书</w:t>
            </w:r>
            <w:r>
              <w:rPr>
                <w:rFonts w:hint="eastAsia" w:asciiTheme="minorEastAsia" w:hAnsiTheme="minorEastAsia" w:eastAsiaTheme="minorEastAsia" w:cstheme="minorEastAsia"/>
                <w:snapToGrid/>
                <w:color w:val="auto"/>
                <w:kern w:val="0"/>
                <w:sz w:val="21"/>
                <w:szCs w:val="21"/>
                <w:highlight w:val="none"/>
                <w:lang w:eastAsia="zh-CN" w:bidi="ar"/>
              </w:rPr>
              <w:t>的，或未提供</w:t>
            </w:r>
            <w:r>
              <w:rPr>
                <w:rFonts w:hint="eastAsia" w:asciiTheme="minorEastAsia" w:hAnsiTheme="minorEastAsia" w:eastAsiaTheme="minorEastAsia" w:cstheme="minorEastAsia"/>
                <w:snapToGrid/>
                <w:color w:val="auto"/>
                <w:kern w:val="0"/>
                <w:sz w:val="21"/>
                <w:szCs w:val="21"/>
                <w:highlight w:val="none"/>
                <w:lang w:val="en-US" w:eastAsia="zh-CN" w:bidi="ar"/>
              </w:rPr>
              <w:t>证书</w:t>
            </w:r>
            <w:r>
              <w:rPr>
                <w:rFonts w:hint="eastAsia" w:asciiTheme="minorEastAsia" w:hAnsiTheme="minorEastAsia" w:eastAsiaTheme="minorEastAsia" w:cstheme="minorEastAsia"/>
                <w:snapToGrid/>
                <w:color w:val="auto"/>
                <w:kern w:val="0"/>
                <w:sz w:val="21"/>
                <w:szCs w:val="21"/>
                <w:highlight w:val="none"/>
                <w:lang w:eastAsia="zh-CN" w:bidi="ar"/>
              </w:rPr>
              <w:t>证原件的，不予计分。</w:t>
            </w:r>
          </w:p>
          <w:p w14:paraId="0B9E5CA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color w:val="auto"/>
                <w:kern w:val="0"/>
                <w:sz w:val="21"/>
                <w:szCs w:val="21"/>
                <w:highlight w:val="none"/>
                <w:lang w:eastAsia="zh-CN" w:bidi="ar"/>
              </w:rPr>
              <w:t>4</w:t>
            </w:r>
            <w:r>
              <w:rPr>
                <w:rFonts w:hint="eastAsia" w:asciiTheme="minorEastAsia" w:hAnsiTheme="minorEastAsia" w:eastAsiaTheme="minorEastAsia" w:cstheme="minorEastAsia"/>
                <w:b/>
                <w:bCs/>
                <w:snapToGrid w:val="0"/>
                <w:color w:val="auto"/>
                <w:kern w:val="0"/>
                <w:sz w:val="21"/>
                <w:szCs w:val="21"/>
                <w:highlight w:val="none"/>
                <w:lang w:eastAsia="zh-CN"/>
              </w:rPr>
              <w:t>．本项最高得</w:t>
            </w:r>
            <w:r>
              <w:rPr>
                <w:rFonts w:hint="eastAsia" w:asciiTheme="minorEastAsia" w:hAnsiTheme="minorEastAsia" w:eastAsiaTheme="minorEastAsia" w:cstheme="minorEastAsia"/>
                <w:b/>
                <w:bCs/>
                <w:snapToGrid w:val="0"/>
                <w:color w:val="auto"/>
                <w:kern w:val="0"/>
                <w:sz w:val="21"/>
                <w:szCs w:val="21"/>
                <w:highlight w:val="none"/>
                <w:lang w:val="en-US" w:eastAsia="zh-CN"/>
              </w:rPr>
              <w:t>5</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0E2438E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w:t>
            </w:r>
            <w:r>
              <w:rPr>
                <w:rFonts w:hint="eastAsia" w:asciiTheme="minorEastAsia" w:hAnsiTheme="minorEastAsia" w:eastAsiaTheme="minorEastAsia" w:cstheme="minorEastAsia"/>
                <w:snapToGrid w:val="0"/>
                <w:color w:val="auto"/>
                <w:kern w:val="0"/>
                <w:sz w:val="21"/>
                <w:szCs w:val="21"/>
                <w:highlight w:val="none"/>
                <w:lang w:eastAsia="zh-CN"/>
              </w:rPr>
              <w:t>．需附证</w:t>
            </w:r>
            <w:r>
              <w:rPr>
                <w:rFonts w:hint="eastAsia" w:asciiTheme="minorEastAsia" w:hAnsiTheme="minorEastAsia" w:eastAsiaTheme="minorEastAsia" w:cstheme="minorEastAsia"/>
                <w:snapToGrid w:val="0"/>
                <w:color w:val="auto"/>
                <w:kern w:val="0"/>
                <w:sz w:val="21"/>
                <w:szCs w:val="21"/>
                <w:highlight w:val="none"/>
                <w:lang w:val="en-US" w:eastAsia="zh-CN"/>
              </w:rPr>
              <w:t>书</w:t>
            </w:r>
            <w:r>
              <w:rPr>
                <w:rFonts w:hint="eastAsia" w:asciiTheme="minorEastAsia" w:hAnsiTheme="minorEastAsia" w:eastAsiaTheme="minorEastAsia" w:cstheme="minorEastAsia"/>
                <w:snapToGrid w:val="0"/>
                <w:color w:val="auto"/>
                <w:kern w:val="0"/>
                <w:sz w:val="21"/>
                <w:szCs w:val="21"/>
                <w:highlight w:val="none"/>
                <w:lang w:eastAsia="zh-CN"/>
              </w:rPr>
              <w:t>复印件或打印件或扫描件，</w:t>
            </w:r>
            <w:r>
              <w:rPr>
                <w:rFonts w:hint="eastAsia" w:asciiTheme="minorEastAsia" w:hAnsiTheme="minorEastAsia" w:eastAsiaTheme="minorEastAsia" w:cstheme="minorEastAsia"/>
                <w:b/>
                <w:bCs/>
                <w:snapToGrid w:val="0"/>
                <w:color w:val="auto"/>
                <w:kern w:val="0"/>
                <w:sz w:val="21"/>
                <w:szCs w:val="21"/>
                <w:highlight w:val="none"/>
                <w:lang w:eastAsia="zh-CN"/>
              </w:rPr>
              <w:t>同时提供原件供核对</w:t>
            </w:r>
            <w:r>
              <w:rPr>
                <w:rFonts w:hint="eastAsia" w:asciiTheme="minorEastAsia" w:hAnsiTheme="minorEastAsia" w:eastAsiaTheme="minorEastAsia" w:cstheme="minorEastAsia"/>
                <w:b/>
                <w:bCs/>
                <w:snapToGrid/>
                <w:color w:val="auto"/>
                <w:kern w:val="2"/>
                <w:sz w:val="21"/>
                <w:szCs w:val="21"/>
                <w:highlight w:val="none"/>
                <w:lang w:eastAsia="zh-CN"/>
              </w:rPr>
              <w:t>（电子证书打印件的除外）</w:t>
            </w:r>
            <w:r>
              <w:rPr>
                <w:rFonts w:hint="eastAsia" w:asciiTheme="minorEastAsia" w:hAnsiTheme="minorEastAsia" w:eastAsiaTheme="minorEastAsia" w:cstheme="minorEastAsia"/>
                <w:b/>
                <w:bCs/>
                <w:snapToGrid w:val="0"/>
                <w:color w:val="auto"/>
                <w:kern w:val="0"/>
                <w:sz w:val="21"/>
                <w:szCs w:val="21"/>
                <w:highlight w:val="none"/>
                <w:lang w:eastAsia="zh-CN"/>
              </w:rPr>
              <w:t>。</w:t>
            </w:r>
          </w:p>
        </w:tc>
      </w:tr>
      <w:tr w14:paraId="76E9045D">
        <w:tblPrEx>
          <w:tblCellMar>
            <w:top w:w="0" w:type="dxa"/>
            <w:left w:w="108" w:type="dxa"/>
            <w:bottom w:w="0" w:type="dxa"/>
            <w:right w:w="108" w:type="dxa"/>
          </w:tblCellMar>
        </w:tblPrEx>
        <w:trPr>
          <w:trHeight w:val="3741"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0565AD55">
            <w:pPr>
              <w:widowControl w:val="0"/>
              <w:kinsoku/>
              <w:wordWrap w:val="0"/>
              <w:autoSpaceDE/>
              <w:autoSpaceDN/>
              <w:adjustRightInd w:val="0"/>
              <w:snapToGrid w:val="0"/>
              <w:spacing w:line="400" w:lineRule="exact"/>
              <w:jc w:val="center"/>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项目</w:t>
            </w:r>
            <w:r>
              <w:rPr>
                <w:rFonts w:hint="eastAsia" w:asciiTheme="minorEastAsia" w:hAnsiTheme="minorEastAsia" w:eastAsiaTheme="minorEastAsia" w:cstheme="minorEastAsia"/>
                <w:snapToGrid w:val="0"/>
                <w:color w:val="auto"/>
                <w:kern w:val="0"/>
                <w:sz w:val="21"/>
                <w:szCs w:val="21"/>
                <w:highlight w:val="none"/>
                <w:lang w:val="en-US" w:eastAsia="zh-CN"/>
              </w:rPr>
              <w:t>管理机构人员</w:t>
            </w:r>
          </w:p>
          <w:p w14:paraId="1C9521A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综合素质</w:t>
            </w:r>
          </w:p>
          <w:p w14:paraId="692A64C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（10分）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6A8EE5B0">
            <w:pPr>
              <w:widowControl w:val="0"/>
              <w:kinsoku/>
              <w:wordWrap w:val="0"/>
              <w:autoSpaceDE/>
              <w:autoSpaceDN/>
              <w:adjustRightInd w:val="0"/>
              <w:snapToGrid w:val="0"/>
              <w:spacing w:line="400" w:lineRule="exact"/>
              <w:jc w:val="left"/>
              <w:textAlignment w:val="auto"/>
              <w:rPr>
                <w:rFonts w:hint="default" w:asciiTheme="minorEastAsia" w:hAnsiTheme="minorEastAsia" w:eastAsiaTheme="minorEastAsia" w:cstheme="minorEastAsia"/>
                <w:snapToGrid/>
                <w:color w:val="auto"/>
                <w:kern w:val="2"/>
                <w:sz w:val="21"/>
                <w:szCs w:val="21"/>
                <w:highlight w:val="none"/>
                <w:lang w:val="en-US" w:eastAsia="zh-CN"/>
              </w:rPr>
            </w:pPr>
            <w:r>
              <w:rPr>
                <w:rFonts w:hint="eastAsia"/>
                <w:color w:val="auto"/>
                <w:spacing w:val="-9"/>
                <w:highlight w:val="none"/>
                <w:lang w:eastAsia="zh-CN"/>
              </w:rPr>
              <w:t>拟投入项目管理</w:t>
            </w:r>
            <w:r>
              <w:rPr>
                <w:color w:val="auto"/>
                <w:spacing w:val="-9"/>
                <w:highlight w:val="none"/>
                <w:lang w:eastAsia="zh-CN"/>
              </w:rPr>
              <w:t>其他</w:t>
            </w:r>
            <w:r>
              <w:rPr>
                <w:rFonts w:hint="eastAsia"/>
                <w:color w:val="auto"/>
                <w:spacing w:val="-9"/>
                <w:highlight w:val="none"/>
                <w:lang w:eastAsia="zh-CN"/>
              </w:rPr>
              <w:t>人员岗位证书情况：</w:t>
            </w:r>
            <w:r>
              <w:rPr>
                <w:rFonts w:hint="eastAsia"/>
                <w:color w:val="auto"/>
                <w:spacing w:val="-9"/>
                <w:highlight w:val="none"/>
                <w:lang w:eastAsia="zh-CN"/>
              </w:rPr>
              <w:br w:type="textWrapping"/>
            </w:r>
            <w:r>
              <w:rPr>
                <w:rFonts w:hint="eastAsia"/>
                <w:color w:val="auto"/>
                <w:spacing w:val="-9"/>
                <w:highlight w:val="none"/>
                <w:lang w:eastAsia="zh-CN"/>
              </w:rPr>
              <w:t>1.投入人员有</w:t>
            </w:r>
            <w:r>
              <w:rPr>
                <w:rFonts w:hint="eastAsia"/>
                <w:color w:val="auto"/>
                <w:spacing w:val="-9"/>
                <w:highlight w:val="none"/>
                <w:u w:val="single"/>
                <w:lang w:eastAsia="zh-CN"/>
              </w:rPr>
              <w:t xml:space="preserve"> 安全员、施工员、材料员、质量员、资料员 </w:t>
            </w:r>
            <w:r>
              <w:rPr>
                <w:rFonts w:hint="eastAsia"/>
                <w:color w:val="auto"/>
                <w:spacing w:val="-9"/>
                <w:highlight w:val="none"/>
                <w:lang w:eastAsia="zh-CN"/>
              </w:rPr>
              <w:t>的，每个得</w:t>
            </w:r>
            <w:r>
              <w:rPr>
                <w:rFonts w:hint="eastAsia"/>
                <w:color w:val="auto"/>
                <w:spacing w:val="-9"/>
                <w:highlight w:val="none"/>
                <w:u w:val="single"/>
                <w:lang w:eastAsia="zh-CN"/>
              </w:rPr>
              <w:t>1</w:t>
            </w:r>
            <w:r>
              <w:rPr>
                <w:rFonts w:hint="eastAsia"/>
                <w:color w:val="auto"/>
                <w:spacing w:val="-9"/>
                <w:highlight w:val="none"/>
                <w:lang w:eastAsia="zh-CN"/>
              </w:rPr>
              <w:t>分。（本小项最高得5分）</w:t>
            </w:r>
            <w:r>
              <w:rPr>
                <w:rFonts w:hint="eastAsia"/>
                <w:color w:val="auto"/>
                <w:spacing w:val="-9"/>
                <w:highlight w:val="none"/>
                <w:lang w:eastAsia="zh-CN"/>
              </w:rPr>
              <w:br w:type="textWrapping"/>
            </w:r>
            <w:r>
              <w:rPr>
                <w:rFonts w:hint="eastAsia"/>
                <w:color w:val="auto"/>
                <w:spacing w:val="-9"/>
                <w:highlight w:val="none"/>
                <w:lang w:eastAsia="zh-CN"/>
              </w:rPr>
              <w:t>2. 除项目经理及技术负责人外的其他岗位人员，每提供一个文物保护工程责任工程师，得</w:t>
            </w:r>
            <w:r>
              <w:rPr>
                <w:rFonts w:hint="eastAsia"/>
                <w:color w:val="auto"/>
                <w:spacing w:val="-9"/>
                <w:highlight w:val="none"/>
                <w:lang w:val="en-US" w:eastAsia="zh-CN"/>
              </w:rPr>
              <w:t>1</w:t>
            </w:r>
            <w:r>
              <w:rPr>
                <w:rFonts w:hint="eastAsia"/>
                <w:color w:val="auto"/>
                <w:spacing w:val="-9"/>
                <w:highlight w:val="none"/>
                <w:lang w:eastAsia="zh-CN"/>
              </w:rPr>
              <w:t>分。最高得5分。</w:t>
            </w:r>
            <w:r>
              <w:rPr>
                <w:rFonts w:hint="eastAsia"/>
                <w:color w:val="auto"/>
                <w:spacing w:val="-9"/>
                <w:highlight w:val="none"/>
                <w:lang w:eastAsia="zh-CN"/>
              </w:rPr>
              <w:br w:type="textWrapping"/>
            </w:r>
            <w:r>
              <w:rPr>
                <w:rFonts w:hint="eastAsia" w:asciiTheme="minorEastAsia" w:hAnsiTheme="minorEastAsia" w:eastAsiaTheme="minorEastAsia" w:cstheme="minorEastAsia"/>
                <w:b/>
                <w:bCs/>
                <w:snapToGrid/>
                <w:color w:val="auto"/>
                <w:highlight w:val="none"/>
                <w:lang w:eastAsia="zh-CN" w:bidi="ar"/>
              </w:rPr>
              <w:t>3</w:t>
            </w:r>
            <w:r>
              <w:rPr>
                <w:rFonts w:hint="eastAsia" w:asciiTheme="minorEastAsia" w:hAnsiTheme="minorEastAsia" w:eastAsiaTheme="minorEastAsia" w:cstheme="minorEastAsia"/>
                <w:b/>
                <w:bCs/>
                <w:color w:val="auto"/>
                <w:highlight w:val="none"/>
                <w:lang w:eastAsia="zh-CN"/>
              </w:rPr>
              <w:t>．本项最高得10分。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43D24B87">
            <w:pPr>
              <w:widowControl w:val="0"/>
              <w:kinsoku/>
              <w:wordWrap w:val="0"/>
              <w:autoSpaceDE/>
              <w:autoSpaceDN/>
              <w:adjustRightInd w:val="0"/>
              <w:snapToGrid w:val="0"/>
              <w:spacing w:line="400" w:lineRule="exact"/>
              <w:jc w:val="both"/>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color w:val="auto"/>
                <w:spacing w:val="-3"/>
                <w:highlight w:val="none"/>
                <w:lang w:val="en-US" w:eastAsia="zh-CN"/>
              </w:rPr>
              <w:t>1.需提供</w:t>
            </w:r>
            <w:r>
              <w:rPr>
                <w:rFonts w:hint="eastAsia"/>
                <w:color w:val="auto"/>
                <w:spacing w:val="-3"/>
                <w:highlight w:val="none"/>
                <w:lang w:eastAsia="zh-CN"/>
              </w:rPr>
              <w:t>人员的身份证复印件、相应岗位证书以及响应截止日前6个月</w:t>
            </w:r>
            <w:r>
              <w:rPr>
                <w:rFonts w:hint="eastAsia"/>
                <w:color w:val="auto"/>
                <w:spacing w:val="-3"/>
                <w:highlight w:val="none"/>
                <w:lang w:val="en-US" w:eastAsia="zh-CN"/>
              </w:rPr>
              <w:t>的</w:t>
            </w:r>
            <w:r>
              <w:rPr>
                <w:rFonts w:hint="eastAsia"/>
                <w:color w:val="auto"/>
                <w:spacing w:val="-3"/>
                <w:highlight w:val="none"/>
                <w:lang w:eastAsia="zh-CN"/>
              </w:rPr>
              <w:t>社保的证明文件复印件，</w:t>
            </w:r>
            <w:r>
              <w:rPr>
                <w:rFonts w:hint="eastAsia"/>
                <w:color w:val="auto"/>
                <w:spacing w:val="-3"/>
                <w:highlight w:val="none"/>
                <w:lang w:val="en-US" w:eastAsia="zh-CN"/>
              </w:rPr>
              <w:t>不提供的</w:t>
            </w:r>
            <w:r>
              <w:rPr>
                <w:rFonts w:hint="eastAsia"/>
                <w:color w:val="auto"/>
                <w:spacing w:val="-3"/>
                <w:highlight w:val="none"/>
                <w:lang w:eastAsia="zh-CN"/>
              </w:rPr>
              <w:t>不得分。</w:t>
            </w:r>
            <w:r>
              <w:rPr>
                <w:rFonts w:hint="eastAsia"/>
                <w:color w:val="auto"/>
                <w:spacing w:val="-3"/>
                <w:highlight w:val="none"/>
                <w:lang w:eastAsia="zh-CN"/>
              </w:rPr>
              <w:br w:type="textWrapping"/>
            </w:r>
            <w:r>
              <w:rPr>
                <w:rFonts w:hint="eastAsia"/>
                <w:color w:val="auto"/>
                <w:spacing w:val="-3"/>
                <w:highlight w:val="none"/>
                <w:lang w:val="en-US" w:eastAsia="zh-CN"/>
              </w:rPr>
              <w:t>2.</w:t>
            </w:r>
            <w:r>
              <w:rPr>
                <w:rFonts w:hint="eastAsia"/>
                <w:color w:val="auto"/>
                <w:spacing w:val="-3"/>
                <w:highlight w:val="none"/>
                <w:lang w:eastAsia="zh-CN"/>
              </w:rPr>
              <w:t>各所要求人员必须一人一岗（若出现一人多证的只按一人计）, 不得兼任。</w:t>
            </w:r>
          </w:p>
        </w:tc>
      </w:tr>
      <w:tr w14:paraId="1373BDDF">
        <w:tblPrEx>
          <w:tblCellMar>
            <w:top w:w="0" w:type="dxa"/>
            <w:left w:w="108" w:type="dxa"/>
            <w:bottom w:w="0" w:type="dxa"/>
            <w:right w:w="108" w:type="dxa"/>
          </w:tblCellMar>
        </w:tblPrEx>
        <w:trPr>
          <w:trHeight w:val="567" w:hRule="exact"/>
          <w:jc w:val="center"/>
        </w:trPr>
        <w:tc>
          <w:tcPr>
            <w:tcW w:w="10307"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5BF7B2B0">
            <w:pPr>
              <w:widowControl w:val="0"/>
              <w:wordWrap w:val="0"/>
              <w:adjustRightInd w:val="0"/>
              <w:snapToGrid w:val="0"/>
              <w:spacing w:after="0" w:line="440" w:lineRule="exact"/>
              <w:jc w:val="left"/>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技术部分（施工组织设计），满分：</w:t>
            </w:r>
            <w:r>
              <w:rPr>
                <w:rFonts w:hint="eastAsia" w:asciiTheme="minorEastAsia" w:hAnsiTheme="minorEastAsia" w:eastAsiaTheme="minorEastAsia" w:cstheme="minorEastAsia"/>
                <w:b/>
                <w:bCs/>
                <w:color w:val="auto"/>
                <w:kern w:val="0"/>
                <w:sz w:val="24"/>
                <w:szCs w:val="24"/>
                <w:highlight w:val="none"/>
                <w:u w:val="single"/>
                <w:lang w:val="en-US" w:eastAsia="zh-CN" w:bidi="ar-SA"/>
              </w:rPr>
              <w:t xml:space="preserve">  20  </w:t>
            </w:r>
            <w:r>
              <w:rPr>
                <w:rFonts w:hint="eastAsia" w:asciiTheme="minorEastAsia" w:hAnsiTheme="minorEastAsia" w:eastAsiaTheme="minorEastAsia" w:cstheme="minorEastAsia"/>
                <w:b/>
                <w:bCs/>
                <w:color w:val="auto"/>
                <w:kern w:val="0"/>
                <w:sz w:val="24"/>
                <w:szCs w:val="24"/>
                <w:highlight w:val="none"/>
                <w:lang w:val="en-US" w:eastAsia="zh-CN" w:bidi="ar-SA"/>
              </w:rPr>
              <w:t>分。</w:t>
            </w:r>
          </w:p>
        </w:tc>
      </w:tr>
      <w:tr w14:paraId="4D8B763D">
        <w:tblPrEx>
          <w:tblCellMar>
            <w:top w:w="0" w:type="dxa"/>
            <w:left w:w="108" w:type="dxa"/>
            <w:bottom w:w="0" w:type="dxa"/>
            <w:right w:w="108" w:type="dxa"/>
          </w:tblCellMar>
        </w:tblPrEx>
        <w:trPr>
          <w:trHeight w:val="680"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57F2ED4B">
            <w:pPr>
              <w:widowControl w:val="0"/>
              <w:wordWrap w:val="0"/>
              <w:adjustRightInd w:val="0"/>
              <w:snapToGrid w:val="0"/>
              <w:spacing w:after="0" w:line="4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评分因素</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C971C01">
            <w:pPr>
              <w:widowControl w:val="0"/>
              <w:wordWrap w:val="0"/>
              <w:adjustRightInd w:val="0"/>
              <w:snapToGrid w:val="0"/>
              <w:spacing w:after="0" w:line="4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评分标准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27EB220">
            <w:pPr>
              <w:widowControl w:val="0"/>
              <w:wordWrap w:val="0"/>
              <w:adjustRightInd w:val="0"/>
              <w:snapToGrid w:val="0"/>
              <w:spacing w:after="0" w:line="440" w:lineRule="exact"/>
              <w:jc w:val="center"/>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bidi="ar-SA"/>
              </w:rPr>
              <w:t>备注</w:t>
            </w:r>
          </w:p>
        </w:tc>
      </w:tr>
      <w:tr w14:paraId="254B77A9">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43B1E54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 总体概述</w:t>
            </w:r>
          </w:p>
          <w:p w14:paraId="088794E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 3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97CF9C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03F68CB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7DC3967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4783AE55">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0827108E">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【优】对项目总体有深刻认识，表述清晰、完整、严谨、合理，措施先进、具体、有效、成熟，采用了新技术、新工艺、新材料、新设备；施工段划分呼应总体表述，划分清晰、合理，符合规范要求。</w:t>
            </w:r>
          </w:p>
          <w:p w14:paraId="19D45C64">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【良】对项目总体有一定认识，表述清晰、完整，措施具体有效；施工段划分呼应总体表述，划分清晰，符合规范要求。</w:t>
            </w:r>
          </w:p>
          <w:p w14:paraId="5A1C5E10">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【中】对项目总体有认识，有一定的措施但部分不具体；施工段划分较合理，符合规范要求。</w:t>
            </w:r>
          </w:p>
          <w:p w14:paraId="708E3266">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【差】对项目认识不足，表述不清晰，措施不具体；施工段划分不合理。</w:t>
            </w:r>
          </w:p>
        </w:tc>
      </w:tr>
      <w:tr w14:paraId="00970BFE">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C1A000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施工总进</w:t>
            </w:r>
          </w:p>
          <w:p w14:paraId="3E59FFD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度计划及</w:t>
            </w:r>
          </w:p>
          <w:p w14:paraId="3C7F83A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保证措施</w:t>
            </w:r>
          </w:p>
          <w:p w14:paraId="7029405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3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1469ECF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508E4D7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0909FCC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5762B80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AF6F6C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Theme="minorEastAsia" w:hAnsiTheme="minorEastAsia" w:eastAsiaTheme="minorEastAsia" w:cstheme="minorEastAsia"/>
                <w:b/>
                <w:bCs/>
                <w:snapToGrid w:val="0"/>
                <w:color w:val="auto"/>
                <w:kern w:val="0"/>
                <w:sz w:val="21"/>
                <w:szCs w:val="21"/>
                <w:highlight w:val="none"/>
                <w:lang w:eastAsia="zh-CN"/>
              </w:rPr>
              <w:t>经济赔偿合理。</w:t>
            </w:r>
          </w:p>
          <w:p w14:paraId="509EEFE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Theme="minorEastAsia" w:hAnsiTheme="minorEastAsia" w:eastAsiaTheme="minorEastAsia" w:cstheme="minorEastAsia"/>
                <w:b/>
                <w:bCs/>
                <w:snapToGrid w:val="0"/>
                <w:color w:val="auto"/>
                <w:kern w:val="0"/>
                <w:sz w:val="21"/>
                <w:szCs w:val="21"/>
                <w:highlight w:val="none"/>
                <w:lang w:eastAsia="zh-CN"/>
              </w:rPr>
              <w:t>经济赔偿较合理。</w:t>
            </w:r>
          </w:p>
          <w:p w14:paraId="3C8D298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【中】关键线路基本准确，计划编制基本合理。关键节点的控制措施基本可行。人、材、机需求和进场计划与进度计划相呼应，基本满足施工需要，调配投入计划基本合理。进度违约责任承诺具体。</w:t>
            </w:r>
          </w:p>
          <w:p w14:paraId="63C0C58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【差】关键线路不准确，计划编制不合理。关键节点的控制不可行。人、材、机需求和进场计划与进度计划不相呼应，不能满足施工需要。没有违约责任承诺。</w:t>
            </w:r>
          </w:p>
        </w:tc>
      </w:tr>
      <w:tr w14:paraId="134D3E28">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110662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w:t>
            </w:r>
          </w:p>
          <w:p w14:paraId="6C95406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保证措施</w:t>
            </w:r>
          </w:p>
          <w:p w14:paraId="6BF537A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（4</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07169F91">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38C8A5A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57A3206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41682A5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2A0D5B2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【优】应用新技术、新工艺、新材料、新设备，针对项目实际提出先进、可行、具体的保证措施。超过招标文件的质量要求。</w:t>
            </w:r>
          </w:p>
          <w:p w14:paraId="7A1C7711">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【良】针对项目实际提出先进、可行、具体的保证措施。满足招标文件的质量要求。</w:t>
            </w:r>
          </w:p>
          <w:p w14:paraId="04E3373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【中】具体措施可行。满足招标文件的质量要求。</w:t>
            </w:r>
          </w:p>
          <w:p w14:paraId="504D8A2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【差】措施不可行，没有质量违约责任承诺。</w:t>
            </w:r>
          </w:p>
        </w:tc>
      </w:tr>
      <w:tr w14:paraId="618E4605">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1775B00">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w:t>
            </w:r>
          </w:p>
          <w:p w14:paraId="0CB53CA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技术措施</w:t>
            </w:r>
          </w:p>
          <w:p w14:paraId="43A7C23D">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 2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10FC0C5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5CCDB2E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7218A4E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4724086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0C30740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Theme="minorEastAsia" w:hAnsiTheme="minorEastAsia" w:eastAsiaTheme="minorEastAsia" w:cstheme="minorEastAsia"/>
                <w:b/>
                <w:bCs/>
                <w:snapToGrid w:val="0"/>
                <w:color w:val="auto"/>
                <w:kern w:val="0"/>
                <w:sz w:val="21"/>
                <w:szCs w:val="21"/>
                <w:highlight w:val="none"/>
                <w:lang w:eastAsia="zh-CN"/>
              </w:rPr>
              <w:t>经济赔偿合理。</w:t>
            </w:r>
          </w:p>
          <w:p w14:paraId="5C0895C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Theme="minorEastAsia" w:hAnsiTheme="minorEastAsia" w:eastAsiaTheme="minorEastAsia" w:cstheme="minorEastAsia"/>
                <w:b/>
                <w:bCs/>
                <w:snapToGrid w:val="0"/>
                <w:color w:val="auto"/>
                <w:kern w:val="0"/>
                <w:sz w:val="21"/>
                <w:szCs w:val="21"/>
                <w:highlight w:val="none"/>
                <w:lang w:eastAsia="zh-CN"/>
              </w:rPr>
              <w:t>经济赔偿较合理。</w:t>
            </w:r>
          </w:p>
          <w:p w14:paraId="66BB7E9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092C2A1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【差】对项目关键技术有表述，对重点、难点有建议，解决方案不可行。采用的新技术针对性不强或验证材料不可靠，对节约投资、工期没有具体收益。无违约责任承诺。</w:t>
            </w:r>
          </w:p>
        </w:tc>
      </w:tr>
      <w:tr w14:paraId="154EA3CC">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53E44D6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绿色施工、</w:t>
            </w:r>
          </w:p>
          <w:p w14:paraId="7110EDD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安全防护、</w:t>
            </w:r>
          </w:p>
          <w:p w14:paraId="586C62B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文明施工</w:t>
            </w:r>
          </w:p>
          <w:p w14:paraId="14073F30">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措施计划</w:t>
            </w:r>
          </w:p>
          <w:p w14:paraId="3DBD69A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 3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CEA35B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157FAAC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099AAF3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00B72AB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3E4E48FA">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【优】针对项目实际情况，有先进、具体、完整、可行的措施，采用规范准确、清晰。</w:t>
            </w:r>
          </w:p>
          <w:p w14:paraId="495EF45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【良】针对项目实际情况，有合理的措施且具体、完整，采用规范准确。</w:t>
            </w:r>
          </w:p>
          <w:p w14:paraId="237D718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【中】有基本合理的措施，采用规范准确。</w:t>
            </w:r>
          </w:p>
          <w:p w14:paraId="78199B6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【差】措施不力，采用规范不正确。</w:t>
            </w:r>
          </w:p>
        </w:tc>
      </w:tr>
      <w:tr w14:paraId="537D05BE">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356D2FF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施工平面</w:t>
            </w:r>
          </w:p>
          <w:p w14:paraId="038DB08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布置和临时设施布置</w:t>
            </w:r>
          </w:p>
          <w:p w14:paraId="5688C07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 2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305194D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357DB79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117BD8F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01552BF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06A0645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【优】总体布置有针对性、合理，较好满足施工需要，符合绿色施工、安全防护、文明施工要求。</w:t>
            </w:r>
          </w:p>
          <w:p w14:paraId="630BFE1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【良】总体布置合理，能满足施工需要，基本符合绿色施工、安全防护、文明施工要求。</w:t>
            </w:r>
          </w:p>
          <w:p w14:paraId="4A3FC7A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【中】总体布置基本合理，基本满足施工需要。</w:t>
            </w:r>
          </w:p>
          <w:p w14:paraId="2F762F1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【差】总体布置不合理，不符合绿色施工、安全防护、文明施工要求。</w:t>
            </w:r>
          </w:p>
        </w:tc>
      </w:tr>
      <w:tr w14:paraId="6CCE15C8">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45DCDF0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项目</w:t>
            </w:r>
          </w:p>
          <w:p w14:paraId="085BF83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管理机构</w:t>
            </w:r>
          </w:p>
          <w:p w14:paraId="4DC794F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
                <w:bCs/>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u w:val="single"/>
                <w:lang w:eastAsia="zh-CN"/>
              </w:rPr>
              <w:t xml:space="preserve"> 3 </w:t>
            </w:r>
            <w:r>
              <w:rPr>
                <w:rFonts w:hint="eastAsia" w:asciiTheme="minorEastAsia" w:hAnsiTheme="minorEastAsia" w:eastAsiaTheme="minorEastAsia" w:cstheme="minorEastAsia"/>
                <w:b/>
                <w:bCs/>
                <w:snapToGrid w:val="0"/>
                <w:color w:val="auto"/>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83D101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【优】得该项评分因素分值的90%～100%（含90%）。</w:t>
            </w:r>
          </w:p>
          <w:p w14:paraId="6D04A04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【良】得该项评分因素分值的80%～90%（含80%）。</w:t>
            </w:r>
          </w:p>
          <w:p w14:paraId="582308F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【中】得该项评分因素分值的70%～80%（含70%）。</w:t>
            </w:r>
          </w:p>
          <w:p w14:paraId="3546E81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515DF47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【优】组织机构形式合理，有完善的指挥系统，生产及质量、绿色施工、安全、文明施工、创优达标监控系统、联络协调系统，项目管理人员内高级职称人员20%（含20%）以上、中级职称人员</w:t>
            </w:r>
            <w:r>
              <w:rPr>
                <w:rFonts w:hint="eastAsia" w:asciiTheme="minorEastAsia" w:hAnsiTheme="minorEastAsia" w:eastAsiaTheme="minorEastAsia" w:cstheme="minorEastAsia"/>
                <w:b/>
                <w:bCs/>
                <w:snapToGrid w:val="0"/>
                <w:color w:val="auto"/>
                <w:kern w:val="0"/>
                <w:sz w:val="21"/>
                <w:szCs w:val="21"/>
                <w:highlight w:val="none"/>
                <w:lang w:eastAsia="zh-CN"/>
              </w:rPr>
              <w:t>及以上职称</w:t>
            </w:r>
            <w:r>
              <w:rPr>
                <w:rFonts w:hint="eastAsia" w:asciiTheme="minorEastAsia" w:hAnsiTheme="minorEastAsia" w:eastAsiaTheme="minorEastAsia" w:cstheme="minorEastAsia"/>
                <w:snapToGrid w:val="0"/>
                <w:color w:val="auto"/>
                <w:kern w:val="0"/>
                <w:sz w:val="21"/>
                <w:szCs w:val="21"/>
                <w:highlight w:val="none"/>
                <w:lang w:eastAsia="zh-CN"/>
              </w:rPr>
              <w:t>60%（含60%）以上。</w:t>
            </w:r>
          </w:p>
          <w:p w14:paraId="2D39ECF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【良】组织机构形式合理，指挥系统，生产及质量、绿色施工、安全、文明施工、创优达标监控系统、联络协调系统齐全，项目管理人员内高级职称人员15%～20%（含15%）、中级职称</w:t>
            </w:r>
            <w:r>
              <w:rPr>
                <w:rFonts w:hint="eastAsia" w:asciiTheme="minorEastAsia" w:hAnsiTheme="minorEastAsia" w:eastAsiaTheme="minorEastAsia" w:cstheme="minorEastAsia"/>
                <w:b/>
                <w:bCs/>
                <w:snapToGrid w:val="0"/>
                <w:color w:val="auto"/>
                <w:kern w:val="0"/>
                <w:sz w:val="21"/>
                <w:szCs w:val="21"/>
                <w:highlight w:val="none"/>
                <w:lang w:eastAsia="zh-CN"/>
              </w:rPr>
              <w:t>及以上职称</w:t>
            </w:r>
            <w:r>
              <w:rPr>
                <w:rFonts w:hint="eastAsia" w:asciiTheme="minorEastAsia" w:hAnsiTheme="minorEastAsia" w:eastAsiaTheme="minorEastAsia" w:cstheme="minorEastAsia"/>
                <w:snapToGrid w:val="0"/>
                <w:color w:val="auto"/>
                <w:kern w:val="0"/>
                <w:sz w:val="21"/>
                <w:szCs w:val="21"/>
                <w:highlight w:val="none"/>
                <w:lang w:eastAsia="zh-CN"/>
              </w:rPr>
              <w:t>人员50%～60%（含50%）。</w:t>
            </w:r>
          </w:p>
          <w:p w14:paraId="7EFCA87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【中】组织机构形式基本合理，有指挥系统，生产及质量、绿色施工、安全、文明施工、创优达标监控系统、联络协调系统，项目管理人员内高级职称人员10%～15%（含10%）、中级职称人员</w:t>
            </w:r>
            <w:r>
              <w:rPr>
                <w:rFonts w:hint="eastAsia" w:asciiTheme="minorEastAsia" w:hAnsiTheme="minorEastAsia" w:eastAsiaTheme="minorEastAsia" w:cstheme="minorEastAsia"/>
                <w:b/>
                <w:bCs/>
                <w:snapToGrid w:val="0"/>
                <w:color w:val="auto"/>
                <w:kern w:val="0"/>
                <w:sz w:val="21"/>
                <w:szCs w:val="21"/>
                <w:highlight w:val="none"/>
                <w:lang w:eastAsia="zh-CN"/>
              </w:rPr>
              <w:t>及以上职称</w:t>
            </w:r>
            <w:r>
              <w:rPr>
                <w:rFonts w:hint="eastAsia" w:asciiTheme="minorEastAsia" w:hAnsiTheme="minorEastAsia" w:eastAsiaTheme="minorEastAsia" w:cstheme="minorEastAsia"/>
                <w:snapToGrid w:val="0"/>
                <w:color w:val="auto"/>
                <w:kern w:val="0"/>
                <w:sz w:val="21"/>
                <w:szCs w:val="21"/>
                <w:highlight w:val="none"/>
                <w:lang w:eastAsia="zh-CN"/>
              </w:rPr>
              <w:t>40%～50%（含40%）。</w:t>
            </w:r>
          </w:p>
          <w:p w14:paraId="52DCAA1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【差】组织机构形式合理，指挥系统，生产及质量、绿色施工、安全、文明施工、创优达标监控系统、联络协调系统不齐全，项目管理人员内高级职称人员10%以下、中级职称人员</w:t>
            </w:r>
            <w:r>
              <w:rPr>
                <w:rFonts w:hint="eastAsia" w:asciiTheme="minorEastAsia" w:hAnsiTheme="minorEastAsia" w:eastAsiaTheme="minorEastAsia" w:cstheme="minorEastAsia"/>
                <w:b/>
                <w:bCs/>
                <w:snapToGrid w:val="0"/>
                <w:color w:val="auto"/>
                <w:kern w:val="0"/>
                <w:sz w:val="21"/>
                <w:szCs w:val="21"/>
                <w:highlight w:val="none"/>
                <w:lang w:eastAsia="zh-CN"/>
              </w:rPr>
              <w:t>及以上职称</w:t>
            </w:r>
            <w:r>
              <w:rPr>
                <w:rFonts w:hint="eastAsia" w:asciiTheme="minorEastAsia" w:hAnsiTheme="minorEastAsia" w:eastAsiaTheme="minorEastAsia" w:cstheme="minorEastAsia"/>
                <w:snapToGrid w:val="0"/>
                <w:color w:val="auto"/>
                <w:kern w:val="0"/>
                <w:sz w:val="21"/>
                <w:szCs w:val="21"/>
                <w:highlight w:val="none"/>
                <w:lang w:eastAsia="zh-CN"/>
              </w:rPr>
              <w:t>40%以下。</w:t>
            </w:r>
          </w:p>
        </w:tc>
      </w:tr>
      <w:tr w14:paraId="3C85E566">
        <w:tblPrEx>
          <w:tblCellMar>
            <w:top w:w="0" w:type="dxa"/>
            <w:left w:w="108" w:type="dxa"/>
            <w:bottom w:w="0" w:type="dxa"/>
            <w:right w:w="108" w:type="dxa"/>
          </w:tblCellMar>
        </w:tblPrEx>
        <w:trPr>
          <w:trHeight w:val="554" w:hRule="exact"/>
          <w:jc w:val="center"/>
        </w:trPr>
        <w:tc>
          <w:tcPr>
            <w:tcW w:w="10307"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30EB054F">
            <w:pPr>
              <w:widowControl w:val="0"/>
              <w:wordWrap w:val="0"/>
              <w:adjustRightInd w:val="0"/>
              <w:snapToGrid w:val="0"/>
              <w:spacing w:line="400" w:lineRule="exact"/>
              <w:jc w:val="both"/>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b/>
                <w:bCs/>
                <w:snapToGrid w:val="0"/>
                <w:color w:val="auto"/>
                <w:kern w:val="0"/>
                <w:sz w:val="24"/>
                <w:szCs w:val="24"/>
                <w:highlight w:val="none"/>
                <w:lang w:val="en-US" w:eastAsia="zh-CN" w:bidi="ar-SA"/>
              </w:rPr>
              <w:t>投标报价部分，满分：100分。</w:t>
            </w:r>
          </w:p>
        </w:tc>
      </w:tr>
      <w:tr w14:paraId="2DE83E06">
        <w:tblPrEx>
          <w:tblCellMar>
            <w:top w:w="0" w:type="dxa"/>
            <w:left w:w="108" w:type="dxa"/>
            <w:bottom w:w="0" w:type="dxa"/>
            <w:right w:w="108" w:type="dxa"/>
          </w:tblCellMar>
        </w:tblPrEx>
        <w:trPr>
          <w:trHeight w:val="451"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75F86B2">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评分事项</w:t>
            </w:r>
          </w:p>
        </w:tc>
        <w:tc>
          <w:tcPr>
            <w:tcW w:w="9091" w:type="dxa"/>
            <w:gridSpan w:val="2"/>
            <w:tcBorders>
              <w:top w:val="single" w:color="auto" w:sz="4" w:space="0"/>
              <w:left w:val="single" w:color="auto" w:sz="4" w:space="0"/>
              <w:bottom w:val="single" w:color="auto" w:sz="4" w:space="0"/>
              <w:right w:val="single" w:color="auto" w:sz="4" w:space="0"/>
            </w:tcBorders>
            <w:noWrap w:val="0"/>
            <w:vAlign w:val="center"/>
          </w:tcPr>
          <w:p w14:paraId="1C0A2435">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评分方法</w:t>
            </w:r>
          </w:p>
        </w:tc>
      </w:tr>
      <w:tr w14:paraId="4571F65B">
        <w:tblPrEx>
          <w:tblCellMar>
            <w:top w:w="0" w:type="dxa"/>
            <w:left w:w="108" w:type="dxa"/>
            <w:bottom w:w="0" w:type="dxa"/>
            <w:right w:w="108" w:type="dxa"/>
          </w:tblCellMar>
        </w:tblPrEx>
        <w:trPr>
          <w:trHeight w:val="632"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19A8768">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评标基准价D</w:t>
            </w:r>
          </w:p>
        </w:tc>
        <w:tc>
          <w:tcPr>
            <w:tcW w:w="9091" w:type="dxa"/>
            <w:gridSpan w:val="2"/>
            <w:tcBorders>
              <w:top w:val="single" w:color="auto" w:sz="4" w:space="0"/>
              <w:left w:val="single" w:color="auto" w:sz="4" w:space="0"/>
              <w:bottom w:val="single" w:color="auto" w:sz="4" w:space="0"/>
              <w:right w:val="single" w:color="auto" w:sz="4" w:space="0"/>
            </w:tcBorders>
            <w:noWrap w:val="0"/>
            <w:vAlign w:val="center"/>
          </w:tcPr>
          <w:p w14:paraId="4BD546C9">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（1）确定</w:t>
            </w:r>
            <w:r>
              <w:rPr>
                <w:rFonts w:hint="eastAsia" w:asciiTheme="minorEastAsia" w:hAnsiTheme="minorEastAsia" w:eastAsiaTheme="minorEastAsia" w:cstheme="minorEastAsia"/>
                <w:snapToGrid/>
                <w:color w:val="auto"/>
                <w:kern w:val="0"/>
                <w:sz w:val="21"/>
                <w:szCs w:val="21"/>
                <w:highlight w:val="none"/>
                <w:lang w:val="en-US" w:eastAsia="zh-CN"/>
              </w:rPr>
              <w:t>最高投标限价</w:t>
            </w:r>
            <w:r>
              <w:rPr>
                <w:rFonts w:hint="eastAsia" w:asciiTheme="minorEastAsia" w:hAnsiTheme="minorEastAsia" w:eastAsiaTheme="minorEastAsia" w:cstheme="minorEastAsia"/>
                <w:snapToGrid/>
                <w:color w:val="auto"/>
                <w:kern w:val="0"/>
                <w:sz w:val="21"/>
                <w:szCs w:val="21"/>
                <w:highlight w:val="none"/>
                <w:lang w:eastAsia="zh-CN"/>
              </w:rPr>
              <w:t>下浮系数n：用1～21号球分别代表一个下浮系数，由评委代表从这21个号码中随机抽取 3 次，每次抽取1个号码，抽出的号球不参与下次抽取。所抽取的3个号码对应下浮系数的算术平均值作为</w:t>
            </w:r>
            <w:r>
              <w:rPr>
                <w:rFonts w:hint="eastAsia" w:asciiTheme="minorEastAsia" w:hAnsiTheme="minorEastAsia" w:eastAsiaTheme="minorEastAsia" w:cstheme="minorEastAsia"/>
                <w:snapToGrid/>
                <w:color w:val="auto"/>
                <w:kern w:val="0"/>
                <w:sz w:val="21"/>
                <w:szCs w:val="21"/>
                <w:highlight w:val="none"/>
                <w:lang w:val="en-US" w:eastAsia="zh-CN"/>
              </w:rPr>
              <w:t>最高投标限价</w:t>
            </w:r>
            <w:r>
              <w:rPr>
                <w:rFonts w:hint="eastAsia" w:asciiTheme="minorEastAsia" w:hAnsiTheme="minorEastAsia" w:eastAsiaTheme="minorEastAsia" w:cstheme="minorEastAsia"/>
                <w:snapToGrid/>
                <w:color w:val="auto"/>
                <w:kern w:val="0"/>
                <w:sz w:val="21"/>
                <w:szCs w:val="21"/>
                <w:highlight w:val="none"/>
                <w:lang w:eastAsia="zh-CN"/>
              </w:rPr>
              <w:t>下浮系数n。具体号码对应的下浮系数见下表。</w:t>
            </w:r>
          </w:p>
          <w:tbl>
            <w:tblPr>
              <w:tblStyle w:val="15"/>
              <w:tblW w:w="0" w:type="auto"/>
              <w:tblInd w:w="113" w:type="dxa"/>
              <w:tblLayout w:type="fixed"/>
              <w:tblCellMar>
                <w:top w:w="0" w:type="dxa"/>
                <w:left w:w="108" w:type="dxa"/>
                <w:bottom w:w="0" w:type="dxa"/>
                <w:right w:w="108" w:type="dxa"/>
              </w:tblCellMar>
            </w:tblPr>
            <w:tblGrid>
              <w:gridCol w:w="1731"/>
              <w:gridCol w:w="938"/>
              <w:gridCol w:w="1100"/>
              <w:gridCol w:w="1050"/>
              <w:gridCol w:w="987"/>
              <w:gridCol w:w="1038"/>
              <w:gridCol w:w="925"/>
              <w:gridCol w:w="850"/>
            </w:tblGrid>
            <w:tr w14:paraId="1663BA35">
              <w:tblPrEx>
                <w:tblCellMar>
                  <w:top w:w="0" w:type="dxa"/>
                  <w:left w:w="108" w:type="dxa"/>
                  <w:bottom w:w="0" w:type="dxa"/>
                  <w:right w:w="108" w:type="dxa"/>
                </w:tblCellMar>
              </w:tblPrEx>
              <w:trPr>
                <w:trHeight w:val="446"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74B596E1">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F17B70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B27ADA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00CD21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B89A54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2324A9D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E94A0E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6</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792023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7</w:t>
                  </w:r>
                </w:p>
              </w:tc>
            </w:tr>
            <w:tr w14:paraId="4B63ADF1">
              <w:tblPrEx>
                <w:tblCellMar>
                  <w:top w:w="0" w:type="dxa"/>
                  <w:left w:w="108" w:type="dxa"/>
                  <w:bottom w:w="0" w:type="dxa"/>
                  <w:right w:w="108" w:type="dxa"/>
                </w:tblCellMar>
              </w:tblPrEx>
              <w:trPr>
                <w:trHeight w:val="637"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7FD2203B">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87F0FF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1.0</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969A8E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01212E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1.2</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607D72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1.3</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665292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1.4</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A7EAE6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0BDDD000">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1.6</w:t>
                  </w:r>
                </w:p>
              </w:tc>
            </w:tr>
            <w:tr w14:paraId="1B4F4DBA">
              <w:tblPrEx>
                <w:tblCellMar>
                  <w:top w:w="0" w:type="dxa"/>
                  <w:left w:w="108" w:type="dxa"/>
                  <w:bottom w:w="0" w:type="dxa"/>
                  <w:right w:w="108" w:type="dxa"/>
                </w:tblCellMar>
              </w:tblPrEx>
              <w:trPr>
                <w:trHeight w:val="571"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4CC38C0A">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30D5CA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22A133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3357DF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10</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5606BDD0">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11</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2DFD77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12</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04BE3E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03A78F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14</w:t>
                  </w:r>
                </w:p>
              </w:tc>
            </w:tr>
            <w:tr w14:paraId="084BC913">
              <w:tblPrEx>
                <w:tblCellMar>
                  <w:top w:w="0" w:type="dxa"/>
                  <w:left w:w="108" w:type="dxa"/>
                  <w:bottom w:w="0" w:type="dxa"/>
                  <w:right w:w="108" w:type="dxa"/>
                </w:tblCellMar>
              </w:tblPrEx>
              <w:trPr>
                <w:trHeight w:val="571"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16A5160E">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F0C871D">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90CFBC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3445A0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1.9</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4918B4D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2.0</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130904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2.1</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34683A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723C87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2.3</w:t>
                  </w:r>
                </w:p>
              </w:tc>
            </w:tr>
            <w:tr w14:paraId="2CEB3C5E">
              <w:tblPrEx>
                <w:tblCellMar>
                  <w:top w:w="0" w:type="dxa"/>
                  <w:left w:w="108" w:type="dxa"/>
                  <w:bottom w:w="0" w:type="dxa"/>
                  <w:right w:w="108" w:type="dxa"/>
                </w:tblCellMar>
              </w:tblPrEx>
              <w:trPr>
                <w:trHeight w:val="522"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75CCD3EC">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C604E5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15</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E66E50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8B96DE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17</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BC245B0">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18</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2ECC96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19</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B8368F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727E09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21</w:t>
                  </w:r>
                </w:p>
              </w:tc>
            </w:tr>
            <w:tr w14:paraId="14A4B290">
              <w:tblPrEx>
                <w:tblCellMar>
                  <w:top w:w="0" w:type="dxa"/>
                  <w:left w:w="108" w:type="dxa"/>
                  <w:bottom w:w="0" w:type="dxa"/>
                  <w:right w:w="108" w:type="dxa"/>
                </w:tblCellMar>
              </w:tblPrEx>
              <w:trPr>
                <w:trHeight w:val="675"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74A763EB">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308F7C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9131F7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C83D66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2.6</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6186FA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2.7</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F38AFA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2.8</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AC89635">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2.9</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B775015">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color w:val="auto"/>
                      <w:kern w:val="2"/>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3.0</w:t>
                  </w:r>
                </w:p>
              </w:tc>
            </w:tr>
          </w:tbl>
          <w:p w14:paraId="70556D9F">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（2）评标基准价D＝</w:t>
            </w:r>
            <w:r>
              <w:rPr>
                <w:rFonts w:hint="eastAsia" w:asciiTheme="minorEastAsia" w:hAnsiTheme="minorEastAsia" w:eastAsiaTheme="minorEastAsia" w:cstheme="minorEastAsia"/>
                <w:snapToGrid/>
                <w:color w:val="auto"/>
                <w:kern w:val="0"/>
                <w:sz w:val="21"/>
                <w:szCs w:val="21"/>
                <w:highlight w:val="none"/>
                <w:lang w:val="en-US" w:eastAsia="zh-CN"/>
              </w:rPr>
              <w:t>最高投标限价</w:t>
            </w:r>
            <w:r>
              <w:rPr>
                <w:rFonts w:hint="eastAsia" w:asciiTheme="minorEastAsia" w:hAnsiTheme="minorEastAsia" w:eastAsiaTheme="minorEastAsia" w:cstheme="minorEastAsia"/>
                <w:snapToGrid/>
                <w:color w:val="auto"/>
                <w:kern w:val="0"/>
                <w:sz w:val="21"/>
                <w:szCs w:val="21"/>
                <w:highlight w:val="none"/>
                <w:lang w:eastAsia="zh-CN"/>
              </w:rPr>
              <w:t>×（1－n）</w:t>
            </w:r>
          </w:p>
        </w:tc>
      </w:tr>
      <w:tr w14:paraId="3B7507FA">
        <w:tblPrEx>
          <w:tblCellMar>
            <w:top w:w="0" w:type="dxa"/>
            <w:left w:w="108" w:type="dxa"/>
            <w:bottom w:w="0" w:type="dxa"/>
            <w:right w:w="108" w:type="dxa"/>
          </w:tblCellMar>
        </w:tblPrEx>
        <w:trPr>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BB2A350">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投标报价</w:t>
            </w:r>
          </w:p>
          <w:p w14:paraId="6EB4E84E">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得分N</w:t>
            </w:r>
          </w:p>
        </w:tc>
        <w:tc>
          <w:tcPr>
            <w:tcW w:w="9091" w:type="dxa"/>
            <w:gridSpan w:val="2"/>
            <w:tcBorders>
              <w:top w:val="single" w:color="auto" w:sz="4" w:space="0"/>
              <w:left w:val="single" w:color="auto" w:sz="4" w:space="0"/>
              <w:bottom w:val="single" w:color="auto" w:sz="4" w:space="0"/>
              <w:right w:val="single" w:color="auto" w:sz="4" w:space="0"/>
            </w:tcBorders>
            <w:noWrap w:val="0"/>
            <w:vAlign w:val="center"/>
          </w:tcPr>
          <w:p w14:paraId="3374F709">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采用内插法计算某投标人的投标报价得分N，即当投标人的投标总价等于评标基准价时得100分，每高于评标基准价一个百分点扣</w:t>
            </w:r>
            <w:r>
              <w:rPr>
                <w:rFonts w:hint="eastAsia" w:asciiTheme="minorEastAsia" w:hAnsiTheme="minorEastAsia" w:eastAsiaTheme="minorEastAsia" w:cstheme="minorEastAsia"/>
                <w:b/>
                <w:bCs/>
                <w:snapToGrid/>
                <w:color w:val="auto"/>
                <w:kern w:val="0"/>
                <w:sz w:val="21"/>
                <w:szCs w:val="21"/>
                <w:highlight w:val="none"/>
                <w:lang w:eastAsia="zh-CN"/>
              </w:rPr>
              <w:t>1分</w:t>
            </w:r>
            <w:r>
              <w:rPr>
                <w:rFonts w:hint="eastAsia" w:asciiTheme="minorEastAsia" w:hAnsiTheme="minorEastAsia" w:eastAsiaTheme="minorEastAsia" w:cstheme="minorEastAsia"/>
                <w:snapToGrid/>
                <w:color w:val="auto"/>
                <w:kern w:val="0"/>
                <w:sz w:val="21"/>
                <w:szCs w:val="21"/>
                <w:highlight w:val="none"/>
                <w:lang w:eastAsia="zh-CN"/>
              </w:rPr>
              <w:t>, 每低于评标基准价一个百分点扣</w:t>
            </w:r>
            <w:r>
              <w:rPr>
                <w:rFonts w:hint="eastAsia" w:asciiTheme="minorEastAsia" w:hAnsiTheme="minorEastAsia" w:eastAsiaTheme="minorEastAsia" w:cstheme="minorEastAsia"/>
                <w:b/>
                <w:bCs/>
                <w:snapToGrid/>
                <w:color w:val="auto"/>
                <w:kern w:val="0"/>
                <w:sz w:val="21"/>
                <w:szCs w:val="21"/>
                <w:highlight w:val="none"/>
                <w:lang w:eastAsia="zh-CN"/>
              </w:rPr>
              <w:t>0.5分</w:t>
            </w:r>
            <w:r>
              <w:rPr>
                <w:rFonts w:hint="eastAsia" w:asciiTheme="minorEastAsia" w:hAnsiTheme="minorEastAsia" w:eastAsiaTheme="minorEastAsia" w:cstheme="minorEastAsia"/>
                <w:snapToGrid/>
                <w:color w:val="auto"/>
                <w:kern w:val="0"/>
                <w:sz w:val="21"/>
                <w:szCs w:val="21"/>
                <w:highlight w:val="none"/>
                <w:lang w:eastAsia="zh-CN"/>
              </w:rPr>
              <w:t>，扣完为止。公式如下：</w:t>
            </w:r>
          </w:p>
          <w:p w14:paraId="1C7D5612">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N＝100－（| Di－D | ÷D）×100×E</w:t>
            </w:r>
          </w:p>
          <w:p w14:paraId="44C3E3A3">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color w:val="auto"/>
                <w:kern w:val="0"/>
                <w:sz w:val="21"/>
                <w:szCs w:val="21"/>
                <w:highlight w:val="none"/>
                <w:lang w:eastAsia="zh-CN"/>
              </w:rPr>
              <w:t>式中：D为评标基准价；Di为某投标人的投标总价；E为扣分因子，当Di＞D时，E＝</w:t>
            </w:r>
            <w:r>
              <w:rPr>
                <w:rFonts w:hint="eastAsia" w:asciiTheme="minorEastAsia" w:hAnsiTheme="minorEastAsia" w:eastAsiaTheme="minorEastAsia" w:cstheme="minorEastAsia"/>
                <w:b/>
                <w:bCs/>
                <w:snapToGrid/>
                <w:color w:val="auto"/>
                <w:kern w:val="0"/>
                <w:sz w:val="21"/>
                <w:szCs w:val="21"/>
                <w:highlight w:val="none"/>
                <w:lang w:eastAsia="zh-CN"/>
              </w:rPr>
              <w:t>1</w:t>
            </w:r>
            <w:r>
              <w:rPr>
                <w:rFonts w:hint="eastAsia" w:asciiTheme="minorEastAsia" w:hAnsiTheme="minorEastAsia" w:eastAsiaTheme="minorEastAsia" w:cstheme="minorEastAsia"/>
                <w:snapToGrid/>
                <w:color w:val="auto"/>
                <w:kern w:val="0"/>
                <w:sz w:val="21"/>
                <w:szCs w:val="21"/>
                <w:highlight w:val="none"/>
                <w:lang w:eastAsia="zh-CN"/>
              </w:rPr>
              <w:t xml:space="preserve"> ；当Di＜D时，E＝</w:t>
            </w:r>
            <w:r>
              <w:rPr>
                <w:rFonts w:hint="eastAsia" w:asciiTheme="minorEastAsia" w:hAnsiTheme="minorEastAsia" w:eastAsiaTheme="minorEastAsia" w:cstheme="minorEastAsia"/>
                <w:b/>
                <w:bCs/>
                <w:snapToGrid/>
                <w:color w:val="auto"/>
                <w:kern w:val="0"/>
                <w:sz w:val="21"/>
                <w:szCs w:val="21"/>
                <w:highlight w:val="none"/>
                <w:lang w:eastAsia="zh-CN"/>
              </w:rPr>
              <w:t>0.5</w:t>
            </w:r>
            <w:r>
              <w:rPr>
                <w:rFonts w:hint="eastAsia" w:asciiTheme="minorEastAsia" w:hAnsiTheme="minorEastAsia" w:eastAsiaTheme="minorEastAsia" w:cstheme="minorEastAsia"/>
                <w:snapToGrid/>
                <w:color w:val="auto"/>
                <w:kern w:val="0"/>
                <w:sz w:val="21"/>
                <w:szCs w:val="21"/>
                <w:highlight w:val="none"/>
                <w:lang w:eastAsia="zh-CN"/>
              </w:rPr>
              <w:t>。</w:t>
            </w:r>
          </w:p>
        </w:tc>
      </w:tr>
    </w:tbl>
    <w:p w14:paraId="4C6CFEE2">
      <w:pPr>
        <w:pStyle w:val="25"/>
        <w:jc w:val="both"/>
        <w:rPr>
          <w:rFonts w:hint="eastAsia"/>
          <w:highlight w:val="none"/>
        </w:rPr>
      </w:pPr>
    </w:p>
    <w:p w14:paraId="4572AFAF">
      <w:pPr>
        <w:keepNext w:val="0"/>
        <w:keepLines w:val="0"/>
        <w:pageBreakBefore w:val="0"/>
        <w:wordWrap w:val="0"/>
        <w:overflowPunct/>
        <w:topLinePunct w:val="0"/>
        <w:bidi w:val="0"/>
        <w:spacing w:before="98" w:line="221" w:lineRule="auto"/>
        <w:ind w:left="4248"/>
        <w:outlineLvl w:val="9"/>
        <w:rPr>
          <w:rFonts w:hint="eastAsia" w:ascii="宋体" w:hAnsi="宋体" w:eastAsia="宋体" w:cs="宋体"/>
          <w:color w:val="auto"/>
          <w:spacing w:val="0"/>
          <w:sz w:val="30"/>
          <w:szCs w:val="30"/>
          <w:highlight w:val="none"/>
        </w:rPr>
      </w:pPr>
    </w:p>
    <w:p w14:paraId="17330DDD">
      <w:pPr>
        <w:keepNext w:val="0"/>
        <w:keepLines w:val="0"/>
        <w:pageBreakBefore w:val="0"/>
        <w:wordWrap w:val="0"/>
        <w:overflowPunct/>
        <w:topLinePunct w:val="0"/>
        <w:bidi w:val="0"/>
        <w:spacing w:before="5"/>
        <w:rPr>
          <w:rFonts w:hint="eastAsia" w:ascii="宋体" w:hAnsi="宋体" w:eastAsia="宋体" w:cs="宋体"/>
          <w:color w:val="auto"/>
          <w:spacing w:val="0"/>
          <w:highlight w:val="none"/>
        </w:rPr>
      </w:pPr>
    </w:p>
    <w:p w14:paraId="4A7BEF82">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bookmarkStart w:id="120" w:name="_Toc5769"/>
      <w:bookmarkStart w:id="121" w:name="_Toc31744"/>
      <w:bookmarkStart w:id="122" w:name="_Toc9725"/>
      <w:bookmarkStart w:id="123" w:name="_Toc17436"/>
      <w:r>
        <w:rPr>
          <w:rFonts w:hint="eastAsia" w:ascii="宋体" w:hAnsi="宋体" w:eastAsia="宋体" w:cs="宋体"/>
          <w:b/>
          <w:bCs/>
          <w:color w:val="auto"/>
          <w:spacing w:val="0"/>
          <w:sz w:val="24"/>
          <w:szCs w:val="24"/>
          <w:highlight w:val="none"/>
        </w:rPr>
        <w:br w:type="page"/>
      </w:r>
    </w:p>
    <w:p w14:paraId="3E3DF6AC">
      <w:pPr>
        <w:keepNext w:val="0"/>
        <w:keepLines w:val="0"/>
        <w:pageBreakBefore w:val="0"/>
        <w:wordWrap w:val="0"/>
        <w:overflowPunct/>
        <w:topLinePunct w:val="0"/>
        <w:bidi w:val="0"/>
        <w:spacing w:before="155" w:line="211" w:lineRule="auto"/>
        <w:ind w:firstLine="482" w:firstLineChars="200"/>
        <w:outlineLvl w:val="9"/>
        <w:rPr>
          <w:rFonts w:hint="eastAsia" w:ascii="宋体" w:hAnsi="宋体" w:eastAsia="宋体" w:cs="宋体"/>
          <w:color w:val="auto"/>
          <w:spacing w:val="0"/>
          <w:sz w:val="25"/>
          <w:szCs w:val="25"/>
          <w:highlight w:val="none"/>
        </w:rPr>
      </w:pPr>
      <w:r>
        <w:rPr>
          <w:rFonts w:hint="eastAsia" w:ascii="宋体" w:hAnsi="宋体" w:eastAsia="宋体" w:cs="宋体"/>
          <w:b/>
          <w:bCs/>
          <w:color w:val="auto"/>
          <w:spacing w:val="0"/>
          <w:sz w:val="24"/>
          <w:szCs w:val="24"/>
          <w:highlight w:val="none"/>
        </w:rPr>
        <w:t xml:space="preserve">15.5.2  </w:t>
      </w:r>
      <w:r>
        <w:rPr>
          <w:rFonts w:hint="eastAsia" w:ascii="宋体" w:hAnsi="宋体" w:eastAsia="宋体" w:cs="宋体"/>
          <w:color w:val="auto"/>
          <w:spacing w:val="0"/>
          <w:sz w:val="24"/>
          <w:szCs w:val="24"/>
          <w:highlight w:val="none"/>
        </w:rPr>
        <w:t>否决投标说明</w:t>
      </w:r>
      <w:bookmarkEnd w:id="120"/>
      <w:bookmarkEnd w:id="121"/>
      <w:bookmarkEnd w:id="122"/>
      <w:bookmarkEnd w:id="123"/>
    </w:p>
    <w:p w14:paraId="7A2EE53E">
      <w:pPr>
        <w:keepNext w:val="0"/>
        <w:keepLines w:val="0"/>
        <w:pageBreakBefore w:val="0"/>
        <w:wordWrap w:val="0"/>
        <w:overflowPunct/>
        <w:topLinePunct w:val="0"/>
        <w:bidi w:val="0"/>
        <w:spacing w:before="150" w:line="332" w:lineRule="auto"/>
        <w:ind w:left="10" w:right="195" w:firstLine="5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详细评审阶段否决投标的全部条件，在本章第四节“否决投标条件 ”第 4 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3E787E43">
      <w:pPr>
        <w:keepNext w:val="0"/>
        <w:keepLines w:val="0"/>
        <w:pageBreakBefore w:val="0"/>
        <w:wordWrap w:val="0"/>
        <w:overflowPunct/>
        <w:topLinePunct w:val="0"/>
        <w:bidi w:val="0"/>
        <w:spacing w:before="59" w:line="330" w:lineRule="auto"/>
        <w:ind w:left="10" w:right="195" w:firstLine="48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温馨提示</w:t>
      </w:r>
      <w:r>
        <w:rPr>
          <w:rFonts w:hint="eastAsia" w:ascii="宋体" w:hAnsi="宋体" w:eastAsia="宋体" w:cs="宋体"/>
          <w:b/>
          <w:bCs/>
          <w:color w:val="auto"/>
          <w:spacing w:val="0"/>
          <w:sz w:val="24"/>
          <w:szCs w:val="24"/>
          <w:highlight w:val="none"/>
        </w:rPr>
        <w:t>：投标人在详细评审阶段根据评分方法提供的佐证材料，其合法性、有效性和准确性不符合要求的，有关量化因素（或评分因素）的折算、调整（或评分）按相应量化标准（或评分标准）处理，但不否决投标。</w:t>
      </w:r>
    </w:p>
    <w:p w14:paraId="69E9356F">
      <w:pPr>
        <w:keepNext w:val="0"/>
        <w:keepLines w:val="0"/>
        <w:pageBreakBefore w:val="0"/>
        <w:wordWrap w:val="0"/>
        <w:overflowPunct/>
        <w:topLinePunct w:val="0"/>
        <w:bidi w:val="0"/>
        <w:spacing w:before="78" w:line="220" w:lineRule="auto"/>
        <w:ind w:left="496"/>
        <w:outlineLvl w:val="2"/>
        <w:rPr>
          <w:rFonts w:hint="eastAsia" w:ascii="宋体" w:hAnsi="宋体" w:eastAsia="宋体" w:cs="宋体"/>
          <w:color w:val="auto"/>
          <w:spacing w:val="0"/>
          <w:sz w:val="24"/>
          <w:szCs w:val="24"/>
          <w:highlight w:val="none"/>
          <w:lang w:eastAsia="zh-CN"/>
        </w:rPr>
      </w:pPr>
      <w:bookmarkStart w:id="124" w:name="bookmark138"/>
      <w:bookmarkEnd w:id="124"/>
      <w:bookmarkStart w:id="125" w:name="bookmark137"/>
      <w:bookmarkEnd w:id="125"/>
      <w:bookmarkStart w:id="126" w:name="_Toc16384"/>
      <w:bookmarkStart w:id="127" w:name="_Toc17027"/>
      <w:bookmarkStart w:id="128" w:name="_Toc8546"/>
      <w:r>
        <w:rPr>
          <w:rFonts w:hint="eastAsia" w:ascii="宋体" w:hAnsi="宋体" w:eastAsia="宋体" w:cs="宋体"/>
          <w:b/>
          <w:bCs/>
          <w:color w:val="auto"/>
          <w:spacing w:val="0"/>
          <w:sz w:val="24"/>
          <w:szCs w:val="24"/>
          <w:highlight w:val="none"/>
        </w:rPr>
        <w:t>16 ．</w:t>
      </w:r>
      <w:r>
        <w:rPr>
          <w:rFonts w:hint="eastAsia" w:ascii="宋体" w:hAnsi="宋体" w:eastAsia="宋体" w:cs="宋体"/>
          <w:b/>
          <w:bCs/>
          <w:color w:val="auto"/>
          <w:spacing w:val="0"/>
          <w:sz w:val="24"/>
          <w:szCs w:val="24"/>
          <w:highlight w:val="none"/>
          <w:lang w:val="en-US" w:eastAsia="zh-CN"/>
        </w:rPr>
        <w:t>定</w:t>
      </w:r>
      <w:r>
        <w:rPr>
          <w:rFonts w:hint="eastAsia" w:ascii="宋体" w:hAnsi="宋体" w:eastAsia="宋体" w:cs="宋体"/>
          <w:b/>
          <w:bCs/>
          <w:color w:val="auto"/>
          <w:spacing w:val="0"/>
          <w:sz w:val="24"/>
          <w:szCs w:val="24"/>
          <w:highlight w:val="none"/>
        </w:rPr>
        <w:t>标</w:t>
      </w:r>
      <w:bookmarkEnd w:id="126"/>
      <w:bookmarkEnd w:id="127"/>
      <w:bookmarkEnd w:id="128"/>
    </w:p>
    <w:p w14:paraId="6E4542A3">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16.</w:t>
      </w:r>
      <w:r>
        <w:rPr>
          <w:rFonts w:hint="eastAsia" w:ascii="宋体" w:hAnsi="宋体" w:eastAsia="宋体" w:cs="宋体"/>
          <w:b/>
          <w:bCs/>
          <w:color w:val="auto"/>
          <w:spacing w:val="0"/>
          <w:sz w:val="24"/>
          <w:szCs w:val="24"/>
          <w:highlight w:val="none"/>
          <w:lang w:val="en-US" w:eastAsia="zh-CN"/>
        </w:rPr>
        <w:t>1</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定标办法</w:t>
      </w:r>
    </w:p>
    <w:p w14:paraId="63682938">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strike w:val="0"/>
          <w:dstrike w:val="0"/>
          <w:color w:val="auto"/>
          <w:kern w:val="2"/>
          <w:sz w:val="24"/>
          <w:szCs w:val="24"/>
          <w:highlight w:val="none"/>
          <w:u w:val="none"/>
          <w:lang w:val="en-US" w:eastAsia="zh-CN" w:bidi="ar-SA"/>
        </w:rPr>
      </w:pPr>
      <w:r>
        <w:rPr>
          <w:rFonts w:hint="eastAsia" w:ascii="宋体" w:hAnsi="宋体" w:eastAsia="宋体" w:cs="宋体"/>
          <w:strike w:val="0"/>
          <w:dstrike w:val="0"/>
          <w:color w:val="auto"/>
          <w:kern w:val="2"/>
          <w:sz w:val="24"/>
          <w:szCs w:val="24"/>
          <w:highlight w:val="none"/>
          <w:u w:val="none"/>
          <w:lang w:val="en-US" w:eastAsia="zh-CN" w:bidi="ar-SA"/>
        </w:rPr>
        <w:t>本项目定标办法由招标人按本投标人须知前附表的规定确定。</w:t>
      </w:r>
    </w:p>
    <w:p w14:paraId="53903B96">
      <w:pPr>
        <w:pStyle w:val="13"/>
        <w:keepNext w:val="0"/>
        <w:keepLines w:val="0"/>
        <w:pageBreakBefore w:val="0"/>
        <w:widowControl w:val="0"/>
        <w:kinsoku/>
        <w:wordWrap/>
        <w:overflowPunct/>
        <w:topLinePunct w:val="0"/>
        <w:autoSpaceDE/>
        <w:autoSpaceDN w:val="0"/>
        <w:bidi w:val="0"/>
        <w:adjustRightInd/>
        <w:snapToGrid/>
        <w:spacing w:before="0" w:beforeLines="0" w:beforeAutospacing="0" w:after="0" w:afterLines="0" w:afterAutospacing="0" w:line="360" w:lineRule="auto"/>
        <w:ind w:left="0" w:leftChars="0" w:right="0" w:rightChars="0" w:firstLine="48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bCs/>
          <w:color w:val="auto"/>
          <w:spacing w:val="0"/>
          <w:sz w:val="24"/>
          <w:szCs w:val="24"/>
          <w:highlight w:val="none"/>
        </w:rPr>
        <w:t>1</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定标依据：</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（1）现行的法律、法规、规章、规范性文件及国家、省、市各级政府部门工作文件规定；</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（2）招标文件及其他补充通知和补充资料；</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（3）评标报告以及定标候选人推荐名单；</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（4）定标候选人的投标文件；</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（5）开、评标全过程资料；</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（6）对定标候选人的考察评价资料（如有）；</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（7）关于本工程的其他相关资料。</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1</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定标监督小组：</w:t>
      </w:r>
      <w:r>
        <w:rPr>
          <w:rFonts w:hint="eastAsia" w:ascii="宋体" w:hAnsi="宋体" w:eastAsia="宋体" w:cs="宋体"/>
          <w:b/>
          <w:bCs/>
          <w:color w:val="auto"/>
          <w:spacing w:val="0"/>
          <w:sz w:val="24"/>
          <w:szCs w:val="24"/>
          <w:highlight w:val="none"/>
          <w:lang w:val="en-US" w:eastAsia="zh-CN"/>
        </w:rPr>
        <w:br w:type="textWrapping"/>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strike w:val="0"/>
          <w:dstrike w:val="0"/>
          <w:color w:val="auto"/>
          <w:kern w:val="2"/>
          <w:sz w:val="24"/>
          <w:szCs w:val="24"/>
          <w:highlight w:val="none"/>
          <w:u w:val="none"/>
          <w:lang w:val="en-US" w:eastAsia="zh-CN"/>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531CF4E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1</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3</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定标委员会：</w:t>
      </w:r>
      <w:r>
        <w:rPr>
          <w:rFonts w:hint="eastAsia" w:ascii="宋体" w:hAnsi="宋体" w:eastAsia="宋体" w:cs="宋体"/>
          <w:b/>
          <w:bCs/>
          <w:color w:val="auto"/>
          <w:spacing w:val="0"/>
          <w:sz w:val="24"/>
          <w:szCs w:val="24"/>
          <w:highlight w:val="none"/>
          <w:lang w:val="en-US" w:eastAsia="zh-CN"/>
        </w:rPr>
        <w:br w:type="textWrapping"/>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val="0"/>
          <w:bCs w:val="0"/>
          <w:color w:val="auto"/>
          <w:sz w:val="24"/>
          <w:szCs w:val="24"/>
          <w:highlight w:val="none"/>
          <w:u w:val="none"/>
          <w:lang w:val="en-US" w:eastAsia="zh-CN"/>
        </w:rPr>
        <w:t>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51E7D2BB">
      <w:pPr>
        <w:keepNext w:val="0"/>
        <w:keepLines w:val="0"/>
        <w:pageBreakBefore w:val="0"/>
        <w:widowControl/>
        <w:kinsoku w:val="0"/>
        <w:wordWrap w:val="0"/>
        <w:overflowPunct/>
        <w:topLinePunct w:val="0"/>
        <w:autoSpaceDE w:val="0"/>
        <w:autoSpaceDN w:val="0"/>
        <w:bidi w:val="0"/>
        <w:adjustRightInd w:val="0"/>
        <w:snapToGrid w:val="0"/>
        <w:spacing w:before="0" w:beforeLines="100" w:line="360" w:lineRule="auto"/>
        <w:ind w:left="239" w:leftChars="114" w:right="0" w:firstLine="241" w:firstLineChars="100"/>
        <w:jc w:val="left"/>
        <w:textAlignment w:val="baseline"/>
        <w:rPr>
          <w:rFonts w:hint="default" w:ascii="宋体" w:hAnsi="宋体" w:eastAsia="宋体" w:cs="宋体"/>
          <w:color w:val="auto"/>
          <w:spacing w:val="0"/>
          <w:sz w:val="24"/>
          <w:szCs w:val="24"/>
          <w:highlight w:val="none"/>
          <w:lang w:val="en-US"/>
        </w:rPr>
      </w:pPr>
      <w:r>
        <w:rPr>
          <w:rFonts w:hint="eastAsia" w:ascii="宋体" w:hAnsi="宋体" w:eastAsia="宋体" w:cs="宋体"/>
          <w:b/>
          <w:bCs/>
          <w:color w:val="auto"/>
          <w:spacing w:val="0"/>
          <w:sz w:val="24"/>
          <w:szCs w:val="24"/>
          <w:highlight w:val="none"/>
          <w:lang w:val="en-US" w:eastAsia="zh-CN"/>
        </w:rPr>
        <w:t>16.4</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w:t>
      </w:r>
      <w:r>
        <w:rPr>
          <w:rFonts w:hint="eastAsia" w:ascii="宋体" w:hAnsi="宋体" w:eastAsia="宋体" w:cs="宋体"/>
          <w:b/>
          <w:bCs/>
          <w:color w:val="auto"/>
          <w:spacing w:val="0"/>
          <w:sz w:val="24"/>
          <w:szCs w:val="24"/>
          <w:highlight w:val="none"/>
        </w:rPr>
        <w:t>标</w:t>
      </w:r>
      <w:r>
        <w:rPr>
          <w:rFonts w:hint="eastAsia" w:ascii="宋体" w:hAnsi="宋体" w:eastAsia="宋体" w:cs="宋体"/>
          <w:b/>
          <w:bCs/>
          <w:color w:val="auto"/>
          <w:spacing w:val="0"/>
          <w:sz w:val="24"/>
          <w:szCs w:val="24"/>
          <w:highlight w:val="none"/>
          <w:lang w:val="en-US" w:eastAsia="zh-CN"/>
        </w:rPr>
        <w:t>细则</w:t>
      </w:r>
    </w:p>
    <w:p w14:paraId="36FC19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本项目采用票决数量法定标。</w:t>
      </w:r>
    </w:p>
    <w:p w14:paraId="3CAC4D2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eastAsia="zh-CN"/>
        </w:rPr>
      </w:pPr>
      <w:r>
        <w:rPr>
          <w:rFonts w:hint="eastAsia" w:ascii="宋体" w:hAnsi="宋体" w:eastAsia="宋体" w:cs="宋体"/>
          <w:b/>
          <w:bCs/>
          <w:color w:val="auto"/>
          <w:spacing w:val="0"/>
          <w:position w:val="0"/>
          <w:sz w:val="24"/>
          <w:szCs w:val="24"/>
          <w:highlight w:val="none"/>
          <w:u w:val="none" w:color="auto"/>
          <w:lang w:val="en-US" w:eastAsia="zh-CN"/>
        </w:rPr>
        <w:t>16.4.1票决数量法程序</w:t>
      </w:r>
    </w:p>
    <w:p w14:paraId="63AA323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i w:val="0"/>
          <w:snapToGrid/>
          <w:color w:val="auto"/>
          <w:sz w:val="24"/>
          <w:szCs w:val="24"/>
          <w:highlight w:val="none"/>
          <w:u w:val="none"/>
          <w:shd w:val="clear" w:color="auto" w:fill="FFFFFF"/>
          <w:lang w:eastAsia="zh-CN"/>
        </w:rPr>
        <w:t>定标委员会根据定标因素对定标候选人进行评审比较后，每名定标委员会成员</w:t>
      </w:r>
      <w:r>
        <w:rPr>
          <w:rFonts w:hint="eastAsia" w:ascii="宋体" w:hAnsi="宋体" w:eastAsia="宋体" w:cs="宋体"/>
          <w:color w:val="auto"/>
          <w:sz w:val="24"/>
          <w:szCs w:val="24"/>
          <w:highlight w:val="none"/>
          <w:u w:val="none"/>
          <w:lang w:val="en-US" w:eastAsia="zh-CN"/>
        </w:rPr>
        <w:t>有且仅有投出1票的权利，1票只能投1名定标候选人，</w:t>
      </w:r>
      <w:r>
        <w:rPr>
          <w:rFonts w:hint="eastAsia" w:ascii="宋体" w:hAnsi="宋体" w:eastAsia="宋体" w:cs="宋体"/>
          <w:b w:val="0"/>
          <w:i w:val="0"/>
          <w:snapToGrid/>
          <w:color w:val="auto"/>
          <w:sz w:val="24"/>
          <w:szCs w:val="24"/>
          <w:highlight w:val="none"/>
          <w:u w:val="none"/>
          <w:shd w:val="clear" w:color="auto" w:fill="FFFFFF"/>
          <w:lang w:eastAsia="zh-CN"/>
        </w:rPr>
        <w:t>进行票决排名确定排序的中标候选人。即各定标委员会成员对定标候选人进行投票，按得票高低推荐排序的前三名中标候选人。</w:t>
      </w:r>
      <w:r>
        <w:rPr>
          <w:rFonts w:hint="eastAsia" w:ascii="宋体" w:hAnsi="宋体" w:eastAsia="宋体" w:cs="宋体"/>
          <w:color w:val="auto"/>
          <w:sz w:val="24"/>
          <w:szCs w:val="24"/>
          <w:highlight w:val="none"/>
          <w:u w:val="none"/>
          <w:lang w:val="en-US" w:eastAsia="zh-CN"/>
        </w:rPr>
        <w:t>若第一轮投票中前三名中标候选人有</w:t>
      </w:r>
      <w:r>
        <w:rPr>
          <w:rFonts w:hint="eastAsia" w:ascii="宋体" w:hAnsi="宋体" w:eastAsia="宋体" w:cs="宋体"/>
          <w:color w:val="auto"/>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宋体" w:hAnsi="宋体" w:eastAsia="宋体" w:cs="宋体"/>
          <w:color w:val="auto"/>
          <w:sz w:val="24"/>
          <w:szCs w:val="24"/>
          <w:highlight w:val="none"/>
          <w:u w:val="none"/>
          <w:lang w:val="en-US" w:eastAsia="zh-CN"/>
        </w:rPr>
        <w:t>直至决出排序的前三名中标候选人。若定标候选人中没有符合评审要求的三名中标候选人，则宣告本次招标失败。</w:t>
      </w:r>
      <w:r>
        <w:rPr>
          <w:rFonts w:hint="eastAsia" w:ascii="宋体" w:hAnsi="宋体" w:eastAsia="宋体" w:cs="宋体"/>
          <w:b w:val="0"/>
          <w:i w:val="0"/>
          <w:snapToGrid/>
          <w:color w:val="auto"/>
          <w:sz w:val="24"/>
          <w:szCs w:val="24"/>
          <w:highlight w:val="none"/>
          <w:u w:val="none"/>
          <w:shd w:val="clear" w:color="auto" w:fill="FFFFFF"/>
          <w:lang w:eastAsia="zh-CN"/>
        </w:rPr>
        <w:t>票决采用记名方式并注明投票理由。</w:t>
      </w:r>
    </w:p>
    <w:p w14:paraId="17640A5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16.4.2</w:t>
      </w:r>
      <w:r>
        <w:rPr>
          <w:rFonts w:hint="eastAsia" w:ascii="宋体" w:hAnsi="宋体" w:eastAsia="宋体" w:cs="宋体"/>
          <w:b/>
          <w:bCs/>
          <w:color w:val="auto"/>
          <w:sz w:val="24"/>
          <w:szCs w:val="24"/>
          <w:highlight w:val="none"/>
          <w:u w:val="none"/>
          <w:shd w:val="clear" w:color="auto" w:fill="FFFFFF"/>
        </w:rPr>
        <w:t>项目情况介绍</w:t>
      </w:r>
    </w:p>
    <w:p w14:paraId="360C77C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招标人代表介绍项目的概况及招标要求，以及定标方法与定标工作规则，不得发表具有倾向性的言论。</w:t>
      </w:r>
    </w:p>
    <w:p w14:paraId="165E1CA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16.4.3</w:t>
      </w:r>
      <w:r>
        <w:rPr>
          <w:rFonts w:hint="eastAsia" w:ascii="宋体" w:hAnsi="宋体" w:eastAsia="宋体" w:cs="宋体"/>
          <w:b/>
          <w:bCs/>
          <w:color w:val="auto"/>
          <w:sz w:val="24"/>
          <w:szCs w:val="24"/>
          <w:highlight w:val="none"/>
          <w:u w:val="none"/>
          <w:shd w:val="clear" w:color="auto" w:fill="FFFFFF"/>
        </w:rPr>
        <w:t>审阅定标资料</w:t>
      </w:r>
    </w:p>
    <w:p w14:paraId="62F8DEB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color w:val="auto"/>
          <w:spacing w:val="0"/>
          <w:position w:val="0"/>
          <w:sz w:val="24"/>
          <w:szCs w:val="24"/>
          <w:highlight w:val="none"/>
          <w:u w:val="none" w:color="auto"/>
          <w:lang w:val="en-US" w:eastAsia="zh-CN"/>
        </w:rPr>
        <w:t>聚焦于项目需求与候选人能力的匹配度</w:t>
      </w:r>
      <w:r>
        <w:rPr>
          <w:rFonts w:hint="eastAsia" w:ascii="宋体" w:hAnsi="宋体" w:eastAsia="宋体" w:cs="宋体"/>
          <w:color w:val="auto"/>
          <w:sz w:val="24"/>
          <w:szCs w:val="24"/>
          <w:highlight w:val="none"/>
          <w:u w:val="none"/>
          <w:shd w:val="clear" w:color="auto" w:fill="FFFFFF"/>
          <w:lang w:eastAsia="zh-CN"/>
        </w:rPr>
        <w:t>。</w:t>
      </w:r>
    </w:p>
    <w:p w14:paraId="31A79E1D">
      <w:pPr>
        <w:pStyle w:val="1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Chars="228"/>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16.4.4</w:t>
      </w:r>
      <w:r>
        <w:rPr>
          <w:rFonts w:hint="eastAsia" w:ascii="宋体" w:hAnsi="宋体" w:eastAsia="宋体" w:cs="宋体"/>
          <w:b/>
          <w:bCs/>
          <w:color w:val="auto"/>
          <w:sz w:val="24"/>
          <w:szCs w:val="24"/>
          <w:highlight w:val="none"/>
          <w:u w:val="none"/>
          <w:shd w:val="clear" w:color="auto" w:fill="FFFFFF"/>
        </w:rPr>
        <w:t>疑问澄清</w:t>
      </w:r>
    </w:p>
    <w:p w14:paraId="6B4CFD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color w:val="auto"/>
          <w:sz w:val="24"/>
          <w:szCs w:val="24"/>
          <w:highlight w:val="none"/>
          <w:u w:val="none"/>
          <w:shd w:val="clear" w:color="auto" w:fill="FFFFFF"/>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2B6C0BD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16.4.5投票，收票，点票和汇总</w:t>
      </w:r>
    </w:p>
    <w:p w14:paraId="5858F55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4497B4D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kern w:val="0"/>
          <w:sz w:val="24"/>
          <w:szCs w:val="24"/>
          <w:highlight w:val="none"/>
          <w:u w:val="none"/>
          <w:shd w:val="clear" w:color="auto" w:fill="FFFFFF"/>
          <w:lang w:val="en-US" w:eastAsia="zh-CN" w:bidi="ar-SA"/>
        </w:rPr>
        <w:t>16.4.6公布结果和出具定标报告</w:t>
      </w:r>
    </w:p>
    <w:p w14:paraId="50825FA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color w:val="auto"/>
          <w:sz w:val="24"/>
          <w:szCs w:val="24"/>
          <w:highlight w:val="none"/>
          <w:lang w:eastAsia="zh-CN"/>
        </w:rPr>
        <w:t>点票工作完成后，定标委员会组长汇总定标结果，编制定标报告，确定中标候选人，全体成员签名。</w:t>
      </w:r>
    </w:p>
    <w:p w14:paraId="04452160">
      <w:pPr>
        <w:pStyle w:val="1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16.4.7</w:t>
      </w:r>
      <w:r>
        <w:rPr>
          <w:rFonts w:hint="eastAsia" w:ascii="宋体" w:hAnsi="宋体" w:eastAsia="宋体" w:cs="宋体"/>
          <w:b/>
          <w:bCs/>
          <w:color w:val="auto"/>
          <w:sz w:val="24"/>
          <w:szCs w:val="24"/>
          <w:highlight w:val="none"/>
          <w:u w:val="none"/>
          <w:shd w:val="clear" w:color="auto" w:fill="FFFFFF"/>
        </w:rPr>
        <w:t>全程监督</w:t>
      </w:r>
    </w:p>
    <w:p w14:paraId="1437427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招标监督小组对集体议定的全过程进行监督，确保程序合规、讨论充分、记录完整，结论形成过程公正、透明。</w:t>
      </w:r>
    </w:p>
    <w:p w14:paraId="5FC8400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16.5定标因素</w:t>
      </w:r>
    </w:p>
    <w:p w14:paraId="6856A3D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i/>
          <w:iCs/>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在同等条件下，择优的定标因素和相对标准有以下几个方面：</w:t>
      </w:r>
    </w:p>
    <w:p w14:paraId="06B0003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16.5.1</w:t>
      </w:r>
      <w:r>
        <w:rPr>
          <w:rFonts w:hint="eastAsia" w:ascii="宋体" w:hAnsi="宋体" w:eastAsia="宋体" w:cs="宋体"/>
          <w:b w:val="0"/>
          <w:bCs w:val="0"/>
          <w:color w:val="auto"/>
          <w:spacing w:val="0"/>
          <w:position w:val="0"/>
          <w:sz w:val="24"/>
          <w:szCs w:val="24"/>
          <w:highlight w:val="none"/>
          <w:u w:val="none" w:color="auto"/>
          <w:lang w:val="en-US" w:eastAsia="zh-CN"/>
        </w:rPr>
        <w:t>拟派团队管理能力与水平（履约能力）</w:t>
      </w:r>
    </w:p>
    <w:p w14:paraId="0B1A86A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相对标准：拟派团队管理能力与水平（履约能力）强的定标候选人优于拟派团队管理能力与水平（履约能力）一般的定标候选人。</w:t>
      </w:r>
    </w:p>
    <w:p w14:paraId="25717E0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16.5.2</w:t>
      </w:r>
      <w:r>
        <w:rPr>
          <w:rFonts w:hint="eastAsia" w:ascii="宋体" w:hAnsi="宋体" w:eastAsia="宋体" w:cs="宋体"/>
          <w:b w:val="0"/>
          <w:bCs w:val="0"/>
          <w:color w:val="auto"/>
          <w:spacing w:val="0"/>
          <w:position w:val="0"/>
          <w:sz w:val="24"/>
          <w:szCs w:val="24"/>
          <w:highlight w:val="none"/>
          <w:u w:val="none" w:color="auto"/>
          <w:lang w:val="en-US" w:eastAsia="zh-CN"/>
        </w:rPr>
        <w:t>企业信誉</w:t>
      </w:r>
    </w:p>
    <w:p w14:paraId="6C40639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相对标准：企业信誉评价好的定标候选人优于企业信誉评价一般的定标候选人。</w:t>
      </w:r>
    </w:p>
    <w:p w14:paraId="63B51B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16.5.3</w:t>
      </w:r>
      <w:r>
        <w:rPr>
          <w:rFonts w:hint="eastAsia" w:ascii="宋体" w:hAnsi="宋体" w:eastAsia="宋体" w:cs="宋体"/>
          <w:b w:val="0"/>
          <w:bCs w:val="0"/>
          <w:color w:val="auto"/>
          <w:spacing w:val="0"/>
          <w:position w:val="0"/>
          <w:sz w:val="24"/>
          <w:szCs w:val="24"/>
          <w:highlight w:val="none"/>
          <w:u w:val="none" w:color="auto"/>
          <w:lang w:val="en-US" w:eastAsia="zh-CN"/>
        </w:rPr>
        <w:t>农民工工资保障情况</w:t>
      </w:r>
    </w:p>
    <w:p w14:paraId="715526B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相对标准：农民工工资保障情况好的定标候选人优于农民工工资保障情况差的定标候选人（结合定标候选人提交的证明材料和招标人查询的材料进行评审）。</w:t>
      </w:r>
    </w:p>
    <w:p w14:paraId="796C44E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default"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16.5.4</w:t>
      </w:r>
      <w:r>
        <w:rPr>
          <w:rFonts w:hint="eastAsia" w:ascii="宋体" w:hAnsi="宋体" w:eastAsia="宋体" w:cs="宋体"/>
          <w:b w:val="0"/>
          <w:bCs w:val="0"/>
          <w:color w:val="auto"/>
          <w:spacing w:val="0"/>
          <w:position w:val="0"/>
          <w:sz w:val="24"/>
          <w:szCs w:val="24"/>
          <w:highlight w:val="none"/>
          <w:u w:val="none" w:color="auto"/>
          <w:lang w:val="en-US" w:eastAsia="zh-CN"/>
        </w:rPr>
        <w:t>企业实力</w:t>
      </w:r>
    </w:p>
    <w:p w14:paraId="189FE33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实力包括企业规模较大、行业主管部门的行业排名比较靠前（如有）、资质等级较高、专业技术人员规模较大、过往业绩（含业绩影响力、难易程度）等方面较多、按时按质完成项目的能力较强、施工期间现场服务及时性较强的定标候选人优于企业实力包括企业规模较小、行业主管部门的行业排名比较靠后（如有）、资质等级较低、专业技术人员规模较小、过往业绩（含业绩影响力、难易程度）等方面较少、按时按质完成项目的能力较弱、施工期间现场服务及时性较弱的定标候选人。</w:t>
      </w:r>
    </w:p>
    <w:p w14:paraId="4067738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16.5.5</w:t>
      </w:r>
      <w:r>
        <w:rPr>
          <w:rFonts w:hint="eastAsia" w:ascii="宋体" w:hAnsi="宋体" w:eastAsia="宋体" w:cs="宋体"/>
          <w:b w:val="0"/>
          <w:bCs w:val="0"/>
          <w:color w:val="auto"/>
          <w:spacing w:val="0"/>
          <w:position w:val="0"/>
          <w:sz w:val="24"/>
          <w:szCs w:val="24"/>
          <w:highlight w:val="none"/>
          <w:u w:val="none" w:color="auto"/>
          <w:lang w:val="en-US" w:eastAsia="zh-CN"/>
        </w:rPr>
        <w:t>技术方案</w:t>
      </w:r>
    </w:p>
    <w:p w14:paraId="5C2F976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技术方案的定标候选人优于技术方案一般的定标候选人。（技术方案对保证措施、施工计划和技术、工艺及工程项目实施的重点、难点分析和解决方案、安全文明施工措施、新技术应用、质量保证和违约责任承诺等的充分考虑，技术方案合理性、科学性、表述清晰、完整、具体、有效并实施可行。）</w:t>
      </w:r>
    </w:p>
    <w:p w14:paraId="78EC39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16.5.6</w:t>
      </w:r>
      <w:r>
        <w:rPr>
          <w:rFonts w:hint="eastAsia" w:ascii="宋体" w:hAnsi="宋体" w:eastAsia="宋体" w:cs="宋体"/>
          <w:b w:val="0"/>
          <w:bCs w:val="0"/>
          <w:color w:val="auto"/>
          <w:spacing w:val="0"/>
          <w:position w:val="0"/>
          <w:sz w:val="24"/>
          <w:szCs w:val="24"/>
          <w:highlight w:val="none"/>
          <w:u w:val="none" w:color="auto"/>
          <w:lang w:val="en-US" w:eastAsia="zh-CN"/>
        </w:rPr>
        <w:t>评标报告</w:t>
      </w:r>
    </w:p>
    <w:p w14:paraId="00EA2B2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相对标准：评标委员会评审意见为具有优势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低</w:t>
      </w:r>
      <w:r>
        <w:rPr>
          <w:rFonts w:hint="eastAsia" w:ascii="宋体" w:hAnsi="宋体" w:eastAsia="宋体" w:cs="宋体"/>
          <w:b w:val="0"/>
          <w:bCs w:val="0"/>
          <w:color w:val="auto"/>
          <w:spacing w:val="0"/>
          <w:position w:val="0"/>
          <w:sz w:val="24"/>
          <w:szCs w:val="24"/>
          <w:highlight w:val="none"/>
          <w:u w:val="none" w:color="auto"/>
          <w:lang w:val="en-US" w:eastAsia="zh-CN"/>
        </w:rPr>
        <w:t>的定标候选人优于评标委员会评审意见为没有优势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高</w:t>
      </w:r>
      <w:r>
        <w:rPr>
          <w:rFonts w:hint="eastAsia" w:ascii="宋体" w:hAnsi="宋体" w:eastAsia="宋体" w:cs="宋体"/>
          <w:b w:val="0"/>
          <w:bCs w:val="0"/>
          <w:color w:val="auto"/>
          <w:spacing w:val="0"/>
          <w:position w:val="0"/>
          <w:sz w:val="24"/>
          <w:szCs w:val="24"/>
          <w:highlight w:val="none"/>
          <w:u w:val="none" w:color="auto"/>
          <w:lang w:val="en-US" w:eastAsia="zh-CN"/>
        </w:rPr>
        <w:t>的</w:t>
      </w:r>
      <w:r>
        <w:rPr>
          <w:rFonts w:hint="eastAsia" w:ascii="宋体" w:hAnsi="宋体" w:eastAsia="宋体" w:cs="宋体"/>
          <w:color w:val="auto"/>
          <w:sz w:val="24"/>
          <w:szCs w:val="24"/>
          <w:highlight w:val="none"/>
        </w:rPr>
        <w:t>定标候选人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综合考虑评标委员会的评审意见，对各定标候选人</w:t>
      </w:r>
      <w:r>
        <w:rPr>
          <w:rFonts w:hint="eastAsia" w:ascii="宋体" w:hAnsi="宋体" w:eastAsia="宋体" w:cs="宋体"/>
          <w:color w:val="auto"/>
          <w:sz w:val="24"/>
          <w:szCs w:val="24"/>
          <w:highlight w:val="none"/>
        </w:rPr>
        <w:t>的优势、风险等评审情况</w:t>
      </w:r>
      <w:r>
        <w:rPr>
          <w:rFonts w:hint="eastAsia" w:ascii="宋体" w:hAnsi="宋体" w:eastAsia="宋体" w:cs="宋体"/>
          <w:b w:val="0"/>
          <w:bCs w:val="0"/>
          <w:color w:val="auto"/>
          <w:spacing w:val="0"/>
          <w:position w:val="0"/>
          <w:sz w:val="24"/>
          <w:szCs w:val="24"/>
          <w:highlight w:val="none"/>
          <w:u w:val="none" w:color="auto"/>
          <w:lang w:val="en-US" w:eastAsia="zh-CN"/>
        </w:rPr>
        <w:t>进行评审比较</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w:t>
      </w:r>
    </w:p>
    <w:p w14:paraId="722502B1">
      <w:pPr>
        <w:keepNext w:val="0"/>
        <w:keepLines w:val="0"/>
        <w:pageBreakBefore w:val="0"/>
        <w:wordWrap w:val="0"/>
        <w:overflowPunct/>
        <w:topLinePunct w:val="0"/>
        <w:bidi w:val="0"/>
        <w:spacing w:before="78" w:line="220" w:lineRule="auto"/>
        <w:ind w:left="496"/>
        <w:outlineLvl w:val="2"/>
        <w:rPr>
          <w:rFonts w:hint="eastAsia" w:ascii="宋体" w:hAnsi="宋体" w:eastAsia="宋体" w:cs="宋体"/>
          <w:b/>
          <w:bCs/>
          <w:color w:val="auto"/>
          <w:spacing w:val="0"/>
          <w:sz w:val="24"/>
          <w:szCs w:val="24"/>
          <w:highlight w:val="none"/>
        </w:rPr>
      </w:pPr>
      <w:bookmarkStart w:id="129" w:name="_Toc11908"/>
      <w:bookmarkStart w:id="130" w:name="_Toc21726"/>
      <w:r>
        <w:rPr>
          <w:rFonts w:hint="eastAsia" w:ascii="宋体" w:hAnsi="宋体" w:eastAsia="宋体" w:cs="宋体"/>
          <w:b/>
          <w:bCs/>
          <w:color w:val="auto"/>
          <w:spacing w:val="0"/>
          <w:sz w:val="24"/>
          <w:szCs w:val="24"/>
          <w:highlight w:val="none"/>
          <w:lang w:val="en-US" w:eastAsia="zh-CN"/>
        </w:rPr>
        <w:t>17</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w:t>
      </w:r>
      <w:r>
        <w:rPr>
          <w:rFonts w:hint="eastAsia" w:ascii="宋体" w:hAnsi="宋体" w:eastAsia="宋体" w:cs="宋体"/>
          <w:b/>
          <w:bCs/>
          <w:color w:val="auto"/>
          <w:spacing w:val="0"/>
          <w:sz w:val="24"/>
          <w:szCs w:val="24"/>
          <w:highlight w:val="none"/>
        </w:rPr>
        <w:t>标</w:t>
      </w:r>
      <w:r>
        <w:rPr>
          <w:rFonts w:hint="eastAsia" w:ascii="宋体" w:hAnsi="宋体" w:eastAsia="宋体" w:cs="宋体"/>
          <w:b/>
          <w:bCs/>
          <w:color w:val="auto"/>
          <w:spacing w:val="0"/>
          <w:sz w:val="24"/>
          <w:szCs w:val="24"/>
          <w:highlight w:val="none"/>
          <w:lang w:val="en-US" w:eastAsia="zh-CN"/>
        </w:rPr>
        <w:t>结果</w:t>
      </w:r>
      <w:r>
        <w:rPr>
          <w:rFonts w:hint="eastAsia" w:ascii="宋体" w:hAnsi="宋体" w:eastAsia="宋体" w:cs="宋体"/>
          <w:b/>
          <w:bCs/>
          <w:color w:val="auto"/>
          <w:spacing w:val="0"/>
          <w:sz w:val="24"/>
          <w:szCs w:val="24"/>
          <w:highlight w:val="none"/>
        </w:rPr>
        <w:t>公示</w:t>
      </w:r>
      <w:bookmarkEnd w:id="129"/>
      <w:bookmarkEnd w:id="130"/>
    </w:p>
    <w:p w14:paraId="2497A66C">
      <w:pPr>
        <w:keepNext w:val="0"/>
        <w:keepLines w:val="0"/>
        <w:pageBreakBefore w:val="0"/>
        <w:widowControl/>
        <w:kinsoku w:val="0"/>
        <w:wordWrap w:val="0"/>
        <w:overflowPunct/>
        <w:topLinePunct w:val="0"/>
        <w:autoSpaceDE w:val="0"/>
        <w:autoSpaceDN w:val="0"/>
        <w:bidi w:val="0"/>
        <w:adjustRightInd w:val="0"/>
        <w:snapToGrid w:val="0"/>
        <w:spacing w:before="60" w:line="360" w:lineRule="auto"/>
        <w:ind w:left="567" w:right="108"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strike w:val="0"/>
          <w:dstrike w:val="0"/>
          <w:color w:val="auto"/>
          <w:kern w:val="2"/>
          <w:sz w:val="24"/>
          <w:szCs w:val="24"/>
          <w:highlight w:val="none"/>
          <w:u w:val="none"/>
          <w:lang w:val="en-US" w:eastAsia="zh-CN" w:bidi="ar-SA"/>
        </w:rPr>
        <w:t>定标委员会完成定标后，招标人应于定标会结束后3日内将中标候选人和定标情况在</w:t>
      </w:r>
      <w:r>
        <w:rPr>
          <w:rFonts w:hint="eastAsia" w:ascii="宋体" w:hAnsi="宋体" w:eastAsia="宋体" w:cs="宋体"/>
          <w:color w:val="auto"/>
          <w:spacing w:val="0"/>
          <w:sz w:val="24"/>
          <w:szCs w:val="24"/>
          <w:highlight w:val="none"/>
        </w:rPr>
        <w:t>广东省招标投标监管网（http://zbtb.gd.gov.cn）、全国公共资源交易平台（广东省 ·韶关市）（https://ygp.gdzwfw.gov.cn/ggzy-portal/#/440200/index）进行公示。</w:t>
      </w:r>
    </w:p>
    <w:p w14:paraId="7351A8F5">
      <w:pP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14:paraId="4598D3DD">
      <w:pPr>
        <w:keepNext w:val="0"/>
        <w:keepLines w:val="0"/>
        <w:pageBreakBefore w:val="0"/>
        <w:wordWrap w:val="0"/>
        <w:overflowPunct/>
        <w:topLinePunct w:val="0"/>
        <w:bidi w:val="0"/>
        <w:spacing w:before="78" w:line="220" w:lineRule="auto"/>
        <w:ind w:left="9"/>
        <w:jc w:val="center"/>
        <w:outlineLvl w:val="1"/>
        <w:rPr>
          <w:rFonts w:hint="eastAsia" w:ascii="宋体" w:hAnsi="宋体" w:eastAsia="宋体" w:cs="宋体"/>
          <w:color w:val="auto"/>
          <w:spacing w:val="0"/>
          <w:sz w:val="24"/>
          <w:szCs w:val="24"/>
          <w:highlight w:val="none"/>
        </w:rPr>
      </w:pPr>
      <w:bookmarkStart w:id="131" w:name="_Toc2600"/>
      <w:r>
        <w:rPr>
          <w:rFonts w:hint="eastAsia" w:ascii="宋体" w:hAnsi="宋体" w:eastAsia="宋体" w:cs="宋体"/>
          <w:b/>
          <w:bCs/>
          <w:color w:val="auto"/>
          <w:spacing w:val="0"/>
          <w:sz w:val="24"/>
          <w:szCs w:val="24"/>
          <w:highlight w:val="none"/>
        </w:rPr>
        <w:t>第四节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否决投标条件</w:t>
      </w:r>
      <w:bookmarkEnd w:id="131"/>
    </w:p>
    <w:p w14:paraId="46F7EEA7">
      <w:pPr>
        <w:pStyle w:val="6"/>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602D2B7C">
      <w:pPr>
        <w:keepNext w:val="0"/>
        <w:keepLines w:val="0"/>
        <w:pageBreakBefore w:val="0"/>
        <w:wordWrap w:val="0"/>
        <w:overflowPunct/>
        <w:topLinePunct w:val="0"/>
        <w:bidi w:val="0"/>
        <w:spacing w:before="78" w:line="330" w:lineRule="auto"/>
        <w:ind w:left="10" w:right="65"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本节所集中列示的否决投标条件，是本章第三节“投标人须知正文 ”的组成部分，是对本章第三节所规定的否决投标条件的总结和补充。</w:t>
      </w:r>
      <w:r>
        <w:rPr>
          <w:rFonts w:hint="eastAsia" w:ascii="宋体" w:hAnsi="宋体" w:eastAsia="宋体" w:cs="宋体"/>
          <w:b/>
          <w:bCs/>
          <w:color w:val="auto"/>
          <w:spacing w:val="0"/>
          <w:sz w:val="24"/>
          <w:szCs w:val="24"/>
          <w:highlight w:val="none"/>
        </w:rPr>
        <w:t>投标人未有列入本节情形的，评标时一律不得否决其投标。</w:t>
      </w:r>
      <w:r>
        <w:rPr>
          <w:rFonts w:hint="eastAsia" w:ascii="宋体" w:hAnsi="宋体" w:eastAsia="宋体" w:cs="宋体"/>
          <w:color w:val="auto"/>
          <w:spacing w:val="0"/>
          <w:sz w:val="24"/>
          <w:szCs w:val="24"/>
          <w:highlight w:val="none"/>
        </w:rPr>
        <w:t>本节所称“规定 ”均指招标文件的规定。</w:t>
      </w:r>
    </w:p>
    <w:p w14:paraId="112C2E94">
      <w:pPr>
        <w:keepNext w:val="0"/>
        <w:keepLines w:val="0"/>
        <w:pageBreakBefore w:val="0"/>
        <w:wordWrap w:val="0"/>
        <w:overflowPunct/>
        <w:topLinePunct w:val="0"/>
        <w:bidi w:val="0"/>
        <w:spacing w:before="34" w:line="220" w:lineRule="auto"/>
        <w:ind w:left="495"/>
        <w:outlineLvl w:val="2"/>
        <w:rPr>
          <w:rFonts w:hint="eastAsia" w:ascii="宋体" w:hAnsi="宋体" w:eastAsia="宋体" w:cs="宋体"/>
          <w:color w:val="auto"/>
          <w:spacing w:val="0"/>
          <w:sz w:val="24"/>
          <w:szCs w:val="24"/>
          <w:highlight w:val="none"/>
        </w:rPr>
      </w:pPr>
      <w:bookmarkStart w:id="132" w:name="_Toc21422"/>
      <w:r>
        <w:rPr>
          <w:rFonts w:hint="eastAsia" w:ascii="宋体" w:hAnsi="宋体" w:eastAsia="宋体" w:cs="宋体"/>
          <w:b/>
          <w:bCs/>
          <w:color w:val="auto"/>
          <w:spacing w:val="0"/>
          <w:sz w:val="24"/>
          <w:szCs w:val="24"/>
          <w:highlight w:val="none"/>
        </w:rPr>
        <w:t>1 ．资格评审环节</w:t>
      </w:r>
      <w:bookmarkEnd w:id="132"/>
    </w:p>
    <w:p w14:paraId="74FEF03C">
      <w:pPr>
        <w:keepNext w:val="0"/>
        <w:keepLines w:val="0"/>
        <w:pageBreakBefore w:val="0"/>
        <w:wordWrap w:val="0"/>
        <w:overflowPunct/>
        <w:topLinePunct w:val="0"/>
        <w:bidi w:val="0"/>
        <w:spacing w:before="152" w:line="327" w:lineRule="auto"/>
        <w:ind w:left="13" w:right="65" w:firstLine="47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投标人有下列情形之一的，评标委员会应否决其投标。被否决的投标人，不进入形式评审环节。</w:t>
      </w:r>
    </w:p>
    <w:p w14:paraId="45FE5554">
      <w:pPr>
        <w:keepNext w:val="0"/>
        <w:keepLines w:val="0"/>
        <w:pageBreakBefore w:val="0"/>
        <w:wordWrap w:val="0"/>
        <w:overflowPunct/>
        <w:topLinePunct w:val="0"/>
        <w:bidi w:val="0"/>
        <w:spacing w:before="32" w:line="219" w:lineRule="auto"/>
        <w:ind w:left="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（1）有本章第三节第 </w:t>
      </w: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条“禁止投标条款 ”规定的任何一种情形；</w:t>
      </w:r>
    </w:p>
    <w:p w14:paraId="03414978">
      <w:pPr>
        <w:keepNext w:val="0"/>
        <w:keepLines w:val="0"/>
        <w:pageBreakBefore w:val="0"/>
        <w:wordWrap w:val="0"/>
        <w:overflowPunct/>
        <w:topLinePunct w:val="0"/>
        <w:bidi w:val="0"/>
        <w:spacing w:before="154" w:line="220" w:lineRule="auto"/>
        <w:ind w:left="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（2）投标人资质不符合规定的；</w:t>
      </w:r>
    </w:p>
    <w:p w14:paraId="32EED32B">
      <w:pPr>
        <w:keepNext w:val="0"/>
        <w:keepLines w:val="0"/>
        <w:pageBreakBefore w:val="0"/>
        <w:wordWrap w:val="0"/>
        <w:overflowPunct/>
        <w:topLinePunct w:val="0"/>
        <w:bidi w:val="0"/>
        <w:spacing w:before="153" w:line="315" w:lineRule="auto"/>
        <w:ind w:right="57" w:firstLine="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名称与营业执照、资质证书、安全生产许可证上的企业名称相互不一致的；其资质证书、安全生产许可证不是由住房城乡建设主管部门颁发的；营业执照、资质证书、安全生产许可证（含实时网页查询页，可参考网址 https://zlaq.mohurd.gov.cn/fwmh/bjxcjgl/fwmh/pages/construction_safety/qyaqscxkz/qyaqscxkz）被吊销、暂扣或不在有效期内的；</w:t>
      </w:r>
    </w:p>
    <w:p w14:paraId="0F2A74BC">
      <w:pPr>
        <w:keepNext w:val="0"/>
        <w:keepLines w:val="0"/>
        <w:pageBreakBefore w:val="0"/>
        <w:wordWrap w:val="0"/>
        <w:overflowPunct/>
        <w:topLinePunct w:val="0"/>
        <w:bidi w:val="0"/>
        <w:spacing w:before="153" w:line="330" w:lineRule="auto"/>
        <w:ind w:left="9" w:right="66" w:firstLine="48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43462506">
      <w:pPr>
        <w:keepNext w:val="0"/>
        <w:keepLines w:val="0"/>
        <w:pageBreakBefore w:val="0"/>
        <w:wordWrap w:val="0"/>
        <w:overflowPunct/>
        <w:topLinePunct w:val="0"/>
        <w:bidi w:val="0"/>
        <w:spacing w:before="32" w:line="325" w:lineRule="auto"/>
        <w:ind w:left="10" w:right="65" w:firstLine="49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（4）拟派项目经理、项目技术负责人、专职安全员的条件不符合规定的；拟派专职安全员数量不符合规定的；项目技术负责人未在投标文件《项目技术负责人简历表》中签</w:t>
      </w:r>
      <w:r>
        <w:rPr>
          <w:rFonts w:hint="eastAsia" w:ascii="宋体" w:hAnsi="宋体" w:eastAsia="宋体" w:cs="宋体"/>
          <w:color w:val="auto"/>
          <w:spacing w:val="0"/>
          <w:sz w:val="24"/>
          <w:szCs w:val="24"/>
          <w:highlight w:val="none"/>
          <w:lang w:eastAsia="zh-CN"/>
        </w:rPr>
        <w:t>字确认。</w:t>
      </w:r>
    </w:p>
    <w:p w14:paraId="1444556B">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温馨提示：建造师打印电子证书后，应在个人签名处手写本人签名，未手写签名或与签名图像笔迹不一致的，该电子证书无效。</w:t>
      </w:r>
    </w:p>
    <w:p w14:paraId="4C6FF416">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项目经理简历表》中拟派项目经理与《开标一览表》不一致的；拟派的项目经理未在投标文件《项目经理简历表》中签字确认；一级建造师的注册证书不是国家住建部颁发的；二级建造师的电子注册证书不是省级住建厅颁发的；建造师的注册单位与投标人不一致的；项目管理班子组成人员的各类证书、证件、证明不在有效期内的（</w:t>
      </w:r>
      <w:r>
        <w:rPr>
          <w:rFonts w:hint="eastAsia" w:ascii="宋体" w:hAnsi="宋体" w:eastAsia="宋体" w:cs="宋体"/>
          <w:b/>
          <w:bCs/>
          <w:color w:val="auto"/>
          <w:spacing w:val="0"/>
          <w:sz w:val="24"/>
          <w:szCs w:val="24"/>
          <w:highlight w:val="none"/>
        </w:rPr>
        <w:t>建造师注册证书不在使用有效期内的</w:t>
      </w:r>
      <w:r>
        <w:rPr>
          <w:rFonts w:hint="eastAsia" w:ascii="宋体" w:hAnsi="宋体" w:eastAsia="宋体" w:cs="宋体"/>
          <w:color w:val="auto"/>
          <w:spacing w:val="0"/>
          <w:sz w:val="24"/>
          <w:szCs w:val="24"/>
          <w:highlight w:val="none"/>
        </w:rPr>
        <w:t>）；擅自修改、遗漏《项目经理任职声明》实质性内容的；</w:t>
      </w:r>
    </w:p>
    <w:p w14:paraId="798C8207">
      <w:pPr>
        <w:keepNext w:val="0"/>
        <w:keepLines w:val="0"/>
        <w:pageBreakBefore w:val="0"/>
        <w:wordWrap w:val="0"/>
        <w:overflowPunct/>
        <w:topLinePunct w:val="0"/>
        <w:bidi w:val="0"/>
        <w:spacing w:before="1" w:line="293" w:lineRule="auto"/>
        <w:ind w:left="28" w:right="66" w:firstLine="462"/>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注：投标人已经工商变更，但其员工执业资格注册证书的注册单位名称未完成变更的，不得否决其投标。</w:t>
      </w:r>
    </w:p>
    <w:p w14:paraId="4F7B3592">
      <w:pPr>
        <w:keepNext w:val="0"/>
        <w:keepLines w:val="0"/>
        <w:pageBreakBefore w:val="0"/>
        <w:wordWrap w:val="0"/>
        <w:overflowPunct/>
        <w:topLinePunct w:val="0"/>
        <w:bidi w:val="0"/>
        <w:spacing w:before="153" w:line="330" w:lineRule="auto"/>
        <w:ind w:left="9" w:right="66" w:firstLine="480"/>
        <w:jc w:val="both"/>
        <w:rPr>
          <w:rFonts w:hint="eastAsia" w:ascii="宋体" w:hAnsi="宋体" w:eastAsia="宋体" w:cs="宋体"/>
          <w:b/>
          <w:bCs/>
          <w:color w:val="auto"/>
          <w:spacing w:val="0"/>
          <w:sz w:val="24"/>
          <w:szCs w:val="24"/>
          <w:highlight w:val="none"/>
        </w:rPr>
      </w:pPr>
      <w:bookmarkStart w:id="133" w:name="OLE_LINK27"/>
      <w:r>
        <w:rPr>
          <w:rFonts w:hint="eastAsia" w:ascii="宋体" w:hAnsi="宋体" w:eastAsia="宋体" w:cs="宋体"/>
          <w:b/>
          <w:bCs/>
          <w:color w:val="auto"/>
          <w:spacing w:val="0"/>
          <w:sz w:val="24"/>
          <w:szCs w:val="24"/>
          <w:highlight w:val="none"/>
        </w:rPr>
        <w:t>鉴于目前继续教育开展的实际情况，建筑和市政工程施工现场专业人员（例如：施</w:t>
      </w:r>
      <w:bookmarkStart w:id="134" w:name="bookmark139"/>
      <w:bookmarkEnd w:id="134"/>
      <w:r>
        <w:rPr>
          <w:rFonts w:hint="eastAsia" w:ascii="宋体" w:hAnsi="宋体" w:eastAsia="宋体" w:cs="宋体"/>
          <w:b/>
          <w:bCs/>
          <w:color w:val="auto"/>
          <w:spacing w:val="0"/>
          <w:sz w:val="24"/>
          <w:szCs w:val="24"/>
          <w:highlight w:val="none"/>
        </w:rPr>
        <w:t>工员、质量员、材料员、资料员）的岗位证书或培训证书不审查其证书的有效期。</w:t>
      </w:r>
      <w:bookmarkEnd w:id="133"/>
    </w:p>
    <w:p w14:paraId="0F791476">
      <w:pPr>
        <w:keepNext w:val="0"/>
        <w:keepLines w:val="0"/>
        <w:pageBreakBefore w:val="0"/>
        <w:wordWrap w:val="0"/>
        <w:overflowPunct/>
        <w:topLinePunct w:val="0"/>
        <w:bidi w:val="0"/>
        <w:spacing w:before="146" w:line="220" w:lineRule="auto"/>
        <w:ind w:left="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（6）招标文件规定不接受联合体投标，但以联合体投标的；</w:t>
      </w:r>
    </w:p>
    <w:p w14:paraId="2C69257C">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（7）联合体投标，未提交《联合体协议书》的；擅自修改、遗漏《联合体协议书》实质性内容的；联合体成员的数量、资质不符合规定的；联合体成员同时以自己名义单独投标或者参加其他联合体投标的；</w:t>
      </w:r>
    </w:p>
    <w:p w14:paraId="50011199">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8</w:t>
      </w:r>
      <w:r>
        <w:rPr>
          <w:rFonts w:hint="eastAsia" w:ascii="宋体" w:hAnsi="宋体" w:eastAsia="宋体" w:cs="宋体"/>
          <w:color w:val="auto"/>
          <w:spacing w:val="0"/>
          <w:sz w:val="24"/>
          <w:szCs w:val="24"/>
          <w:highlight w:val="none"/>
        </w:rPr>
        <w:t>）投标人为外省建筑企业，但未提供“进粤企业和人员诚信信息登记平台 ”企业和拟派人员信息情况打印页或网页截图的。</w:t>
      </w:r>
    </w:p>
    <w:p w14:paraId="4A7BFED6">
      <w:pPr>
        <w:keepNext w:val="0"/>
        <w:keepLines w:val="0"/>
        <w:pageBreakBefore w:val="0"/>
        <w:wordWrap w:val="0"/>
        <w:overflowPunct/>
        <w:topLinePunct w:val="0"/>
        <w:bidi w:val="0"/>
        <w:spacing w:before="154" w:line="221" w:lineRule="auto"/>
        <w:ind w:left="477"/>
        <w:outlineLvl w:val="2"/>
        <w:rPr>
          <w:rFonts w:hint="eastAsia" w:ascii="宋体" w:hAnsi="宋体" w:eastAsia="宋体" w:cs="宋体"/>
          <w:color w:val="auto"/>
          <w:spacing w:val="0"/>
          <w:sz w:val="24"/>
          <w:szCs w:val="24"/>
          <w:highlight w:val="none"/>
        </w:rPr>
      </w:pPr>
      <w:bookmarkStart w:id="135" w:name="_Toc28571"/>
      <w:r>
        <w:rPr>
          <w:rFonts w:hint="eastAsia" w:ascii="宋体" w:hAnsi="宋体" w:eastAsia="宋体" w:cs="宋体"/>
          <w:b/>
          <w:bCs/>
          <w:color w:val="auto"/>
          <w:spacing w:val="0"/>
          <w:sz w:val="24"/>
          <w:szCs w:val="24"/>
          <w:highlight w:val="none"/>
        </w:rPr>
        <w:t>2 ．形式评审环节</w:t>
      </w:r>
      <w:bookmarkEnd w:id="135"/>
    </w:p>
    <w:p w14:paraId="33654F10">
      <w:pPr>
        <w:keepNext w:val="0"/>
        <w:keepLines w:val="0"/>
        <w:pageBreakBefore w:val="0"/>
        <w:wordWrap w:val="0"/>
        <w:overflowPunct/>
        <w:topLinePunct w:val="0"/>
        <w:bidi w:val="0"/>
        <w:spacing w:before="151" w:line="327" w:lineRule="auto"/>
        <w:ind w:right="200" w:firstLine="48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投标人有下列情形之一的，评标委员会应否决其投标。被否决的投标人，不进入响应性评审环节。</w:t>
      </w:r>
    </w:p>
    <w:p w14:paraId="4BAC9BEA">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（1）各分册没按招标文件规定加盖电子印章；</w:t>
      </w:r>
    </w:p>
    <w:p w14:paraId="6E2B21D1">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（2）本章第三节第 </w:t>
      </w:r>
      <w:r>
        <w:rPr>
          <w:rFonts w:hint="eastAsia" w:ascii="宋体" w:hAnsi="宋体" w:eastAsia="宋体" w:cs="宋体"/>
          <w:b/>
          <w:bCs/>
          <w:color w:val="auto"/>
          <w:spacing w:val="0"/>
          <w:sz w:val="24"/>
          <w:szCs w:val="24"/>
          <w:highlight w:val="none"/>
        </w:rPr>
        <w:t>10.2.2</w:t>
      </w:r>
      <w:r>
        <w:rPr>
          <w:rFonts w:hint="eastAsia" w:ascii="宋体" w:hAnsi="宋体" w:eastAsia="宋体" w:cs="宋体"/>
          <w:color w:val="auto"/>
          <w:spacing w:val="0"/>
          <w:sz w:val="24"/>
          <w:szCs w:val="24"/>
          <w:highlight w:val="none"/>
        </w:rPr>
        <w:t xml:space="preserve"> 目、第 </w:t>
      </w:r>
      <w:r>
        <w:rPr>
          <w:rFonts w:hint="eastAsia" w:ascii="宋体" w:hAnsi="宋体" w:eastAsia="宋体" w:cs="宋体"/>
          <w:b/>
          <w:bCs/>
          <w:color w:val="auto"/>
          <w:spacing w:val="0"/>
          <w:sz w:val="24"/>
          <w:szCs w:val="24"/>
          <w:highlight w:val="none"/>
        </w:rPr>
        <w:t>10.3.2</w:t>
      </w:r>
      <w:r>
        <w:rPr>
          <w:rFonts w:hint="eastAsia" w:ascii="宋体" w:hAnsi="宋体" w:eastAsia="宋体" w:cs="宋体"/>
          <w:color w:val="auto"/>
          <w:spacing w:val="0"/>
          <w:sz w:val="24"/>
          <w:szCs w:val="24"/>
          <w:highlight w:val="none"/>
        </w:rPr>
        <w:t xml:space="preserve"> 目、第 </w:t>
      </w:r>
      <w:r>
        <w:rPr>
          <w:rFonts w:hint="eastAsia" w:ascii="宋体" w:hAnsi="宋体" w:eastAsia="宋体" w:cs="宋体"/>
          <w:b/>
          <w:bCs/>
          <w:color w:val="auto"/>
          <w:spacing w:val="0"/>
          <w:sz w:val="24"/>
          <w:szCs w:val="24"/>
          <w:highlight w:val="none"/>
        </w:rPr>
        <w:t>10.4.3</w:t>
      </w:r>
      <w:r>
        <w:rPr>
          <w:rFonts w:hint="eastAsia" w:ascii="宋体" w:hAnsi="宋体" w:eastAsia="宋体" w:cs="宋体"/>
          <w:color w:val="auto"/>
          <w:spacing w:val="0"/>
          <w:sz w:val="24"/>
          <w:szCs w:val="24"/>
          <w:highlight w:val="none"/>
        </w:rPr>
        <w:t xml:space="preserve"> 目中规定的“所有投标人均应提供 ”的组成内容（包括该组成内容的所附资料）中，任何一项有缺漏的；</w:t>
      </w:r>
    </w:p>
    <w:p w14:paraId="36D3CEC6">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关键字迹模糊、无法辨认，且该种过错将导致评标委员会无法判断投标文件是否响应招标文件实质性要求的；有涂改、行间插字或删除，但未加盖单位章或由投标人的法定代表人或其委托代理人签字确认的；</w:t>
      </w:r>
    </w:p>
    <w:p w14:paraId="5FFF89B9">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（4）投标文件未按规定签字、盖章的。</w:t>
      </w:r>
    </w:p>
    <w:p w14:paraId="707E04F7">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（5）招标文件规定施工组织设计采用“暗标 ”方式进行评审，但施工组织设计的规格颜色、文字排版、正文篇幅（若有）不符合规定的；其任何部位出现手写以及涂改、 行间插字或删除痕迹的；其任何部位出现投标人的名称和其它可识别投标人身份的字符、徽标、人员名称以及其他特殊标记的。</w:t>
      </w:r>
    </w:p>
    <w:p w14:paraId="1C64F3A3">
      <w:pPr>
        <w:keepNext w:val="0"/>
        <w:keepLines w:val="0"/>
        <w:pageBreakBefore w:val="0"/>
        <w:wordWrap w:val="0"/>
        <w:overflowPunct/>
        <w:topLinePunct w:val="0"/>
        <w:bidi w:val="0"/>
        <w:spacing w:before="227" w:line="221" w:lineRule="auto"/>
        <w:ind w:left="475"/>
        <w:outlineLvl w:val="2"/>
        <w:rPr>
          <w:rFonts w:hint="eastAsia" w:ascii="宋体" w:hAnsi="宋体" w:eastAsia="宋体" w:cs="宋体"/>
          <w:color w:val="auto"/>
          <w:spacing w:val="0"/>
          <w:sz w:val="24"/>
          <w:szCs w:val="24"/>
          <w:highlight w:val="none"/>
        </w:rPr>
      </w:pPr>
      <w:bookmarkStart w:id="136" w:name="_Toc21573"/>
      <w:r>
        <w:rPr>
          <w:rFonts w:hint="eastAsia" w:ascii="宋体" w:hAnsi="宋体" w:eastAsia="宋体" w:cs="宋体"/>
          <w:b/>
          <w:bCs/>
          <w:color w:val="auto"/>
          <w:spacing w:val="0"/>
          <w:sz w:val="24"/>
          <w:szCs w:val="24"/>
          <w:highlight w:val="none"/>
        </w:rPr>
        <w:t>3 ．响应性评审环节</w:t>
      </w:r>
      <w:bookmarkEnd w:id="136"/>
    </w:p>
    <w:p w14:paraId="023371C4">
      <w:pPr>
        <w:keepNext w:val="0"/>
        <w:keepLines w:val="0"/>
        <w:pageBreakBefore w:val="0"/>
        <w:wordWrap w:val="0"/>
        <w:overflowPunct/>
        <w:topLinePunct w:val="0"/>
        <w:bidi w:val="0"/>
        <w:spacing w:before="151" w:line="327" w:lineRule="auto"/>
        <w:ind w:left="1" w:right="200" w:firstLine="48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投标人有下列情形之一的，评标委员会应否决其投标。被否决的投标人，不进入详细评审阶段。</w:t>
      </w:r>
    </w:p>
    <w:p w14:paraId="039432FC">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（1）承诺的投标有效期短于规定的；质量标准低于规定的；工期超出规定的；擅自修改、遗漏《投标函》《各项承诺一览表》实质性内容的；</w:t>
      </w:r>
    </w:p>
    <w:p w14:paraId="3A9ED79E">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（2）编制《投标总价》的造价工程师，其注册证书不是</w:t>
      </w:r>
      <w:r>
        <w:rPr>
          <w:rFonts w:hint="eastAsia" w:ascii="宋体" w:hAnsi="宋体" w:eastAsia="宋体" w:cs="宋体"/>
          <w:b/>
          <w:bCs/>
          <w:color w:val="auto"/>
          <w:spacing w:val="0"/>
          <w:sz w:val="24"/>
          <w:szCs w:val="24"/>
          <w:highlight w:val="none"/>
        </w:rPr>
        <w:t>住建部门</w:t>
      </w:r>
      <w:r>
        <w:rPr>
          <w:rFonts w:hint="eastAsia" w:ascii="宋体" w:hAnsi="宋体" w:eastAsia="宋体" w:cs="宋体"/>
          <w:color w:val="auto"/>
          <w:spacing w:val="0"/>
          <w:sz w:val="24"/>
          <w:szCs w:val="24"/>
          <w:highlight w:val="none"/>
        </w:rPr>
        <w:t>颁发的；其注册单位与投标人（或造价咨询人）不一致的；其注册证书不在有效期内的。</w:t>
      </w:r>
    </w:p>
    <w:p w14:paraId="7EBE7469">
      <w:pPr>
        <w:keepNext w:val="0"/>
        <w:keepLines w:val="0"/>
        <w:pageBreakBefore w:val="0"/>
        <w:wordWrap w:val="0"/>
        <w:overflowPunct/>
        <w:topLinePunct w:val="0"/>
        <w:bidi w:val="0"/>
        <w:spacing w:before="156" w:line="329" w:lineRule="auto"/>
        <w:ind w:right="200" w:firstLine="480"/>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注：投标人（或造价咨询人）已经工商变更，但其员工的执业资格注册证书的注册单位名称未完成变更的，不得否决其投标。</w:t>
      </w:r>
    </w:p>
    <w:p w14:paraId="70E2ADFC">
      <w:pPr>
        <w:keepNext w:val="0"/>
        <w:keepLines w:val="0"/>
        <w:pageBreakBefore w:val="0"/>
        <w:wordWrap w:val="0"/>
        <w:overflowPunct/>
        <w:topLinePunct w:val="0"/>
        <w:bidi w:val="0"/>
        <w:spacing w:before="78" w:line="299" w:lineRule="auto"/>
        <w:ind w:left="2" w:right="81" w:firstLine="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（3）投标人委托造价咨询单位编制《投标总价》，但未在《投标总价扉页》（即扉—3）“投标人 ”栏目加盖造价咨询人公章的；未提供造价咨询人的营业执照副本彩色扫描件；</w:t>
      </w:r>
    </w:p>
    <w:p w14:paraId="05BC2C53">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（4）出现两个或两个以上投标总价的（同一个投标总价大、小写不一致的除外）； 投标总价超出</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的；</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费少于规定的；暂列金额、暂估价未按照招标工程量清单统一报价的；投标总价下浮率超过 15%，又未提供相应书面说明和佐证材料或提供的书面说明和佐证材料不能令人信服，被评标委员会认定以低于成本报价竞标的；擅自修改、增减招标工程量清单项目（包括措施项目）的；</w:t>
      </w:r>
    </w:p>
    <w:p w14:paraId="62906720">
      <w:pPr>
        <w:keepNext w:val="0"/>
        <w:keepLines w:val="0"/>
        <w:pageBreakBefore w:val="0"/>
        <w:wordWrap w:val="0"/>
        <w:overflowPunct/>
        <w:topLinePunct w:val="0"/>
        <w:bidi w:val="0"/>
        <w:spacing w:before="156" w:line="299" w:lineRule="auto"/>
        <w:ind w:right="8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（5）在施工组织设计评审中，评标委员会认定质量、进度保障措施与国家和省市现行有关规范、规定、标准有重大偏差，</w:t>
      </w:r>
      <w:r>
        <w:rPr>
          <w:rFonts w:hint="eastAsia" w:ascii="宋体" w:hAnsi="宋体" w:eastAsia="宋体" w:cs="宋体"/>
          <w:b/>
          <w:bCs/>
          <w:color w:val="auto"/>
          <w:spacing w:val="0"/>
          <w:sz w:val="24"/>
          <w:szCs w:val="24"/>
          <w:highlight w:val="none"/>
        </w:rPr>
        <w:t>且该种过错将导致工程质量、进度管理目标无法实现的</w:t>
      </w:r>
      <w:r>
        <w:rPr>
          <w:rFonts w:hint="eastAsia" w:ascii="宋体" w:hAnsi="宋体" w:eastAsia="宋体" w:cs="宋体"/>
          <w:color w:val="auto"/>
          <w:spacing w:val="0"/>
          <w:sz w:val="24"/>
          <w:szCs w:val="24"/>
          <w:highlight w:val="none"/>
        </w:rPr>
        <w:t>。</w:t>
      </w:r>
    </w:p>
    <w:p w14:paraId="0DBFDD7A">
      <w:pPr>
        <w:keepNext w:val="0"/>
        <w:keepLines w:val="0"/>
        <w:pageBreakBefore w:val="0"/>
        <w:wordWrap w:val="0"/>
        <w:overflowPunct/>
        <w:topLinePunct w:val="0"/>
        <w:bidi w:val="0"/>
        <w:spacing w:before="151" w:line="221" w:lineRule="auto"/>
        <w:ind w:left="476"/>
        <w:outlineLvl w:val="2"/>
        <w:rPr>
          <w:rFonts w:hint="eastAsia" w:ascii="宋体" w:hAnsi="宋体" w:eastAsia="宋体" w:cs="宋体"/>
          <w:color w:val="auto"/>
          <w:spacing w:val="0"/>
          <w:sz w:val="24"/>
          <w:szCs w:val="24"/>
          <w:highlight w:val="none"/>
        </w:rPr>
      </w:pPr>
      <w:bookmarkStart w:id="137" w:name="_Toc22309"/>
      <w:r>
        <w:rPr>
          <w:rFonts w:hint="eastAsia" w:ascii="宋体" w:hAnsi="宋体" w:eastAsia="宋体" w:cs="宋体"/>
          <w:b/>
          <w:bCs/>
          <w:color w:val="auto"/>
          <w:spacing w:val="0"/>
          <w:sz w:val="24"/>
          <w:szCs w:val="24"/>
          <w:highlight w:val="none"/>
        </w:rPr>
        <w:t>4 ．其他</w:t>
      </w:r>
      <w:bookmarkEnd w:id="137"/>
    </w:p>
    <w:p w14:paraId="1DB8C9BB">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在任何评标环节（或阶段），投标人有下列情形之一的，评标委员会应否决其投标。 被否决的投标人，不进入下一环节（或阶段）。</w:t>
      </w:r>
    </w:p>
    <w:p w14:paraId="0CA58726">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（1）不按评标委员会要求澄清、说明或补正的；</w:t>
      </w:r>
    </w:p>
    <w:p w14:paraId="0D1C3C0F">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（2）有下列情形之一，被评标委员会认定属于串通投标的：</w:t>
      </w:r>
    </w:p>
    <w:p w14:paraId="66C929C2">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①不同投标人的投标文件两处以上（含两处）错、漏一致；</w:t>
      </w:r>
    </w:p>
    <w:p w14:paraId="6D5FB77A">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②不同投标人的投标总价相近且各分项报价、综合单价分析表内容混乱不能相互对应、乱调乱压或乱抬的，而在询标时没有合理的解释或者不能提供计算依据和报价依据；</w:t>
      </w:r>
    </w:p>
    <w:p w14:paraId="22325080">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③不同投标人的投标各项报价存在异常一致或者呈规律性变化；</w:t>
      </w:r>
    </w:p>
    <w:p w14:paraId="36C4CB17">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④不同投标人的投标文件由同一单位或者同一个人编制；</w:t>
      </w:r>
    </w:p>
    <w:p w14:paraId="1A519F59">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⑤不同投标人的投标文件中投标资料（包括电子资料）相互混装或项目班子成员出现同一人；</w:t>
      </w:r>
    </w:p>
    <w:p w14:paraId="2D971149">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⑥不同投标人的投标文件由同一电脑编制或同一台附属设备打印，或投标报价用同一个预算编制软件密码锁制作或出自同一电子文档；</w:t>
      </w:r>
    </w:p>
    <w:p w14:paraId="3D4E49BC">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⑦不同投标人的投标保证由同一企业或同一账户资金缴纳；</w:t>
      </w:r>
    </w:p>
    <w:p w14:paraId="16BEF131">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⑧不同投标人委托同一个人或注册在同一家企业的注册人员或同一家企业为其投标提供投标咨询、商务报价、技术咨询（招标项目本身要求采用专有技术的除外）等服务。</w:t>
      </w:r>
    </w:p>
    <w:p w14:paraId="72728FDA">
      <w:pPr>
        <w:pStyle w:val="25"/>
        <w:keepNext w:val="0"/>
        <w:keepLines w:val="0"/>
        <w:pageBreakBefore w:val="0"/>
        <w:wordWrap w:val="0"/>
        <w:overflowPunct/>
        <w:topLinePunct w:val="0"/>
        <w:bidi w:val="0"/>
        <w:rPr>
          <w:rFonts w:hint="eastAsia"/>
          <w:spacing w:val="0"/>
          <w:highlight w:val="none"/>
        </w:rPr>
      </w:pPr>
    </w:p>
    <w:p w14:paraId="451E5D4B">
      <w:pPr>
        <w:keepNext w:val="0"/>
        <w:keepLines w:val="0"/>
        <w:pageBreakBefore w:val="0"/>
        <w:wordWrap w:val="0"/>
        <w:overflowPunct/>
        <w:topLinePunct w:val="0"/>
        <w:bidi w:val="0"/>
        <w:spacing w:line="299" w:lineRule="auto"/>
        <w:rPr>
          <w:rFonts w:hint="eastAsia" w:ascii="宋体" w:hAnsi="宋体" w:eastAsia="宋体" w:cs="宋体"/>
          <w:color w:val="auto"/>
          <w:spacing w:val="0"/>
          <w:sz w:val="24"/>
          <w:szCs w:val="24"/>
          <w:highlight w:val="none"/>
        </w:rPr>
        <w:sectPr>
          <w:headerReference r:id="rId8" w:type="default"/>
          <w:footerReference r:id="rId9"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FFFBA50">
      <w:pPr>
        <w:keepNext w:val="0"/>
        <w:keepLines w:val="0"/>
        <w:pageBreakBefore w:val="0"/>
        <w:wordWrap w:val="0"/>
        <w:overflowPunct/>
        <w:topLinePunct w:val="0"/>
        <w:bidi w:val="0"/>
        <w:spacing w:before="78" w:line="219" w:lineRule="auto"/>
        <w:ind w:left="3525"/>
        <w:outlineLvl w:val="0"/>
        <w:rPr>
          <w:rFonts w:hint="eastAsia" w:ascii="宋体" w:hAnsi="宋体" w:eastAsia="宋体" w:cs="宋体"/>
          <w:color w:val="auto"/>
          <w:spacing w:val="0"/>
          <w:sz w:val="24"/>
          <w:szCs w:val="24"/>
          <w:highlight w:val="none"/>
        </w:rPr>
      </w:pPr>
      <w:bookmarkStart w:id="138" w:name="bookmark57"/>
      <w:bookmarkEnd w:id="138"/>
      <w:bookmarkStart w:id="139" w:name="_Toc27997"/>
      <w:r>
        <w:rPr>
          <w:rFonts w:hint="eastAsia" w:ascii="宋体" w:hAnsi="宋体" w:eastAsia="宋体" w:cs="宋体"/>
          <w:b/>
          <w:bCs/>
          <w:color w:val="auto"/>
          <w:spacing w:val="0"/>
          <w:sz w:val="24"/>
          <w:szCs w:val="24"/>
          <w:highlight w:val="none"/>
        </w:rPr>
        <w:t>第二章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中标人须知</w:t>
      </w:r>
      <w:bookmarkEnd w:id="139"/>
    </w:p>
    <w:p w14:paraId="3C63E460">
      <w:pPr>
        <w:keepNext w:val="0"/>
        <w:keepLines w:val="0"/>
        <w:pageBreakBefore w:val="0"/>
        <w:wordWrap w:val="0"/>
        <w:overflowPunct/>
        <w:topLinePunct w:val="0"/>
        <w:bidi w:val="0"/>
        <w:spacing w:before="78" w:line="219" w:lineRule="auto"/>
        <w:ind w:left="582"/>
        <w:outlineLvl w:val="2"/>
        <w:rPr>
          <w:rFonts w:hint="eastAsia" w:ascii="宋体" w:hAnsi="宋体" w:eastAsia="宋体" w:cs="宋体"/>
          <w:color w:val="auto"/>
          <w:spacing w:val="0"/>
          <w:sz w:val="24"/>
          <w:szCs w:val="24"/>
          <w:highlight w:val="none"/>
        </w:rPr>
      </w:pPr>
      <w:bookmarkStart w:id="140" w:name="_Toc31198"/>
      <w:r>
        <w:rPr>
          <w:rFonts w:hint="eastAsia" w:ascii="宋体" w:hAnsi="宋体" w:eastAsia="宋体" w:cs="宋体"/>
          <w:b/>
          <w:bCs/>
          <w:color w:val="auto"/>
          <w:spacing w:val="0"/>
          <w:sz w:val="24"/>
          <w:szCs w:val="24"/>
          <w:highlight w:val="none"/>
        </w:rPr>
        <w:t>1 ．中标通知书</w:t>
      </w:r>
      <w:bookmarkEnd w:id="140"/>
    </w:p>
    <w:p w14:paraId="360F6602">
      <w:pPr>
        <w:keepNext w:val="0"/>
        <w:keepLines w:val="0"/>
        <w:pageBreakBefore w:val="0"/>
        <w:wordWrap w:val="0"/>
        <w:overflowPunct/>
        <w:topLinePunct w:val="0"/>
        <w:bidi w:val="0"/>
        <w:spacing w:before="152" w:line="332" w:lineRule="auto"/>
        <w:ind w:left="17" w:firstLine="559"/>
        <w:jc w:val="both"/>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招标人确定</w:t>
      </w:r>
      <w:r>
        <w:rPr>
          <w:rFonts w:hint="eastAsia" w:ascii="宋体" w:hAnsi="宋体" w:eastAsia="宋体" w:cs="宋体"/>
          <w:color w:val="auto"/>
          <w:spacing w:val="0"/>
          <w:sz w:val="24"/>
          <w:szCs w:val="24"/>
          <w:highlight w:val="none"/>
          <w:lang w:val="en-US" w:eastAsia="zh-CN"/>
        </w:rPr>
        <w:t>定</w:t>
      </w:r>
      <w:r>
        <w:rPr>
          <w:rFonts w:hint="eastAsia" w:ascii="宋体" w:hAnsi="宋体" w:eastAsia="宋体" w:cs="宋体"/>
          <w:color w:val="auto"/>
          <w:spacing w:val="0"/>
          <w:sz w:val="24"/>
          <w:szCs w:val="24"/>
          <w:highlight w:val="none"/>
        </w:rPr>
        <w:t>标人为中标人</w:t>
      </w:r>
      <w:r>
        <w:rPr>
          <w:rFonts w:hint="eastAsia" w:ascii="宋体" w:hAnsi="宋体" w:eastAsia="宋体" w:cs="宋体"/>
          <w:color w:val="auto"/>
          <w:spacing w:val="0"/>
          <w:sz w:val="24"/>
          <w:szCs w:val="24"/>
          <w:highlight w:val="none"/>
          <w:lang w:val="en-US" w:eastAsia="zh-CN"/>
        </w:rPr>
        <w:t>后</w:t>
      </w:r>
      <w:r>
        <w:rPr>
          <w:rFonts w:hint="eastAsia" w:ascii="宋体" w:hAnsi="宋体" w:eastAsia="宋体" w:cs="宋体"/>
          <w:color w:val="auto"/>
          <w:spacing w:val="0"/>
          <w:sz w:val="24"/>
          <w:szCs w:val="24"/>
          <w:highlight w:val="none"/>
        </w:rPr>
        <w:t xml:space="preserve"> 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0E2EC4A2">
      <w:pPr>
        <w:keepNext w:val="0"/>
        <w:keepLines w:val="0"/>
        <w:pageBreakBefore w:val="0"/>
        <w:wordWrap w:val="0"/>
        <w:overflowPunct/>
        <w:topLinePunct w:val="0"/>
        <w:bidi w:val="0"/>
        <w:spacing w:before="78" w:line="221" w:lineRule="auto"/>
        <w:ind w:left="572"/>
        <w:outlineLvl w:val="2"/>
        <w:rPr>
          <w:rFonts w:hint="eastAsia" w:ascii="宋体" w:hAnsi="宋体" w:eastAsia="宋体" w:cs="宋体"/>
          <w:color w:val="auto"/>
          <w:spacing w:val="0"/>
          <w:sz w:val="24"/>
          <w:szCs w:val="24"/>
          <w:highlight w:val="none"/>
        </w:rPr>
      </w:pPr>
      <w:bookmarkStart w:id="141" w:name="_Toc9163"/>
      <w:r>
        <w:rPr>
          <w:rFonts w:hint="eastAsia" w:ascii="宋体" w:hAnsi="宋体" w:eastAsia="宋体" w:cs="宋体"/>
          <w:b/>
          <w:bCs/>
          <w:color w:val="auto"/>
          <w:spacing w:val="0"/>
          <w:sz w:val="24"/>
          <w:szCs w:val="24"/>
          <w:highlight w:val="none"/>
        </w:rPr>
        <w:t>2 ．中标结果公示</w:t>
      </w:r>
      <w:bookmarkEnd w:id="141"/>
    </w:p>
    <w:p w14:paraId="6D402282">
      <w:pPr>
        <w:keepNext w:val="0"/>
        <w:keepLines w:val="0"/>
        <w:pageBreakBefore w:val="0"/>
        <w:wordWrap w:val="0"/>
        <w:overflowPunct/>
        <w:topLinePunct w:val="0"/>
        <w:bidi w:val="0"/>
        <w:spacing w:before="115" w:line="316" w:lineRule="auto"/>
        <w:ind w:left="2" w:right="203" w:firstLine="595"/>
        <w:jc w:val="both"/>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中标通知书发出后 15</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日内，招标人应将中标结果在广东省招标投标监管网（http://zbtb.gd.gov.cn）、全国公共资源交易平台（广东省 ·韶关市）（https://ygp.gdzwfw.gov.cn/ggzy-portal/#/440200/index）进行公示。</w:t>
      </w:r>
    </w:p>
    <w:p w14:paraId="2C95E54C">
      <w:pPr>
        <w:keepNext w:val="0"/>
        <w:keepLines w:val="0"/>
        <w:pageBreakBefore w:val="0"/>
        <w:wordWrap w:val="0"/>
        <w:overflowPunct/>
        <w:topLinePunct w:val="0"/>
        <w:bidi w:val="0"/>
        <w:spacing w:before="79" w:line="221" w:lineRule="auto"/>
        <w:ind w:left="570"/>
        <w:outlineLvl w:val="2"/>
        <w:rPr>
          <w:rFonts w:hint="eastAsia" w:ascii="宋体" w:hAnsi="宋体" w:eastAsia="宋体" w:cs="宋体"/>
          <w:color w:val="auto"/>
          <w:spacing w:val="0"/>
          <w:sz w:val="24"/>
          <w:szCs w:val="24"/>
          <w:highlight w:val="none"/>
        </w:rPr>
      </w:pPr>
      <w:bookmarkStart w:id="142" w:name="_Toc16611"/>
      <w:r>
        <w:rPr>
          <w:rFonts w:hint="eastAsia" w:ascii="宋体" w:hAnsi="宋体" w:eastAsia="宋体" w:cs="宋体"/>
          <w:b/>
          <w:bCs/>
          <w:color w:val="auto"/>
          <w:spacing w:val="0"/>
          <w:sz w:val="24"/>
          <w:szCs w:val="24"/>
          <w:highlight w:val="none"/>
        </w:rPr>
        <w:t>3 ．履约保证</w:t>
      </w:r>
      <w:bookmarkEnd w:id="142"/>
    </w:p>
    <w:p w14:paraId="677C4C26">
      <w:pPr>
        <w:keepNext w:val="0"/>
        <w:keepLines w:val="0"/>
        <w:pageBreakBefore w:val="0"/>
        <w:widowControl/>
        <w:kinsoku w:val="0"/>
        <w:wordWrap w:val="0"/>
        <w:overflowPunct/>
        <w:topLinePunct w:val="0"/>
        <w:autoSpaceDE w:val="0"/>
        <w:autoSpaceDN w:val="0"/>
        <w:bidi w:val="0"/>
        <w:adjustRightInd w:val="0"/>
        <w:snapToGrid w:val="0"/>
        <w:spacing w:before="153" w:line="312" w:lineRule="auto"/>
        <w:ind w:firstLine="482"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3.1  </w:t>
      </w:r>
      <w:r>
        <w:rPr>
          <w:rFonts w:hint="eastAsia" w:ascii="宋体" w:hAnsi="宋体" w:eastAsia="宋体" w:cs="宋体"/>
          <w:color w:val="auto"/>
          <w:spacing w:val="0"/>
          <w:sz w:val="24"/>
          <w:szCs w:val="24"/>
          <w:highlight w:val="none"/>
        </w:rPr>
        <w:t>中标人须在领取中标通知书之日起</w:t>
      </w:r>
      <w:r>
        <w:rPr>
          <w:rFonts w:hint="eastAsia" w:ascii="宋体" w:hAnsi="宋体" w:eastAsia="宋体" w:cs="宋体"/>
          <w:color w:val="auto"/>
          <w:spacing w:val="0"/>
          <w:sz w:val="24"/>
          <w:szCs w:val="24"/>
          <w:highlight w:val="none"/>
          <w:u w:val="single"/>
          <w:lang w:val="en-US" w:eastAsia="zh-CN"/>
        </w:rPr>
        <w:t xml:space="preserve"> 10 </w:t>
      </w:r>
      <w:r>
        <w:rPr>
          <w:rFonts w:hint="eastAsia" w:ascii="宋体" w:hAnsi="宋体" w:eastAsia="宋体" w:cs="宋体"/>
          <w:color w:val="auto"/>
          <w:spacing w:val="0"/>
          <w:sz w:val="24"/>
          <w:szCs w:val="24"/>
          <w:highlight w:val="none"/>
        </w:rPr>
        <w:t>个工作日内、签订合同前向招标人提交金额</w:t>
      </w:r>
      <w:r>
        <w:rPr>
          <w:rFonts w:hint="eastAsia" w:ascii="宋体" w:hAnsi="宋体" w:eastAsia="宋体" w:cs="宋体"/>
          <w:color w:val="auto"/>
          <w:spacing w:val="0"/>
          <w:position w:val="2"/>
          <w:sz w:val="24"/>
          <w:szCs w:val="24"/>
          <w:highlight w:val="none"/>
        </w:rPr>
        <w:t>为中标价</w:t>
      </w:r>
      <w:r>
        <w:rPr>
          <w:rFonts w:hint="eastAsia" w:ascii="宋体" w:hAnsi="宋体" w:eastAsia="宋体" w:cs="宋体"/>
          <w:color w:val="auto"/>
          <w:spacing w:val="0"/>
          <w:position w:val="2"/>
          <w:sz w:val="24"/>
          <w:szCs w:val="24"/>
          <w:highlight w:val="none"/>
          <w:u w:val="single"/>
          <w:lang w:val="en-US" w:eastAsia="zh-CN"/>
        </w:rPr>
        <w:t xml:space="preserve"> 5</w:t>
      </w:r>
      <w:r>
        <w:rPr>
          <w:rFonts w:hint="eastAsia" w:ascii="宋体" w:hAnsi="宋体" w:eastAsia="宋体" w:cs="宋体"/>
          <w:color w:val="auto"/>
          <w:spacing w:val="0"/>
          <w:position w:val="2"/>
          <w:sz w:val="24"/>
          <w:szCs w:val="24"/>
          <w:highlight w:val="none"/>
          <w:u w:val="single"/>
        </w:rPr>
        <w:t xml:space="preserve">%  </w:t>
      </w:r>
      <w:r>
        <w:rPr>
          <w:rFonts w:hint="eastAsia" w:ascii="宋体" w:hAnsi="宋体" w:eastAsia="宋体" w:cs="宋体"/>
          <w:color w:val="auto"/>
          <w:spacing w:val="0"/>
          <w:position w:val="2"/>
          <w:sz w:val="24"/>
          <w:szCs w:val="24"/>
          <w:highlight w:val="none"/>
        </w:rPr>
        <w:t>的履约保证。联合体中标的，由联合体牵头人提交。</w:t>
      </w:r>
    </w:p>
    <w:p w14:paraId="49B5F994">
      <w:pPr>
        <w:keepNext w:val="0"/>
        <w:keepLines w:val="0"/>
        <w:pageBreakBefore w:val="0"/>
        <w:wordWrap w:val="0"/>
        <w:overflowPunct/>
        <w:topLinePunct w:val="0"/>
        <w:bidi w:val="0"/>
        <w:spacing w:before="89" w:line="286" w:lineRule="auto"/>
        <w:ind w:left="12" w:right="108"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3.2</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0"/>
          <w:sz w:val="24"/>
          <w:szCs w:val="24"/>
          <w:highlight w:val="none"/>
        </w:rPr>
        <w:t>。商业保函、银行保函或保险合同（或保险单）的有效期应当自合同生效之日起至项目通过竣工验收之日后 28 天止。</w:t>
      </w:r>
    </w:p>
    <w:p w14:paraId="0431B761">
      <w:pPr>
        <w:keepNext w:val="0"/>
        <w:keepLines w:val="0"/>
        <w:pageBreakBefore w:val="0"/>
        <w:wordWrap w:val="0"/>
        <w:overflowPunct/>
        <w:topLinePunct w:val="0"/>
        <w:bidi w:val="0"/>
        <w:spacing w:line="440" w:lineRule="exact"/>
        <w:ind w:firstLine="562"/>
        <w:rPr>
          <w:rFonts w:hint="eastAsia" w:ascii="宋体" w:hAnsi="宋体" w:eastAsia="宋体" w:cs="宋体"/>
          <w:color w:val="auto"/>
          <w:spacing w:val="0"/>
          <w:highlight w:val="none"/>
          <w:lang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1AD60AEA">
      <w:pPr>
        <w:keepNext w:val="0"/>
        <w:keepLines w:val="0"/>
        <w:pageBreakBefore w:val="0"/>
        <w:wordWrap w:val="0"/>
        <w:overflowPunct/>
        <w:topLinePunct w:val="0"/>
        <w:bidi w:val="0"/>
        <w:spacing w:before="145" w:line="319" w:lineRule="auto"/>
        <w:ind w:left="12" w:right="108"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3.3  </w:t>
      </w:r>
      <w:r>
        <w:rPr>
          <w:rFonts w:hint="eastAsia" w:ascii="宋体" w:hAnsi="宋体" w:eastAsia="宋体" w:cs="宋体"/>
          <w:color w:val="auto"/>
          <w:spacing w:val="0"/>
          <w:sz w:val="24"/>
          <w:szCs w:val="24"/>
          <w:highlight w:val="none"/>
        </w:rPr>
        <w:t>中标人在领取中标通知书之日起 10 个工作日内仍未提交履约保证的，招标人发出第一次提醒函；在领取中标通知书之日起 15 个工作日内仍未提交的，招标人发出第二次提醒函；在领取中标通知书之日起 20个工作日内仍未提交的，视其放弃中标。并由招标人通报建设行政管理部门。如采用商业保函、银行保函或保险合同方式缴纳履约保证金，在保函或保险合同到期前一个月，中标人须主动办理续期手续或提交新的商业保函、银行保函或保险合同。</w:t>
      </w:r>
    </w:p>
    <w:p w14:paraId="439D8102">
      <w:pPr>
        <w:keepNext w:val="0"/>
        <w:keepLines w:val="0"/>
        <w:pageBreakBefore w:val="0"/>
        <w:wordWrap w:val="0"/>
        <w:overflowPunct/>
        <w:topLinePunct w:val="0"/>
        <w:bidi w:val="0"/>
        <w:spacing w:before="152" w:line="299" w:lineRule="auto"/>
        <w:ind w:left="12" w:right="108"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3.4  </w:t>
      </w:r>
      <w:r>
        <w:rPr>
          <w:rFonts w:hint="eastAsia" w:ascii="宋体" w:hAnsi="宋体" w:eastAsia="宋体" w:cs="宋体"/>
          <w:color w:val="auto"/>
          <w:spacing w:val="0"/>
          <w:sz w:val="24"/>
          <w:szCs w:val="24"/>
          <w:highlight w:val="none"/>
        </w:rPr>
        <w:t>在工程实施过程中，如果承包人（即招标阶段的中标人，下同）由于自身的资金、技术、质量、非不可抗力等原因给发包人（即招标阶段的招标人，下同）造成经济损失，发包人有权扣划相应金额的履约保证。</w:t>
      </w:r>
    </w:p>
    <w:p w14:paraId="05A3F90E">
      <w:pPr>
        <w:keepNext w:val="0"/>
        <w:keepLines w:val="0"/>
        <w:pageBreakBefore w:val="0"/>
        <w:wordWrap w:val="0"/>
        <w:overflowPunct/>
        <w:topLinePunct w:val="0"/>
        <w:bidi w:val="0"/>
        <w:spacing w:before="154" w:line="220" w:lineRule="auto"/>
        <w:ind w:left="486"/>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3.5  </w:t>
      </w:r>
      <w:r>
        <w:rPr>
          <w:rFonts w:hint="eastAsia" w:ascii="宋体" w:hAnsi="宋体" w:eastAsia="宋体" w:cs="宋体"/>
          <w:color w:val="auto"/>
          <w:spacing w:val="0"/>
          <w:sz w:val="24"/>
          <w:szCs w:val="24"/>
          <w:highlight w:val="none"/>
        </w:rPr>
        <w:t>项目通过竣工验收之日后 28 天内，发包人将履约保证退还给承包人。</w:t>
      </w:r>
    </w:p>
    <w:p w14:paraId="13852EBE">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52841E06">
      <w:pPr>
        <w:keepNext w:val="0"/>
        <w:keepLines w:val="0"/>
        <w:pageBreakBefore w:val="0"/>
        <w:wordWrap w:val="0"/>
        <w:overflowPunct/>
        <w:topLinePunct w:val="0"/>
        <w:bidi w:val="0"/>
        <w:spacing w:before="78" w:line="222" w:lineRule="auto"/>
        <w:ind w:left="488"/>
        <w:outlineLvl w:val="2"/>
        <w:rPr>
          <w:rFonts w:hint="eastAsia" w:ascii="宋体" w:hAnsi="宋体" w:eastAsia="宋体" w:cs="宋体"/>
          <w:color w:val="auto"/>
          <w:spacing w:val="0"/>
          <w:sz w:val="24"/>
          <w:szCs w:val="24"/>
          <w:highlight w:val="none"/>
        </w:rPr>
      </w:pPr>
      <w:bookmarkStart w:id="143" w:name="_Toc15730"/>
      <w:r>
        <w:rPr>
          <w:rFonts w:hint="eastAsia" w:ascii="宋体" w:hAnsi="宋体" w:eastAsia="宋体" w:cs="宋体"/>
          <w:b/>
          <w:bCs/>
          <w:color w:val="auto"/>
          <w:spacing w:val="0"/>
          <w:sz w:val="24"/>
          <w:szCs w:val="24"/>
          <w:highlight w:val="none"/>
        </w:rPr>
        <w:t>4 ．合同订立</w:t>
      </w:r>
      <w:bookmarkEnd w:id="143"/>
    </w:p>
    <w:p w14:paraId="60A8639F">
      <w:pPr>
        <w:keepNext w:val="0"/>
        <w:keepLines w:val="0"/>
        <w:pageBreakBefore w:val="0"/>
        <w:widowControl/>
        <w:kinsoku w:val="0"/>
        <w:wordWrap w:val="0"/>
        <w:overflowPunct/>
        <w:topLinePunct w:val="0"/>
        <w:autoSpaceDE w:val="0"/>
        <w:autoSpaceDN w:val="0"/>
        <w:bidi w:val="0"/>
        <w:adjustRightInd w:val="0"/>
        <w:snapToGrid w:val="0"/>
        <w:spacing w:before="150" w:line="300" w:lineRule="auto"/>
        <w:ind w:left="11" w:right="108" w:firstLine="476"/>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4.1  </w:t>
      </w:r>
      <w:r>
        <w:rPr>
          <w:rFonts w:hint="eastAsia" w:ascii="宋体" w:hAnsi="宋体" w:eastAsia="宋体" w:cs="宋体"/>
          <w:color w:val="auto"/>
          <w:spacing w:val="0"/>
          <w:sz w:val="24"/>
          <w:szCs w:val="24"/>
          <w:highlight w:val="none"/>
        </w:rPr>
        <w:t>招标人应当自中标通知书发出之日起</w:t>
      </w:r>
      <w:r>
        <w:rPr>
          <w:rFonts w:hint="eastAsia" w:ascii="宋体" w:hAnsi="宋体" w:eastAsia="宋体" w:cs="宋体"/>
          <w:color w:val="auto"/>
          <w:spacing w:val="0"/>
          <w:sz w:val="24"/>
          <w:szCs w:val="24"/>
          <w:highlight w:val="none"/>
          <w:u w:val="single"/>
          <w:lang w:val="en-US" w:eastAsia="zh-CN"/>
        </w:rPr>
        <w:t xml:space="preserve"> 三十 </w:t>
      </w:r>
      <w:r>
        <w:rPr>
          <w:rFonts w:hint="eastAsia" w:ascii="宋体" w:hAnsi="宋体" w:eastAsia="宋体" w:cs="宋体"/>
          <w:color w:val="auto"/>
          <w:spacing w:val="0"/>
          <w:sz w:val="24"/>
          <w:szCs w:val="24"/>
          <w:highlight w:val="none"/>
        </w:rPr>
        <w:t>日内，按照招标文件、中标人的投标文件与中标人订立书面合同。</w:t>
      </w:r>
    </w:p>
    <w:p w14:paraId="44F9543E">
      <w:pPr>
        <w:keepNext w:val="0"/>
        <w:keepLines w:val="0"/>
        <w:pageBreakBefore w:val="0"/>
        <w:wordWrap w:val="0"/>
        <w:overflowPunct/>
        <w:topLinePunct w:val="0"/>
        <w:bidi w:val="0"/>
        <w:spacing w:before="156"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  </w:t>
      </w:r>
      <w:r>
        <w:rPr>
          <w:rFonts w:hint="eastAsia" w:ascii="宋体" w:hAnsi="宋体" w:eastAsia="宋体" w:cs="宋体"/>
          <w:color w:val="auto"/>
          <w:spacing w:val="0"/>
          <w:sz w:val="24"/>
          <w:szCs w:val="24"/>
          <w:highlight w:val="none"/>
        </w:rPr>
        <w:t>不正常报价的梳理和确认</w:t>
      </w:r>
    </w:p>
    <w:p w14:paraId="416E0180">
      <w:pPr>
        <w:keepNext w:val="0"/>
        <w:keepLines w:val="0"/>
        <w:pageBreakBefore w:val="0"/>
        <w:wordWrap w:val="0"/>
        <w:overflowPunct/>
        <w:topLinePunct w:val="0"/>
        <w:bidi w:val="0"/>
        <w:spacing w:before="154" w:line="299" w:lineRule="auto"/>
        <w:ind w:left="14" w:right="64"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4.2.1 合同订立期间，在不改变中标人的投标总价的前提下，招标人应对中标人的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0"/>
          <w:sz w:val="24"/>
          <w:szCs w:val="24"/>
          <w:highlight w:val="none"/>
        </w:rPr>
        <w:t>招标人不具备以上能力的，可授权编制本项目</w:t>
      </w:r>
      <w:r>
        <w:rPr>
          <w:rFonts w:hint="eastAsia" w:ascii="宋体" w:hAnsi="宋体" w:eastAsia="宋体" w:cs="宋体"/>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的造价咨询单位实施。</w:t>
      </w:r>
    </w:p>
    <w:p w14:paraId="0BF121F6">
      <w:pPr>
        <w:keepNext w:val="0"/>
        <w:keepLines w:val="0"/>
        <w:pageBreakBefore w:val="0"/>
        <w:wordWrap w:val="0"/>
        <w:overflowPunct/>
        <w:topLinePunct w:val="0"/>
        <w:bidi w:val="0"/>
        <w:spacing w:before="121" w:line="309" w:lineRule="auto"/>
        <w:ind w:left="14" w:right="65"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4.2.2  </w:t>
      </w:r>
      <w:r>
        <w:rPr>
          <w:rFonts w:hint="eastAsia" w:ascii="宋体" w:hAnsi="宋体" w:eastAsia="宋体" w:cs="宋体"/>
          <w:color w:val="auto"/>
          <w:spacing w:val="0"/>
          <w:sz w:val="24"/>
          <w:szCs w:val="24"/>
          <w:highlight w:val="none"/>
        </w:rPr>
        <w:t>算术性错误的分析和修正。投标报价汇总表中，投标总价与各分项费用之和不一致的，以投标总价为准修正分项费用；投标报价汇总表的各分项费用与对应分项表中的费用不一致的，以投标报价汇总表中的分项费用为准修正对应分项表中的费用；各分项表中总价金额与依据单价计算出的结果不一致的，以总价为准修正单价。</w:t>
      </w:r>
    </w:p>
    <w:p w14:paraId="0D1041E0">
      <w:pPr>
        <w:keepNext w:val="0"/>
        <w:keepLines w:val="0"/>
        <w:pageBreakBefore w:val="0"/>
        <w:wordWrap w:val="0"/>
        <w:overflowPunct/>
        <w:topLinePunct w:val="0"/>
        <w:bidi w:val="0"/>
        <w:spacing w:before="157" w:line="279" w:lineRule="auto"/>
        <w:ind w:left="12" w:right="66"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4.2.3  </w:t>
      </w:r>
      <w:r>
        <w:rPr>
          <w:rFonts w:hint="eastAsia" w:ascii="宋体" w:hAnsi="宋体" w:eastAsia="宋体" w:cs="宋体"/>
          <w:color w:val="auto"/>
          <w:spacing w:val="0"/>
          <w:sz w:val="24"/>
          <w:szCs w:val="24"/>
          <w:highlight w:val="none"/>
        </w:rPr>
        <w:t>错漏项的认定。中标人已标价工程量清单中，任一清单项目未填报价格或价格为零的，视为错漏项。</w:t>
      </w:r>
    </w:p>
    <w:p w14:paraId="3A357F91">
      <w:pPr>
        <w:keepNext w:val="0"/>
        <w:keepLines w:val="0"/>
        <w:pageBreakBefore w:val="0"/>
        <w:wordWrap w:val="0"/>
        <w:overflowPunct/>
        <w:topLinePunct w:val="0"/>
        <w:bidi w:val="0"/>
        <w:spacing w:before="121" w:line="360" w:lineRule="auto"/>
        <w:ind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4.2.4  </w:t>
      </w:r>
      <w:r>
        <w:rPr>
          <w:rFonts w:hint="eastAsia" w:ascii="宋体" w:hAnsi="宋体" w:eastAsia="宋体" w:cs="宋体"/>
          <w:color w:val="auto"/>
          <w:spacing w:val="0"/>
          <w:sz w:val="24"/>
          <w:szCs w:val="24"/>
          <w:highlight w:val="none"/>
        </w:rPr>
        <w:t>不平衡报价的认定。经修正算术性错误后的中标人已标价工程量清单中，</w:t>
      </w:r>
      <w:r>
        <w:rPr>
          <w:rFonts w:hint="eastAsia" w:ascii="宋体" w:hAnsi="宋体" w:eastAsia="宋体" w:cs="宋体"/>
          <w:color w:val="auto"/>
          <w:spacing w:val="0"/>
          <w:sz w:val="24"/>
          <w:szCs w:val="24"/>
          <w:highlight w:val="none"/>
          <w:u w:val="single"/>
        </w:rPr>
        <w:t>对于投标报价中综合单价相对</w:t>
      </w:r>
      <w:r>
        <w:rPr>
          <w:rFonts w:hint="eastAsia" w:ascii="宋体" w:hAnsi="宋体" w:eastAsia="宋体" w:cs="宋体"/>
          <w:color w:val="auto"/>
          <w:spacing w:val="0"/>
          <w:sz w:val="24"/>
          <w:szCs w:val="24"/>
          <w:highlight w:val="none"/>
          <w:u w:val="single"/>
          <w:lang w:val="en-US" w:eastAsia="zh-CN"/>
        </w:rPr>
        <w:t>最高投标限价</w:t>
      </w:r>
      <w:r>
        <w:rPr>
          <w:rFonts w:hint="eastAsia" w:ascii="宋体" w:hAnsi="宋体" w:eastAsia="宋体" w:cs="宋体"/>
          <w:color w:val="auto"/>
          <w:spacing w:val="0"/>
          <w:sz w:val="24"/>
          <w:szCs w:val="24"/>
          <w:highlight w:val="none"/>
          <w:u w:val="single"/>
        </w:rPr>
        <w:t xml:space="preserve">《分部分项工程和单价措施项目清单与计价表》中对应综合单价的偏差大于±15% </w:t>
      </w:r>
      <w:r>
        <w:rPr>
          <w:rFonts w:hint="eastAsia" w:ascii="宋体" w:hAnsi="宋体" w:eastAsia="宋体" w:cs="宋体"/>
          <w:color w:val="auto"/>
          <w:spacing w:val="0"/>
          <w:sz w:val="24"/>
          <w:szCs w:val="24"/>
          <w:highlight w:val="none"/>
          <w:u w:val="none"/>
        </w:rPr>
        <w:t>的清单项目</w:t>
      </w:r>
      <w:r>
        <w:rPr>
          <w:rFonts w:hint="eastAsia" w:ascii="宋体" w:hAnsi="宋体" w:eastAsia="宋体" w:cs="宋体"/>
          <w:color w:val="auto"/>
          <w:spacing w:val="0"/>
          <w:sz w:val="24"/>
          <w:szCs w:val="24"/>
          <w:highlight w:val="none"/>
        </w:rPr>
        <w:t>，视为不平衡报价项目。</w:t>
      </w:r>
    </w:p>
    <w:p w14:paraId="59BB732F">
      <w:pPr>
        <w:keepNext w:val="0"/>
        <w:keepLines w:val="0"/>
        <w:pageBreakBefore w:val="0"/>
        <w:wordWrap w:val="0"/>
        <w:overflowPunct/>
        <w:topLinePunct w:val="0"/>
        <w:bidi w:val="0"/>
        <w:spacing w:before="146" w:line="330" w:lineRule="auto"/>
        <w:ind w:left="10" w:right="65" w:firstLine="478"/>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4.2.5 </w:t>
      </w:r>
      <w:r>
        <w:rPr>
          <w:rFonts w:hint="eastAsia" w:ascii="宋体" w:hAnsi="宋体" w:eastAsia="宋体" w:cs="宋体"/>
          <w:color w:val="auto"/>
          <w:spacing w:val="0"/>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1B35F881">
      <w:pPr>
        <w:keepNext w:val="0"/>
        <w:keepLines w:val="0"/>
        <w:pageBreakBefore w:val="0"/>
        <w:wordWrap w:val="0"/>
        <w:overflowPunct/>
        <w:topLinePunct w:val="0"/>
        <w:bidi w:val="0"/>
        <w:spacing w:before="34" w:line="326" w:lineRule="auto"/>
        <w:ind w:left="12" w:right="65" w:firstLine="47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4.2.6 合同履行过程中，被认定为错漏项的清单项目，结算时按照第三章“拟签订合同的主要条款</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”规定处理。</w:t>
      </w:r>
    </w:p>
    <w:p w14:paraId="0A0FE849">
      <w:pPr>
        <w:keepNext w:val="0"/>
        <w:keepLines w:val="0"/>
        <w:pageBreakBefore w:val="0"/>
        <w:wordWrap w:val="0"/>
        <w:overflowPunct/>
        <w:topLinePunct w:val="0"/>
        <w:bidi w:val="0"/>
        <w:spacing w:before="33" w:line="317" w:lineRule="auto"/>
        <w:ind w:left="12" w:right="38" w:firstLine="476"/>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4.2.7  合同履行过程中，合同约定的调整因素（如工程量偏差、工程变更、项目特征不符、招标工程量清单缺项等）出现时，被认定为不平衡报价的清单项目以及采用被认定为不平衡报价的清单项目的价格作为取价（或参照取价）依据的变更、新增项目，</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按照第三章“拟签订合同的主要条款</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”有关规定调整合同价款。</w:t>
      </w:r>
    </w:p>
    <w:p w14:paraId="4C2BA967">
      <w:pPr>
        <w:keepNext w:val="0"/>
        <w:keepLines w:val="0"/>
        <w:pageBreakBefore w:val="0"/>
        <w:wordWrap w:val="0"/>
        <w:overflowPunct/>
        <w:topLinePunct w:val="0"/>
        <w:bidi w:val="0"/>
        <w:spacing w:before="87" w:line="276" w:lineRule="auto"/>
        <w:ind w:left="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4.3  </w:t>
      </w:r>
      <w:r>
        <w:rPr>
          <w:rFonts w:hint="eastAsia" w:ascii="宋体" w:hAnsi="宋体" w:eastAsia="宋体" w:cs="宋体"/>
          <w:color w:val="auto"/>
          <w:spacing w:val="0"/>
          <w:sz w:val="24"/>
          <w:szCs w:val="24"/>
          <w:highlight w:val="none"/>
        </w:rPr>
        <w:t>本招标项目合同计价方式为：</w:t>
      </w:r>
      <w:r>
        <w:rPr>
          <w:rFonts w:hint="eastAsia" w:ascii="宋体" w:hAnsi="宋体" w:eastAsia="宋体" w:cs="宋体"/>
          <w:color w:val="auto"/>
          <w:spacing w:val="0"/>
          <w:sz w:val="24"/>
          <w:szCs w:val="24"/>
          <w:highlight w:val="none"/>
          <w:u w:val="single"/>
        </w:rPr>
        <w:t xml:space="preserve"> 单价 </w:t>
      </w:r>
      <w:r>
        <w:rPr>
          <w:rFonts w:hint="eastAsia" w:ascii="宋体" w:hAnsi="宋体" w:eastAsia="宋体" w:cs="宋体"/>
          <w:color w:val="auto"/>
          <w:spacing w:val="0"/>
          <w:sz w:val="24"/>
          <w:szCs w:val="24"/>
          <w:highlight w:val="none"/>
        </w:rPr>
        <w:t>合同。</w:t>
      </w:r>
    </w:p>
    <w:p w14:paraId="7AD8D0F4">
      <w:pPr>
        <w:keepNext w:val="0"/>
        <w:keepLines w:val="0"/>
        <w:pageBreakBefore w:val="0"/>
        <w:wordWrap w:val="0"/>
        <w:overflowPunct/>
        <w:topLinePunct w:val="0"/>
        <w:bidi w:val="0"/>
        <w:spacing w:before="120" w:line="298" w:lineRule="auto"/>
        <w:ind w:left="11" w:right="28"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4.4  </w:t>
      </w:r>
      <w:r>
        <w:rPr>
          <w:rFonts w:hint="eastAsia" w:ascii="宋体" w:hAnsi="宋体" w:eastAsia="宋体" w:cs="宋体"/>
          <w:color w:val="auto"/>
          <w:spacing w:val="0"/>
          <w:sz w:val="24"/>
          <w:szCs w:val="24"/>
          <w:highlight w:val="none"/>
        </w:rPr>
        <w:t>合同的标的、质量、履行期限条款和合同的价款、单价、比例条款等主要条款，应当与招标文件、中标人的投标文件的内容一致。中标人在签订合同时不得向招标人提出附加条件。</w:t>
      </w:r>
    </w:p>
    <w:p w14:paraId="77C16957">
      <w:pPr>
        <w:keepNext w:val="0"/>
        <w:keepLines w:val="0"/>
        <w:pageBreakBefore w:val="0"/>
        <w:wordWrap w:val="0"/>
        <w:overflowPunct/>
        <w:topLinePunct w:val="0"/>
        <w:bidi w:val="0"/>
        <w:spacing w:before="150" w:line="319" w:lineRule="auto"/>
        <w:ind w:left="12" w:right="91"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4.5  若中标人在领取中标通知书之日起 30 天内仍未签订合同，招标人发出第一次提醒函；在领取中标通知书之日起 40 天内仍未签订，招标人发出第二次提醒函；在领取中标通知书之日起 45 天内仍未签订，视其放弃中标。</w:t>
      </w:r>
    </w:p>
    <w:p w14:paraId="3235BDE2">
      <w:pPr>
        <w:keepNext w:val="0"/>
        <w:keepLines w:val="0"/>
        <w:pageBreakBefore w:val="0"/>
        <w:wordWrap w:val="0"/>
        <w:overflowPunct/>
        <w:topLinePunct w:val="0"/>
        <w:bidi w:val="0"/>
        <w:spacing w:before="150" w:line="319" w:lineRule="auto"/>
        <w:ind w:left="12" w:right="91"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4.6  在书面合同订立之日起 2 个工作日内，由中标人或招标代理机构将合同上传至建设工程交易系统，并发起退还投标保证的申请。韶关市公共资源交易中心在收到申请之日起 3 个工作日内，将投标保证金（或银行保函）退还给中标人和其他中标候选人。</w:t>
      </w:r>
    </w:p>
    <w:p w14:paraId="1D51752E">
      <w:pPr>
        <w:keepNext w:val="0"/>
        <w:keepLines w:val="0"/>
        <w:pageBreakBefore w:val="0"/>
        <w:wordWrap w:val="0"/>
        <w:overflowPunct/>
        <w:topLinePunct w:val="0"/>
        <w:bidi w:val="0"/>
        <w:spacing w:before="78" w:line="220" w:lineRule="auto"/>
        <w:ind w:left="489"/>
        <w:outlineLvl w:val="2"/>
        <w:rPr>
          <w:rFonts w:hint="eastAsia" w:ascii="宋体" w:hAnsi="宋体" w:eastAsia="宋体" w:cs="宋体"/>
          <w:color w:val="auto"/>
          <w:spacing w:val="0"/>
          <w:sz w:val="24"/>
          <w:szCs w:val="24"/>
          <w:highlight w:val="none"/>
        </w:rPr>
      </w:pPr>
      <w:bookmarkStart w:id="144" w:name="_Toc7925"/>
      <w:r>
        <w:rPr>
          <w:rFonts w:hint="eastAsia" w:ascii="宋体" w:hAnsi="宋体" w:eastAsia="宋体" w:cs="宋体"/>
          <w:b/>
          <w:bCs/>
          <w:color w:val="auto"/>
          <w:spacing w:val="0"/>
          <w:sz w:val="24"/>
          <w:szCs w:val="24"/>
          <w:highlight w:val="none"/>
        </w:rPr>
        <w:t>5 ．放弃中标的处理</w:t>
      </w:r>
      <w:bookmarkEnd w:id="144"/>
    </w:p>
    <w:p w14:paraId="18C72D34">
      <w:pPr>
        <w:keepNext w:val="0"/>
        <w:keepLines w:val="0"/>
        <w:pageBreakBefore w:val="0"/>
        <w:wordWrap w:val="0"/>
        <w:overflowPunct/>
        <w:topLinePunct w:val="0"/>
        <w:bidi w:val="0"/>
        <w:spacing w:before="150" w:line="319" w:lineRule="auto"/>
        <w:ind w:left="12" w:right="91" w:firstLine="477"/>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5.1</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中标人无正当理由放弃中标的，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 招标人重新招标的，招标人可不接受该弃标人再次投标。同时，</w:t>
      </w:r>
      <w:r>
        <w:rPr>
          <w:rFonts w:hint="eastAsia" w:ascii="宋体" w:hAnsi="宋体" w:eastAsia="宋体" w:cs="宋体"/>
          <w:b/>
          <w:bCs/>
          <w:color w:val="auto"/>
          <w:spacing w:val="0"/>
          <w:sz w:val="24"/>
          <w:szCs w:val="24"/>
          <w:highlight w:val="none"/>
        </w:rPr>
        <w:t>招标人应将该弃标人的失信行为向行政监督部门报告。</w:t>
      </w:r>
    </w:p>
    <w:p w14:paraId="0C97F14D">
      <w:pPr>
        <w:keepNext w:val="0"/>
        <w:keepLines w:val="0"/>
        <w:pageBreakBefore w:val="0"/>
        <w:wordWrap w:val="0"/>
        <w:overflowPunct/>
        <w:topLinePunct w:val="0"/>
        <w:bidi w:val="0"/>
        <w:spacing w:before="79" w:line="298" w:lineRule="auto"/>
        <w:ind w:left="10" w:right="91" w:firstLine="47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5.2  </w:t>
      </w:r>
      <w:r>
        <w:rPr>
          <w:rFonts w:hint="eastAsia" w:ascii="宋体" w:hAnsi="宋体" w:eastAsia="宋体" w:cs="宋体"/>
          <w:color w:val="auto"/>
          <w:spacing w:val="0"/>
          <w:sz w:val="24"/>
          <w:szCs w:val="24"/>
          <w:highlight w:val="none"/>
        </w:rPr>
        <w:t>中标人因不可抗力提出不能履行合同的，须在领取中标通知书之日起 10 天内提供有关证明文件或资料，其投标保证予以退还，招标人可按照评标委员会提出的中标候选人名单排序依次确定其他中标候选人为中标人。如果招标人认为其他中标候选人的条</w:t>
      </w:r>
      <w:bookmarkStart w:id="145" w:name="bookmark84"/>
      <w:bookmarkEnd w:id="145"/>
      <w:r>
        <w:rPr>
          <w:rFonts w:hint="eastAsia" w:ascii="宋体" w:hAnsi="宋体" w:eastAsia="宋体" w:cs="宋体"/>
          <w:color w:val="auto"/>
          <w:spacing w:val="0"/>
          <w:sz w:val="24"/>
          <w:szCs w:val="24"/>
          <w:highlight w:val="none"/>
        </w:rPr>
        <w:t>件明显不利于招标人的，也可以重新招标。</w:t>
      </w:r>
    </w:p>
    <w:p w14:paraId="5D2715B3">
      <w:pPr>
        <w:pStyle w:val="14"/>
        <w:keepNext w:val="0"/>
        <w:keepLines w:val="0"/>
        <w:pageBreakBefore w:val="0"/>
        <w:wordWrap w:val="0"/>
        <w:overflowPunct/>
        <w:topLinePunct w:val="0"/>
        <w:bidi w:val="0"/>
        <w:rPr>
          <w:rFonts w:hint="eastAsia" w:ascii="宋体" w:hAnsi="宋体" w:eastAsia="宋体" w:cs="宋体"/>
          <w:color w:val="auto"/>
          <w:spacing w:val="0"/>
          <w:highlight w:val="none"/>
        </w:rPr>
      </w:pPr>
    </w:p>
    <w:p w14:paraId="1D167E59">
      <w:pPr>
        <w:pStyle w:val="14"/>
        <w:keepNext w:val="0"/>
        <w:keepLines w:val="0"/>
        <w:pageBreakBefore w:val="0"/>
        <w:wordWrap w:val="0"/>
        <w:overflowPunct/>
        <w:topLinePunct w:val="0"/>
        <w:bidi w:val="0"/>
        <w:rPr>
          <w:rFonts w:hint="eastAsia" w:ascii="宋体" w:hAnsi="宋体" w:eastAsia="宋体" w:cs="宋体"/>
          <w:color w:val="auto"/>
          <w:spacing w:val="0"/>
          <w:highlight w:val="none"/>
        </w:rPr>
        <w:sectPr>
          <w:footerReference r:id="rId10"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3622B001">
      <w:pPr>
        <w:keepNext w:val="0"/>
        <w:keepLines w:val="0"/>
        <w:pageBreakBefore w:val="0"/>
        <w:wordWrap w:val="0"/>
        <w:overflowPunct/>
        <w:topLinePunct w:val="0"/>
        <w:bidi w:val="0"/>
        <w:spacing w:before="78" w:line="219" w:lineRule="auto"/>
        <w:ind w:left="2923"/>
        <w:outlineLvl w:val="0"/>
        <w:rPr>
          <w:rFonts w:hint="eastAsia" w:ascii="宋体" w:hAnsi="宋体" w:eastAsia="宋体" w:cs="宋体"/>
          <w:color w:val="auto"/>
          <w:spacing w:val="0"/>
          <w:sz w:val="24"/>
          <w:szCs w:val="24"/>
          <w:highlight w:val="none"/>
        </w:rPr>
      </w:pPr>
      <w:bookmarkStart w:id="146" w:name="bookmark86"/>
      <w:bookmarkEnd w:id="146"/>
      <w:bookmarkStart w:id="147" w:name="_Toc15559"/>
      <w:r>
        <w:rPr>
          <w:rFonts w:hint="eastAsia" w:ascii="宋体" w:hAnsi="宋体" w:eastAsia="宋体" w:cs="宋体"/>
          <w:b/>
          <w:bCs/>
          <w:color w:val="auto"/>
          <w:spacing w:val="0"/>
          <w:sz w:val="24"/>
          <w:szCs w:val="24"/>
          <w:highlight w:val="none"/>
        </w:rPr>
        <w:t>第三章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拟签订合同的主要条款</w:t>
      </w:r>
      <w:bookmarkEnd w:id="147"/>
    </w:p>
    <w:p w14:paraId="0B04D162">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0B370127">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6F61A5A1">
      <w:pPr>
        <w:keepNext w:val="0"/>
        <w:keepLines w:val="0"/>
        <w:pageBreakBefore w:val="0"/>
        <w:wordWrap w:val="0"/>
        <w:overflowPunct/>
        <w:topLinePunct w:val="0"/>
        <w:bidi w:val="0"/>
        <w:spacing w:before="78" w:line="220" w:lineRule="auto"/>
        <w:ind w:left="498"/>
        <w:outlineLvl w:val="2"/>
        <w:rPr>
          <w:rFonts w:hint="eastAsia" w:ascii="宋体" w:hAnsi="宋体" w:eastAsia="宋体" w:cs="宋体"/>
          <w:color w:val="auto"/>
          <w:spacing w:val="0"/>
          <w:sz w:val="24"/>
          <w:szCs w:val="24"/>
          <w:highlight w:val="none"/>
        </w:rPr>
      </w:pPr>
      <w:bookmarkStart w:id="148" w:name="_Toc1132"/>
      <w:r>
        <w:rPr>
          <w:rFonts w:hint="eastAsia" w:ascii="宋体" w:hAnsi="宋体" w:eastAsia="宋体" w:cs="宋体"/>
          <w:b/>
          <w:bCs/>
          <w:color w:val="auto"/>
          <w:spacing w:val="0"/>
          <w:sz w:val="24"/>
          <w:szCs w:val="24"/>
          <w:highlight w:val="none"/>
        </w:rPr>
        <w:t>1 ．工程承包方式</w:t>
      </w:r>
      <w:bookmarkEnd w:id="148"/>
    </w:p>
    <w:p w14:paraId="68DBE4BA">
      <w:pPr>
        <w:keepNext w:val="0"/>
        <w:keepLines w:val="0"/>
        <w:pageBreakBefore w:val="0"/>
        <w:wordWrap w:val="0"/>
        <w:overflowPunct/>
        <w:topLinePunct w:val="0"/>
        <w:bidi w:val="0"/>
        <w:spacing w:before="153" w:line="299" w:lineRule="auto"/>
        <w:ind w:left="11" w:right="295" w:firstLine="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  </w:t>
      </w:r>
      <w:r>
        <w:rPr>
          <w:rFonts w:hint="eastAsia" w:ascii="宋体" w:hAnsi="宋体" w:eastAsia="宋体" w:cs="宋体"/>
          <w:color w:val="auto"/>
          <w:spacing w:val="0"/>
          <w:sz w:val="24"/>
          <w:szCs w:val="24"/>
          <w:highlight w:val="none"/>
        </w:rPr>
        <w:t>承包人以中标价按包工包料、包质量、包安全包文明施工、包工期方式总承包施工，不允许转包和违法分包，如果承包人将建设工程转包或违法分包，发包人可以解除合同。如果确需分包须与发包人协商，在得到发包人和监理单位同意后报建设行政主管部门备案。</w:t>
      </w:r>
    </w:p>
    <w:p w14:paraId="1A7AD95C">
      <w:pPr>
        <w:keepNext w:val="0"/>
        <w:keepLines w:val="0"/>
        <w:pageBreakBefore w:val="0"/>
        <w:wordWrap w:val="0"/>
        <w:overflowPunct/>
        <w:topLinePunct w:val="0"/>
        <w:bidi w:val="0"/>
        <w:spacing w:before="153" w:line="219" w:lineRule="auto"/>
        <w:ind w:left="58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1.1.1  </w:t>
      </w:r>
      <w:r>
        <w:rPr>
          <w:rFonts w:hint="eastAsia" w:ascii="宋体" w:hAnsi="宋体" w:eastAsia="宋体" w:cs="宋体"/>
          <w:color w:val="auto"/>
          <w:spacing w:val="0"/>
          <w:sz w:val="24"/>
          <w:szCs w:val="24"/>
          <w:highlight w:val="none"/>
        </w:rPr>
        <w:t>包工包料：材料符合招标文件要求并报验使用；办理用工保险。</w:t>
      </w:r>
    </w:p>
    <w:p w14:paraId="6D255FC4">
      <w:pPr>
        <w:keepNext w:val="0"/>
        <w:keepLines w:val="0"/>
        <w:pageBreakBefore w:val="0"/>
        <w:wordWrap w:val="0"/>
        <w:overflowPunct/>
        <w:topLinePunct w:val="0"/>
        <w:bidi w:val="0"/>
        <w:spacing w:before="156"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1.1.2  </w:t>
      </w:r>
      <w:r>
        <w:rPr>
          <w:rFonts w:hint="eastAsia" w:ascii="宋体" w:hAnsi="宋体" w:eastAsia="宋体" w:cs="宋体"/>
          <w:color w:val="auto"/>
          <w:spacing w:val="0"/>
          <w:sz w:val="24"/>
          <w:szCs w:val="24"/>
          <w:highlight w:val="none"/>
        </w:rPr>
        <w:t>包质量：符合招标文件要求。</w:t>
      </w:r>
    </w:p>
    <w:p w14:paraId="7B161543">
      <w:pPr>
        <w:keepNext w:val="0"/>
        <w:keepLines w:val="0"/>
        <w:pageBreakBefore w:val="0"/>
        <w:wordWrap w:val="0"/>
        <w:overflowPunct/>
        <w:topLinePunct w:val="0"/>
        <w:bidi w:val="0"/>
        <w:spacing w:before="153"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1.1.3  </w:t>
      </w:r>
      <w:r>
        <w:rPr>
          <w:rFonts w:hint="eastAsia" w:ascii="宋体" w:hAnsi="宋体" w:eastAsia="宋体" w:cs="宋体"/>
          <w:color w:val="auto"/>
          <w:spacing w:val="0"/>
          <w:sz w:val="24"/>
          <w:szCs w:val="24"/>
          <w:highlight w:val="none"/>
        </w:rPr>
        <w:t>包安全包文明施工：符合招标文件要求。</w:t>
      </w:r>
    </w:p>
    <w:p w14:paraId="41E26BE4">
      <w:pPr>
        <w:keepNext w:val="0"/>
        <w:keepLines w:val="0"/>
        <w:pageBreakBefore w:val="0"/>
        <w:wordWrap w:val="0"/>
        <w:overflowPunct/>
        <w:topLinePunct w:val="0"/>
        <w:bidi w:val="0"/>
        <w:spacing w:before="154" w:line="219" w:lineRule="auto"/>
        <w:ind w:left="58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1.1.4  </w:t>
      </w:r>
      <w:r>
        <w:rPr>
          <w:rFonts w:hint="eastAsia" w:ascii="宋体" w:hAnsi="宋体" w:eastAsia="宋体" w:cs="宋体"/>
          <w:color w:val="auto"/>
          <w:spacing w:val="0"/>
          <w:sz w:val="24"/>
          <w:szCs w:val="24"/>
          <w:highlight w:val="none"/>
        </w:rPr>
        <w:t>包工期：本招标项目施工必须在招标工期内完成。</w:t>
      </w:r>
    </w:p>
    <w:p w14:paraId="55262A8D">
      <w:pPr>
        <w:keepNext w:val="0"/>
        <w:keepLines w:val="0"/>
        <w:pageBreakBefore w:val="0"/>
        <w:wordWrap w:val="0"/>
        <w:overflowPunct/>
        <w:topLinePunct w:val="0"/>
        <w:bidi w:val="0"/>
        <w:spacing w:before="154" w:line="360" w:lineRule="auto"/>
        <w:ind w:left="0" w:leftChars="0" w:firstLine="482" w:firstLineChars="200"/>
        <w:rPr>
          <w:rFonts w:hint="default"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lang w:val="en-US" w:eastAsia="zh-CN"/>
        </w:rPr>
        <w:t>1.2 项目中标后，中标人须配建一定比例的公益项目，并在签订施工合同前，先行签订公益项目捐建协议。</w:t>
      </w:r>
    </w:p>
    <w:p w14:paraId="5E683A9A">
      <w:pPr>
        <w:keepNext w:val="0"/>
        <w:keepLines w:val="0"/>
        <w:pageBreakBefore w:val="0"/>
        <w:wordWrap w:val="0"/>
        <w:overflowPunct/>
        <w:topLinePunct w:val="0"/>
        <w:bidi w:val="0"/>
        <w:spacing w:before="78" w:line="220" w:lineRule="auto"/>
        <w:ind w:left="488"/>
        <w:outlineLvl w:val="2"/>
        <w:rPr>
          <w:rFonts w:hint="eastAsia" w:ascii="宋体" w:hAnsi="宋体" w:eastAsia="宋体" w:cs="宋体"/>
          <w:color w:val="auto"/>
          <w:spacing w:val="0"/>
          <w:sz w:val="24"/>
          <w:szCs w:val="24"/>
          <w:highlight w:val="none"/>
        </w:rPr>
      </w:pPr>
      <w:bookmarkStart w:id="149" w:name="bookmark88"/>
      <w:bookmarkEnd w:id="149"/>
      <w:bookmarkStart w:id="150" w:name="_Toc20891"/>
      <w:r>
        <w:rPr>
          <w:rFonts w:hint="eastAsia" w:ascii="宋体" w:hAnsi="宋体" w:eastAsia="宋体" w:cs="宋体"/>
          <w:b/>
          <w:bCs/>
          <w:color w:val="auto"/>
          <w:spacing w:val="0"/>
          <w:sz w:val="24"/>
          <w:szCs w:val="24"/>
          <w:highlight w:val="none"/>
        </w:rPr>
        <w:t>2 ．工程结算原则</w:t>
      </w:r>
      <w:bookmarkEnd w:id="150"/>
    </w:p>
    <w:p w14:paraId="047D1E9F">
      <w:pPr>
        <w:keepNext w:val="0"/>
        <w:keepLines w:val="0"/>
        <w:pageBreakBefore w:val="0"/>
        <w:wordWrap w:val="0"/>
        <w:overflowPunct/>
        <w:topLinePunct w:val="0"/>
        <w:bidi w:val="0"/>
        <w:spacing w:before="153"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2.1 </w:t>
      </w:r>
      <w:r>
        <w:rPr>
          <w:rFonts w:hint="eastAsia" w:ascii="宋体" w:hAnsi="宋体" w:eastAsia="宋体" w:cs="宋体"/>
          <w:color w:val="auto"/>
          <w:spacing w:val="0"/>
          <w:sz w:val="24"/>
          <w:szCs w:val="24"/>
          <w:highlight w:val="none"/>
        </w:rPr>
        <w:t>承包人的投标总价为中标价，即为签约合同价。</w:t>
      </w:r>
    </w:p>
    <w:p w14:paraId="7FAD113F">
      <w:pPr>
        <w:keepNext w:val="0"/>
        <w:keepLines w:val="0"/>
        <w:pageBreakBefore w:val="0"/>
        <w:wordWrap w:val="0"/>
        <w:overflowPunct/>
        <w:topLinePunct w:val="0"/>
        <w:bidi w:val="0"/>
        <w:spacing w:before="155" w:line="319" w:lineRule="auto"/>
        <w:ind w:left="12" w:right="231"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2.2 </w:t>
      </w:r>
      <w:r>
        <w:rPr>
          <w:rFonts w:hint="eastAsia" w:ascii="宋体" w:hAnsi="宋体" w:eastAsia="宋体" w:cs="宋体"/>
          <w:color w:val="auto"/>
          <w:spacing w:val="0"/>
          <w:sz w:val="24"/>
          <w:szCs w:val="24"/>
          <w:highlight w:val="none"/>
        </w:rPr>
        <w:t>招标工程量清单标明的工程量是投标人投标报价的共同基础，竣工结算的工程量按</w:t>
      </w:r>
      <w:bookmarkStart w:id="151" w:name="OLE_LINK28"/>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）对工程计量的规定进行计量，必须以承包人完成合同工程应予计量的工程量确定。施</w:t>
      </w:r>
      <w:bookmarkEnd w:id="151"/>
      <w:r>
        <w:rPr>
          <w:rFonts w:hint="eastAsia" w:ascii="宋体" w:hAnsi="宋体" w:eastAsia="宋体" w:cs="宋体"/>
          <w:color w:val="auto"/>
          <w:spacing w:val="0"/>
          <w:sz w:val="24"/>
          <w:szCs w:val="24"/>
          <w:highlight w:val="none"/>
        </w:rPr>
        <w:t>工中进行工程计量，当发现招标工程量清单中出现缺项、工程量偏差、或因工程变更引起工程量增减时，应按承包人在履行合同义务中完成的工程量计算。因承包人原因造成的超出合同工程范围施工或返工的工程量，发包人不予计量。</w:t>
      </w:r>
    </w:p>
    <w:p w14:paraId="0EBA0169">
      <w:pPr>
        <w:keepNext w:val="0"/>
        <w:keepLines w:val="0"/>
        <w:pageBreakBefore w:val="0"/>
        <w:wordWrap w:val="0"/>
        <w:overflowPunct/>
        <w:topLinePunct w:val="0"/>
        <w:bidi w:val="0"/>
        <w:spacing w:before="38" w:line="299" w:lineRule="auto"/>
        <w:ind w:left="12" w:right="183" w:firstLine="47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  </w:t>
      </w:r>
      <w:r>
        <w:rPr>
          <w:rFonts w:hint="eastAsia" w:ascii="宋体" w:hAnsi="宋体" w:eastAsia="宋体" w:cs="宋体"/>
          <w:color w:val="auto"/>
          <w:spacing w:val="0"/>
          <w:sz w:val="24"/>
          <w:szCs w:val="24"/>
          <w:highlight w:val="none"/>
        </w:rPr>
        <w:t>施工合同履行期间，若出现下列情形的，发、承包双方应当按照以下规定调整合同价款：</w:t>
      </w:r>
    </w:p>
    <w:p w14:paraId="28C07B92">
      <w:pPr>
        <w:keepNext w:val="0"/>
        <w:keepLines w:val="0"/>
        <w:pageBreakBefore w:val="0"/>
        <w:wordWrap w:val="0"/>
        <w:overflowPunct/>
        <w:topLinePunct w:val="0"/>
        <w:bidi w:val="0"/>
        <w:spacing w:before="227" w:line="220" w:lineRule="auto"/>
        <w:ind w:left="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2.3.1  </w:t>
      </w:r>
      <w:r>
        <w:rPr>
          <w:rFonts w:hint="eastAsia" w:ascii="宋体" w:hAnsi="宋体" w:eastAsia="宋体" w:cs="宋体"/>
          <w:color w:val="auto"/>
          <w:spacing w:val="0"/>
          <w:sz w:val="24"/>
          <w:szCs w:val="24"/>
          <w:highlight w:val="none"/>
        </w:rPr>
        <w:t>法律法规变化</w:t>
      </w:r>
    </w:p>
    <w:p w14:paraId="6BF5F2D0">
      <w:pPr>
        <w:keepNext w:val="0"/>
        <w:keepLines w:val="0"/>
        <w:pageBreakBefore w:val="0"/>
        <w:wordWrap w:val="0"/>
        <w:overflowPunct/>
        <w:topLinePunct w:val="0"/>
        <w:bidi w:val="0"/>
        <w:spacing w:before="156" w:line="298" w:lineRule="auto"/>
        <w:ind w:left="10" w:right="183"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fldChar w:fldCharType="begin"/>
      </w:r>
      <w:r>
        <w:rPr>
          <w:rFonts w:hint="eastAsia" w:ascii="宋体" w:hAnsi="宋体" w:eastAsia="宋体" w:cs="宋体"/>
          <w:b/>
          <w:bCs/>
          <w:color w:val="auto"/>
          <w:spacing w:val="0"/>
          <w:sz w:val="24"/>
          <w:szCs w:val="24"/>
          <w:highlight w:val="none"/>
        </w:rPr>
        <w:instrText xml:space="preserve"> HYPERLINK "2.3.1.1" </w:instrText>
      </w:r>
      <w:r>
        <w:rPr>
          <w:rFonts w:hint="eastAsia" w:ascii="宋体" w:hAnsi="宋体" w:eastAsia="宋体" w:cs="宋体"/>
          <w:b/>
          <w:bCs/>
          <w:color w:val="auto"/>
          <w:spacing w:val="0"/>
          <w:sz w:val="24"/>
          <w:szCs w:val="24"/>
          <w:highlight w:val="none"/>
        </w:rPr>
        <w:fldChar w:fldCharType="separate"/>
      </w:r>
      <w:r>
        <w:rPr>
          <w:rFonts w:hint="eastAsia" w:ascii="宋体" w:hAnsi="宋体" w:eastAsia="宋体" w:cs="宋体"/>
          <w:b/>
          <w:bCs/>
          <w:color w:val="auto"/>
          <w:spacing w:val="0"/>
          <w:sz w:val="24"/>
          <w:szCs w:val="24"/>
          <w:highlight w:val="none"/>
        </w:rPr>
        <w:t>2.3.1.1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color w:val="auto"/>
          <w:spacing w:val="0"/>
          <w:sz w:val="24"/>
          <w:szCs w:val="24"/>
          <w:highlight w:val="none"/>
        </w:rPr>
        <w:t xml:space="preserve">  基准日之后，因国家法律、法规、规章和政策发生变化引起工程造价增减变化时，发、承包双方应按照省级建设主管部门（或省级行业主管部门）或其授权的工程造价管理机构据此发布的最新规定调整合同价款。</w:t>
      </w:r>
    </w:p>
    <w:p w14:paraId="3215BC69">
      <w:pPr>
        <w:keepNext w:val="0"/>
        <w:keepLines w:val="0"/>
        <w:pageBreakBefore w:val="0"/>
        <w:wordWrap w:val="0"/>
        <w:overflowPunct/>
        <w:topLinePunct w:val="0"/>
        <w:bidi w:val="0"/>
        <w:spacing w:before="157" w:line="325" w:lineRule="auto"/>
        <w:ind w:left="12" w:right="183" w:firstLine="47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注：本招标文件所称“基准日</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”，均指投标文件递交截止时间（见第一章第二节“重要事项时间地点一览表</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”）前</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28 天。</w:t>
      </w:r>
    </w:p>
    <w:p w14:paraId="5B8E95D2">
      <w:pPr>
        <w:keepNext w:val="0"/>
        <w:keepLines w:val="0"/>
        <w:pageBreakBefore w:val="0"/>
        <w:wordWrap w:val="0"/>
        <w:overflowPunct/>
        <w:topLinePunct w:val="0"/>
        <w:bidi w:val="0"/>
        <w:spacing w:before="33" w:line="299" w:lineRule="auto"/>
        <w:ind w:left="11"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"2.3.1.2"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2.3.1.2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因承包人原因导致工程延误，本章第 </w:t>
      </w:r>
      <w:r>
        <w:rPr>
          <w:rFonts w:hint="eastAsia" w:ascii="宋体" w:hAnsi="宋体" w:eastAsia="宋体" w:cs="宋体"/>
          <w:b/>
          <w:bCs/>
          <w:color w:val="auto"/>
          <w:spacing w:val="0"/>
          <w:sz w:val="24"/>
          <w:szCs w:val="24"/>
          <w:highlight w:val="none"/>
        </w:rPr>
        <w:t xml:space="preserve">2.3.1.1 </w:t>
      </w:r>
      <w:r>
        <w:rPr>
          <w:rFonts w:hint="eastAsia" w:ascii="宋体" w:hAnsi="宋体" w:eastAsia="宋体" w:cs="宋体"/>
          <w:color w:val="auto"/>
          <w:spacing w:val="0"/>
          <w:sz w:val="24"/>
          <w:szCs w:val="24"/>
          <w:highlight w:val="none"/>
        </w:rPr>
        <w:t>子目中的法定机构根据国家法律法规变化发布新规的时间在合同工程原定竣工时间之后的，合同价款调增的不予调整，合同价款调减的予以调整。</w:t>
      </w:r>
    </w:p>
    <w:p w14:paraId="231CEC4D">
      <w:pPr>
        <w:keepNext w:val="0"/>
        <w:keepLines w:val="0"/>
        <w:pageBreakBefore w:val="0"/>
        <w:wordWrap w:val="0"/>
        <w:overflowPunct/>
        <w:topLinePunct w:val="0"/>
        <w:bidi w:val="0"/>
        <w:spacing w:before="155" w:line="220" w:lineRule="auto"/>
        <w:ind w:left="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2.3.2  </w:t>
      </w:r>
      <w:r>
        <w:rPr>
          <w:rFonts w:hint="eastAsia" w:ascii="宋体" w:hAnsi="宋体" w:eastAsia="宋体" w:cs="宋体"/>
          <w:color w:val="auto"/>
          <w:spacing w:val="0"/>
          <w:sz w:val="24"/>
          <w:szCs w:val="24"/>
          <w:highlight w:val="none"/>
        </w:rPr>
        <w:t>工程量偏差或变化</w:t>
      </w:r>
    </w:p>
    <w:p w14:paraId="655704F0">
      <w:pPr>
        <w:keepNext w:val="0"/>
        <w:keepLines w:val="0"/>
        <w:pageBreakBefore w:val="0"/>
        <w:wordWrap w:val="0"/>
        <w:overflowPunct/>
        <w:topLinePunct w:val="0"/>
        <w:bidi w:val="0"/>
        <w:spacing w:before="158" w:line="309" w:lineRule="auto"/>
        <w:ind w:left="10" w:right="183"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"2.3.2.1"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2.3.2.1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合同履行期间，当应予计算的实际工程量与招标工程量清单出现偏差或因工程变更引起已标价工程量清单项目的工程数量发生变化时，工程量偏差或变化在 15%以内（含 15%）的，其综合单价不予调整；工程量偏差或变化超过 15%的，按照以下规定调整：</w:t>
      </w:r>
    </w:p>
    <w:p w14:paraId="6F1EA887">
      <w:pPr>
        <w:keepNext w:val="0"/>
        <w:keepLines w:val="0"/>
        <w:pageBreakBefore w:val="0"/>
        <w:wordWrap w:val="0"/>
        <w:overflowPunct/>
        <w:topLinePunct w:val="0"/>
        <w:bidi w:val="0"/>
        <w:spacing w:before="78" w:line="327" w:lineRule="auto"/>
        <w:ind w:left="12" w:firstLine="478"/>
        <w:jc w:val="both"/>
        <w:rPr>
          <w:rFonts w:hint="eastAsia" w:ascii="宋体" w:hAnsi="宋体" w:eastAsia="宋体" w:cs="宋体"/>
          <w:color w:val="auto"/>
          <w:spacing w:val="0"/>
          <w:sz w:val="24"/>
          <w:szCs w:val="24"/>
          <w:highlight w:val="none"/>
        </w:rPr>
      </w:pPr>
      <w:bookmarkStart w:id="152" w:name="bookmark142"/>
      <w:bookmarkEnd w:id="152"/>
      <w:r>
        <w:rPr>
          <w:rFonts w:hint="eastAsia" w:ascii="宋体" w:hAnsi="宋体" w:eastAsia="宋体" w:cs="宋体"/>
          <w:color w:val="auto"/>
          <w:spacing w:val="0"/>
          <w:sz w:val="24"/>
          <w:szCs w:val="24"/>
          <w:highlight w:val="none"/>
        </w:rPr>
        <w:t>对于合理报价的清单项目，当工程量增加超过 15%时，增加部分的工程量的综合单价以投标报价《分部分项工程和单价措施项目清单与计价表》中综合单价为基价调低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p>
    <w:p w14:paraId="19CF62EE">
      <w:pPr>
        <w:keepNext w:val="0"/>
        <w:keepLines w:val="0"/>
        <w:pageBreakBefore w:val="0"/>
        <w:wordWrap w:val="0"/>
        <w:overflowPunct/>
        <w:topLinePunct w:val="0"/>
        <w:bidi w:val="0"/>
        <w:spacing w:before="97" w:line="324" w:lineRule="auto"/>
        <w:ind w:left="13" w:right="179"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对于按照第二章“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中标人须知</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”第</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4.2 条被认定为不平衡报价的清单项目，其综合单价按照以下方法调整：</w:t>
      </w:r>
    </w:p>
    <w:p w14:paraId="25F45A58">
      <w:pPr>
        <w:keepNext w:val="0"/>
        <w:keepLines w:val="0"/>
        <w:pageBreakBefore w:val="0"/>
        <w:wordWrap w:val="0"/>
        <w:overflowPunct/>
        <w:topLinePunct w:val="0"/>
        <w:bidi w:val="0"/>
        <w:spacing w:before="97" w:line="324" w:lineRule="auto"/>
        <w:ind w:left="13" w:right="179" w:firstLine="477"/>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以</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rPr>
        <w:t>中《分部分项工程和单价措施项目清单与计价表》子目相对应综合单价×（1-中标下浮率）。</w:t>
      </w:r>
    </w:p>
    <w:p w14:paraId="3E1FC9C8">
      <w:pPr>
        <w:keepNext w:val="0"/>
        <w:keepLines w:val="0"/>
        <w:pageBreakBefore w:val="0"/>
        <w:wordWrap w:val="0"/>
        <w:overflowPunct/>
        <w:topLinePunct w:val="0"/>
        <w:bidi w:val="0"/>
        <w:spacing w:before="97" w:line="324" w:lineRule="auto"/>
        <w:ind w:left="13" w:right="179" w:firstLine="477"/>
        <w:rPr>
          <w:rFonts w:hint="eastAsia" w:ascii="宋体" w:hAnsi="宋体" w:eastAsia="宋体" w:cs="宋体"/>
          <w:b/>
          <w:bCs/>
          <w:color w:val="auto"/>
          <w:spacing w:val="0"/>
          <w:sz w:val="24"/>
          <w:szCs w:val="24"/>
          <w:highlight w:val="none"/>
        </w:rPr>
      </w:pPr>
      <w:bookmarkStart w:id="153" w:name="_Toc12035"/>
      <w:bookmarkStart w:id="154" w:name="_Toc18478"/>
      <w:bookmarkStart w:id="155" w:name="_Toc30068"/>
      <w:r>
        <w:rPr>
          <w:rFonts w:hint="eastAsia" w:ascii="宋体" w:hAnsi="宋体" w:eastAsia="宋体" w:cs="宋体"/>
          <w:b/>
          <w:bCs/>
          <w:color w:val="auto"/>
          <w:spacing w:val="0"/>
          <w:sz w:val="24"/>
          <w:szCs w:val="24"/>
          <w:highlight w:val="none"/>
        </w:rPr>
        <w:t>中标下浮率=[1-（中标价-中标</w:t>
      </w:r>
      <w:r>
        <w:rPr>
          <w:rFonts w:hint="eastAsia" w:ascii="宋体" w:hAnsi="宋体" w:eastAsia="宋体" w:cs="宋体"/>
          <w:b/>
          <w:bCs/>
          <w:color w:val="auto"/>
          <w:spacing w:val="0"/>
          <w:sz w:val="24"/>
          <w:szCs w:val="24"/>
          <w:highlight w:val="none"/>
          <w:lang w:eastAsia="zh-CN"/>
        </w:rPr>
        <w:t>安全生产措施费</w:t>
      </w:r>
      <w:r>
        <w:rPr>
          <w:rFonts w:hint="eastAsia" w:ascii="宋体" w:hAnsi="宋体" w:eastAsia="宋体" w:cs="宋体"/>
          <w:b/>
          <w:bCs/>
          <w:color w:val="auto"/>
          <w:spacing w:val="0"/>
          <w:sz w:val="24"/>
          <w:szCs w:val="24"/>
          <w:highlight w:val="none"/>
        </w:rPr>
        <w:t>费-暂列金额-暂估价）/（</w:t>
      </w:r>
      <w:bookmarkEnd w:id="153"/>
      <w:bookmarkEnd w:id="154"/>
      <w:bookmarkStart w:id="156" w:name="_Toc15512"/>
      <w:bookmarkStart w:id="157" w:name="_Toc13602"/>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lang w:eastAsia="zh-CN"/>
        </w:rPr>
        <w:t>安全生产措施费</w:t>
      </w:r>
      <w:r>
        <w:rPr>
          <w:rFonts w:hint="eastAsia" w:ascii="宋体" w:hAnsi="宋体" w:eastAsia="宋体" w:cs="宋体"/>
          <w:b/>
          <w:bCs/>
          <w:color w:val="auto"/>
          <w:spacing w:val="0"/>
          <w:sz w:val="24"/>
          <w:szCs w:val="24"/>
          <w:highlight w:val="none"/>
        </w:rPr>
        <w:t>费-暂列金额-暂估价）] ×100%</w:t>
      </w:r>
      <w:bookmarkEnd w:id="155"/>
      <w:bookmarkEnd w:id="156"/>
      <w:bookmarkEnd w:id="157"/>
    </w:p>
    <w:p w14:paraId="5F716669">
      <w:pPr>
        <w:keepNext w:val="0"/>
        <w:keepLines w:val="0"/>
        <w:pageBreakBefore w:val="0"/>
        <w:wordWrap w:val="0"/>
        <w:overflowPunct/>
        <w:topLinePunct w:val="0"/>
        <w:bidi w:val="0"/>
        <w:spacing w:before="123" w:line="301" w:lineRule="auto"/>
        <w:ind w:left="10" w:right="116" w:firstLine="48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若修正后的该部分《分部分项工程和单价措施项目清单与计价表》总金额大于原投标报价中的该部分总金额，则从投标报价需调高的综合单价中选择偏离最大的清单开始调整，调整幅度逐步减少，直至修正后的该部分《分部分项工程和单价措施项目清单与计价表》总金额与原投标报价中的该部分总金额一致；若修正后的该部分《分部分项工程和单价措施项目清单与计价表》总金额小于原投标报价中的该部分总金额，则从投标报价需调低的综合单价中选择偏离最大的清单开始调整，调整幅度逐步减少，直至修正后的该部分《分部分项工程和单价措施项目清单与计价表》总金额与原投标报价中的该部分总金额一致。修正后的总造价应与总中标价保持一致，形成《不平衡报价修正报告》，并由招标人和中标人共同签章确认。</w:t>
      </w:r>
    </w:p>
    <w:p w14:paraId="2C74F04F">
      <w:pPr>
        <w:keepNext w:val="0"/>
        <w:keepLines w:val="0"/>
        <w:pageBreakBefore w:val="0"/>
        <w:wordWrap w:val="0"/>
        <w:overflowPunct/>
        <w:topLinePunct w:val="0"/>
        <w:bidi w:val="0"/>
        <w:spacing w:before="129" w:line="299" w:lineRule="auto"/>
        <w:ind w:left="12" w:right="179"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"2.3.2.2"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2.3.2.2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如果工程量出现本章第 </w:t>
      </w:r>
      <w:r>
        <w:rPr>
          <w:rFonts w:hint="eastAsia" w:ascii="宋体" w:hAnsi="宋体" w:eastAsia="宋体" w:cs="宋体"/>
          <w:b/>
          <w:bCs/>
          <w:color w:val="auto"/>
          <w:spacing w:val="0"/>
          <w:sz w:val="24"/>
          <w:szCs w:val="24"/>
          <w:highlight w:val="none"/>
        </w:rPr>
        <w:t xml:space="preserve">2.3.2.1 </w:t>
      </w:r>
      <w:r>
        <w:rPr>
          <w:rFonts w:hint="eastAsia" w:ascii="宋体" w:hAnsi="宋体" w:eastAsia="宋体" w:cs="宋体"/>
          <w:color w:val="auto"/>
          <w:spacing w:val="0"/>
          <w:sz w:val="24"/>
          <w:szCs w:val="24"/>
          <w:highlight w:val="none"/>
        </w:rPr>
        <w:t>子目的变化，且该变化引起相关措施项目相应发生变化时，按系数或单一总价方式计价的，工程量增加的措施项目费调增，工程量减少的措施项目费调减。</w:t>
      </w:r>
    </w:p>
    <w:p w14:paraId="3DB00805">
      <w:pPr>
        <w:keepNext w:val="0"/>
        <w:keepLines w:val="0"/>
        <w:pageBreakBefore w:val="0"/>
        <w:wordWrap w:val="0"/>
        <w:overflowPunct/>
        <w:topLinePunct w:val="0"/>
        <w:bidi w:val="0"/>
        <w:spacing w:before="154" w:line="221"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2.3.3  </w:t>
      </w:r>
      <w:r>
        <w:rPr>
          <w:rFonts w:hint="eastAsia" w:ascii="宋体" w:hAnsi="宋体" w:eastAsia="宋体" w:cs="宋体"/>
          <w:color w:val="auto"/>
          <w:spacing w:val="0"/>
          <w:sz w:val="24"/>
          <w:szCs w:val="24"/>
          <w:highlight w:val="none"/>
        </w:rPr>
        <w:t>工程变更</w:t>
      </w:r>
    </w:p>
    <w:p w14:paraId="23DCAF42">
      <w:pPr>
        <w:keepNext w:val="0"/>
        <w:keepLines w:val="0"/>
        <w:pageBreakBefore w:val="0"/>
        <w:wordWrap w:val="0"/>
        <w:overflowPunct/>
        <w:topLinePunct w:val="0"/>
        <w:bidi w:val="0"/>
        <w:spacing w:before="153" w:line="279" w:lineRule="auto"/>
        <w:ind w:left="19" w:right="179" w:firstLine="46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"2.3.3.1"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2.3.3.1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合同履行期间，因工程变更引起已标价工程量清单项目发生变化时，按照以下规定调整：</w:t>
      </w:r>
    </w:p>
    <w:p w14:paraId="187CDAE7">
      <w:pPr>
        <w:keepNext w:val="0"/>
        <w:keepLines w:val="0"/>
        <w:pageBreakBefore w:val="0"/>
        <w:numPr>
          <w:ilvl w:val="0"/>
          <w:numId w:val="1"/>
        </w:numPr>
        <w:wordWrap w:val="0"/>
        <w:overflowPunct/>
        <w:topLinePunct w:val="0"/>
        <w:bidi w:val="0"/>
        <w:spacing w:before="78" w:line="360" w:lineRule="auto"/>
        <w:ind w:firstLine="240" w:firstLineChars="100"/>
        <w:rPr>
          <w:rFonts w:hint="eastAsia" w:ascii="宋体" w:hAnsi="宋体" w:eastAsia="宋体" w:cs="宋体"/>
          <w:b/>
          <w:bCs/>
          <w:color w:val="auto"/>
          <w:spacing w:val="0"/>
          <w:sz w:val="24"/>
          <w:szCs w:val="24"/>
          <w:highlight w:val="none"/>
        </w:rPr>
      </w:pPr>
      <w:r>
        <w:rPr>
          <w:rFonts w:hint="eastAsia" w:ascii="宋体" w:hAnsi="宋体" w:eastAsia="宋体" w:cs="宋体"/>
          <w:color w:val="auto"/>
          <w:spacing w:val="0"/>
          <w:sz w:val="24"/>
          <w:szCs w:val="24"/>
          <w:highlight w:val="none"/>
        </w:rPr>
        <w:t>已标价工程量清单中有适用于变更工程项目的，采用该项目的单价。</w:t>
      </w:r>
      <w:r>
        <w:rPr>
          <w:rFonts w:hint="eastAsia" w:ascii="宋体" w:hAnsi="宋体" w:eastAsia="宋体" w:cs="宋体"/>
          <w:b/>
          <w:bCs/>
          <w:color w:val="auto"/>
          <w:spacing w:val="0"/>
          <w:sz w:val="24"/>
          <w:szCs w:val="24"/>
          <w:highlight w:val="none"/>
        </w:rPr>
        <w:t>但如果</w:t>
      </w:r>
      <w:bookmarkStart w:id="158" w:name="bookmark143"/>
      <w:bookmarkEnd w:id="158"/>
      <w:r>
        <w:rPr>
          <w:rFonts w:hint="eastAsia" w:ascii="宋体" w:hAnsi="宋体" w:eastAsia="宋体" w:cs="宋体"/>
          <w:b/>
          <w:bCs/>
          <w:color w:val="auto"/>
          <w:spacing w:val="0"/>
          <w:sz w:val="24"/>
          <w:szCs w:val="24"/>
          <w:highlight w:val="none"/>
        </w:rPr>
        <w:t>被采用的项目属于按照第二章“中标人须知</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”第</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4.2 条被认定为不平衡报价的清单项目，变更工程项目的单价按照本章 2.3.2.1 的方法调整。】</w:t>
      </w:r>
    </w:p>
    <w:p w14:paraId="7205A22D">
      <w:pPr>
        <w:keepNext w:val="0"/>
        <w:keepLines w:val="0"/>
        <w:pageBreakBefore w:val="0"/>
        <w:numPr>
          <w:ilvl w:val="0"/>
          <w:numId w:val="0"/>
        </w:numPr>
        <w:wordWrap w:val="0"/>
        <w:overflowPunct/>
        <w:topLinePunct w:val="0"/>
        <w:bidi w:val="0"/>
        <w:spacing w:before="78" w:line="360" w:lineRule="auto"/>
        <w:ind w:firstLine="241" w:firstLineChars="1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color w:val="auto"/>
          <w:spacing w:val="0"/>
          <w:sz w:val="24"/>
          <w:szCs w:val="24"/>
          <w:highlight w:val="none"/>
        </w:rPr>
        <w:t>已标价工程量清单中没有适用但有类似于变更工程项目的，可在合理范围内参照类似项目的单价。</w:t>
      </w:r>
      <w:r>
        <w:rPr>
          <w:rFonts w:hint="eastAsia" w:ascii="宋体" w:hAnsi="宋体" w:eastAsia="宋体" w:cs="宋体"/>
          <w:b/>
          <w:bCs/>
          <w:color w:val="auto"/>
          <w:spacing w:val="0"/>
          <w:sz w:val="24"/>
          <w:szCs w:val="24"/>
          <w:highlight w:val="none"/>
        </w:rPr>
        <w:t>但如果被参考的类似项目属于按照第二章“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中标人须知</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”第</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4.2条被认定为不平衡报价的清单项目，变更工程项目的单价按照本章2.3.2.1 的方法调整。</w:t>
      </w:r>
    </w:p>
    <w:p w14:paraId="314A12AB">
      <w:pPr>
        <w:keepNext w:val="0"/>
        <w:keepLines w:val="0"/>
        <w:pageBreakBefore w:val="0"/>
        <w:numPr>
          <w:ilvl w:val="0"/>
          <w:numId w:val="0"/>
        </w:numPr>
        <w:wordWrap w:val="0"/>
        <w:overflowPunct/>
        <w:topLinePunct w:val="0"/>
        <w:bidi w:val="0"/>
        <w:spacing w:before="38" w:line="310" w:lineRule="auto"/>
        <w:ind w:right="81" w:rightChars="0" w:firstLine="240" w:firstLineChars="10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已标价工程量清单中没有适用也没有类似于变更工程项目的，由承包人根据变更工程资料、计量规则、计价办法、施工当月项目所在地工程造价管理机构发布的价格信息和中标下浮率提出变更工程项目的单价，报发包人确认后调整。中标下浮率的计算公式如下：</w:t>
      </w:r>
    </w:p>
    <w:p w14:paraId="3BB23C34">
      <w:pPr>
        <w:keepNext w:val="0"/>
        <w:keepLines w:val="0"/>
        <w:pageBreakBefore w:val="0"/>
        <w:wordWrap w:val="0"/>
        <w:overflowPunct/>
        <w:topLinePunct w:val="0"/>
        <w:bidi w:val="0"/>
        <w:spacing w:before="126" w:line="314" w:lineRule="auto"/>
        <w:ind w:left="29" w:right="21" w:firstLine="50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中标下浮率=[1-（中标价-中标</w:t>
      </w:r>
      <w:r>
        <w:rPr>
          <w:rFonts w:hint="eastAsia" w:ascii="宋体" w:hAnsi="宋体" w:eastAsia="宋体" w:cs="宋体"/>
          <w:b/>
          <w:bCs/>
          <w:color w:val="auto"/>
          <w:spacing w:val="0"/>
          <w:sz w:val="24"/>
          <w:szCs w:val="24"/>
          <w:highlight w:val="none"/>
          <w:lang w:eastAsia="zh-CN"/>
        </w:rPr>
        <w:t>安全生产措施费</w:t>
      </w:r>
      <w:r>
        <w:rPr>
          <w:rFonts w:hint="eastAsia" w:ascii="宋体" w:hAnsi="宋体" w:eastAsia="宋体" w:cs="宋体"/>
          <w:b/>
          <w:bCs/>
          <w:color w:val="auto"/>
          <w:spacing w:val="0"/>
          <w:sz w:val="24"/>
          <w:szCs w:val="24"/>
          <w:highlight w:val="none"/>
        </w:rPr>
        <w:t>费-暂列金额-暂估价）/（</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lang w:eastAsia="zh-CN"/>
        </w:rPr>
        <w:t>安全生产措施费</w:t>
      </w:r>
      <w:r>
        <w:rPr>
          <w:rFonts w:hint="eastAsia" w:ascii="宋体" w:hAnsi="宋体" w:eastAsia="宋体" w:cs="宋体"/>
          <w:b/>
          <w:bCs/>
          <w:color w:val="auto"/>
          <w:spacing w:val="0"/>
          <w:sz w:val="24"/>
          <w:szCs w:val="24"/>
          <w:highlight w:val="none"/>
        </w:rPr>
        <w:t>费-暂列金额-暂估价）]</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×100%</w:t>
      </w:r>
    </w:p>
    <w:p w14:paraId="132C32ED">
      <w:pPr>
        <w:keepNext w:val="0"/>
        <w:keepLines w:val="0"/>
        <w:pageBreakBefore w:val="0"/>
        <w:wordWrap w:val="0"/>
        <w:overflowPunct/>
        <w:topLinePunct w:val="0"/>
        <w:bidi w:val="0"/>
        <w:spacing w:before="145" w:line="309" w:lineRule="auto"/>
        <w:ind w:right="81" w:firstLine="240" w:firstLineChars="100"/>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lang w:eastAsia="zh-CN"/>
        </w:rPr>
        <w:t>）</w:t>
      </w:r>
      <w:r>
        <w:rPr>
          <w:rFonts w:hint="eastAsia" w:ascii="宋体" w:hAnsi="宋体" w:eastAsia="宋体" w:cs="宋体"/>
          <w:snapToGrid w:val="0"/>
          <w:color w:val="auto"/>
          <w:spacing w:val="0"/>
          <w:kern w:val="0"/>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7485EB42">
      <w:pPr>
        <w:keepNext w:val="0"/>
        <w:keepLines w:val="0"/>
        <w:pageBreakBefore w:val="0"/>
        <w:wordWrap w:val="0"/>
        <w:overflowPunct/>
        <w:topLinePunct w:val="0"/>
        <w:bidi w:val="0"/>
        <w:spacing w:before="156" w:line="309" w:lineRule="auto"/>
        <w:ind w:left="7" w:right="81"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"2.3.3.2"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2.3.3.2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工程变更引起施工方案改变并使措施项目发生变化时，承包人提出调整措施项目费的，应事先将拟实施的方案提交发包人确认，并应详细说明与原方案措施项目相比的变化情况。拟实施的方案经发、承包双方确认后执行，并按照本章下列规定调整措施项目费：</w:t>
      </w:r>
    </w:p>
    <w:p w14:paraId="48DB76F2">
      <w:pPr>
        <w:keepNext w:val="0"/>
        <w:keepLines w:val="0"/>
        <w:pageBreakBefore w:val="0"/>
        <w:wordWrap w:val="0"/>
        <w:overflowPunct/>
        <w:topLinePunct w:val="0"/>
        <w:bidi w:val="0"/>
        <w:spacing w:before="152" w:line="220" w:lineRule="auto"/>
        <w:ind w:left="49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费应按照实际发生变化的措施项目计算。</w:t>
      </w:r>
    </w:p>
    <w:p w14:paraId="3430AEEE">
      <w:pPr>
        <w:keepNext w:val="0"/>
        <w:keepLines w:val="0"/>
        <w:pageBreakBefore w:val="0"/>
        <w:wordWrap w:val="0"/>
        <w:overflowPunct/>
        <w:topLinePunct w:val="0"/>
        <w:bidi w:val="0"/>
        <w:spacing w:before="156" w:line="309" w:lineRule="auto"/>
        <w:ind w:left="7" w:right="81"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（2）采用单价计算的措施项目费，应按照实际发生变化的措施项目，按本章第 </w:t>
      </w:r>
      <w:r>
        <w:rPr>
          <w:rFonts w:hint="eastAsia" w:ascii="宋体" w:hAnsi="宋体" w:eastAsia="宋体" w:cs="宋体"/>
          <w:b/>
          <w:bCs/>
          <w:color w:val="auto"/>
          <w:spacing w:val="0"/>
          <w:sz w:val="24"/>
          <w:szCs w:val="24"/>
          <w:highlight w:val="none"/>
        </w:rPr>
        <w:t xml:space="preserve">2.3.3.1 </w:t>
      </w:r>
      <w:r>
        <w:rPr>
          <w:rFonts w:hint="eastAsia" w:ascii="宋体" w:hAnsi="宋体" w:eastAsia="宋体" w:cs="宋体"/>
          <w:color w:val="auto"/>
          <w:spacing w:val="0"/>
          <w:sz w:val="24"/>
          <w:szCs w:val="24"/>
          <w:highlight w:val="none"/>
        </w:rPr>
        <w:t>子目的规定确定单价。</w:t>
      </w:r>
    </w:p>
    <w:p w14:paraId="49A98A6F">
      <w:pPr>
        <w:keepNext w:val="0"/>
        <w:keepLines w:val="0"/>
        <w:pageBreakBefore w:val="0"/>
        <w:wordWrap w:val="0"/>
        <w:overflowPunct/>
        <w:topLinePunct w:val="0"/>
        <w:bidi w:val="0"/>
        <w:spacing w:before="154" w:line="360" w:lineRule="auto"/>
        <w:ind w:left="8" w:right="81"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（3）按总价或系数计算的措施项目费，应按照实际发生变化的措施项目费调整并考虑中标下浮率因素，即调整金额＝按照实际变化调整后的金额×（1-中标下浮率）。</w:t>
      </w:r>
    </w:p>
    <w:p w14:paraId="78BE891C">
      <w:pPr>
        <w:keepNext w:val="0"/>
        <w:keepLines w:val="0"/>
        <w:pageBreakBefore w:val="0"/>
        <w:wordWrap w:val="0"/>
        <w:overflowPunct/>
        <w:topLinePunct w:val="0"/>
        <w:bidi w:val="0"/>
        <w:spacing w:before="157" w:line="324" w:lineRule="auto"/>
        <w:ind w:left="21" w:right="81" w:firstLine="47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如果承包人未事先将拟实施的方案提交发包人确认，视为工程变更不引起措施项目费的调整或承包人放弃调整措施项目费的权利。</w:t>
      </w:r>
    </w:p>
    <w:p w14:paraId="2ECDD016">
      <w:pPr>
        <w:keepNext w:val="0"/>
        <w:keepLines w:val="0"/>
        <w:pageBreakBefore w:val="0"/>
        <w:wordWrap w:val="0"/>
        <w:overflowPunct/>
        <w:topLinePunct w:val="0"/>
        <w:bidi w:val="0"/>
        <w:spacing w:before="35" w:line="309" w:lineRule="auto"/>
        <w:ind w:right="81" w:firstLine="42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"2.3.3.3"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2.3.3.3</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当因非承包人原因，发包人提出的工程变更删减了合同中的某项原定工作或工程，致使承包人发生的费用或（和）得到的收益不能被包括在其他已支付或应支付的项目中，也未被包含在任何替代的工作或工程中时，承包人有权提出并应得到合理的费用及利润补偿。</w:t>
      </w:r>
    </w:p>
    <w:p w14:paraId="4E492982">
      <w:pPr>
        <w:keepNext w:val="0"/>
        <w:keepLines w:val="0"/>
        <w:pageBreakBefore w:val="0"/>
        <w:wordWrap w:val="0"/>
        <w:overflowPunct/>
        <w:topLinePunct w:val="0"/>
        <w:bidi w:val="0"/>
        <w:spacing w:before="155" w:line="220" w:lineRule="auto"/>
        <w:ind w:left="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2.3.4  </w:t>
      </w:r>
      <w:r>
        <w:rPr>
          <w:rFonts w:hint="eastAsia" w:ascii="宋体" w:hAnsi="宋体" w:eastAsia="宋体" w:cs="宋体"/>
          <w:color w:val="auto"/>
          <w:spacing w:val="0"/>
          <w:sz w:val="24"/>
          <w:szCs w:val="24"/>
          <w:highlight w:val="none"/>
        </w:rPr>
        <w:t>项目特征不符</w:t>
      </w:r>
    </w:p>
    <w:p w14:paraId="7DBF02D2">
      <w:pPr>
        <w:keepNext w:val="0"/>
        <w:keepLines w:val="0"/>
        <w:pageBreakBefore w:val="0"/>
        <w:wordWrap w:val="0"/>
        <w:overflowPunct/>
        <w:topLinePunct w:val="0"/>
        <w:bidi w:val="0"/>
        <w:spacing w:before="78" w:line="331" w:lineRule="auto"/>
        <w:ind w:left="8" w:right="108" w:firstLine="480"/>
        <w:jc w:val="both"/>
        <w:rPr>
          <w:rFonts w:hint="eastAsia" w:ascii="宋体" w:hAnsi="宋体" w:eastAsia="宋体" w:cs="宋体"/>
          <w:color w:val="auto"/>
          <w:spacing w:val="0"/>
          <w:sz w:val="24"/>
          <w:szCs w:val="24"/>
          <w:highlight w:val="none"/>
        </w:rPr>
      </w:pPr>
      <w:bookmarkStart w:id="159" w:name="bookmark144"/>
      <w:bookmarkEnd w:id="159"/>
      <w:r>
        <w:rPr>
          <w:rFonts w:hint="eastAsia" w:ascii="宋体" w:hAnsi="宋体" w:eastAsia="宋体" w:cs="宋体"/>
          <w:color w:val="auto"/>
          <w:spacing w:val="0"/>
          <w:sz w:val="24"/>
          <w:szCs w:val="24"/>
          <w:highlight w:val="none"/>
        </w:rPr>
        <w:t xml:space="preserve">承包人应按照发包人提供的设计图纸实施合同工程，若在合同履行期间出现设计图纸（含设计变更）与招标工程量清单任一项目的特征描述不符，且该变化引起该项目工程造价增减变化的，应按照实际施工的项目特征，并按本章第 </w:t>
      </w:r>
      <w:r>
        <w:rPr>
          <w:rFonts w:hint="eastAsia" w:ascii="宋体" w:hAnsi="宋体" w:eastAsia="宋体" w:cs="宋体"/>
          <w:b/>
          <w:bCs/>
          <w:color w:val="auto"/>
          <w:spacing w:val="0"/>
          <w:sz w:val="24"/>
          <w:szCs w:val="24"/>
          <w:highlight w:val="none"/>
        </w:rPr>
        <w:t xml:space="preserve">2.3.3 </w:t>
      </w:r>
      <w:r>
        <w:rPr>
          <w:rFonts w:hint="eastAsia" w:ascii="宋体" w:hAnsi="宋体" w:eastAsia="宋体" w:cs="宋体"/>
          <w:color w:val="auto"/>
          <w:spacing w:val="0"/>
          <w:sz w:val="24"/>
          <w:szCs w:val="24"/>
          <w:highlight w:val="none"/>
        </w:rPr>
        <w:t>目相关条款的规定重新确定相应工程量清单项目的综合单价，并调整合同价款。</w:t>
      </w:r>
    </w:p>
    <w:p w14:paraId="197538B0">
      <w:pPr>
        <w:keepNext w:val="0"/>
        <w:keepLines w:val="0"/>
        <w:pageBreakBefore w:val="0"/>
        <w:wordWrap w:val="0"/>
        <w:overflowPunct/>
        <w:topLinePunct w:val="0"/>
        <w:bidi w:val="0"/>
        <w:spacing w:before="38" w:line="221" w:lineRule="auto"/>
        <w:ind w:left="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2.3.5  </w:t>
      </w:r>
      <w:r>
        <w:rPr>
          <w:rFonts w:hint="eastAsia" w:ascii="宋体" w:hAnsi="宋体" w:eastAsia="宋体" w:cs="宋体"/>
          <w:color w:val="auto"/>
          <w:spacing w:val="0"/>
          <w:sz w:val="24"/>
          <w:szCs w:val="24"/>
          <w:highlight w:val="none"/>
        </w:rPr>
        <w:t>招标工程量清单缺项</w:t>
      </w:r>
    </w:p>
    <w:p w14:paraId="5867B021">
      <w:pPr>
        <w:keepNext w:val="0"/>
        <w:keepLines w:val="0"/>
        <w:pageBreakBefore w:val="0"/>
        <w:widowControl/>
        <w:kinsoku w:val="0"/>
        <w:wordWrap w:val="0"/>
        <w:overflowPunct/>
        <w:topLinePunct w:val="0"/>
        <w:autoSpaceDE w:val="0"/>
        <w:autoSpaceDN w:val="0"/>
        <w:bidi w:val="0"/>
        <w:adjustRightInd w:val="0"/>
        <w:snapToGrid w:val="0"/>
        <w:spacing w:before="152" w:line="25" w:lineRule="atLeast"/>
        <w:ind w:left="9" w:right="56" w:firstLine="476"/>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"2.3.5.1"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2.3.5.1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合同履行期间，由于招标工程量清单中缺项，新增分部分项工程清单项目，应按照本章第 </w:t>
      </w:r>
      <w:r>
        <w:rPr>
          <w:rFonts w:hint="eastAsia" w:ascii="宋体" w:hAnsi="宋体" w:eastAsia="宋体" w:cs="宋体"/>
          <w:b/>
          <w:bCs/>
          <w:color w:val="auto"/>
          <w:spacing w:val="0"/>
          <w:sz w:val="24"/>
          <w:szCs w:val="24"/>
          <w:highlight w:val="none"/>
        </w:rPr>
        <w:t xml:space="preserve">2.3.3.1 </w:t>
      </w:r>
      <w:r>
        <w:rPr>
          <w:rFonts w:hint="eastAsia" w:ascii="宋体" w:hAnsi="宋体" w:eastAsia="宋体" w:cs="宋体"/>
          <w:color w:val="auto"/>
          <w:spacing w:val="0"/>
          <w:sz w:val="24"/>
          <w:szCs w:val="24"/>
          <w:highlight w:val="none"/>
        </w:rPr>
        <w:t>子目的规定确定单价，并调整合同价款。</w:t>
      </w:r>
    </w:p>
    <w:p w14:paraId="789762A4">
      <w:pPr>
        <w:keepNext w:val="0"/>
        <w:keepLines w:val="0"/>
        <w:pageBreakBefore w:val="0"/>
        <w:widowControl/>
        <w:kinsoku w:val="0"/>
        <w:wordWrap w:val="0"/>
        <w:overflowPunct/>
        <w:topLinePunct w:val="0"/>
        <w:autoSpaceDE w:val="0"/>
        <w:autoSpaceDN w:val="0"/>
        <w:bidi w:val="0"/>
        <w:adjustRightInd w:val="0"/>
        <w:snapToGrid w:val="0"/>
        <w:spacing w:before="157" w:line="25" w:lineRule="atLeast"/>
        <w:ind w:firstLine="42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"2.3.5.2"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2.3.5.2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新增分部分项工程清单项目后，引起措施项目发生变化的，应按照本章第 </w:t>
      </w:r>
      <w:r>
        <w:rPr>
          <w:rFonts w:hint="eastAsia" w:ascii="宋体" w:hAnsi="宋体" w:eastAsia="宋体" w:cs="宋体"/>
          <w:b/>
          <w:bCs/>
          <w:color w:val="auto"/>
          <w:spacing w:val="0"/>
          <w:sz w:val="24"/>
          <w:szCs w:val="24"/>
          <w:highlight w:val="none"/>
        </w:rPr>
        <w:t xml:space="preserve">2.3.3.2 </w:t>
      </w:r>
      <w:r>
        <w:rPr>
          <w:rFonts w:hint="eastAsia" w:ascii="宋体" w:hAnsi="宋体" w:eastAsia="宋体" w:cs="宋体"/>
          <w:color w:val="auto"/>
          <w:spacing w:val="0"/>
          <w:sz w:val="24"/>
          <w:szCs w:val="24"/>
          <w:highlight w:val="none"/>
        </w:rPr>
        <w:t>子目的规定，在承包人提交的实施方案被发包人批准后调整合同价款。</w:t>
      </w:r>
    </w:p>
    <w:p w14:paraId="64483C48">
      <w:pPr>
        <w:keepNext w:val="0"/>
        <w:keepLines w:val="0"/>
        <w:pageBreakBefore w:val="0"/>
        <w:widowControl/>
        <w:kinsoku w:val="0"/>
        <w:wordWrap w:val="0"/>
        <w:overflowPunct/>
        <w:topLinePunct w:val="0"/>
        <w:autoSpaceDE w:val="0"/>
        <w:autoSpaceDN w:val="0"/>
        <w:bidi w:val="0"/>
        <w:adjustRightInd w:val="0"/>
        <w:snapToGrid w:val="0"/>
        <w:spacing w:before="156" w:line="300" w:lineRule="auto"/>
        <w:ind w:left="11" w:right="108" w:firstLine="471"/>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"2.3.5.3"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2.3.5.3</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 xml:space="preserve">由于招标工程量清单中措施项目缺项，承包人应将新增措施项目实施方案提交发包人批准后，按照本章第 </w:t>
      </w:r>
      <w:r>
        <w:rPr>
          <w:rFonts w:hint="eastAsia" w:ascii="宋体" w:hAnsi="宋体" w:eastAsia="宋体" w:cs="宋体"/>
          <w:b/>
          <w:bCs/>
          <w:color w:val="auto"/>
          <w:spacing w:val="0"/>
          <w:sz w:val="24"/>
          <w:szCs w:val="24"/>
          <w:highlight w:val="none"/>
        </w:rPr>
        <w:t xml:space="preserve">2.3.3.1 </w:t>
      </w:r>
      <w:r>
        <w:rPr>
          <w:rFonts w:hint="eastAsia" w:ascii="宋体" w:hAnsi="宋体" w:eastAsia="宋体" w:cs="宋体"/>
          <w:color w:val="auto"/>
          <w:spacing w:val="0"/>
          <w:sz w:val="24"/>
          <w:szCs w:val="24"/>
          <w:highlight w:val="none"/>
        </w:rPr>
        <w:t xml:space="preserve">子目、第 </w:t>
      </w:r>
      <w:r>
        <w:rPr>
          <w:rFonts w:hint="eastAsia" w:ascii="宋体" w:hAnsi="宋体" w:eastAsia="宋体" w:cs="宋体"/>
          <w:b/>
          <w:bCs/>
          <w:color w:val="auto"/>
          <w:spacing w:val="0"/>
          <w:sz w:val="24"/>
          <w:szCs w:val="24"/>
          <w:highlight w:val="none"/>
        </w:rPr>
        <w:t xml:space="preserve">2.3.3.2 </w:t>
      </w:r>
      <w:r>
        <w:rPr>
          <w:rFonts w:hint="eastAsia" w:ascii="宋体" w:hAnsi="宋体" w:eastAsia="宋体" w:cs="宋体"/>
          <w:color w:val="auto"/>
          <w:spacing w:val="0"/>
          <w:sz w:val="24"/>
          <w:szCs w:val="24"/>
          <w:highlight w:val="none"/>
        </w:rPr>
        <w:t>子目的规定调整合同价款。</w:t>
      </w:r>
    </w:p>
    <w:p w14:paraId="08FB5658">
      <w:pPr>
        <w:keepNext w:val="0"/>
        <w:keepLines w:val="0"/>
        <w:pageBreakBefore w:val="0"/>
        <w:wordWrap w:val="0"/>
        <w:overflowPunct/>
        <w:topLinePunct w:val="0"/>
        <w:bidi w:val="0"/>
        <w:spacing w:before="154" w:line="219" w:lineRule="auto"/>
        <w:ind w:left="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2.3.6  </w:t>
      </w:r>
      <w:r>
        <w:rPr>
          <w:rFonts w:hint="eastAsia" w:ascii="宋体" w:hAnsi="宋体" w:eastAsia="宋体" w:cs="宋体"/>
          <w:color w:val="auto"/>
          <w:spacing w:val="0"/>
          <w:sz w:val="24"/>
          <w:szCs w:val="24"/>
          <w:highlight w:val="none"/>
        </w:rPr>
        <w:t>物价变化</w:t>
      </w:r>
    </w:p>
    <w:p w14:paraId="7D525C3E">
      <w:pPr>
        <w:keepNext w:val="0"/>
        <w:keepLines w:val="0"/>
        <w:pageBreakBefore w:val="0"/>
        <w:wordWrap w:val="0"/>
        <w:overflowPunct/>
        <w:topLinePunct w:val="0"/>
        <w:bidi w:val="0"/>
        <w:spacing w:before="156" w:line="315" w:lineRule="auto"/>
        <w:ind w:left="8" w:right="108"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"2.3.6.1"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2.3.6.1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合同履行期间，项目所在地工程造价管理机构发布的动态人工调整系数发生变化时，如果承包人投标报价中人工费（以下简称“ 中标人工费 ”）等于或超过施工当月经动态调整后的定额人工费，该清单项目中标人工费不予调整；如果中标人工费低于施工当月经动态调整后的定额人工费，该清单项目中标人工费可以调整，相关费用按有关规定进行相应调整。结算人工费调整公式为：</w:t>
      </w:r>
    </w:p>
    <w:p w14:paraId="6A69C7F8">
      <w:pPr>
        <w:keepNext w:val="0"/>
        <w:keepLines w:val="0"/>
        <w:pageBreakBefore w:val="0"/>
        <w:wordWrap w:val="0"/>
        <w:overflowPunct/>
        <w:topLinePunct w:val="0"/>
        <w:bidi w:val="0"/>
        <w:spacing w:before="153" w:line="220" w:lineRule="auto"/>
        <w:ind w:left="494"/>
        <w:rPr>
          <w:rFonts w:hint="eastAsia" w:ascii="宋体" w:hAnsi="宋体" w:eastAsia="宋体" w:cs="宋体"/>
          <w:color w:val="auto"/>
          <w:spacing w:val="0"/>
          <w:sz w:val="15"/>
          <w:szCs w:val="15"/>
          <w:highlight w:val="none"/>
        </w:rPr>
      </w:pPr>
      <w:r>
        <w:rPr>
          <w:rFonts w:hint="eastAsia" w:ascii="宋体" w:hAnsi="宋体" w:eastAsia="宋体" w:cs="宋体"/>
          <w:color w:val="auto"/>
          <w:spacing w:val="0"/>
          <w:sz w:val="24"/>
          <w:szCs w:val="24"/>
          <w:highlight w:val="none"/>
        </w:rPr>
        <w:t>结算人工费＝中标人工费×F</w:t>
      </w:r>
      <w:r>
        <w:rPr>
          <w:rFonts w:hint="eastAsia" w:ascii="宋体" w:hAnsi="宋体" w:eastAsia="宋体" w:cs="宋体"/>
          <w:color w:val="auto"/>
          <w:spacing w:val="0"/>
          <w:position w:val="-1"/>
          <w:sz w:val="15"/>
          <w:szCs w:val="15"/>
          <w:highlight w:val="none"/>
        </w:rPr>
        <w:t>1</w:t>
      </w:r>
    </w:p>
    <w:p w14:paraId="381BBD03">
      <w:pPr>
        <w:keepNext w:val="0"/>
        <w:keepLines w:val="0"/>
        <w:pageBreakBefore w:val="0"/>
        <w:wordWrap w:val="0"/>
        <w:overflowPunct/>
        <w:topLinePunct w:val="0"/>
        <w:bidi w:val="0"/>
        <w:spacing w:before="152" w:line="219"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式中，F</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w w:val="101"/>
          <w:position w:val="-1"/>
          <w:sz w:val="15"/>
          <w:szCs w:val="15"/>
          <w:highlight w:val="none"/>
        </w:rPr>
        <w:t xml:space="preserve"> </w:t>
      </w:r>
      <w:r>
        <w:rPr>
          <w:rFonts w:hint="eastAsia" w:ascii="宋体" w:hAnsi="宋体" w:eastAsia="宋体" w:cs="宋体"/>
          <w:color w:val="auto"/>
          <w:spacing w:val="0"/>
          <w:sz w:val="24"/>
          <w:szCs w:val="24"/>
          <w:highlight w:val="none"/>
        </w:rPr>
        <w:t>为施工当月项目所在地工程造价管理机构发布的动态人工调整系数。</w:t>
      </w:r>
    </w:p>
    <w:p w14:paraId="4F9CF534">
      <w:pPr>
        <w:keepNext w:val="0"/>
        <w:keepLines w:val="0"/>
        <w:pageBreakBefore w:val="0"/>
        <w:wordWrap w:val="0"/>
        <w:overflowPunct/>
        <w:topLinePunct w:val="0"/>
        <w:bidi w:val="0"/>
        <w:spacing w:before="119" w:line="324" w:lineRule="auto"/>
        <w:ind w:left="1" w:right="108" w:firstLine="48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fldChar w:fldCharType="begin"/>
      </w:r>
      <w:r>
        <w:rPr>
          <w:rFonts w:hint="eastAsia" w:ascii="宋体" w:hAnsi="宋体" w:eastAsia="宋体" w:cs="宋体"/>
          <w:b/>
          <w:bCs/>
          <w:color w:val="auto"/>
          <w:spacing w:val="0"/>
          <w:sz w:val="24"/>
          <w:szCs w:val="24"/>
          <w:highlight w:val="none"/>
        </w:rPr>
        <w:instrText xml:space="preserve"> HYPERLINK "2.3.6.2" </w:instrText>
      </w:r>
      <w:r>
        <w:rPr>
          <w:rFonts w:hint="eastAsia" w:ascii="宋体" w:hAnsi="宋体" w:eastAsia="宋体" w:cs="宋体"/>
          <w:b/>
          <w:bCs/>
          <w:color w:val="auto"/>
          <w:spacing w:val="0"/>
          <w:sz w:val="24"/>
          <w:szCs w:val="24"/>
          <w:highlight w:val="none"/>
        </w:rPr>
        <w:fldChar w:fldCharType="separate"/>
      </w:r>
      <w:r>
        <w:rPr>
          <w:rFonts w:hint="eastAsia" w:ascii="宋体" w:hAnsi="宋体" w:eastAsia="宋体" w:cs="宋体"/>
          <w:b/>
          <w:bCs/>
          <w:color w:val="auto"/>
          <w:spacing w:val="0"/>
          <w:sz w:val="24"/>
          <w:szCs w:val="24"/>
          <w:highlight w:val="none"/>
        </w:rPr>
        <w:t>2.3.6.2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本招标项目约定，材料、工程设备单价涨跌风险幅度值 A 为</w:t>
      </w:r>
      <w:r>
        <w:rPr>
          <w:rFonts w:hint="eastAsia" w:ascii="宋体" w:hAnsi="宋体" w:eastAsia="宋体" w:cs="宋体"/>
          <w:color w:val="auto"/>
          <w:spacing w:val="0"/>
          <w:sz w:val="24"/>
          <w:szCs w:val="24"/>
          <w:highlight w:val="none"/>
          <w:u w:val="single"/>
        </w:rPr>
        <w:t xml:space="preserve">  5%   </w:t>
      </w:r>
      <w:r>
        <w:rPr>
          <w:rFonts w:hint="eastAsia" w:ascii="宋体" w:hAnsi="宋体" w:eastAsia="宋体" w:cs="宋体"/>
          <w:color w:val="auto"/>
          <w:spacing w:val="0"/>
          <w:sz w:val="24"/>
          <w:szCs w:val="24"/>
          <w:highlight w:val="none"/>
        </w:rPr>
        <w:t>。合同履行期间，当《承包人提供主要材料和工程设备一览表》（详见招标工程量清单）中的材料、工程设备单价涨跌幅度等于或低于 A 值时，该材料、工程设备单价不予调整；超过A 值时，其超过部分可以调整。相关费用按有关规定进行相应调整。</w:t>
      </w:r>
    </w:p>
    <w:p w14:paraId="62EE16C1">
      <w:pPr>
        <w:keepNext w:val="0"/>
        <w:keepLines w:val="0"/>
        <w:pageBreakBefore w:val="0"/>
        <w:wordWrap w:val="0"/>
        <w:overflowPunct/>
        <w:topLinePunct w:val="0"/>
        <w:bidi w:val="0"/>
        <w:spacing w:before="126" w:line="295" w:lineRule="auto"/>
        <w:ind w:left="11" w:right="108" w:firstLine="477"/>
        <w:jc w:val="both"/>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 w:val="24"/>
          <w:szCs w:val="24"/>
          <w:highlight w:val="none"/>
          <w:lang w:eastAsia="zh-CN"/>
        </w:rPr>
        <w:t>a ．如果承包人投标报价中材料、工程设备单价（以下简称“ 中标单价 ”）低于基准日当月项目所在地工程造价管理机构发布的对应材料、工程设备单价（以下简称“基准单价 ”），该材料、工程设备的结算单价调整公式为：</w:t>
      </w:r>
    </w:p>
    <w:p w14:paraId="15C1572F">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a．涨价时，</w:t>
      </w:r>
      <w:r>
        <w:rPr>
          <w:rFonts w:hint="eastAsia" w:ascii="宋体" w:hAnsi="宋体" w:eastAsia="宋体" w:cs="宋体"/>
          <w:snapToGrid w:val="0"/>
          <w:color w:val="auto"/>
          <w:spacing w:val="0"/>
          <w:kern w:val="0"/>
          <w:position w:val="-30"/>
          <w:sz w:val="24"/>
          <w:szCs w:val="24"/>
          <w:highlight w:val="none"/>
        </w:rPr>
        <w:object>
          <v:shape id="_x0000_i1025" o:spt="75" type="#_x0000_t75" style="height:33.95pt;width:200.95pt;" o:ole="t" filled="f" o:preferrelative="t" stroked="f" coordsize="21600,21600">
            <v:path/>
            <v:fill on="f" focussize="0,0"/>
            <v:stroke on="f"/>
            <v:imagedata r:id="rId29" embosscolor="#FFFFFF" o:title=""/>
            <o:lock v:ext="edit" grouping="f" rotation="f" text="f" aspectratio="t"/>
            <w10:wrap type="none"/>
            <w10:anchorlock/>
          </v:shape>
          <o:OLEObject Type="Embed" ProgID="Equation.KSEE3" ShapeID="_x0000_i1025" DrawAspect="Content" ObjectID="_1468075725" r:id="rId28">
            <o:LockedField>false</o:LockedField>
          </o:OLEObject>
        </w:object>
      </w:r>
    </w:p>
    <w:p w14:paraId="5FEA2B94">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26" o:spt="75" type="#_x0000_t75" style="height:33.95pt;width:198.95pt;" o:ole="t" filled="f" o:preferrelative="t" stroked="f" coordsize="21600,21600">
            <v:path/>
            <v:fill on="f" focussize="0,0"/>
            <v:stroke on="f"/>
            <v:imagedata r:id="rId31" embosscolor="#FFFFFF" o:title=""/>
            <o:lock v:ext="edit" grouping="f" rotation="f" text="f" aspectratio="t"/>
            <w10:wrap type="none"/>
            <w10:anchorlock/>
          </v:shape>
          <o:OLEObject Type="Embed" ProgID="Equation.KSEE3" ShapeID="_x0000_i1026" DrawAspect="Content" ObjectID="_1468075726" r:id="rId30">
            <o:LockedField>false</o:LockedField>
          </o:OLEObject>
        </w:object>
      </w:r>
    </w:p>
    <w:p w14:paraId="75BCCAF3">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b．涨价时，</w:t>
      </w:r>
      <w:r>
        <w:rPr>
          <w:rFonts w:hint="eastAsia" w:ascii="宋体" w:hAnsi="宋体" w:eastAsia="宋体" w:cs="宋体"/>
          <w:snapToGrid w:val="0"/>
          <w:color w:val="auto"/>
          <w:spacing w:val="0"/>
          <w:kern w:val="0"/>
          <w:position w:val="-30"/>
          <w:sz w:val="24"/>
          <w:szCs w:val="24"/>
          <w:highlight w:val="none"/>
        </w:rPr>
        <w:object>
          <v:shape id="_x0000_i1027" o:spt="75" type="#_x0000_t75" style="height:33.95pt;width:198.95pt;" o:ole="t" filled="f" o:preferrelative="t" stroked="f" coordsize="21600,21600">
            <v:path/>
            <v:fill on="f" focussize="0,0"/>
            <v:stroke on="f"/>
            <v:imagedata r:id="rId33" embosscolor="#FFFFFF" o:title=""/>
            <o:lock v:ext="edit" grouping="f" rotation="f" text="f" aspectratio="t"/>
            <w10:wrap type="none"/>
            <w10:anchorlock/>
          </v:shape>
          <o:OLEObject Type="Embed" ProgID="Equation.KSEE3" ShapeID="_x0000_i1027" DrawAspect="Content" ObjectID="_1468075727" r:id="rId32">
            <o:LockedField>false</o:LockedField>
          </o:OLEObject>
        </w:object>
      </w:r>
    </w:p>
    <w:p w14:paraId="416D8DFC">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28" o:spt="75" type="#_x0000_t75" style="height:33.95pt;width:200.95pt;" o:ole="t" filled="f" o:preferrelative="t" stroked="f" coordsize="21600,21600">
            <v:path/>
            <v:fill on="f" focussize="0,0"/>
            <v:stroke on="f"/>
            <v:imagedata r:id="rId35" embosscolor="#FFFFFF" o:title=""/>
            <o:lock v:ext="edit" grouping="f" rotation="f" text="f" aspectratio="t"/>
            <w10:wrap type="none"/>
            <w10:anchorlock/>
          </v:shape>
          <o:OLEObject Type="Embed" ProgID="Equation.KSEE3" ShapeID="_x0000_i1028" DrawAspect="Content" ObjectID="_1468075728" r:id="rId34">
            <o:LockedField>false</o:LockedField>
          </o:OLEObject>
        </w:object>
      </w:r>
    </w:p>
    <w:p w14:paraId="4FFC8AE1">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c．涨价时，</w:t>
      </w:r>
      <w:r>
        <w:rPr>
          <w:rFonts w:hint="eastAsia" w:ascii="宋体" w:hAnsi="宋体" w:eastAsia="宋体" w:cs="宋体"/>
          <w:snapToGrid w:val="0"/>
          <w:color w:val="auto"/>
          <w:spacing w:val="0"/>
          <w:kern w:val="0"/>
          <w:position w:val="-30"/>
          <w:sz w:val="24"/>
          <w:szCs w:val="24"/>
          <w:highlight w:val="none"/>
        </w:rPr>
        <w:object>
          <v:shape id="_x0000_i1029" o:spt="75" type="#_x0000_t75" style="height:33.95pt;width:200.95pt;" o:ole="t" filled="f" o:preferrelative="t" stroked="f" coordsize="21600,21600">
            <v:path/>
            <v:fill on="f" focussize="0,0"/>
            <v:stroke on="f"/>
            <v:imagedata r:id="rId37" embosscolor="#FFFFFF" o:title=""/>
            <o:lock v:ext="edit" grouping="f" rotation="f" text="f" aspectratio="t"/>
            <w10:wrap type="none"/>
            <w10:anchorlock/>
          </v:shape>
          <o:OLEObject Type="Embed" ProgID="Equation.KSEE3" ShapeID="_x0000_i1029" DrawAspect="Content" ObjectID="_1468075729" r:id="rId36">
            <o:LockedField>false</o:LockedField>
          </o:OLEObject>
        </w:object>
      </w:r>
    </w:p>
    <w:p w14:paraId="4903428A">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0" o:spt="75" type="#_x0000_t75" style="height:33.95pt;width:200.95pt;" o:ole="t" filled="f" o:preferrelative="t" stroked="f" coordsize="21600,21600">
            <v:path/>
            <v:fill on="f" focussize="0,0"/>
            <v:stroke on="f"/>
            <v:imagedata r:id="rId39" embosscolor="#FFFFFF" o:title=""/>
            <o:lock v:ext="edit" grouping="f" rotation="f" text="f" aspectratio="t"/>
            <w10:wrap type="none"/>
            <w10:anchorlock/>
          </v:shape>
          <o:OLEObject Type="Embed" ProgID="Equation.KSEE3" ShapeID="_x0000_i1030" DrawAspect="Content" ObjectID="_1468075730" r:id="rId38">
            <o:LockedField>false</o:LockedField>
          </o:OLEObject>
        </w:object>
      </w:r>
    </w:p>
    <w:p w14:paraId="40B2A737">
      <w:pPr>
        <w:keepNext w:val="0"/>
        <w:keepLines w:val="0"/>
        <w:pageBreakBefore w:val="0"/>
        <w:wordWrap w:val="0"/>
        <w:overflowPunct/>
        <w:topLinePunct w:val="0"/>
        <w:bidi w:val="0"/>
        <w:spacing w:before="78"/>
        <w:ind w:left="330"/>
        <w:rPr>
          <w:rFonts w:hint="eastAsia" w:ascii="宋体" w:hAnsi="宋体" w:eastAsia="宋体" w:cs="宋体"/>
          <w:color w:val="auto"/>
          <w:spacing w:val="0"/>
          <w:sz w:val="24"/>
          <w:szCs w:val="24"/>
          <w:highlight w:val="none"/>
        </w:rPr>
      </w:pPr>
    </w:p>
    <w:p w14:paraId="0EFBDC2C">
      <w:pPr>
        <w:keepNext w:val="0"/>
        <w:keepLines w:val="0"/>
        <w:pageBreakBefore w:val="0"/>
        <w:wordWrap w:val="0"/>
        <w:overflowPunct/>
        <w:topLinePunct w:val="0"/>
        <w:bidi w:val="0"/>
        <w:spacing w:before="78" w:line="330" w:lineRule="auto"/>
        <w:ind w:right="59" w:firstLine="507"/>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以上公式中，F</w:t>
      </w:r>
      <w:r>
        <w:rPr>
          <w:rFonts w:hint="eastAsia" w:ascii="宋体" w:hAnsi="宋体" w:eastAsia="宋体" w:cs="宋体"/>
          <w:color w:val="auto"/>
          <w:spacing w:val="0"/>
          <w:position w:val="-1"/>
          <w:sz w:val="15"/>
          <w:szCs w:val="15"/>
          <w:highlight w:val="none"/>
        </w:rPr>
        <w:t xml:space="preserve">1 </w:t>
      </w:r>
      <w:r>
        <w:rPr>
          <w:rFonts w:hint="eastAsia" w:ascii="宋体" w:hAnsi="宋体" w:eastAsia="宋体" w:cs="宋体"/>
          <w:color w:val="auto"/>
          <w:spacing w:val="0"/>
          <w:sz w:val="24"/>
          <w:szCs w:val="24"/>
          <w:highlight w:val="none"/>
        </w:rPr>
        <w:t>为中标单价；F</w:t>
      </w:r>
      <w:r>
        <w:rPr>
          <w:rFonts w:hint="eastAsia" w:ascii="宋体" w:hAnsi="宋体" w:eastAsia="宋体" w:cs="宋体"/>
          <w:color w:val="auto"/>
          <w:spacing w:val="0"/>
          <w:position w:val="-1"/>
          <w:sz w:val="15"/>
          <w:szCs w:val="15"/>
          <w:highlight w:val="none"/>
        </w:rPr>
        <w:t>0</w:t>
      </w:r>
      <w:r>
        <w:rPr>
          <w:rFonts w:hint="eastAsia" w:ascii="宋体" w:hAnsi="宋体" w:eastAsia="宋体" w:cs="宋体"/>
          <w:color w:val="auto"/>
          <w:spacing w:val="0"/>
          <w:w w:val="101"/>
          <w:position w:val="-1"/>
          <w:sz w:val="15"/>
          <w:szCs w:val="15"/>
          <w:highlight w:val="none"/>
        </w:rPr>
        <w:t xml:space="preserve"> </w:t>
      </w:r>
      <w:r>
        <w:rPr>
          <w:rFonts w:hint="eastAsia" w:ascii="宋体" w:hAnsi="宋体" w:eastAsia="宋体" w:cs="宋体"/>
          <w:color w:val="auto"/>
          <w:spacing w:val="0"/>
          <w:sz w:val="24"/>
          <w:szCs w:val="24"/>
          <w:highlight w:val="none"/>
        </w:rPr>
        <w:t>为基准单价；F</w:t>
      </w:r>
      <w:r>
        <w:rPr>
          <w:rFonts w:hint="eastAsia" w:ascii="宋体" w:hAnsi="宋体" w:eastAsia="宋体" w:cs="宋体"/>
          <w:color w:val="auto"/>
          <w:spacing w:val="0"/>
          <w:position w:val="-1"/>
          <w:sz w:val="15"/>
          <w:szCs w:val="15"/>
          <w:highlight w:val="none"/>
        </w:rPr>
        <w:t xml:space="preserve">2 </w:t>
      </w:r>
      <w:r>
        <w:rPr>
          <w:rFonts w:hint="eastAsia" w:ascii="宋体" w:hAnsi="宋体" w:eastAsia="宋体" w:cs="宋体"/>
          <w:color w:val="auto"/>
          <w:spacing w:val="0"/>
          <w:sz w:val="24"/>
          <w:szCs w:val="24"/>
          <w:highlight w:val="none"/>
        </w:rPr>
        <w:t>为施工当月项目所在地工程造价管理机构发布的材料、工程设备单价；A 为合同约定的材料、工程设备单价涨跌风险幅度值。</w:t>
      </w:r>
    </w:p>
    <w:p w14:paraId="6F9801F9">
      <w:pPr>
        <w:keepNext w:val="0"/>
        <w:keepLines w:val="0"/>
        <w:pageBreakBefore w:val="0"/>
        <w:wordWrap w:val="0"/>
        <w:overflowPunct/>
        <w:topLinePunct w:val="0"/>
        <w:bidi w:val="0"/>
        <w:spacing w:before="33" w:line="299" w:lineRule="auto"/>
        <w:ind w:right="59"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"2.3.6.3"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2.3.6.3</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合同履行期间，当《发包人提供材料和工程设备一览表》（详见招标工程量清单）中的材料、工程设备单价发生变化时，由发包人按照实际变化调整，并列入合同价款。</w:t>
      </w:r>
    </w:p>
    <w:p w14:paraId="6F47D427">
      <w:pPr>
        <w:keepNext w:val="0"/>
        <w:keepLines w:val="0"/>
        <w:pageBreakBefore w:val="0"/>
        <w:wordWrap w:val="0"/>
        <w:overflowPunct/>
        <w:topLinePunct w:val="0"/>
        <w:bidi w:val="0"/>
        <w:spacing w:before="121" w:line="308" w:lineRule="auto"/>
        <w:ind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"2.3.6.4"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2.3.6.4</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本招标项目约定，施工机具台班单价涨跌风险幅度值 B 为</w:t>
      </w:r>
      <w:r>
        <w:rPr>
          <w:rFonts w:hint="eastAsia" w:ascii="宋体" w:hAnsi="宋体" w:eastAsia="宋体" w:cs="宋体"/>
          <w:color w:val="auto"/>
          <w:spacing w:val="0"/>
          <w:sz w:val="24"/>
          <w:szCs w:val="24"/>
          <w:highlight w:val="none"/>
          <w:u w:val="single"/>
        </w:rPr>
        <w:t xml:space="preserve">  10%  </w:t>
      </w:r>
      <w:r>
        <w:rPr>
          <w:rFonts w:hint="eastAsia" w:ascii="宋体" w:hAnsi="宋体" w:eastAsia="宋体" w:cs="宋体"/>
          <w:color w:val="auto"/>
          <w:spacing w:val="0"/>
          <w:sz w:val="24"/>
          <w:szCs w:val="24"/>
          <w:highlight w:val="none"/>
        </w:rPr>
        <w:t>。合同履行期间，当施工机具台班单价涨跌幅度等于或低于 B 值时，该施工机具台班单价不予调整；超过 B 值时，其超过部分可以调整。相关费用按有关规定进行相应调整。</w:t>
      </w:r>
    </w:p>
    <w:p w14:paraId="120353C6">
      <w:pPr>
        <w:keepNext w:val="0"/>
        <w:keepLines w:val="0"/>
        <w:pageBreakBefore w:val="0"/>
        <w:wordWrap w:val="0"/>
        <w:overflowPunct/>
        <w:topLinePunct w:val="0"/>
        <w:bidi w:val="0"/>
        <w:spacing w:before="153" w:line="278" w:lineRule="auto"/>
        <w:ind w:left="42" w:right="59" w:firstLine="44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．如果承包人投标报价中施工机具台班单价（以下简称“ 中标单价 ”）低于基准日当月项目所在地工程造价管理机构发布的对应施工机具台班单价（以下简称“基准单价 ”），该施工机具台班的结算单价调整公式为：</w:t>
      </w:r>
    </w:p>
    <w:p w14:paraId="0DF11097">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31" o:spt="75" type="#_x0000_t75" style="height:33.95pt;width:200.95pt;" o:ole="t" filled="f" o:preferrelative="t" stroked="f" coordsize="21600,21600">
            <v:path/>
            <v:fill on="f" focussize="0,0"/>
            <v:stroke on="f"/>
            <v:imagedata r:id="rId41" embosscolor="#FFFFFF" o:title=""/>
            <o:lock v:ext="edit" grouping="f" rotation="f" text="f" aspectratio="t"/>
            <w10:wrap type="none"/>
            <w10:anchorlock/>
          </v:shape>
          <o:OLEObject Type="Embed" ProgID="Equation.KSEE3" ShapeID="_x0000_i1031" DrawAspect="Content" ObjectID="_1468075731" r:id="rId40">
            <o:LockedField>false</o:LockedField>
          </o:OLEObject>
        </w:object>
      </w:r>
    </w:p>
    <w:p w14:paraId="183065CE">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2" o:spt="75" type="#_x0000_t75" style="height:33.95pt;width:198pt;" o:ole="t" filled="f" o:preferrelative="t" stroked="f" coordsize="21600,21600">
            <v:path/>
            <v:fill on="f" focussize="0,0"/>
            <v:stroke on="f"/>
            <v:imagedata r:id="rId43" embosscolor="#FFFFFF" o:title=""/>
            <o:lock v:ext="edit" grouping="f" rotation="f" text="f" aspectratio="t"/>
            <w10:wrap type="none"/>
            <w10:anchorlock/>
          </v:shape>
          <o:OLEObject Type="Embed" ProgID="Equation.KSEE3" ShapeID="_x0000_i1032" DrawAspect="Content" ObjectID="_1468075732" r:id="rId42">
            <o:LockedField>false</o:LockedField>
          </o:OLEObject>
        </w:object>
      </w:r>
    </w:p>
    <w:p w14:paraId="2B2919C1">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b/>
          <w:bCs/>
          <w:snapToGrid w:val="0"/>
          <w:color w:val="auto"/>
          <w:spacing w:val="0"/>
          <w:kern w:val="0"/>
          <w:sz w:val="24"/>
          <w:szCs w:val="24"/>
          <w:highlight w:val="none"/>
        </w:rPr>
        <w:t>b</w:t>
      </w:r>
      <w:r>
        <w:rPr>
          <w:rFonts w:hint="eastAsia" w:ascii="宋体" w:hAnsi="宋体" w:eastAsia="宋体" w:cs="宋体"/>
          <w:snapToGrid w:val="0"/>
          <w:color w:val="auto"/>
          <w:spacing w:val="0"/>
          <w:kern w:val="0"/>
          <w:sz w:val="24"/>
          <w:szCs w:val="24"/>
          <w:highlight w:val="none"/>
        </w:rPr>
        <w:t>．如果中标单价高于基准单价，该施工机具台班的结算单价调整公式为：</w:t>
      </w:r>
    </w:p>
    <w:p w14:paraId="0B4D8697">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33" o:spt="75" type="#_x0000_t75" style="height:33.95pt;width:198pt;" o:ole="t" filled="f" o:preferrelative="t" stroked="f" coordsize="21600,21600">
            <v:path/>
            <v:fill on="f" focussize="0,0"/>
            <v:stroke on="f"/>
            <v:imagedata r:id="rId45" embosscolor="#FFFFFF" o:title=""/>
            <o:lock v:ext="edit" grouping="f" rotation="f" text="f" aspectratio="t"/>
            <w10:wrap type="none"/>
            <w10:anchorlock/>
          </v:shape>
          <o:OLEObject Type="Embed" ProgID="Equation.KSEE3" ShapeID="_x0000_i1033" DrawAspect="Content" ObjectID="_1468075733" r:id="rId44">
            <o:LockedField>false</o:LockedField>
          </o:OLEObject>
        </w:object>
      </w:r>
    </w:p>
    <w:p w14:paraId="3F7BD139">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4" o:spt="75" type="#_x0000_t75" style="height:33.95pt;width:200.95pt;" o:ole="t" filled="f" o:preferrelative="t" stroked="f" coordsize="21600,21600">
            <v:path/>
            <v:fill on="f" focussize="0,0"/>
            <v:stroke on="f"/>
            <v:imagedata r:id="rId47" embosscolor="#FFFFFF" o:title=""/>
            <o:lock v:ext="edit" grouping="f" rotation="f" text="f" aspectratio="t"/>
            <w10:wrap type="none"/>
            <w10:anchorlock/>
          </v:shape>
          <o:OLEObject Type="Embed" ProgID="Equation.KSEE3" ShapeID="_x0000_i1034" DrawAspect="Content" ObjectID="_1468075734" r:id="rId46">
            <o:LockedField>false</o:LockedField>
          </o:OLEObject>
        </w:object>
      </w:r>
    </w:p>
    <w:p w14:paraId="62112DB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b/>
          <w:bCs/>
          <w:snapToGrid w:val="0"/>
          <w:color w:val="auto"/>
          <w:spacing w:val="0"/>
          <w:kern w:val="0"/>
          <w:sz w:val="24"/>
          <w:szCs w:val="24"/>
          <w:highlight w:val="none"/>
        </w:rPr>
        <w:t>c</w:t>
      </w:r>
      <w:r>
        <w:rPr>
          <w:rFonts w:hint="eastAsia" w:ascii="宋体" w:hAnsi="宋体" w:eastAsia="宋体" w:cs="宋体"/>
          <w:snapToGrid w:val="0"/>
          <w:color w:val="auto"/>
          <w:spacing w:val="0"/>
          <w:kern w:val="0"/>
          <w:sz w:val="24"/>
          <w:szCs w:val="24"/>
          <w:highlight w:val="none"/>
        </w:rPr>
        <w:t>．如果中标单价等于基准单价，该施工机具台班的结算单价调整公式为：</w:t>
      </w:r>
    </w:p>
    <w:p w14:paraId="68970ACC">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35" o:spt="75" type="#_x0000_t75" style="height:33.95pt;width:200.95pt;" o:ole="t" filled="f" o:preferrelative="t" stroked="f" coordsize="21600,21600">
            <v:path/>
            <v:fill on="f" focussize="0,0"/>
            <v:stroke on="f"/>
            <v:imagedata r:id="rId49" embosscolor="#FFFFFF" o:title=""/>
            <o:lock v:ext="edit" grouping="f" rotation="f" text="f" aspectratio="t"/>
            <w10:wrap type="none"/>
            <w10:anchorlock/>
          </v:shape>
          <o:OLEObject Type="Embed" ProgID="Equation.KSEE3" ShapeID="_x0000_i1035" DrawAspect="Content" ObjectID="_1468075735" r:id="rId48">
            <o:LockedField>false</o:LockedField>
          </o:OLEObject>
        </w:object>
      </w:r>
    </w:p>
    <w:p w14:paraId="121158F2">
      <w:pPr>
        <w:keepNext w:val="0"/>
        <w:keepLines w:val="0"/>
        <w:pageBreakBefore w:val="0"/>
        <w:wordWrap w:val="0"/>
        <w:overflowPunct/>
        <w:topLinePunct w:val="0"/>
        <w:bidi w:val="0"/>
        <w:spacing w:before="79" w:line="324" w:lineRule="auto"/>
        <w:ind w:left="11" w:right="65" w:firstLine="504"/>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6" o:spt="75" type="#_x0000_t75" style="height:33.95pt;width:200.95pt;" o:ole="t" filled="f" o:preferrelative="t" stroked="f" coordsize="21600,21600">
            <v:path/>
            <v:fill on="f" focussize="0,0"/>
            <v:stroke on="f"/>
            <v:imagedata r:id="rId51" embosscolor="#FFFFFF" o:title=""/>
            <o:lock v:ext="edit" grouping="f" rotation="f" text="f" aspectratio="t"/>
            <w10:wrap type="none"/>
            <w10:anchorlock/>
          </v:shape>
          <o:OLEObject Type="Embed" ProgID="Equation.KSEE3" ShapeID="_x0000_i1036" DrawAspect="Content" ObjectID="_1468075736" r:id="rId50">
            <o:LockedField>false</o:LockedField>
          </o:OLEObject>
        </w:object>
      </w:r>
    </w:p>
    <w:p w14:paraId="1258EA6F">
      <w:pPr>
        <w:keepNext w:val="0"/>
        <w:keepLines w:val="0"/>
        <w:pageBreakBefore w:val="0"/>
        <w:wordWrap w:val="0"/>
        <w:overflowPunct/>
        <w:topLinePunct w:val="0"/>
        <w:bidi w:val="0"/>
        <w:spacing w:before="79" w:line="324" w:lineRule="auto"/>
        <w:ind w:left="11" w:right="65" w:firstLine="50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以上公式中，F</w:t>
      </w:r>
      <w:r>
        <w:rPr>
          <w:rFonts w:hint="eastAsia" w:ascii="宋体" w:hAnsi="宋体" w:eastAsia="宋体" w:cs="宋体"/>
          <w:color w:val="auto"/>
          <w:spacing w:val="0"/>
          <w:position w:val="-1"/>
          <w:sz w:val="15"/>
          <w:szCs w:val="15"/>
          <w:highlight w:val="none"/>
        </w:rPr>
        <w:t xml:space="preserve">1 </w:t>
      </w:r>
      <w:r>
        <w:rPr>
          <w:rFonts w:hint="eastAsia" w:ascii="宋体" w:hAnsi="宋体" w:eastAsia="宋体" w:cs="宋体"/>
          <w:color w:val="auto"/>
          <w:spacing w:val="0"/>
          <w:sz w:val="24"/>
          <w:szCs w:val="24"/>
          <w:highlight w:val="none"/>
        </w:rPr>
        <w:t>为中标单价；F</w:t>
      </w:r>
      <w:r>
        <w:rPr>
          <w:rFonts w:hint="eastAsia" w:ascii="宋体" w:hAnsi="宋体" w:eastAsia="宋体" w:cs="宋体"/>
          <w:color w:val="auto"/>
          <w:spacing w:val="0"/>
          <w:position w:val="-1"/>
          <w:sz w:val="15"/>
          <w:szCs w:val="15"/>
          <w:highlight w:val="none"/>
        </w:rPr>
        <w:t>0</w:t>
      </w:r>
      <w:r>
        <w:rPr>
          <w:rFonts w:hint="eastAsia" w:ascii="宋体" w:hAnsi="宋体" w:eastAsia="宋体" w:cs="宋体"/>
          <w:color w:val="auto"/>
          <w:spacing w:val="0"/>
          <w:w w:val="101"/>
          <w:position w:val="-1"/>
          <w:sz w:val="15"/>
          <w:szCs w:val="15"/>
          <w:highlight w:val="none"/>
        </w:rPr>
        <w:t xml:space="preserve"> </w:t>
      </w:r>
      <w:r>
        <w:rPr>
          <w:rFonts w:hint="eastAsia" w:ascii="宋体" w:hAnsi="宋体" w:eastAsia="宋体" w:cs="宋体"/>
          <w:color w:val="auto"/>
          <w:spacing w:val="0"/>
          <w:sz w:val="24"/>
          <w:szCs w:val="24"/>
          <w:highlight w:val="none"/>
        </w:rPr>
        <w:t>为基准单价；F</w:t>
      </w:r>
      <w:r>
        <w:rPr>
          <w:rFonts w:hint="eastAsia" w:ascii="宋体" w:hAnsi="宋体" w:eastAsia="宋体" w:cs="宋体"/>
          <w:color w:val="auto"/>
          <w:spacing w:val="0"/>
          <w:position w:val="-1"/>
          <w:sz w:val="15"/>
          <w:szCs w:val="15"/>
          <w:highlight w:val="none"/>
        </w:rPr>
        <w:t xml:space="preserve">2 </w:t>
      </w:r>
      <w:r>
        <w:rPr>
          <w:rFonts w:hint="eastAsia" w:ascii="宋体" w:hAnsi="宋体" w:eastAsia="宋体" w:cs="宋体"/>
          <w:color w:val="auto"/>
          <w:spacing w:val="0"/>
          <w:sz w:val="24"/>
          <w:szCs w:val="24"/>
          <w:highlight w:val="none"/>
        </w:rPr>
        <w:t>为施工当月项目所在地工程造价管理机构发布的施工机具台班单价；B 为合同约定的施工机具台班单价涨跌风险幅度值。</w:t>
      </w:r>
    </w:p>
    <w:p w14:paraId="08F7A996">
      <w:pPr>
        <w:keepNext w:val="0"/>
        <w:keepLines w:val="0"/>
        <w:pageBreakBefore w:val="0"/>
        <w:wordWrap w:val="0"/>
        <w:overflowPunct/>
        <w:topLinePunct w:val="0"/>
        <w:bidi w:val="0"/>
        <w:spacing w:before="39" w:line="219" w:lineRule="auto"/>
        <w:ind w:left="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2.3.7  </w:t>
      </w:r>
      <w:r>
        <w:rPr>
          <w:rFonts w:hint="eastAsia" w:ascii="宋体" w:hAnsi="宋体" w:eastAsia="宋体" w:cs="宋体"/>
          <w:color w:val="auto"/>
          <w:spacing w:val="0"/>
          <w:sz w:val="24"/>
          <w:szCs w:val="24"/>
          <w:highlight w:val="none"/>
        </w:rPr>
        <w:t>暂估价和暂列金额</w:t>
      </w:r>
    </w:p>
    <w:p w14:paraId="55F5A879">
      <w:pPr>
        <w:keepNext w:val="0"/>
        <w:keepLines w:val="0"/>
        <w:pageBreakBefore w:val="0"/>
        <w:wordWrap w:val="0"/>
        <w:overflowPunct/>
        <w:topLinePunct w:val="0"/>
        <w:bidi w:val="0"/>
        <w:spacing w:before="154" w:line="299" w:lineRule="auto"/>
        <w:ind w:left="7" w:right="57" w:firstLine="477"/>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"2.3.7.1"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2.3.7.1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snapToGrid w:val="0"/>
          <w:color w:val="auto"/>
          <w:spacing w:val="0"/>
          <w:kern w:val="0"/>
          <w:sz w:val="24"/>
          <w:szCs w:val="24"/>
          <w:highlight w:val="none"/>
          <w:lang w:eastAsia="zh-CN"/>
        </w:rPr>
        <w:t xml:space="preserve">暂估价项目按第一章第三节“投标人须知正文 ”第 </w:t>
      </w:r>
      <w:r>
        <w:rPr>
          <w:rFonts w:hint="eastAsia" w:ascii="宋体" w:hAnsi="宋体" w:eastAsia="宋体" w:cs="宋体"/>
          <w:b/>
          <w:bCs/>
          <w:snapToGrid w:val="0"/>
          <w:color w:val="auto"/>
          <w:spacing w:val="0"/>
          <w:kern w:val="0"/>
          <w:sz w:val="24"/>
          <w:szCs w:val="24"/>
          <w:highlight w:val="none"/>
          <w:lang w:eastAsia="zh-CN"/>
        </w:rPr>
        <w:t>8.5</w:t>
      </w:r>
      <w:r>
        <w:rPr>
          <w:rFonts w:hint="eastAsia" w:ascii="宋体" w:hAnsi="宋体" w:eastAsia="宋体" w:cs="宋体"/>
          <w:snapToGrid w:val="0"/>
          <w:color w:val="auto"/>
          <w:spacing w:val="0"/>
          <w:kern w:val="0"/>
          <w:sz w:val="24"/>
          <w:szCs w:val="24"/>
          <w:highlight w:val="none"/>
          <w:lang w:eastAsia="zh-CN"/>
        </w:rPr>
        <w:t xml:space="preserve"> 条的规定确定专业工程承包人（或材料供应商、工程设备供应商）后，将专业工程合同价款（或材料单价、工程设备单价）取代相应暂估价，并调整合同价款。</w:t>
      </w:r>
    </w:p>
    <w:p w14:paraId="75732179">
      <w:pPr>
        <w:keepNext w:val="0"/>
        <w:keepLines w:val="0"/>
        <w:pageBreakBefore w:val="0"/>
        <w:wordWrap w:val="0"/>
        <w:overflowPunct/>
        <w:topLinePunct w:val="0"/>
        <w:bidi w:val="0"/>
        <w:spacing w:before="153" w:line="315" w:lineRule="auto"/>
        <w:ind w:left="8" w:right="2"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"2.3.7.2"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2.3.7.2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暂列金额由发包人掌握和使用。暂列金额项目若有发生，按第一章第三节“投标人须知正文 ”第 </w:t>
      </w:r>
      <w:r>
        <w:rPr>
          <w:rFonts w:hint="eastAsia" w:ascii="宋体" w:hAnsi="宋体" w:eastAsia="宋体" w:cs="宋体"/>
          <w:b/>
          <w:bCs/>
          <w:color w:val="auto"/>
          <w:spacing w:val="0"/>
          <w:sz w:val="24"/>
          <w:szCs w:val="24"/>
          <w:highlight w:val="none"/>
        </w:rPr>
        <w:t xml:space="preserve">8.6 </w:t>
      </w:r>
      <w:r>
        <w:rPr>
          <w:rFonts w:hint="eastAsia" w:ascii="宋体" w:hAnsi="宋体" w:eastAsia="宋体" w:cs="宋体"/>
          <w:color w:val="auto"/>
          <w:spacing w:val="0"/>
          <w:sz w:val="24"/>
          <w:szCs w:val="24"/>
          <w:highlight w:val="none"/>
        </w:rPr>
        <w:t>条的规定确定材料供应商（或工程设备供应商、服务供应商）后，材料（或工程设备、服务）的合同价款从暂列金额中支付。暂列金额扣除已发生的暂列 金额项目合同价款、已发生的合同约定调整因素出现时的调整价款、已发生的索赔以及现场签证确认等的费用后，余额（若有）归发包人所有。</w:t>
      </w:r>
    </w:p>
    <w:p w14:paraId="1FFEB093">
      <w:pPr>
        <w:keepNext w:val="0"/>
        <w:keepLines w:val="0"/>
        <w:pageBreakBefore w:val="0"/>
        <w:wordWrap w:val="0"/>
        <w:overflowPunct/>
        <w:topLinePunct w:val="0"/>
        <w:bidi w:val="0"/>
        <w:spacing w:before="153" w:line="315" w:lineRule="auto"/>
        <w:ind w:left="8" w:right="2"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2.3.8</w:t>
      </w:r>
      <w:r>
        <w:rPr>
          <w:rFonts w:hint="eastAsia" w:ascii="宋体" w:hAnsi="宋体" w:eastAsia="宋体" w:cs="宋体"/>
          <w:color w:val="auto"/>
          <w:spacing w:val="0"/>
          <w:sz w:val="24"/>
          <w:szCs w:val="24"/>
          <w:highlight w:val="none"/>
        </w:rPr>
        <w:t xml:space="preserve"> 预算包干费按照分部分项的人工费与施工机具费之和及投标费率计取。本招标项目的预算包干内容包括：施工雨水、污水的排除；因地形影响造成的场内料具二次运输；20 米高以下的工程用水加压措施；施工材料堆放场地的整理；机电安装后的补洞(槽)工料费；工程成品保护费；施工中的临时停水停电；基础埋深 2 米以内挖土方的塌方；日间照明施工增加费(不包括地下室和特殊工程)；完工清场后的垃圾外运；地上(地下)设施，建筑物的临时保护设施费和二次加工基地设施费；雨季施工增加费；己完工程及设备保护等。</w:t>
      </w:r>
    </w:p>
    <w:p w14:paraId="00D8F120">
      <w:pPr>
        <w:keepNext w:val="0"/>
        <w:keepLines w:val="0"/>
        <w:pageBreakBefore w:val="0"/>
        <w:wordWrap w:val="0"/>
        <w:overflowPunct/>
        <w:topLinePunct w:val="0"/>
        <w:bidi w:val="0"/>
        <w:spacing w:before="153" w:line="315" w:lineRule="auto"/>
        <w:ind w:left="8" w:right="2"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2.3.</w:t>
      </w:r>
      <w:r>
        <w:rPr>
          <w:rFonts w:hint="eastAsia" w:ascii="宋体" w:hAnsi="宋体" w:eastAsia="宋体" w:cs="宋体"/>
          <w:b/>
          <w:bCs/>
          <w:color w:val="auto"/>
          <w:spacing w:val="0"/>
          <w:sz w:val="24"/>
          <w:szCs w:val="24"/>
          <w:highlight w:val="none"/>
          <w:lang w:val="en-US" w:eastAsia="zh-CN"/>
        </w:rPr>
        <w:t>9</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其余事项（如不可抗力、索赔、现场签证等）的调整原则按照《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）有关规定执行。</w:t>
      </w:r>
    </w:p>
    <w:p w14:paraId="0C5E03A8">
      <w:pPr>
        <w:keepNext w:val="0"/>
        <w:keepLines w:val="0"/>
        <w:pageBreakBefore w:val="0"/>
        <w:wordWrap w:val="0"/>
        <w:overflowPunct/>
        <w:topLinePunct w:val="0"/>
        <w:bidi w:val="0"/>
        <w:spacing w:before="156" w:line="299" w:lineRule="auto"/>
        <w:ind w:left="12" w:right="65"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凡将引起合同价款调增的事项，承包人必须于拟实施 14 天前，将详细的报价书（含拟实施项目名称、变更部位、理由、预计造价等）报监理单位审核和发包人批准后方可实施。</w:t>
      </w:r>
    </w:p>
    <w:p w14:paraId="7E55A3E2">
      <w:pPr>
        <w:keepNext w:val="0"/>
        <w:keepLines w:val="0"/>
        <w:pageBreakBefore w:val="0"/>
        <w:wordWrap w:val="0"/>
        <w:overflowPunct/>
        <w:topLinePunct w:val="0"/>
        <w:bidi w:val="0"/>
        <w:spacing w:before="153" w:line="279" w:lineRule="auto"/>
        <w:ind w:left="9" w:right="102"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2.5 </w:t>
      </w:r>
      <w:r>
        <w:rPr>
          <w:rFonts w:hint="eastAsia" w:ascii="宋体" w:hAnsi="宋体" w:eastAsia="宋体" w:cs="宋体"/>
          <w:color w:val="auto"/>
          <w:spacing w:val="0"/>
          <w:sz w:val="24"/>
          <w:szCs w:val="24"/>
          <w:highlight w:val="none"/>
        </w:rPr>
        <w:t>承包人不得以不完全了解现场情况为理由，提出额外付款或延长工期等要求。 对此类要求，发包人不作任何考虑及答复。</w:t>
      </w:r>
    </w:p>
    <w:p w14:paraId="50E281B0">
      <w:pPr>
        <w:keepNext w:val="0"/>
        <w:keepLines w:val="0"/>
        <w:pageBreakBefore w:val="0"/>
        <w:wordWrap w:val="0"/>
        <w:overflowPunct/>
        <w:topLinePunct w:val="0"/>
        <w:bidi w:val="0"/>
        <w:spacing w:before="154" w:line="279" w:lineRule="auto"/>
        <w:ind w:left="10" w:right="63"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2.6 </w:t>
      </w:r>
      <w:r>
        <w:rPr>
          <w:rFonts w:hint="eastAsia" w:ascii="宋体" w:hAnsi="宋体" w:eastAsia="宋体" w:cs="宋体"/>
          <w:color w:val="auto"/>
          <w:spacing w:val="0"/>
          <w:sz w:val="24"/>
          <w:szCs w:val="24"/>
          <w:highlight w:val="none"/>
        </w:rPr>
        <w:t>承包人已标价工程量清单中漏报、错报或少报的清单项目，其价格均视为已经包含在其它清单项目中，竣工结算时不得重新组价和调整。</w:t>
      </w:r>
    </w:p>
    <w:p w14:paraId="75BC7B06">
      <w:pPr>
        <w:keepNext w:val="0"/>
        <w:keepLines w:val="0"/>
        <w:pageBreakBefore w:val="0"/>
        <w:wordWrap w:val="0"/>
        <w:overflowPunct/>
        <w:topLinePunct w:val="0"/>
        <w:bidi w:val="0"/>
        <w:spacing w:before="155" w:line="299" w:lineRule="auto"/>
        <w:ind w:left="12" w:right="65"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2.7  </w:t>
      </w:r>
      <w:r>
        <w:rPr>
          <w:rFonts w:hint="eastAsia" w:ascii="宋体" w:hAnsi="宋体" w:eastAsia="宋体" w:cs="宋体"/>
          <w:color w:val="auto"/>
          <w:spacing w:val="0"/>
          <w:sz w:val="24"/>
          <w:szCs w:val="24"/>
          <w:highlight w:val="none"/>
        </w:rPr>
        <w:t>项目完工后，发、承包双方和受其委托具备相应资质的工程造价咨询单位必须按照《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）和国家、省、市的有关规定办理竣工结算。</w:t>
      </w:r>
    </w:p>
    <w:p w14:paraId="18501ACB">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2.8  </w:t>
      </w:r>
      <w:r>
        <w:rPr>
          <w:rFonts w:hint="eastAsia" w:ascii="宋体" w:hAnsi="宋体" w:eastAsia="宋体" w:cs="宋体"/>
          <w:color w:val="auto"/>
          <w:spacing w:val="0"/>
          <w:sz w:val="24"/>
          <w:szCs w:val="24"/>
          <w:highlight w:val="none"/>
        </w:rPr>
        <w:t>承包人已标价工程量清单中没有的材料（或工程设备），承包人在使用前必须将材料（或工程设备）样板、材料合格证明（或产品合格证书）、材料（或工程设备）检验报告提交给监理单位和发包人审核。发包人审定并确定价格后，承包人方可采购和使用。如果在交货验收和使用过程中发现货不对板，监理单位和发包人有权拒用，并要 求承包人立即进行更换。更换后的材料（或工程设备）应再次进行检查和检验。由此增 加的费用和（或）工期延误由承包人承担。</w:t>
      </w:r>
    </w:p>
    <w:p w14:paraId="32105AE6">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2.9 </w:t>
      </w:r>
      <w:r>
        <w:rPr>
          <w:rFonts w:hint="eastAsia" w:ascii="宋体" w:hAnsi="宋体" w:eastAsia="宋体" w:cs="宋体"/>
          <w:color w:val="auto"/>
          <w:spacing w:val="0"/>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电商平台价格（优先从京东、国美、苏宁等大型电商平台查询取其平均价）；若以上方式均无法确定材料价格 的，则采用厂商报价或市场询价等方式取得有合法依据的市场价格，报发包人确认。</w:t>
      </w:r>
    </w:p>
    <w:p w14:paraId="1C684DEC">
      <w:pPr>
        <w:pStyle w:val="36"/>
        <w:keepNext w:val="0"/>
        <w:keepLines w:val="0"/>
        <w:pageBreakBefore w:val="0"/>
        <w:wordWrap w:val="0"/>
        <w:overflowPunct/>
        <w:topLinePunct w:val="0"/>
        <w:bidi w:val="0"/>
        <w:snapToGrid w:val="0"/>
        <w:spacing w:line="440" w:lineRule="exact"/>
        <w:ind w:firstLine="480"/>
        <w:jc w:val="both"/>
        <w:outlineLvl w:val="2"/>
        <w:rPr>
          <w:rStyle w:val="27"/>
          <w:rFonts w:hint="eastAsia" w:ascii="宋体" w:hAnsi="宋体" w:eastAsia="宋体" w:cs="宋体"/>
          <w:b/>
          <w:bCs/>
          <w:color w:val="auto"/>
          <w:spacing w:val="0"/>
          <w:sz w:val="24"/>
          <w:szCs w:val="24"/>
          <w:highlight w:val="none"/>
        </w:rPr>
      </w:pPr>
      <w:bookmarkStart w:id="160" w:name="_Toc1816"/>
      <w:bookmarkStart w:id="161" w:name="_Toc10083"/>
      <w:r>
        <w:rPr>
          <w:rStyle w:val="27"/>
          <w:rFonts w:hint="eastAsia" w:ascii="宋体" w:hAnsi="宋体" w:eastAsia="宋体" w:cs="宋体"/>
          <w:b/>
          <w:bCs/>
          <w:color w:val="auto"/>
          <w:spacing w:val="0"/>
          <w:sz w:val="24"/>
          <w:szCs w:val="24"/>
          <w:highlight w:val="none"/>
        </w:rPr>
        <w:t>3. 工程付款办法</w:t>
      </w:r>
      <w:bookmarkEnd w:id="160"/>
      <w:bookmarkEnd w:id="161"/>
    </w:p>
    <w:p w14:paraId="1DE34436">
      <w:pPr>
        <w:wordWrap w:val="0"/>
        <w:adjustRightInd w:val="0"/>
        <w:snapToGrid w:val="0"/>
        <w:spacing w:line="360" w:lineRule="auto"/>
        <w:ind w:firstLine="482" w:firstLineChars="200"/>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3.1</w:t>
      </w:r>
      <w:r>
        <w:rPr>
          <w:rFonts w:hint="eastAsia" w:ascii="宋体" w:hAnsi="宋体" w:eastAsia="宋体" w:cs="宋体"/>
          <w:snapToGrid w:val="0"/>
          <w:kern w:val="0"/>
          <w:sz w:val="24"/>
          <w:szCs w:val="24"/>
          <w:highlight w:val="none"/>
        </w:rPr>
        <w:t xml:space="preserve"> 本工程</w:t>
      </w:r>
      <w:r>
        <w:rPr>
          <w:rFonts w:hint="eastAsia" w:ascii="宋体" w:hAnsi="宋体" w:eastAsia="宋体" w:cs="宋体"/>
          <w:snapToGrid w:val="0"/>
          <w:kern w:val="0"/>
          <w:sz w:val="24"/>
          <w:szCs w:val="24"/>
          <w:highlight w:val="none"/>
          <w:u w:val="single"/>
        </w:rPr>
        <w:t xml:space="preserve"> 支付 </w:t>
      </w:r>
      <w:r>
        <w:rPr>
          <w:rFonts w:hint="eastAsia" w:ascii="宋体" w:hAnsi="宋体" w:eastAsia="宋体" w:cs="宋体"/>
          <w:snapToGrid w:val="0"/>
          <w:kern w:val="0"/>
          <w:sz w:val="24"/>
          <w:szCs w:val="24"/>
          <w:highlight w:val="none"/>
        </w:rPr>
        <w:t>施工预付款。</w:t>
      </w:r>
    </w:p>
    <w:p w14:paraId="241C9822">
      <w:pPr>
        <w:wordWrap w:val="0"/>
        <w:adjustRightInd w:val="0"/>
        <w:snapToGrid w:val="0"/>
        <w:spacing w:line="360" w:lineRule="auto"/>
        <w:ind w:firstLine="482" w:firstLineChars="200"/>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3.2</w:t>
      </w:r>
      <w:r>
        <w:rPr>
          <w:rFonts w:hint="eastAsia" w:ascii="宋体" w:hAnsi="宋体" w:eastAsia="宋体" w:cs="宋体"/>
          <w:snapToGrid w:val="0"/>
          <w:kern w:val="0"/>
          <w:sz w:val="24"/>
          <w:szCs w:val="24"/>
          <w:highlight w:val="none"/>
        </w:rPr>
        <w:t xml:space="preserve"> 施工预付款必须专用于合同工程，并按以下原则支付和抵扣：</w:t>
      </w:r>
    </w:p>
    <w:p w14:paraId="446B4EBF">
      <w:pPr>
        <w:wordWrap w:val="0"/>
        <w:adjustRightInd w:val="0"/>
        <w:snapToGrid w:val="0"/>
        <w:spacing w:line="360" w:lineRule="auto"/>
        <w:ind w:firstLine="482" w:firstLineChars="200"/>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3.2.1</w:t>
      </w:r>
      <w:r>
        <w:rPr>
          <w:rFonts w:hint="eastAsia" w:ascii="宋体" w:hAnsi="宋体" w:eastAsia="宋体" w:cs="宋体"/>
          <w:snapToGrid w:val="0"/>
          <w:kern w:val="0"/>
          <w:sz w:val="24"/>
          <w:szCs w:val="24"/>
          <w:highlight w:val="none"/>
        </w:rPr>
        <w:t xml:space="preserve"> 施工预付款支付比例为：按施工合同价的</w:t>
      </w:r>
      <w:r>
        <w:rPr>
          <w:rFonts w:hint="eastAsia" w:ascii="宋体" w:hAnsi="宋体" w:eastAsia="宋体" w:cs="宋体"/>
          <w:snapToGrid w:val="0"/>
          <w:kern w:val="0"/>
          <w:sz w:val="24"/>
          <w:szCs w:val="24"/>
          <w:highlight w:val="none"/>
          <w:u w:val="single"/>
        </w:rPr>
        <w:t xml:space="preserve"> 30% </w:t>
      </w:r>
      <w:r>
        <w:rPr>
          <w:rFonts w:hint="eastAsia" w:ascii="宋体" w:hAnsi="宋体" w:eastAsia="宋体" w:cs="宋体"/>
          <w:snapToGrid w:val="0"/>
          <w:kern w:val="0"/>
          <w:sz w:val="24"/>
          <w:szCs w:val="24"/>
          <w:highlight w:val="none"/>
        </w:rPr>
        <w:t>支付。</w:t>
      </w:r>
    </w:p>
    <w:p w14:paraId="571C8EB5">
      <w:pPr>
        <w:wordWrap w:val="0"/>
        <w:adjustRightInd w:val="0"/>
        <w:snapToGrid w:val="0"/>
        <w:spacing w:line="360" w:lineRule="auto"/>
        <w:ind w:firstLine="482" w:firstLineChars="200"/>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3.2.2</w:t>
      </w:r>
      <w:r>
        <w:rPr>
          <w:rFonts w:hint="eastAsia" w:ascii="宋体" w:hAnsi="宋体" w:eastAsia="宋体" w:cs="宋体"/>
          <w:snapToGrid w:val="0"/>
          <w:kern w:val="0"/>
          <w:sz w:val="24"/>
          <w:szCs w:val="24"/>
          <w:highlight w:val="none"/>
        </w:rPr>
        <w:t xml:space="preserve"> 本招标项目</w:t>
      </w:r>
      <w:r>
        <w:rPr>
          <w:rFonts w:hint="eastAsia" w:ascii="宋体" w:hAnsi="宋体" w:eastAsia="宋体" w:cs="宋体"/>
          <w:b/>
          <w:bCs/>
          <w:snapToGrid w:val="0"/>
          <w:kern w:val="0"/>
          <w:sz w:val="24"/>
          <w:szCs w:val="24"/>
          <w:highlight w:val="none"/>
          <w:u w:val="single"/>
        </w:rPr>
        <w:t>不要求</w:t>
      </w:r>
      <w:r>
        <w:rPr>
          <w:rFonts w:hint="eastAsia" w:ascii="宋体" w:hAnsi="宋体" w:eastAsia="宋体" w:cs="宋体"/>
          <w:snapToGrid w:val="0"/>
          <w:kern w:val="0"/>
          <w:sz w:val="24"/>
          <w:szCs w:val="24"/>
          <w:highlight w:val="none"/>
        </w:rPr>
        <w:t>承包人提供与预付款等额的预付款保函。</w:t>
      </w:r>
    </w:p>
    <w:p w14:paraId="4A4F23D6">
      <w:pPr>
        <w:wordWrap w:val="0"/>
        <w:adjustRightInd w:val="0"/>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napToGrid w:val="0"/>
          <w:kern w:val="0"/>
          <w:sz w:val="24"/>
          <w:szCs w:val="24"/>
          <w:highlight w:val="none"/>
        </w:rPr>
        <w:t>3.2.3</w:t>
      </w:r>
      <w:r>
        <w:rPr>
          <w:rFonts w:hint="eastAsia" w:ascii="宋体" w:hAnsi="宋体" w:eastAsia="宋体" w:cs="宋体"/>
          <w:snapToGrid w:val="0"/>
          <w:kern w:val="0"/>
          <w:sz w:val="24"/>
          <w:szCs w:val="24"/>
          <w:highlight w:val="none"/>
        </w:rPr>
        <w:t xml:space="preserve"> 承包人应在签订合同后，在具备施工条件的前提下，向发包人提交预付款支付申请。发包人应对在收到支付申请的7天内进行核实后向承包人发出预付款支付证书，并在签发支付证书后的7天内向承包人支付预付款。凡未签订合同或不具备施工条件的工程，发包人不得预付工程款。</w:t>
      </w:r>
    </w:p>
    <w:p w14:paraId="4C8F6CA9">
      <w:pPr>
        <w:wordWrap w:val="0"/>
        <w:adjustRightInd w:val="0"/>
        <w:snapToGrid w:val="0"/>
        <w:spacing w:line="360" w:lineRule="auto"/>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3.2.4预付款应从每支付期应支付给承包人的工程进度款中扣回，直到扣回的金额达到合同约定的预付款金额为止。</w:t>
      </w:r>
    </w:p>
    <w:p w14:paraId="6BF55ED4">
      <w:pPr>
        <w:wordWrap w:val="0"/>
        <w:adjustRightInd w:val="0"/>
        <w:snapToGrid w:val="0"/>
        <w:spacing w:line="360" w:lineRule="auto"/>
        <w:ind w:firstLine="482" w:firstLineChars="200"/>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 xml:space="preserve">3.3 </w:t>
      </w:r>
      <w:r>
        <w:rPr>
          <w:rFonts w:hint="eastAsia" w:ascii="宋体" w:hAnsi="宋体" w:eastAsia="宋体" w:cs="宋体"/>
          <w:snapToGrid w:val="0"/>
          <w:kern w:val="0"/>
          <w:sz w:val="24"/>
          <w:szCs w:val="24"/>
          <w:highlight w:val="none"/>
        </w:rPr>
        <w:t>施工过程中按月申报工程进度款：承包人每月按工程实际完成工程量（含变更及增加工程）申报，承包人必须将《已完成工程量报表》和《工程付款申请书》于当月26日前报监理单位核</w:t>
      </w:r>
      <w:bookmarkStart w:id="162" w:name="_Hlt127094354"/>
      <w:bookmarkEnd w:id="162"/>
      <w:r>
        <w:rPr>
          <w:rFonts w:hint="eastAsia" w:ascii="宋体" w:hAnsi="宋体" w:eastAsia="宋体" w:cs="宋体"/>
          <w:snapToGrid w:val="0"/>
          <w:kern w:val="0"/>
          <w:sz w:val="24"/>
          <w:szCs w:val="24"/>
          <w:highlight w:val="none"/>
        </w:rPr>
        <w:t>实。经监理单位审核、发包人审定后的工程进度款（指已经按照合同约定，扣除该支付期内因承包人违约而应扣除的管理费），申报后按财政资金拨付到位实际情况进行支付。</w:t>
      </w:r>
    </w:p>
    <w:p w14:paraId="1161B1D0">
      <w:pPr>
        <w:wordWrap w:val="0"/>
        <w:adjustRightInd w:val="0"/>
        <w:snapToGrid w:val="0"/>
        <w:spacing w:line="360" w:lineRule="auto"/>
        <w:ind w:firstLine="482" w:firstLineChars="200"/>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3.4</w:t>
      </w:r>
      <w:r>
        <w:rPr>
          <w:rFonts w:hint="eastAsia" w:ascii="宋体" w:hAnsi="宋体" w:eastAsia="宋体" w:cs="宋体"/>
          <w:snapToGrid w:val="0"/>
          <w:kern w:val="0"/>
          <w:sz w:val="24"/>
          <w:szCs w:val="24"/>
          <w:highlight w:val="none"/>
        </w:rPr>
        <w:t xml:space="preserve"> 每月的工程进度款按工程实际完成工程量的</w:t>
      </w:r>
      <w:r>
        <w:rPr>
          <w:rFonts w:hint="eastAsia" w:ascii="宋体" w:hAnsi="宋体" w:eastAsia="宋体" w:cs="宋体"/>
          <w:snapToGrid w:val="0"/>
          <w:kern w:val="0"/>
          <w:sz w:val="24"/>
          <w:szCs w:val="24"/>
          <w:highlight w:val="none"/>
          <w:u w:val="single"/>
        </w:rPr>
        <w:t xml:space="preserve"> 85% </w:t>
      </w:r>
      <w:r>
        <w:rPr>
          <w:rFonts w:hint="eastAsia" w:ascii="宋体" w:hAnsi="宋体" w:eastAsia="宋体" w:cs="宋体"/>
          <w:snapToGrid w:val="0"/>
          <w:kern w:val="0"/>
          <w:sz w:val="24"/>
          <w:szCs w:val="24"/>
          <w:highlight w:val="none"/>
        </w:rPr>
        <w:t>申请支付，工程进度款中的作业工人工资款项由发包人单独足额拨付到承包人的工资专户。</w:t>
      </w:r>
    </w:p>
    <w:p w14:paraId="5A4324B0">
      <w:pPr>
        <w:wordWrap w:val="0"/>
        <w:adjustRightInd w:val="0"/>
        <w:snapToGrid w:val="0"/>
        <w:spacing w:line="360" w:lineRule="auto"/>
        <w:ind w:firstLine="482" w:firstLineChars="200"/>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3.5</w:t>
      </w:r>
      <w:r>
        <w:rPr>
          <w:rFonts w:hint="eastAsia" w:ascii="宋体" w:hAnsi="宋体" w:eastAsia="宋体" w:cs="宋体"/>
          <w:snapToGrid w:val="0"/>
          <w:kern w:val="0"/>
          <w:sz w:val="24"/>
          <w:szCs w:val="24"/>
          <w:highlight w:val="none"/>
        </w:rPr>
        <w:t xml:space="preserve"> 措施项目费中的“</w:t>
      </w:r>
      <w:r>
        <w:rPr>
          <w:rFonts w:hint="eastAsia" w:ascii="宋体" w:hAnsi="宋体" w:eastAsia="宋体" w:cs="宋体"/>
          <w:snapToGrid w:val="0"/>
          <w:kern w:val="0"/>
          <w:sz w:val="24"/>
          <w:szCs w:val="24"/>
          <w:highlight w:val="none"/>
          <w:lang w:eastAsia="zh-CN"/>
        </w:rPr>
        <w:t>安全生产措施</w:t>
      </w:r>
      <w:r>
        <w:rPr>
          <w:rFonts w:hint="eastAsia" w:ascii="宋体" w:hAnsi="宋体" w:eastAsia="宋体" w:cs="宋体"/>
          <w:snapToGrid w:val="0"/>
          <w:kern w:val="0"/>
          <w:sz w:val="24"/>
          <w:szCs w:val="24"/>
          <w:highlight w:val="none"/>
        </w:rPr>
        <w:t>费”拨付按照《广东省建设工程计价依据（2018）》执行，按照项目所在地的建设行政主管部门有关规定支付。发生一般事故及以上等级重大安全事故的，发包人可扣除承包人金额相当于所有“</w:t>
      </w:r>
      <w:r>
        <w:rPr>
          <w:rFonts w:hint="eastAsia" w:ascii="宋体" w:hAnsi="宋体" w:eastAsia="宋体" w:cs="宋体"/>
          <w:snapToGrid w:val="0"/>
          <w:kern w:val="0"/>
          <w:sz w:val="24"/>
          <w:szCs w:val="24"/>
          <w:highlight w:val="none"/>
          <w:lang w:eastAsia="zh-CN"/>
        </w:rPr>
        <w:t>安全生产措施费</w:t>
      </w:r>
      <w:r>
        <w:rPr>
          <w:rFonts w:hint="eastAsia" w:ascii="宋体" w:hAnsi="宋体" w:eastAsia="宋体" w:cs="宋体"/>
          <w:snapToGrid w:val="0"/>
          <w:kern w:val="0"/>
          <w:sz w:val="24"/>
          <w:szCs w:val="24"/>
          <w:highlight w:val="none"/>
        </w:rPr>
        <w:t>费”的工程管理费。</w:t>
      </w:r>
    </w:p>
    <w:p w14:paraId="58038E18">
      <w:pPr>
        <w:wordWrap w:val="0"/>
        <w:adjustRightInd w:val="0"/>
        <w:snapToGrid w:val="0"/>
        <w:spacing w:line="360" w:lineRule="auto"/>
        <w:ind w:firstLine="482" w:firstLineChars="200"/>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3.6</w:t>
      </w:r>
      <w:r>
        <w:rPr>
          <w:rFonts w:hint="eastAsia" w:ascii="宋体" w:hAnsi="宋体" w:eastAsia="宋体" w:cs="宋体"/>
          <w:snapToGrid w:val="0"/>
          <w:kern w:val="0"/>
          <w:sz w:val="24"/>
          <w:szCs w:val="24"/>
          <w:highlight w:val="none"/>
        </w:rPr>
        <w:t xml:space="preserve"> 变更工程造价必须经监理单位核实，并经发包人核定后方可支付。</w:t>
      </w:r>
    </w:p>
    <w:p w14:paraId="63B44E6E">
      <w:pPr>
        <w:wordWrap w:val="0"/>
        <w:adjustRightInd w:val="0"/>
        <w:snapToGrid w:val="0"/>
        <w:spacing w:line="360" w:lineRule="auto"/>
        <w:ind w:firstLine="482" w:firstLineChars="200"/>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3.7</w:t>
      </w:r>
      <w:r>
        <w:rPr>
          <w:rFonts w:hint="eastAsia" w:ascii="宋体" w:hAnsi="宋体" w:eastAsia="宋体" w:cs="宋体"/>
          <w:snapToGrid w:val="0"/>
          <w:kern w:val="0"/>
          <w:sz w:val="24"/>
          <w:szCs w:val="24"/>
          <w:highlight w:val="none"/>
        </w:rPr>
        <w:t xml:space="preserve"> 结算审核完成后，于次月支付至合同价格的97%，剩余3%转为质量保证金；承包人提交了等额质量保证担保或质量保证保险的，于次月一次性结清合同价格。</w:t>
      </w:r>
    </w:p>
    <w:p w14:paraId="058D0CE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both"/>
        <w:textAlignment w:val="auto"/>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b/>
          <w:bCs/>
          <w:snapToGrid w:val="0"/>
          <w:kern w:val="0"/>
          <w:sz w:val="24"/>
          <w:szCs w:val="24"/>
          <w:highlight w:val="none"/>
        </w:rPr>
        <w:t>3.8</w:t>
      </w:r>
      <w:r>
        <w:rPr>
          <w:rFonts w:hint="eastAsia" w:ascii="宋体" w:hAnsi="宋体" w:eastAsia="宋体" w:cs="宋体"/>
          <w:sz w:val="24"/>
          <w:szCs w:val="24"/>
          <w:highlight w:val="none"/>
        </w:rPr>
        <w:t>本招标项目缺陷责任期为</w:t>
      </w:r>
      <w:r>
        <w:rPr>
          <w:rFonts w:hint="eastAsia" w:ascii="宋体" w:hAnsi="宋体" w:eastAsia="宋体" w:cs="宋体"/>
          <w:sz w:val="24"/>
          <w:szCs w:val="24"/>
          <w:highlight w:val="none"/>
          <w:u w:val="single"/>
        </w:rPr>
        <w:t xml:space="preserve"> 1 </w:t>
      </w:r>
      <w:r>
        <w:rPr>
          <w:rFonts w:hint="eastAsia" w:ascii="宋体" w:hAnsi="宋体" w:eastAsia="宋体" w:cs="宋体"/>
          <w:sz w:val="24"/>
          <w:szCs w:val="24"/>
          <w:highlight w:val="none"/>
        </w:rPr>
        <w:t>年（自通过竣工验收之日起计）。缺陷责任期到期后，承包人向发包人申请退还质量保证。发包人收到退还申请后，于14天内会同承包人进行核实。经双方核实且均无异议后，发包人在核实之日起 14 天内将应返保证金（或银行保函）退还承包人。</w:t>
      </w:r>
    </w:p>
    <w:p w14:paraId="5F97EA0E">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b/>
          <w:bCs/>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3.9</w:t>
      </w:r>
      <w:r>
        <w:rPr>
          <w:rFonts w:hint="eastAsia" w:ascii="宋体" w:hAnsi="宋体" w:eastAsia="宋体" w:cs="宋体"/>
          <w:snapToGrid w:val="0"/>
          <w:color w:val="auto"/>
          <w:spacing w:val="0"/>
          <w:kern w:val="0"/>
          <w:sz w:val="24"/>
          <w:szCs w:val="20"/>
          <w:highlight w:val="none"/>
          <w:lang w:eastAsia="zh-CN"/>
        </w:rPr>
        <w:t xml:space="preserve"> </w:t>
      </w:r>
      <w:r>
        <w:rPr>
          <w:rFonts w:hint="eastAsia" w:ascii="宋体" w:hAnsi="宋体" w:eastAsia="宋体" w:cs="宋体"/>
          <w:b/>
          <w:bCs/>
          <w:snapToGrid w:val="0"/>
          <w:color w:val="auto"/>
          <w:spacing w:val="0"/>
          <w:kern w:val="0"/>
          <w:sz w:val="24"/>
          <w:szCs w:val="20"/>
          <w:highlight w:val="none"/>
          <w:lang w:eastAsia="zh-CN"/>
        </w:rPr>
        <w:t>发包人每次支付工程款前，承包人均应提供有效的增值税专用发票。如果承包人无法提供符合要求的发票，由此造成的相应损失由承包人承担。</w:t>
      </w:r>
    </w:p>
    <w:p w14:paraId="5FDBA552">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lang w:eastAsia="zh-CN"/>
        </w:rPr>
      </w:pPr>
      <w:r>
        <w:rPr>
          <w:rFonts w:hint="eastAsia" w:ascii="宋体" w:hAnsi="宋体" w:eastAsia="宋体" w:cs="宋体"/>
          <w:b/>
          <w:bCs/>
          <w:snapToGrid w:val="0"/>
          <w:color w:val="auto"/>
          <w:spacing w:val="0"/>
          <w:kern w:val="0"/>
          <w:sz w:val="24"/>
          <w:szCs w:val="20"/>
          <w:highlight w:val="none"/>
          <w:lang w:eastAsia="zh-CN"/>
        </w:rPr>
        <w:t>3.</w:t>
      </w:r>
      <w:r>
        <w:rPr>
          <w:rFonts w:hint="eastAsia" w:ascii="宋体" w:hAnsi="宋体" w:eastAsia="宋体" w:cs="宋体"/>
          <w:b/>
          <w:bCs/>
          <w:snapToGrid w:val="0"/>
          <w:color w:val="auto"/>
          <w:spacing w:val="0"/>
          <w:kern w:val="0"/>
          <w:sz w:val="24"/>
          <w:szCs w:val="20"/>
          <w:highlight w:val="none"/>
          <w:lang w:val="en-US" w:eastAsia="zh-CN"/>
        </w:rPr>
        <w:t>10</w:t>
      </w:r>
      <w:r>
        <w:rPr>
          <w:rFonts w:hint="eastAsia" w:ascii="宋体" w:hAnsi="宋体" w:eastAsia="宋体" w:cs="宋体"/>
          <w:snapToGrid w:val="0"/>
          <w:color w:val="auto"/>
          <w:spacing w:val="0"/>
          <w:kern w:val="0"/>
          <w:sz w:val="24"/>
          <w:szCs w:val="20"/>
          <w:highlight w:val="none"/>
          <w:lang w:eastAsia="zh-CN"/>
        </w:rPr>
        <w:t>暂列金额支付方式：</w:t>
      </w:r>
      <w:r>
        <w:rPr>
          <w:rFonts w:hint="eastAsia" w:ascii="宋体" w:hAnsi="宋体" w:eastAsia="宋体" w:cs="宋体"/>
          <w:snapToGrid w:val="0"/>
          <w:color w:val="auto"/>
          <w:spacing w:val="0"/>
          <w:kern w:val="0"/>
          <w:sz w:val="24"/>
          <w:szCs w:val="20"/>
          <w:highlight w:val="none"/>
          <w:u w:val="single"/>
          <w:lang w:val="en-US" w:eastAsia="zh-CN"/>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中的变更签证部分暂停拨付。在暂列金额的范围内，最终经发包人确认后支付至该部分实际完成工程量的（80％），其余部分待结算完成审核后支付至 97%，剩余 3%为工程质量保修金。</w:t>
      </w:r>
    </w:p>
    <w:p w14:paraId="4273771D">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jc w:val="both"/>
        <w:textAlignment w:val="auto"/>
        <w:rPr>
          <w:rFonts w:hint="eastAsia" w:ascii="宋体" w:hAnsi="宋体" w:eastAsia="宋体" w:cs="宋体"/>
          <w:snapToGrid w:val="0"/>
          <w:color w:val="auto"/>
          <w:spacing w:val="0"/>
          <w:kern w:val="0"/>
          <w:sz w:val="24"/>
          <w:szCs w:val="20"/>
          <w:highlight w:val="none"/>
          <w:u w:val="single"/>
          <w:lang w:eastAsia="zh-CN"/>
        </w:rPr>
      </w:pPr>
      <w:r>
        <w:rPr>
          <w:rFonts w:hint="eastAsia" w:ascii="宋体" w:hAnsi="宋体" w:eastAsia="宋体" w:cs="宋体"/>
          <w:b/>
          <w:bCs/>
          <w:snapToGrid w:val="0"/>
          <w:color w:val="auto"/>
          <w:spacing w:val="0"/>
          <w:kern w:val="0"/>
          <w:sz w:val="24"/>
          <w:szCs w:val="20"/>
          <w:highlight w:val="none"/>
          <w:lang w:eastAsia="zh-CN"/>
        </w:rPr>
        <w:t>3.11</w:t>
      </w:r>
      <w:r>
        <w:rPr>
          <w:rFonts w:hint="eastAsia" w:ascii="宋体" w:hAnsi="宋体" w:eastAsia="宋体" w:cs="宋体"/>
          <w:snapToGrid w:val="0"/>
          <w:color w:val="auto"/>
          <w:spacing w:val="0"/>
          <w:kern w:val="0"/>
          <w:sz w:val="24"/>
          <w:szCs w:val="20"/>
          <w:highlight w:val="none"/>
          <w:lang w:eastAsia="zh-CN"/>
        </w:rPr>
        <w:t xml:space="preserve"> 材料暂估价、专业工程暂估价支付方式：</w:t>
      </w:r>
      <w:r>
        <w:rPr>
          <w:rFonts w:hint="eastAsia" w:ascii="宋体" w:hAnsi="宋体" w:eastAsia="宋体" w:cs="宋体"/>
          <w:snapToGrid w:val="0"/>
          <w:color w:val="auto"/>
          <w:spacing w:val="0"/>
          <w:kern w:val="0"/>
          <w:sz w:val="24"/>
          <w:szCs w:val="20"/>
          <w:highlight w:val="none"/>
          <w:u w:val="single"/>
          <w:lang w:eastAsia="zh-CN"/>
        </w:rPr>
        <w:t>材料暂估价、专业工程暂估价与每个月的工程进度款一并报送，但需要列明详细项目内容，该部分材料暂估价、专业工程暂估价按该部分实际完成工程量的50%支付，工程竣工验收合格后</w:t>
      </w:r>
      <w:r>
        <w:rPr>
          <w:rFonts w:hint="eastAsia" w:ascii="宋体" w:hAnsi="宋体" w:eastAsia="宋体" w:cs="宋体"/>
          <w:snapToGrid w:val="0"/>
          <w:color w:val="auto"/>
          <w:spacing w:val="0"/>
          <w:kern w:val="0"/>
          <w:sz w:val="24"/>
          <w:szCs w:val="20"/>
          <w:highlight w:val="none"/>
          <w:u w:val="single"/>
          <w:lang w:val="en-US" w:eastAsia="zh-CN"/>
        </w:rPr>
        <w:t>14天内</w:t>
      </w:r>
      <w:r>
        <w:rPr>
          <w:rFonts w:hint="eastAsia" w:ascii="宋体" w:hAnsi="宋体" w:eastAsia="宋体" w:cs="宋体"/>
          <w:snapToGrid w:val="0"/>
          <w:color w:val="auto"/>
          <w:spacing w:val="0"/>
          <w:kern w:val="0"/>
          <w:sz w:val="24"/>
          <w:szCs w:val="20"/>
          <w:highlight w:val="none"/>
          <w:u w:val="single"/>
          <w:lang w:eastAsia="zh-CN"/>
        </w:rPr>
        <w:t>支付至8</w:t>
      </w:r>
      <w:r>
        <w:rPr>
          <w:rFonts w:hint="eastAsia" w:ascii="宋体" w:hAnsi="宋体" w:eastAsia="宋体" w:cs="宋体"/>
          <w:snapToGrid w:val="0"/>
          <w:color w:val="auto"/>
          <w:spacing w:val="0"/>
          <w:kern w:val="0"/>
          <w:sz w:val="24"/>
          <w:szCs w:val="20"/>
          <w:highlight w:val="none"/>
          <w:u w:val="single"/>
          <w:lang w:val="en-US" w:eastAsia="zh-CN"/>
        </w:rPr>
        <w:t>0</w:t>
      </w:r>
      <w:r>
        <w:rPr>
          <w:rFonts w:hint="eastAsia" w:ascii="宋体" w:hAnsi="宋体" w:eastAsia="宋体" w:cs="宋体"/>
          <w:snapToGrid w:val="0"/>
          <w:color w:val="auto"/>
          <w:spacing w:val="0"/>
          <w:kern w:val="0"/>
          <w:sz w:val="24"/>
          <w:szCs w:val="20"/>
          <w:highlight w:val="none"/>
          <w:u w:val="single"/>
          <w:lang w:eastAsia="zh-CN"/>
        </w:rPr>
        <w:t>%，剩余部分结算完成后支付至审定造价的97%，剩余3%为工程质量保修金。</w:t>
      </w:r>
    </w:p>
    <w:p w14:paraId="1B4A6494">
      <w:pPr>
        <w:keepNext w:val="0"/>
        <w:keepLines w:val="0"/>
        <w:pageBreakBefore w:val="0"/>
        <w:wordWrap w:val="0"/>
        <w:overflowPunct/>
        <w:topLinePunct w:val="0"/>
        <w:bidi w:val="0"/>
        <w:spacing w:before="154" w:line="212" w:lineRule="auto"/>
        <w:ind w:left="486"/>
        <w:outlineLvl w:val="2"/>
        <w:rPr>
          <w:rFonts w:hint="eastAsia" w:ascii="宋体" w:hAnsi="宋体" w:eastAsia="宋体" w:cs="宋体"/>
          <w:b/>
          <w:bCs/>
          <w:color w:val="auto"/>
          <w:spacing w:val="0"/>
          <w:sz w:val="24"/>
          <w:szCs w:val="24"/>
          <w:highlight w:val="none"/>
        </w:rPr>
      </w:pPr>
      <w:bookmarkStart w:id="163" w:name="_Toc12545"/>
      <w:r>
        <w:rPr>
          <w:rFonts w:hint="eastAsia" w:ascii="宋体" w:hAnsi="宋体" w:eastAsia="宋体" w:cs="宋体"/>
          <w:b/>
          <w:bCs/>
          <w:color w:val="auto"/>
          <w:spacing w:val="0"/>
          <w:sz w:val="24"/>
          <w:szCs w:val="24"/>
          <w:highlight w:val="none"/>
        </w:rPr>
        <w:t>4 ．其他专用合同条款</w:t>
      </w:r>
      <w:bookmarkEnd w:id="163"/>
    </w:p>
    <w:p w14:paraId="51069F9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 xml:space="preserve">4.1 </w:t>
      </w:r>
      <w:r>
        <w:rPr>
          <w:rFonts w:hint="eastAsia" w:ascii="宋体" w:hAnsi="宋体" w:eastAsia="宋体" w:cs="宋体"/>
          <w:bCs/>
          <w:snapToGrid w:val="0"/>
          <w:color w:val="auto"/>
          <w:spacing w:val="0"/>
          <w:kern w:val="0"/>
          <w:sz w:val="24"/>
          <w:szCs w:val="24"/>
          <w:highlight w:val="none"/>
          <w:lang w:val="en-US" w:eastAsia="zh-CN"/>
        </w:rPr>
        <w:t xml:space="preserve">专业工程分包 </w:t>
      </w:r>
    </w:p>
    <w:p w14:paraId="71E5A23E">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p>
    <w:p w14:paraId="0D298AF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w:t>
      </w:r>
      <w:r>
        <w:rPr>
          <w:rFonts w:hint="eastAsia" w:ascii="宋体" w:hAnsi="宋体" w:eastAsia="宋体" w:cs="宋体"/>
          <w:bCs/>
          <w:snapToGrid w:val="0"/>
          <w:color w:val="auto"/>
          <w:spacing w:val="0"/>
          <w:kern w:val="0"/>
          <w:sz w:val="24"/>
          <w:szCs w:val="24"/>
          <w:highlight w:val="none"/>
          <w:lang w:val="en-US" w:eastAsia="zh-CN"/>
        </w:rPr>
        <w:t xml:space="preserve"> 工人工资支付专用账户 </w:t>
      </w:r>
    </w:p>
    <w:p w14:paraId="2454931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4.2.1</w:t>
      </w:r>
      <w:r>
        <w:rPr>
          <w:rFonts w:hint="eastAsia" w:ascii="宋体" w:hAnsi="宋体" w:eastAsia="宋体" w:cs="宋体"/>
          <w:bCs/>
          <w:snapToGrid w:val="0"/>
          <w:color w:val="auto"/>
          <w:spacing w:val="0"/>
          <w:kern w:val="0"/>
          <w:sz w:val="24"/>
          <w:szCs w:val="24"/>
          <w:highlight w:val="none"/>
          <w:lang w:val="en-US" w:eastAsia="zh-CN"/>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3733DDD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4.2.2</w:t>
      </w:r>
      <w:r>
        <w:rPr>
          <w:rFonts w:hint="eastAsia" w:ascii="宋体" w:hAnsi="宋体" w:eastAsia="宋体" w:cs="宋体"/>
          <w:bCs/>
          <w:snapToGrid w:val="0"/>
          <w:color w:val="auto"/>
          <w:spacing w:val="0"/>
          <w:kern w:val="0"/>
          <w:sz w:val="24"/>
          <w:szCs w:val="24"/>
          <w:highlight w:val="none"/>
          <w:lang w:val="en-US" w:eastAsia="zh-CN"/>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64D1C6EB">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按韶关市人力资源和社会保障局 韶关市住房和城乡建设管理局 韶关市交通运输局韶关市水务局 韶关市金融工作局 国家金融监督管理总局韶关监管分局关于印发《韶关市工程建设领域农民工工资保证金管理实施细则》的通知(韶人社规〔2023〕2 号) 及《韶关市工程建设领域农民工工资保证金管理实施细则》（韶法审〔2023〕19 号）规定执行。承包人在签订工程施工承包合同后一个月内必须办妥该事项，并将办妥回执交发包人。 </w:t>
      </w:r>
    </w:p>
    <w:p w14:paraId="6F4D018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4564E298">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4.2.3</w:t>
      </w:r>
      <w:r>
        <w:rPr>
          <w:rFonts w:hint="eastAsia" w:ascii="宋体" w:hAnsi="宋体" w:eastAsia="宋体" w:cs="宋体"/>
          <w:bCs/>
          <w:snapToGrid w:val="0"/>
          <w:color w:val="auto"/>
          <w:spacing w:val="0"/>
          <w:kern w:val="0"/>
          <w:sz w:val="24"/>
          <w:szCs w:val="24"/>
          <w:highlight w:val="none"/>
          <w:lang w:val="en-US" w:eastAsia="zh-CN"/>
        </w:rPr>
        <w:t xml:space="preserve"> 承包人应在工资专户开立后 2 个工作日内，将开户银行及其账号、开户协议等资料提交给发包人。 </w:t>
      </w:r>
    </w:p>
    <w:p w14:paraId="0F3EA377">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（1）用人单位应当在建设项目动工前，在建设项目所在地商业银行设立工人工资支付专用账户。 </w:t>
      </w:r>
    </w:p>
    <w:p w14:paraId="776A9988">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（2）用人单位应当在用工之日起 15 日内为每一位工人办理个人银行账户。</w:t>
      </w:r>
    </w:p>
    <w:p w14:paraId="630E1A6B">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（3）用人单位应当指定专人负责建设项目施工现场台账管理，真实、准确记录工人名册、劳务合同、劳动合同、工程进度、工时台账、劳务承包款和工人工资支付等信息，并保存两年以上备查。 </w:t>
      </w:r>
    </w:p>
    <w:p w14:paraId="493CA8AC">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（4）用人单位应当按照“及时支付，按实结算”的原则，在规定日期前通过银行工人工资支付专用账户将工人工资直接支付到工人的个人银行账户，并按月将工人工资支付 明细表报施工总承包单位和建设单位备案。</w:t>
      </w:r>
    </w:p>
    <w:p w14:paraId="2E48CB0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35366B38">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4.2.4</w:t>
      </w:r>
      <w:r>
        <w:rPr>
          <w:rFonts w:hint="eastAsia" w:ascii="宋体" w:hAnsi="宋体" w:eastAsia="宋体" w:cs="宋体"/>
          <w:bCs/>
          <w:snapToGrid w:val="0"/>
          <w:color w:val="auto"/>
          <w:spacing w:val="0"/>
          <w:kern w:val="0"/>
          <w:sz w:val="24"/>
          <w:szCs w:val="24"/>
          <w:highlight w:val="none"/>
          <w:lang w:val="en-US" w:eastAsia="zh-CN"/>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 </w:t>
      </w:r>
    </w:p>
    <w:p w14:paraId="34B5D41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4.3</w:t>
      </w:r>
      <w:r>
        <w:rPr>
          <w:rFonts w:hint="eastAsia" w:ascii="宋体" w:hAnsi="宋体" w:eastAsia="宋体" w:cs="宋体"/>
          <w:bCs/>
          <w:snapToGrid w:val="0"/>
          <w:color w:val="auto"/>
          <w:spacing w:val="0"/>
          <w:kern w:val="0"/>
          <w:sz w:val="24"/>
          <w:szCs w:val="24"/>
          <w:highlight w:val="none"/>
          <w:lang w:val="en-US" w:eastAsia="zh-CN"/>
        </w:rPr>
        <w:t xml:space="preserve"> 诚信登记 </w:t>
      </w:r>
    </w:p>
    <w:p w14:paraId="6076B96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根据资质管理规定，许可机关应当建立、健全建筑业企业信用档案管理制度，包括企业基本信息、资质、业绩、工程质量和安全、合同履约、社会投诉和违法行为等情况。 </w:t>
      </w:r>
    </w:p>
    <w:p w14:paraId="1254AFF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4.4</w:t>
      </w:r>
      <w:r>
        <w:rPr>
          <w:rFonts w:hint="eastAsia" w:ascii="宋体" w:hAnsi="宋体" w:eastAsia="宋体" w:cs="宋体"/>
          <w:bCs/>
          <w:snapToGrid w:val="0"/>
          <w:color w:val="auto"/>
          <w:spacing w:val="0"/>
          <w:kern w:val="0"/>
          <w:sz w:val="24"/>
          <w:szCs w:val="24"/>
          <w:highlight w:val="none"/>
          <w:lang w:val="en-US" w:eastAsia="zh-CN"/>
        </w:rPr>
        <w:t xml:space="preserve"> 工期进度 </w:t>
      </w:r>
    </w:p>
    <w:p w14:paraId="50B1FB1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4.4.1</w:t>
      </w:r>
      <w:r>
        <w:rPr>
          <w:rFonts w:hint="eastAsia" w:ascii="宋体" w:hAnsi="宋体" w:eastAsia="宋体" w:cs="宋体"/>
          <w:bCs/>
          <w:snapToGrid w:val="0"/>
          <w:color w:val="auto"/>
          <w:spacing w:val="0"/>
          <w:kern w:val="0"/>
          <w:sz w:val="24"/>
          <w:szCs w:val="24"/>
          <w:highlight w:val="none"/>
          <w:lang w:val="en-US" w:eastAsia="zh-CN"/>
        </w:rPr>
        <w:t xml:space="preserve"> 本招标项目施工标准工期为</w:t>
      </w:r>
      <w:r>
        <w:rPr>
          <w:rFonts w:hint="eastAsia" w:ascii="宋体" w:hAnsi="宋体" w:eastAsia="宋体" w:cs="宋体"/>
          <w:bCs/>
          <w:snapToGrid w:val="0"/>
          <w:color w:val="auto"/>
          <w:spacing w:val="0"/>
          <w:kern w:val="0"/>
          <w:sz w:val="24"/>
          <w:szCs w:val="24"/>
          <w:highlight w:val="none"/>
          <w:u w:val="single"/>
          <w:lang w:val="en-US" w:eastAsia="zh-CN"/>
        </w:rPr>
        <w:t>730个日历天</w:t>
      </w:r>
      <w:r>
        <w:rPr>
          <w:rFonts w:hint="eastAsia" w:ascii="宋体" w:hAnsi="宋体" w:eastAsia="宋体" w:cs="宋体"/>
          <w:bCs/>
          <w:snapToGrid w:val="0"/>
          <w:color w:val="auto"/>
          <w:spacing w:val="0"/>
          <w:kern w:val="0"/>
          <w:sz w:val="24"/>
          <w:szCs w:val="24"/>
          <w:highlight w:val="none"/>
          <w:lang w:val="en-US" w:eastAsia="zh-CN"/>
        </w:rPr>
        <w:t>，招标工期为</w:t>
      </w:r>
      <w:r>
        <w:rPr>
          <w:rFonts w:hint="eastAsia" w:ascii="宋体" w:hAnsi="宋体" w:eastAsia="宋体" w:cs="宋体"/>
          <w:bCs/>
          <w:snapToGrid w:val="0"/>
          <w:color w:val="auto"/>
          <w:spacing w:val="0"/>
          <w:kern w:val="0"/>
          <w:sz w:val="24"/>
          <w:szCs w:val="24"/>
          <w:highlight w:val="none"/>
          <w:u w:val="single"/>
          <w:lang w:val="en-US" w:eastAsia="zh-CN"/>
        </w:rPr>
        <w:t>730个日历天</w:t>
      </w:r>
      <w:r>
        <w:rPr>
          <w:rFonts w:hint="eastAsia" w:ascii="宋体" w:hAnsi="宋体" w:eastAsia="宋体" w:cs="宋体"/>
          <w:bCs/>
          <w:snapToGrid w:val="0"/>
          <w:color w:val="auto"/>
          <w:spacing w:val="0"/>
          <w:kern w:val="0"/>
          <w:sz w:val="24"/>
          <w:szCs w:val="24"/>
          <w:highlight w:val="none"/>
          <w:lang w:val="en-US" w:eastAsia="zh-CN"/>
        </w:rPr>
        <w:t xml:space="preserve">，承包人必须在招标工期内完成招标范围内的全部内容。 </w:t>
      </w:r>
    </w:p>
    <w:p w14:paraId="3937827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4.4.2</w:t>
      </w:r>
      <w:r>
        <w:rPr>
          <w:rFonts w:hint="eastAsia" w:ascii="宋体" w:hAnsi="宋体" w:eastAsia="宋体" w:cs="宋体"/>
          <w:bCs/>
          <w:snapToGrid w:val="0"/>
          <w:color w:val="auto"/>
          <w:spacing w:val="0"/>
          <w:kern w:val="0"/>
          <w:sz w:val="24"/>
          <w:szCs w:val="24"/>
          <w:highlight w:val="none"/>
          <w:lang w:val="en-US" w:eastAsia="zh-CN"/>
        </w:rPr>
        <w:t xml:space="preserve"> 施工工期从承包人收到监理单位签发的开工令之日起计，至竣工验收合格之日止。</w:t>
      </w:r>
    </w:p>
    <w:p w14:paraId="48D28B1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4.4.3</w:t>
      </w:r>
      <w:r>
        <w:rPr>
          <w:rFonts w:hint="eastAsia" w:ascii="宋体" w:hAnsi="宋体" w:eastAsia="宋体" w:cs="宋体"/>
          <w:bCs/>
          <w:snapToGrid w:val="0"/>
          <w:color w:val="auto"/>
          <w:spacing w:val="0"/>
          <w:kern w:val="0"/>
          <w:sz w:val="24"/>
          <w:szCs w:val="24"/>
          <w:highlight w:val="none"/>
          <w:lang w:val="en-US" w:eastAsia="zh-CN"/>
        </w:rPr>
        <w:t xml:space="preserve"> 工期奖罚 </w:t>
      </w:r>
    </w:p>
    <w:p w14:paraId="046DC92A">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□竣工验收合格交付使用每提前</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天竣工；奖</w:t>
      </w:r>
      <w:r>
        <w:rPr>
          <w:rFonts w:hint="eastAsia" w:ascii="宋体" w:hAnsi="宋体" w:eastAsia="宋体" w:cs="宋体"/>
          <w:bCs/>
          <w:snapToGrid w:val="0"/>
          <w:color w:val="auto"/>
          <w:spacing w:val="0"/>
          <w:kern w:val="0"/>
          <w:sz w:val="24"/>
          <w:szCs w:val="24"/>
          <w:highlight w:val="none"/>
          <w:u w:val="single"/>
          <w:lang w:val="en-US" w:eastAsia="zh-CN"/>
        </w:rPr>
        <w:t xml:space="preserve">/ </w:t>
      </w:r>
      <w:r>
        <w:rPr>
          <w:rFonts w:hint="eastAsia" w:ascii="宋体" w:hAnsi="宋体" w:eastAsia="宋体" w:cs="宋体"/>
          <w:bCs/>
          <w:snapToGrid w:val="0"/>
          <w:color w:val="auto"/>
          <w:spacing w:val="0"/>
          <w:kern w:val="0"/>
          <w:sz w:val="24"/>
          <w:szCs w:val="24"/>
          <w:highlight w:val="none"/>
          <w:lang w:val="en-US" w:eastAsia="zh-CN"/>
        </w:rPr>
        <w:t>元，奖励金额不超过合同价款的</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%（一般为 2%～5%）且不超过</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 xml:space="preserve">元。 </w:t>
      </w:r>
    </w:p>
    <w:p w14:paraId="65E4E594">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□按施工合同期约定,因承包人原因每延误</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天竣工,罚</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 xml:space="preserve">元。 </w:t>
      </w:r>
    </w:p>
    <w:p w14:paraId="74F80B1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□按施工合同期约定,因承包人原因延误工期</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天内不处罚， 自第壹天起每延误</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天竣工,罚元。处罚金额不超过合同价款的</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%（一般为 2%～5%）且不超过万元，累计延误工期达到</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 xml:space="preserve">天，报请建设行政主管部门作不良行为记录，非承包方原因或不可抗力造成延误的除外。 </w:t>
      </w:r>
    </w:p>
    <w:p w14:paraId="7091C39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☑其它说明：（1）因承包人原因，工程没有按期竣工时，承包人须在逾期第壹天起每天按合同价的 1‰ 向发包人返纳逾期竣工违约金。逾期竣工违约金的最高限额为合同价款的3%。</w:t>
      </w:r>
    </w:p>
    <w:p w14:paraId="3965E8AD">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2000元缴纳违约金给发包人，在结算中一并扣除。</w:t>
      </w:r>
    </w:p>
    <w:p w14:paraId="2B12986D">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（3）承包人在进场后7天内提交施工进度计划，并注明主要施工节点时间，送监理单位及发包人审核后，作为工期考核的阶段性指标。</w:t>
      </w:r>
    </w:p>
    <w:p w14:paraId="28565A0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4.5</w:t>
      </w:r>
      <w:r>
        <w:rPr>
          <w:rFonts w:hint="eastAsia" w:ascii="宋体" w:hAnsi="宋体" w:eastAsia="宋体" w:cs="宋体"/>
          <w:bCs/>
          <w:snapToGrid w:val="0"/>
          <w:color w:val="auto"/>
          <w:spacing w:val="0"/>
          <w:kern w:val="0"/>
          <w:sz w:val="24"/>
          <w:szCs w:val="24"/>
          <w:highlight w:val="none"/>
          <w:lang w:val="en-US" w:eastAsia="zh-CN"/>
        </w:rPr>
        <w:t xml:space="preserve"> 项目管理机构 </w:t>
      </w:r>
    </w:p>
    <w:p w14:paraId="27CA87A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4.5.1</w:t>
      </w:r>
      <w:r>
        <w:rPr>
          <w:rFonts w:hint="eastAsia" w:ascii="宋体" w:hAnsi="宋体" w:eastAsia="宋体" w:cs="宋体"/>
          <w:bCs/>
          <w:snapToGrid w:val="0"/>
          <w:color w:val="auto"/>
          <w:spacing w:val="0"/>
          <w:kern w:val="0"/>
          <w:sz w:val="24"/>
          <w:szCs w:val="24"/>
          <w:highlight w:val="none"/>
          <w:lang w:val="en-US" w:eastAsia="zh-CN"/>
        </w:rPr>
        <w:t xml:space="preserve"> 承包人派驻的项目管理班子成员必须为其投标文件确定的人员，否则发包人有权终止合同。 </w:t>
      </w:r>
    </w:p>
    <w:p w14:paraId="155CBDD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4.5.2</w:t>
      </w:r>
      <w:r>
        <w:rPr>
          <w:rFonts w:hint="eastAsia" w:ascii="宋体" w:hAnsi="宋体" w:eastAsia="宋体" w:cs="宋体"/>
          <w:bCs/>
          <w:snapToGrid w:val="0"/>
          <w:color w:val="auto"/>
          <w:spacing w:val="0"/>
          <w:kern w:val="0"/>
          <w:sz w:val="24"/>
          <w:szCs w:val="24"/>
          <w:highlight w:val="none"/>
          <w:lang w:val="en-US" w:eastAsia="zh-CN"/>
        </w:rPr>
        <w:t xml:space="preserve"> 项目管理班子成员不得擅自变更。其中，项目经理若有《广东省住房和城乡建设厅关于建设工程项目招标中标后监督检查的办法》（粤建市〔2009〕8 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0AE1D1C1">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4.6</w:t>
      </w:r>
      <w:r>
        <w:rPr>
          <w:rFonts w:hint="eastAsia" w:ascii="宋体" w:hAnsi="宋体" w:eastAsia="宋体" w:cs="宋体"/>
          <w:bCs/>
          <w:snapToGrid w:val="0"/>
          <w:color w:val="auto"/>
          <w:spacing w:val="0"/>
          <w:kern w:val="0"/>
          <w:sz w:val="24"/>
          <w:szCs w:val="24"/>
          <w:highlight w:val="none"/>
          <w:lang w:val="en-US" w:eastAsia="zh-CN"/>
        </w:rPr>
        <w:t xml:space="preserve"> 现场管理 </w:t>
      </w:r>
    </w:p>
    <w:p w14:paraId="75752DF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4.6.1</w:t>
      </w:r>
      <w:r>
        <w:rPr>
          <w:rFonts w:hint="eastAsia" w:ascii="宋体" w:hAnsi="宋体" w:eastAsia="宋体" w:cs="宋体"/>
          <w:bCs/>
          <w:snapToGrid w:val="0"/>
          <w:color w:val="auto"/>
          <w:spacing w:val="0"/>
          <w:kern w:val="0"/>
          <w:sz w:val="24"/>
          <w:szCs w:val="24"/>
          <w:highlight w:val="none"/>
          <w:lang w:val="en-US" w:eastAsia="zh-CN"/>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63E3D6B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4.6.2</w:t>
      </w:r>
      <w:r>
        <w:rPr>
          <w:rFonts w:hint="eastAsia" w:ascii="宋体" w:hAnsi="宋体" w:eastAsia="宋体" w:cs="宋体"/>
          <w:bCs/>
          <w:snapToGrid w:val="0"/>
          <w:color w:val="auto"/>
          <w:spacing w:val="0"/>
          <w:kern w:val="0"/>
          <w:sz w:val="24"/>
          <w:szCs w:val="24"/>
          <w:highlight w:val="none"/>
          <w:lang w:val="en-US" w:eastAsia="zh-CN"/>
        </w:rPr>
        <w:t xml:space="preserve"> 承包人应按安全施工有关规定，采取严格、科学的安全防护措施，确保施工和人员（包括第三者）的安全，承担由于自身安全防护措施不力所造成的安全事故责任和发生的费用。</w:t>
      </w:r>
    </w:p>
    <w:p w14:paraId="36093A8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4.6.3</w:t>
      </w:r>
      <w:r>
        <w:rPr>
          <w:rFonts w:hint="eastAsia" w:ascii="宋体" w:hAnsi="宋体" w:eastAsia="宋体" w:cs="宋体"/>
          <w:bCs/>
          <w:snapToGrid w:val="0"/>
          <w:color w:val="auto"/>
          <w:spacing w:val="0"/>
          <w:kern w:val="0"/>
          <w:sz w:val="24"/>
          <w:szCs w:val="24"/>
          <w:highlight w:val="none"/>
          <w:lang w:val="en-US" w:eastAsia="zh-CN"/>
        </w:rPr>
        <w:t xml:space="preserve"> 为保证施工现场的环境卫生，承包人在本招标项目施工过程中，所有的车辆必须按发包人规定的行车路线行驶。 </w:t>
      </w:r>
    </w:p>
    <w:p w14:paraId="18513EF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4.7</w:t>
      </w:r>
      <w:r>
        <w:rPr>
          <w:rFonts w:hint="eastAsia" w:ascii="宋体" w:hAnsi="宋体" w:eastAsia="宋体" w:cs="宋体"/>
          <w:bCs/>
          <w:snapToGrid w:val="0"/>
          <w:color w:val="auto"/>
          <w:spacing w:val="0"/>
          <w:kern w:val="0"/>
          <w:sz w:val="24"/>
          <w:szCs w:val="24"/>
          <w:highlight w:val="none"/>
          <w:lang w:val="en-US" w:eastAsia="zh-CN"/>
        </w:rPr>
        <w:t xml:space="preserve"> 监督实施 </w:t>
      </w:r>
    </w:p>
    <w:p w14:paraId="11B9958F">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1E49796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4.8</w:t>
      </w:r>
      <w:r>
        <w:rPr>
          <w:rFonts w:hint="eastAsia" w:ascii="宋体" w:hAnsi="宋体" w:eastAsia="宋体" w:cs="宋体"/>
          <w:bCs/>
          <w:snapToGrid w:val="0"/>
          <w:color w:val="auto"/>
          <w:spacing w:val="0"/>
          <w:kern w:val="0"/>
          <w:sz w:val="24"/>
          <w:szCs w:val="24"/>
          <w:highlight w:val="none"/>
          <w:lang w:val="en-US" w:eastAsia="zh-CN"/>
        </w:rPr>
        <w:t xml:space="preserve"> 主材的采购和使用 </w:t>
      </w:r>
    </w:p>
    <w:p w14:paraId="45CFC6FF">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637CD19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 xml:space="preserve">4.9 </w:t>
      </w:r>
      <w:r>
        <w:rPr>
          <w:rFonts w:hint="eastAsia" w:ascii="宋体" w:hAnsi="宋体" w:eastAsia="宋体" w:cs="宋体"/>
          <w:bCs/>
          <w:snapToGrid w:val="0"/>
          <w:color w:val="auto"/>
          <w:spacing w:val="0"/>
          <w:kern w:val="0"/>
          <w:sz w:val="24"/>
          <w:szCs w:val="24"/>
          <w:highlight w:val="none"/>
          <w:lang w:val="en-US" w:eastAsia="zh-CN"/>
        </w:rPr>
        <w:t xml:space="preserve">竣工资料移交 </w:t>
      </w:r>
    </w:p>
    <w:p w14:paraId="5E7CD976">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项目竣工验收时，承包人应向监理单位和发包人提供符合国家档案部门备案要求的，编制成册的竣工图及有关的技术档案资料（含声像档案）一式8份。 </w:t>
      </w:r>
    </w:p>
    <w:p w14:paraId="4941230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w:t>
      </w:r>
      <w:r>
        <w:rPr>
          <w:rFonts w:hint="eastAsia" w:ascii="宋体" w:hAnsi="宋体" w:eastAsia="宋体" w:cs="宋体"/>
          <w:bCs/>
          <w:snapToGrid w:val="0"/>
          <w:color w:val="auto"/>
          <w:spacing w:val="0"/>
          <w:kern w:val="0"/>
          <w:sz w:val="24"/>
          <w:szCs w:val="24"/>
          <w:highlight w:val="none"/>
          <w:lang w:val="en-US" w:eastAsia="zh-CN"/>
        </w:rPr>
        <w:t xml:space="preserve"> 质量保证</w:t>
      </w:r>
    </w:p>
    <w:p w14:paraId="7C977E2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4.10.1</w:t>
      </w:r>
      <w:r>
        <w:rPr>
          <w:rFonts w:hint="eastAsia" w:ascii="宋体" w:hAnsi="宋体" w:eastAsia="宋体" w:cs="宋体"/>
          <w:bCs/>
          <w:snapToGrid w:val="0"/>
          <w:color w:val="auto"/>
          <w:spacing w:val="0"/>
          <w:kern w:val="0"/>
          <w:sz w:val="24"/>
          <w:szCs w:val="24"/>
          <w:highlight w:val="none"/>
          <w:lang w:val="en-US" w:eastAsia="zh-CN"/>
        </w:rPr>
        <w:t xml:space="preserve"> 本招标项目缺陷责任期为</w:t>
      </w:r>
      <w:r>
        <w:rPr>
          <w:rFonts w:hint="eastAsia" w:ascii="宋体" w:hAnsi="宋体" w:eastAsia="宋体" w:cs="宋体"/>
          <w:bCs/>
          <w:snapToGrid w:val="0"/>
          <w:color w:val="auto"/>
          <w:spacing w:val="0"/>
          <w:kern w:val="0"/>
          <w:sz w:val="24"/>
          <w:szCs w:val="24"/>
          <w:highlight w:val="none"/>
          <w:u w:val="single"/>
          <w:lang w:val="en-US" w:eastAsia="zh-CN"/>
        </w:rPr>
        <w:t>1</w:t>
      </w:r>
      <w:r>
        <w:rPr>
          <w:rFonts w:hint="eastAsia" w:ascii="宋体" w:hAnsi="宋体" w:eastAsia="宋体" w:cs="宋体"/>
          <w:bCs/>
          <w:snapToGrid w:val="0"/>
          <w:color w:val="auto"/>
          <w:spacing w:val="0"/>
          <w:kern w:val="0"/>
          <w:sz w:val="24"/>
          <w:szCs w:val="24"/>
          <w:highlight w:val="none"/>
          <w:lang w:val="en-US" w:eastAsia="zh-CN"/>
        </w:rPr>
        <w:t>年（自通过竣工验收之日起计），在此期间预留金额为结算价</w:t>
      </w:r>
      <w:r>
        <w:rPr>
          <w:rFonts w:hint="eastAsia" w:ascii="宋体" w:hAnsi="宋体" w:eastAsia="宋体" w:cs="宋体"/>
          <w:bCs/>
          <w:snapToGrid w:val="0"/>
          <w:color w:val="auto"/>
          <w:spacing w:val="0"/>
          <w:kern w:val="0"/>
          <w:sz w:val="24"/>
          <w:szCs w:val="24"/>
          <w:highlight w:val="none"/>
          <w:u w:val="single"/>
          <w:lang w:val="en-US" w:eastAsia="zh-CN"/>
        </w:rPr>
        <w:t>3%</w:t>
      </w:r>
      <w:r>
        <w:rPr>
          <w:rFonts w:hint="eastAsia" w:ascii="宋体" w:hAnsi="宋体" w:eastAsia="宋体" w:cs="宋体"/>
          <w:bCs/>
          <w:snapToGrid w:val="0"/>
          <w:color w:val="auto"/>
          <w:spacing w:val="0"/>
          <w:kern w:val="0"/>
          <w:sz w:val="24"/>
          <w:szCs w:val="24"/>
          <w:highlight w:val="none"/>
          <w:lang w:val="en-US" w:eastAsia="zh-CN"/>
        </w:rPr>
        <w:t xml:space="preserve">的质量保证。 </w:t>
      </w:r>
    </w:p>
    <w:p w14:paraId="7A2DA1C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4.10.2</w:t>
      </w:r>
      <w:r>
        <w:rPr>
          <w:rFonts w:hint="eastAsia" w:ascii="宋体" w:hAnsi="宋体" w:eastAsia="宋体" w:cs="宋体"/>
          <w:bCs/>
          <w:snapToGrid w:val="0"/>
          <w:color w:val="auto"/>
          <w:spacing w:val="0"/>
          <w:kern w:val="0"/>
          <w:sz w:val="24"/>
          <w:szCs w:val="24"/>
          <w:highlight w:val="none"/>
          <w:lang w:val="en-US" w:eastAsia="zh-CN"/>
        </w:rPr>
        <w:t xml:space="preserve"> 质量保证的形式包括质量保证金、质量保证担保、质量保证保险三种，由承包人自主选择。 </w:t>
      </w:r>
    </w:p>
    <w:p w14:paraId="5014A831">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（1）采用质量保证金形式的，在结清审定总造价时一次性扣留相应金额作为质量保证金。</w:t>
      </w:r>
    </w:p>
    <w:p w14:paraId="0CE411C4">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14:paraId="00FA11C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4.10.3</w:t>
      </w:r>
      <w:r>
        <w:rPr>
          <w:rFonts w:hint="eastAsia" w:ascii="宋体" w:hAnsi="宋体" w:eastAsia="宋体" w:cs="宋体"/>
          <w:bCs/>
          <w:snapToGrid w:val="0"/>
          <w:color w:val="auto"/>
          <w:spacing w:val="0"/>
          <w:kern w:val="0"/>
          <w:sz w:val="24"/>
          <w:szCs w:val="24"/>
          <w:highlight w:val="none"/>
          <w:lang w:val="en-US" w:eastAsia="zh-CN"/>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215343EA">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由他人原因造成的缺陷，发包人负责组织维修，承包人不承担费用，且发包人不得从质量保证中扣除费用。 </w:t>
      </w:r>
    </w:p>
    <w:p w14:paraId="7C6CD6D1">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4.10.4</w:t>
      </w:r>
      <w:r>
        <w:rPr>
          <w:rFonts w:hint="eastAsia" w:ascii="宋体" w:hAnsi="宋体" w:eastAsia="宋体" w:cs="宋体"/>
          <w:bCs/>
          <w:snapToGrid w:val="0"/>
          <w:color w:val="auto"/>
          <w:spacing w:val="0"/>
          <w:kern w:val="0"/>
          <w:sz w:val="24"/>
          <w:szCs w:val="24"/>
          <w:highlight w:val="none"/>
          <w:lang w:val="en-US" w:eastAsia="zh-CN"/>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2102D96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4.11</w:t>
      </w:r>
      <w:r>
        <w:rPr>
          <w:rFonts w:hint="eastAsia" w:ascii="宋体" w:hAnsi="宋体" w:eastAsia="宋体" w:cs="宋体"/>
          <w:bCs/>
          <w:snapToGrid w:val="0"/>
          <w:color w:val="auto"/>
          <w:spacing w:val="0"/>
          <w:kern w:val="0"/>
          <w:sz w:val="24"/>
          <w:szCs w:val="24"/>
          <w:highlight w:val="none"/>
          <w:lang w:val="en-US" w:eastAsia="zh-CN"/>
        </w:rPr>
        <w:t xml:space="preserve"> 不良行为处理 </w:t>
      </w:r>
    </w:p>
    <w:p w14:paraId="043D6EC9">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承包人及其有关人员有下列行为之一的，发包人应及时向建设行政主管部门报告。除按照有关法律、法规进行处罚外，不良行为将计入企业及有关个人诚信档案，并在韶关市住房和城乡建设管理局网站（http://zgj.sg.gov.cn）公示。 </w:t>
      </w:r>
    </w:p>
    <w:p w14:paraId="67A4E90D">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（1）转包、违法分包或违反投标承诺分包工程的； </w:t>
      </w:r>
    </w:p>
    <w:p w14:paraId="01E2E653">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（2）非原参加投标中标的项目经理负责组织施工或在实施过程中擅自更换项目经理的、项目的其他主要管理人员与中标文件确定的人员不相符的；</w:t>
      </w:r>
    </w:p>
    <w:p w14:paraId="4FF9DCC5">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（3）投标文件确定的大型机械设备没有进入施工现场的； </w:t>
      </w:r>
    </w:p>
    <w:p w14:paraId="2C56F21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（4）与建设单位、监理单位串通，签认虚假工程量或工程造价的； </w:t>
      </w:r>
    </w:p>
    <w:p w14:paraId="32D0DD6E">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（5）项目经理施工现场管理不到位的； </w:t>
      </w:r>
    </w:p>
    <w:p w14:paraId="01C481BC">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（6）项目经理在非本人资格证书注册单位从事工程项目施工管理的； </w:t>
      </w:r>
    </w:p>
    <w:p w14:paraId="6E3D80EF">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（7）项目经理同时承担超过一项工程项目的； </w:t>
      </w:r>
    </w:p>
    <w:p w14:paraId="7A86FACA">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（8）违反有关法律、法规、规章规定的其它行为。 </w:t>
      </w:r>
    </w:p>
    <w:p w14:paraId="2E40166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 xml:space="preserve">4.12 </w:t>
      </w:r>
      <w:r>
        <w:rPr>
          <w:rFonts w:hint="eastAsia" w:ascii="宋体" w:hAnsi="宋体" w:eastAsia="宋体" w:cs="宋体"/>
          <w:bCs/>
          <w:snapToGrid w:val="0"/>
          <w:color w:val="auto"/>
          <w:spacing w:val="0"/>
          <w:kern w:val="0"/>
          <w:sz w:val="24"/>
          <w:szCs w:val="24"/>
          <w:highlight w:val="none"/>
          <w:lang w:val="en-US" w:eastAsia="zh-CN"/>
        </w:rPr>
        <w:t xml:space="preserve">信用评价条款内容 </w:t>
      </w:r>
    </w:p>
    <w:p w14:paraId="00CEB1A4">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7742348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4.13</w:t>
      </w:r>
      <w:r>
        <w:rPr>
          <w:rFonts w:hint="eastAsia" w:ascii="宋体" w:hAnsi="宋体" w:eastAsia="宋体" w:cs="宋体"/>
          <w:bCs/>
          <w:snapToGrid w:val="0"/>
          <w:color w:val="auto"/>
          <w:spacing w:val="0"/>
          <w:kern w:val="0"/>
          <w:sz w:val="24"/>
          <w:szCs w:val="24"/>
          <w:highlight w:val="none"/>
          <w:lang w:val="en-US" w:eastAsia="zh-CN"/>
        </w:rPr>
        <w:t xml:space="preserve"> 危险性较大的分部分项工程安全管理约定 。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29E4D296">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 </w:t>
      </w:r>
    </w:p>
    <w:p w14:paraId="54C50EB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4.14</w:t>
      </w:r>
      <w:r>
        <w:rPr>
          <w:rFonts w:hint="eastAsia" w:ascii="宋体" w:hAnsi="宋体" w:eastAsia="宋体" w:cs="宋体"/>
          <w:bCs/>
          <w:snapToGrid w:val="0"/>
          <w:color w:val="auto"/>
          <w:spacing w:val="0"/>
          <w:kern w:val="0"/>
          <w:sz w:val="24"/>
          <w:szCs w:val="24"/>
          <w:highlight w:val="none"/>
          <w:lang w:val="en-US" w:eastAsia="zh-CN"/>
        </w:rPr>
        <w:t xml:space="preserve"> 承包人在工程实施过程中，按照国家、省、市的相关规定制定相关的专项安全施工方案（如高支模、基坑支护、沉井等），编制专项施工方案报监理人、发包人审批后方可开展专项工程的施工。 </w:t>
      </w:r>
    </w:p>
    <w:p w14:paraId="155F342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4.15</w:t>
      </w:r>
      <w:r>
        <w:rPr>
          <w:rFonts w:hint="eastAsia" w:ascii="宋体" w:hAnsi="宋体" w:eastAsia="宋体" w:cs="宋体"/>
          <w:bCs/>
          <w:snapToGrid w:val="0"/>
          <w:color w:val="auto"/>
          <w:spacing w:val="0"/>
          <w:kern w:val="0"/>
          <w:sz w:val="24"/>
          <w:szCs w:val="24"/>
          <w:highlight w:val="none"/>
          <w:lang w:val="en-US" w:eastAsia="zh-CN"/>
        </w:rPr>
        <w:t xml:space="preserve"> 承包人须按照《韶关市建筑垃圾管理条例》（2021 年 5 月 1 日起施行），将弃土运至发包人指定的场所，否则发包人有权要求承包人无条件将弃土从违约弃土点运至发包人指定的场所并扣除违约金人民币</w:t>
      </w:r>
      <w:r>
        <w:rPr>
          <w:rFonts w:hint="eastAsia" w:ascii="宋体" w:hAnsi="宋体" w:eastAsia="宋体" w:cs="宋体"/>
          <w:color w:val="auto"/>
          <w:spacing w:val="0"/>
          <w:kern w:val="2"/>
          <w:sz w:val="24"/>
          <w:szCs w:val="24"/>
          <w:highlight w:val="none"/>
          <w:u w:val="single"/>
          <w:shd w:val="clear" w:color="auto" w:fill="FFFFFF"/>
          <w:lang w:val="en-US" w:eastAsia="zh-CN" w:bidi="ar-SA"/>
        </w:rPr>
        <w:t xml:space="preserve"> 壹 </w:t>
      </w:r>
      <w:r>
        <w:rPr>
          <w:rFonts w:hint="eastAsia" w:ascii="宋体" w:hAnsi="宋体" w:eastAsia="宋体" w:cs="宋体"/>
          <w:bCs/>
          <w:snapToGrid w:val="0"/>
          <w:color w:val="auto"/>
          <w:spacing w:val="0"/>
          <w:kern w:val="0"/>
          <w:sz w:val="24"/>
          <w:szCs w:val="24"/>
          <w:highlight w:val="none"/>
          <w:lang w:val="en-US" w:eastAsia="zh-CN"/>
        </w:rPr>
        <w:t xml:space="preserve">万元/次。承包人对建筑垃圾须按《韶关市建筑垃圾管理条例》（2021 年 5 月 1 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30E88A48">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 xml:space="preserve">4.16 </w:t>
      </w:r>
      <w:r>
        <w:rPr>
          <w:rFonts w:hint="eastAsia" w:ascii="宋体" w:hAnsi="宋体" w:eastAsia="宋体" w:cs="宋体"/>
          <w:bCs/>
          <w:snapToGrid w:val="0"/>
          <w:color w:val="auto"/>
          <w:spacing w:val="0"/>
          <w:kern w:val="0"/>
          <w:sz w:val="24"/>
          <w:szCs w:val="24"/>
          <w:highlight w:val="none"/>
          <w:lang w:val="en-US" w:eastAsia="zh-CN"/>
        </w:rPr>
        <w:t xml:space="preserve">工程竣工验收后 15 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234A348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4.17</w:t>
      </w:r>
      <w:r>
        <w:rPr>
          <w:rFonts w:hint="eastAsia" w:ascii="宋体" w:hAnsi="宋体" w:eastAsia="宋体" w:cs="宋体"/>
          <w:bCs/>
          <w:snapToGrid w:val="0"/>
          <w:color w:val="auto"/>
          <w:spacing w:val="0"/>
          <w:kern w:val="0"/>
          <w:sz w:val="24"/>
          <w:szCs w:val="24"/>
          <w:highlight w:val="none"/>
          <w:lang w:val="en-US" w:eastAsia="zh-CN"/>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 </w:t>
      </w:r>
    </w:p>
    <w:p w14:paraId="3EA232A4">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4.18</w:t>
      </w:r>
      <w:r>
        <w:rPr>
          <w:rFonts w:hint="eastAsia" w:ascii="宋体" w:hAnsi="宋体" w:eastAsia="宋体" w:cs="宋体"/>
          <w:bCs/>
          <w:snapToGrid w:val="0"/>
          <w:color w:val="auto"/>
          <w:spacing w:val="0"/>
          <w:kern w:val="0"/>
          <w:sz w:val="24"/>
          <w:szCs w:val="24"/>
          <w:highlight w:val="none"/>
          <w:lang w:val="en-US" w:eastAsia="zh-CN"/>
        </w:rPr>
        <w:t xml:space="preserve"> 承包人中标后必须按规定及时缴交工人工资保证金、环保噪声排污费等。 </w:t>
      </w:r>
    </w:p>
    <w:p w14:paraId="232F19C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4.19</w:t>
      </w:r>
      <w:r>
        <w:rPr>
          <w:rFonts w:hint="eastAsia" w:ascii="宋体" w:hAnsi="宋体" w:eastAsia="宋体" w:cs="宋体"/>
          <w:bCs/>
          <w:snapToGrid w:val="0"/>
          <w:color w:val="auto"/>
          <w:spacing w:val="0"/>
          <w:kern w:val="0"/>
          <w:sz w:val="24"/>
          <w:szCs w:val="24"/>
          <w:highlight w:val="none"/>
          <w:lang w:val="en-US" w:eastAsia="zh-CN"/>
        </w:rPr>
        <w:t xml:space="preserve"> 工程质量保修期按《中华人民共和国建筑法》、《建设工程质量管理条例》等相关规定实施。 </w:t>
      </w:r>
    </w:p>
    <w:p w14:paraId="794DBDF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4.20</w:t>
      </w:r>
      <w:r>
        <w:rPr>
          <w:rFonts w:hint="eastAsia" w:ascii="宋体" w:hAnsi="宋体" w:eastAsia="宋体" w:cs="宋体"/>
          <w:bCs/>
          <w:snapToGrid w:val="0"/>
          <w:color w:val="auto"/>
          <w:spacing w:val="0"/>
          <w:kern w:val="0"/>
          <w:sz w:val="24"/>
          <w:szCs w:val="24"/>
          <w:highlight w:val="none"/>
          <w:lang w:val="en-US" w:eastAsia="zh-CN"/>
        </w:rPr>
        <w:t xml:space="preserve"> 如项目实施过程中发生了工程变更及工程签证，承包人需根据发包人发布的《工程变更管理办法》和《工程签证管理办法》完善工程变更签证相关程序。 </w:t>
      </w:r>
    </w:p>
    <w:p w14:paraId="0657C355">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4.21</w:t>
      </w:r>
      <w:r>
        <w:rPr>
          <w:rFonts w:hint="eastAsia" w:ascii="宋体" w:hAnsi="宋体" w:eastAsia="宋体" w:cs="宋体"/>
          <w:bCs/>
          <w:snapToGrid w:val="0"/>
          <w:color w:val="auto"/>
          <w:spacing w:val="0"/>
          <w:kern w:val="0"/>
          <w:sz w:val="24"/>
          <w:szCs w:val="24"/>
          <w:highlight w:val="none"/>
          <w:lang w:val="en-US" w:eastAsia="zh-CN"/>
        </w:rPr>
        <w:t xml:space="preserve"> 承包人需按相关规定要求，设置本工程符合相关要求的永久性标牌及规划公示牌，投标人在投标报价时综合考虑在报价内，发包人不另行支付该部分费用。 </w:t>
      </w:r>
    </w:p>
    <w:p w14:paraId="1605F613">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4.22</w:t>
      </w:r>
      <w:r>
        <w:rPr>
          <w:rFonts w:hint="eastAsia" w:ascii="宋体" w:hAnsi="宋体" w:eastAsia="宋体" w:cs="宋体"/>
          <w:bCs/>
          <w:snapToGrid w:val="0"/>
          <w:color w:val="auto"/>
          <w:spacing w:val="0"/>
          <w:kern w:val="0"/>
          <w:sz w:val="24"/>
          <w:szCs w:val="24"/>
          <w:highlight w:val="none"/>
          <w:lang w:val="en-US" w:eastAsia="zh-CN"/>
        </w:rPr>
        <w:t xml:space="preserve"> 承包人应在项目所在地住建管理部门办理诚信登记，发包人将严格按住建管理部门诚信登记管理办法对承包人履约情况进行考核。 </w:t>
      </w:r>
    </w:p>
    <w:p w14:paraId="7F42F4A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4.23</w:t>
      </w:r>
      <w:r>
        <w:rPr>
          <w:rFonts w:hint="eastAsia" w:ascii="宋体" w:hAnsi="宋体" w:eastAsia="宋体" w:cs="宋体"/>
          <w:bCs/>
          <w:snapToGrid w:val="0"/>
          <w:color w:val="auto"/>
          <w:spacing w:val="0"/>
          <w:kern w:val="0"/>
          <w:sz w:val="24"/>
          <w:szCs w:val="24"/>
          <w:highlight w:val="none"/>
          <w:lang w:val="en-US" w:eastAsia="zh-CN"/>
        </w:rPr>
        <w:t xml:space="preserve"> 承包人应按韶关市住房和城乡建设管理局、韶关市人力资源和社会保障局等职能部门对用工实名制的相关规定,落实工人及相关软硬件设施要求。</w:t>
      </w:r>
    </w:p>
    <w:p w14:paraId="6E4D0758">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w:t>
      </w:r>
      <w:r>
        <w:rPr>
          <w:rFonts w:hint="eastAsia" w:ascii="宋体" w:hAnsi="宋体" w:eastAsia="宋体" w:cs="宋体"/>
          <w:bCs/>
          <w:snapToGrid w:val="0"/>
          <w:color w:val="auto"/>
          <w:spacing w:val="0"/>
          <w:kern w:val="0"/>
          <w:sz w:val="24"/>
          <w:szCs w:val="24"/>
          <w:highlight w:val="none"/>
          <w:lang w:val="en-US" w:eastAsia="zh-CN"/>
        </w:rPr>
        <w:t xml:space="preserve"> 质量违约</w:t>
      </w:r>
    </w:p>
    <w:p w14:paraId="3501D77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4.24.1</w:t>
      </w:r>
      <w:r>
        <w:rPr>
          <w:rFonts w:hint="eastAsia" w:ascii="宋体" w:hAnsi="宋体" w:eastAsia="宋体" w:cs="宋体"/>
          <w:bCs/>
          <w:snapToGrid w:val="0"/>
          <w:color w:val="auto"/>
          <w:spacing w:val="0"/>
          <w:kern w:val="0"/>
          <w:sz w:val="24"/>
          <w:szCs w:val="24"/>
          <w:highlight w:val="none"/>
          <w:lang w:val="en-US" w:eastAsia="zh-CN"/>
        </w:rPr>
        <w:t xml:space="preserve">材料违约处理：若发现材料不符合国家标准或发包人在技术规范中规定的标准， </w:t>
      </w:r>
    </w:p>
    <w:p w14:paraId="3A33DEBF">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 xml:space="preserve">视为承包人违约，按现行《建设工程质量管理条例》处理。 </w:t>
      </w:r>
    </w:p>
    <w:p w14:paraId="172C2EA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4.24.1.1</w:t>
      </w:r>
      <w:r>
        <w:rPr>
          <w:rFonts w:hint="eastAsia" w:ascii="宋体" w:hAnsi="宋体" w:eastAsia="宋体" w:cs="宋体"/>
          <w:bCs/>
          <w:snapToGrid w:val="0"/>
          <w:color w:val="auto"/>
          <w:spacing w:val="0"/>
          <w:kern w:val="0"/>
          <w:sz w:val="24"/>
          <w:szCs w:val="24"/>
          <w:highlight w:val="none"/>
          <w:lang w:val="en-US" w:eastAsia="zh-CN"/>
        </w:rPr>
        <w:t xml:space="preserve"> 成品采购项目在采购前，承包人必须先行书面征求监理人、发包人的同意并 </w:t>
      </w:r>
    </w:p>
    <w:p w14:paraId="0FE498C6">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 xml:space="preserve">一起看样定版后方能实施。未经监理人、发包人同意擅自先行采购和实施的，否则因不符 </w:t>
      </w:r>
    </w:p>
    <w:p w14:paraId="78BCD3A2">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合设计要求返工造成的费用由承包人承担。</w:t>
      </w:r>
    </w:p>
    <w:p w14:paraId="77B7961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4.24.2</w:t>
      </w:r>
      <w:r>
        <w:rPr>
          <w:rFonts w:hint="eastAsia" w:ascii="宋体" w:hAnsi="宋体" w:eastAsia="宋体" w:cs="宋体"/>
          <w:b w:val="0"/>
          <w:bCs/>
          <w:snapToGrid w:val="0"/>
          <w:color w:val="auto"/>
          <w:spacing w:val="0"/>
          <w:kern w:val="0"/>
          <w:sz w:val="24"/>
          <w:szCs w:val="24"/>
          <w:highlight w:val="none"/>
          <w:lang w:val="en-US" w:eastAsia="zh-CN"/>
        </w:rPr>
        <w:t xml:space="preserve">工程质量违约： </w:t>
      </w:r>
    </w:p>
    <w:p w14:paraId="433283B4">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4.24.2.1</w:t>
      </w:r>
      <w:r>
        <w:rPr>
          <w:rFonts w:hint="eastAsia" w:ascii="宋体" w:hAnsi="宋体" w:eastAsia="宋体" w:cs="宋体"/>
          <w:b w:val="0"/>
          <w:bCs/>
          <w:snapToGrid w:val="0"/>
          <w:color w:val="auto"/>
          <w:spacing w:val="0"/>
          <w:kern w:val="0"/>
          <w:sz w:val="24"/>
          <w:szCs w:val="24"/>
          <w:highlight w:val="none"/>
          <w:lang w:val="en-US" w:eastAsia="zh-CN"/>
        </w:rPr>
        <w:t xml:space="preserve"> 在施工过程中经监理单位日常巡查或抽检发现未达到合格标准，责令承包人进 </w:t>
      </w:r>
    </w:p>
    <w:p w14:paraId="12C6716D">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行整改，如未按规定时间进行整改或整改不到位的，每次按 5000 元缴纳违约金给发包人，在进度款或结算款中一并扣除。 </w:t>
      </w:r>
    </w:p>
    <w:p w14:paraId="5755758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4.24.2.2</w:t>
      </w:r>
      <w:r>
        <w:rPr>
          <w:rFonts w:hint="eastAsia" w:ascii="宋体" w:hAnsi="宋体" w:eastAsia="宋体" w:cs="宋体"/>
          <w:b w:val="0"/>
          <w:bCs/>
          <w:snapToGrid w:val="0"/>
          <w:color w:val="auto"/>
          <w:spacing w:val="0"/>
          <w:kern w:val="0"/>
          <w:sz w:val="24"/>
          <w:szCs w:val="24"/>
          <w:highlight w:val="none"/>
          <w:lang w:val="en-US" w:eastAsia="zh-CN"/>
        </w:rPr>
        <w:t xml:space="preserve"> 工程质量标准须达到国家验收合格标准。如未达到合格标准，除无偿返工至合 </w:t>
      </w:r>
    </w:p>
    <w:p w14:paraId="2A82A30B">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格外，还要按合同价款的 1%向招标人支付质量违约金，工期不予顺延。 </w:t>
      </w:r>
    </w:p>
    <w:p w14:paraId="44A72C4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4.25</w:t>
      </w:r>
      <w:r>
        <w:rPr>
          <w:rFonts w:hint="eastAsia" w:ascii="宋体" w:hAnsi="宋体" w:eastAsia="宋体" w:cs="宋体"/>
          <w:b w:val="0"/>
          <w:bCs/>
          <w:snapToGrid w:val="0"/>
          <w:color w:val="auto"/>
          <w:spacing w:val="0"/>
          <w:kern w:val="0"/>
          <w:sz w:val="24"/>
          <w:szCs w:val="24"/>
          <w:highlight w:val="none"/>
          <w:lang w:val="en-US" w:eastAsia="zh-CN"/>
        </w:rPr>
        <w:t xml:space="preserve"> 重大责任事故违约 </w:t>
      </w:r>
    </w:p>
    <w:p w14:paraId="7EC71D9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4.25.1</w:t>
      </w:r>
      <w:r>
        <w:rPr>
          <w:rFonts w:hint="eastAsia" w:ascii="宋体" w:hAnsi="宋体" w:eastAsia="宋体" w:cs="宋体"/>
          <w:b w:val="0"/>
          <w:bCs/>
          <w:snapToGrid w:val="0"/>
          <w:color w:val="auto"/>
          <w:spacing w:val="0"/>
          <w:kern w:val="0"/>
          <w:sz w:val="24"/>
          <w:szCs w:val="24"/>
          <w:highlight w:val="none"/>
          <w:lang w:val="en-US" w:eastAsia="zh-CN"/>
        </w:rPr>
        <w:t xml:space="preserve"> 承包人因违反国家安全质量法规及合同有关条款约定,出现火灾、坍塌、人员重 </w:t>
      </w:r>
    </w:p>
    <w:p w14:paraId="3E6F36F7">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伤、死亡等重大责任事故,则承包人应承担全部损失,并按相关法规接受行政处罚；如造成发 </w:t>
      </w:r>
    </w:p>
    <w:p w14:paraId="105736B3">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包人及对第三人利益的损害,该等损害赔偿责任均由承包人承担。 </w:t>
      </w:r>
    </w:p>
    <w:p w14:paraId="5C6E18CD">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4.26</w:t>
      </w:r>
      <w:r>
        <w:rPr>
          <w:rFonts w:hint="eastAsia" w:ascii="宋体" w:hAnsi="宋体" w:eastAsia="宋体" w:cs="宋体"/>
          <w:b w:val="0"/>
          <w:bCs/>
          <w:snapToGrid w:val="0"/>
          <w:color w:val="auto"/>
          <w:spacing w:val="0"/>
          <w:kern w:val="0"/>
          <w:sz w:val="24"/>
          <w:szCs w:val="24"/>
          <w:highlight w:val="none"/>
          <w:lang w:val="en-US" w:eastAsia="zh-CN"/>
        </w:rPr>
        <w:t xml:space="preserve"> 用工违约 </w:t>
      </w:r>
    </w:p>
    <w:p w14:paraId="244A204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4.26.1</w:t>
      </w:r>
      <w:r>
        <w:rPr>
          <w:rFonts w:hint="eastAsia" w:ascii="宋体" w:hAnsi="宋体" w:eastAsia="宋体" w:cs="宋体"/>
          <w:b w:val="0"/>
          <w:bCs/>
          <w:snapToGrid w:val="0"/>
          <w:color w:val="auto"/>
          <w:spacing w:val="0"/>
          <w:kern w:val="0"/>
          <w:sz w:val="24"/>
          <w:szCs w:val="24"/>
          <w:highlight w:val="none"/>
          <w:lang w:val="en-US" w:eastAsia="zh-CN"/>
        </w:rPr>
        <w:t xml:space="preserve"> 在合同履行期间，如经查实承包人拖欠或克扣农民工或劳务工工资，导致劳资纠纷或发生危及公共安全或正常社会秩序的事件的，按承包人违约处理，承包人应按拖欠或克 </w:t>
      </w:r>
    </w:p>
    <w:p w14:paraId="6B19D6EE">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扣农民工工资总金额 2 倍的标准向发包人缴纳惩罚性违约金。 </w:t>
      </w:r>
    </w:p>
    <w:p w14:paraId="7980D17E">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4.27</w:t>
      </w:r>
      <w:r>
        <w:rPr>
          <w:rFonts w:hint="eastAsia" w:ascii="宋体" w:hAnsi="宋体" w:eastAsia="宋体" w:cs="宋体"/>
          <w:b w:val="0"/>
          <w:bCs/>
          <w:snapToGrid w:val="0"/>
          <w:color w:val="auto"/>
          <w:spacing w:val="0"/>
          <w:kern w:val="0"/>
          <w:sz w:val="24"/>
          <w:szCs w:val="24"/>
          <w:highlight w:val="none"/>
          <w:lang w:val="en-US" w:eastAsia="zh-CN"/>
        </w:rPr>
        <w:t xml:space="preserve"> 安全文明施工违约 </w:t>
      </w:r>
    </w:p>
    <w:p w14:paraId="58B0684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4.27.1</w:t>
      </w:r>
      <w:r>
        <w:rPr>
          <w:rFonts w:hint="eastAsia" w:ascii="宋体" w:hAnsi="宋体" w:eastAsia="宋体" w:cs="宋体"/>
          <w:b w:val="0"/>
          <w:bCs/>
          <w:snapToGrid w:val="0"/>
          <w:color w:val="auto"/>
          <w:spacing w:val="0"/>
          <w:kern w:val="0"/>
          <w:sz w:val="24"/>
          <w:szCs w:val="24"/>
          <w:highlight w:val="none"/>
          <w:lang w:val="en-US" w:eastAsia="zh-CN"/>
        </w:rPr>
        <w:t xml:space="preserve"> 如承包人违反国家、广东省、发包人及合同关于安全文明施工的规定，但尚未造 </w:t>
      </w:r>
    </w:p>
    <w:p w14:paraId="0E250BDA">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成安全责任事故，承包人应及时改正行为并赔偿相关方的损失，如未及时整改,针对每一违约 </w:t>
      </w:r>
    </w:p>
    <w:p w14:paraId="4F637481">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行为每持续一天应缴纳违约金 1000.00 元。</w:t>
      </w:r>
    </w:p>
    <w:p w14:paraId="5152D740">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27</w:t>
      </w:r>
      <w:r>
        <w:rPr>
          <w:rFonts w:hint="default" w:ascii="宋体" w:hAnsi="宋体" w:eastAsia="宋体" w:cs="宋体"/>
          <w:b/>
          <w:bCs w:val="0"/>
          <w:snapToGrid w:val="0"/>
          <w:color w:val="auto"/>
          <w:spacing w:val="0"/>
          <w:kern w:val="0"/>
          <w:sz w:val="24"/>
          <w:szCs w:val="24"/>
          <w:highlight w:val="none"/>
          <w:lang w:val="en-US" w:eastAsia="zh-CN"/>
        </w:rPr>
        <w:t>.2</w:t>
      </w:r>
      <w:r>
        <w:rPr>
          <w:rFonts w:hint="default" w:ascii="宋体" w:hAnsi="宋体" w:eastAsia="宋体" w:cs="宋体"/>
          <w:b w:val="0"/>
          <w:bCs/>
          <w:snapToGrid w:val="0"/>
          <w:color w:val="auto"/>
          <w:spacing w:val="0"/>
          <w:kern w:val="0"/>
          <w:sz w:val="24"/>
          <w:szCs w:val="24"/>
          <w:highlight w:val="none"/>
          <w:lang w:val="en-US" w:eastAsia="zh-CN"/>
        </w:rPr>
        <w:t xml:space="preserve"> 承包人必须接受发包人及监理单位组织的安全、文明施工的检查，检查中的不合 </w:t>
      </w:r>
    </w:p>
    <w:p w14:paraId="48A3EC33">
      <w:pPr>
        <w:keepNext w:val="0"/>
        <w:keepLines w:val="0"/>
        <w:pageBreakBefore w:val="0"/>
        <w:wordWrap w:val="0"/>
        <w:overflowPunct/>
        <w:topLinePunct w:val="0"/>
        <w:bidi w:val="0"/>
        <w:adjustRightInd w:val="0"/>
        <w:snapToGrid w:val="0"/>
        <w:spacing w:line="440" w:lineRule="exact"/>
        <w:ind w:firstLine="480"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val="0"/>
          <w:bCs/>
          <w:snapToGrid w:val="0"/>
          <w:color w:val="auto"/>
          <w:spacing w:val="0"/>
          <w:kern w:val="0"/>
          <w:sz w:val="24"/>
          <w:szCs w:val="24"/>
          <w:highlight w:val="none"/>
          <w:lang w:val="en-US" w:eastAsia="zh-CN"/>
        </w:rPr>
        <w:t xml:space="preserve">格项目、安全隐患必须在规定的时间内整改完成，否则每拖延一天处以 2000.00 元人民币违约金，直至整改合格。 </w:t>
      </w:r>
    </w:p>
    <w:p w14:paraId="1D39E82F">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28</w:t>
      </w:r>
      <w:r>
        <w:rPr>
          <w:rFonts w:hint="default" w:ascii="宋体" w:hAnsi="宋体" w:eastAsia="宋体" w:cs="宋体"/>
          <w:b w:val="0"/>
          <w:bCs/>
          <w:snapToGrid w:val="0"/>
          <w:color w:val="auto"/>
          <w:spacing w:val="0"/>
          <w:kern w:val="0"/>
          <w:sz w:val="24"/>
          <w:szCs w:val="24"/>
          <w:highlight w:val="none"/>
          <w:lang w:val="en-US" w:eastAsia="zh-CN"/>
        </w:rPr>
        <w:t xml:space="preserve"> 其他违约 </w:t>
      </w:r>
    </w:p>
    <w:p w14:paraId="338BE054">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28</w:t>
      </w:r>
      <w:r>
        <w:rPr>
          <w:rFonts w:hint="default" w:ascii="宋体" w:hAnsi="宋体" w:eastAsia="宋体" w:cs="宋体"/>
          <w:b/>
          <w:bCs w:val="0"/>
          <w:snapToGrid w:val="0"/>
          <w:color w:val="auto"/>
          <w:spacing w:val="0"/>
          <w:kern w:val="0"/>
          <w:sz w:val="24"/>
          <w:szCs w:val="24"/>
          <w:highlight w:val="none"/>
          <w:lang w:val="en-US" w:eastAsia="zh-CN"/>
        </w:rPr>
        <w:t>.1</w:t>
      </w:r>
      <w:r>
        <w:rPr>
          <w:rFonts w:hint="default" w:ascii="宋体" w:hAnsi="宋体" w:eastAsia="宋体" w:cs="宋体"/>
          <w:b w:val="0"/>
          <w:bCs/>
          <w:snapToGrid w:val="0"/>
          <w:color w:val="auto"/>
          <w:spacing w:val="0"/>
          <w:kern w:val="0"/>
          <w:sz w:val="24"/>
          <w:szCs w:val="24"/>
          <w:highlight w:val="none"/>
          <w:lang w:val="en-US" w:eastAsia="zh-CN"/>
        </w:rPr>
        <w:t xml:space="preserve"> 承包人安排在施工场地的主要管理人员（主要指项目经理、项目技术负责人和专 </w:t>
      </w:r>
    </w:p>
    <w:p w14:paraId="3987CEFB">
      <w:pPr>
        <w:keepNext w:val="0"/>
        <w:keepLines w:val="0"/>
        <w:pageBreakBefore w:val="0"/>
        <w:wordWrap w:val="0"/>
        <w:overflowPunct/>
        <w:topLinePunct w:val="0"/>
        <w:bidi w:val="0"/>
        <w:adjustRightInd w:val="0"/>
        <w:snapToGrid w:val="0"/>
        <w:spacing w:line="440" w:lineRule="exact"/>
        <w:ind w:firstLine="480"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val="0"/>
          <w:bCs/>
          <w:snapToGrid w:val="0"/>
          <w:color w:val="auto"/>
          <w:spacing w:val="0"/>
          <w:kern w:val="0"/>
          <w:sz w:val="24"/>
          <w:szCs w:val="24"/>
          <w:highlight w:val="none"/>
          <w:lang w:val="en-US" w:eastAsia="zh-CN"/>
        </w:rPr>
        <w:t>职安全生产管理人员）应与承包人投标文件承诺的名单一致，并保持相对稳定。未经总监理工程师批准，上述人员不应无故不到位或被替换。若确实无法到位或需替换，需经总监理工</w:t>
      </w:r>
    </w:p>
    <w:p w14:paraId="7093E00C">
      <w:pPr>
        <w:keepNext w:val="0"/>
        <w:keepLines w:val="0"/>
        <w:pageBreakBefore w:val="0"/>
        <w:wordWrap w:val="0"/>
        <w:overflowPunct/>
        <w:topLinePunct w:val="0"/>
        <w:bidi w:val="0"/>
        <w:adjustRightInd w:val="0"/>
        <w:snapToGrid w:val="0"/>
        <w:spacing w:line="440" w:lineRule="exact"/>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val="0"/>
          <w:bCs/>
          <w:snapToGrid w:val="0"/>
          <w:color w:val="auto"/>
          <w:spacing w:val="0"/>
          <w:kern w:val="0"/>
          <w:sz w:val="24"/>
          <w:szCs w:val="24"/>
          <w:highlight w:val="none"/>
          <w:lang w:val="en-US" w:eastAsia="zh-CN"/>
        </w:rPr>
        <w:t xml:space="preserve">程师审核并报发包人批准后，承包人可安排同等资历的人员替换。 </w:t>
      </w:r>
    </w:p>
    <w:p w14:paraId="06E8294D">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28</w:t>
      </w:r>
      <w:r>
        <w:rPr>
          <w:rFonts w:hint="default" w:ascii="宋体" w:hAnsi="宋体" w:eastAsia="宋体" w:cs="宋体"/>
          <w:b/>
          <w:bCs w:val="0"/>
          <w:snapToGrid w:val="0"/>
          <w:color w:val="auto"/>
          <w:spacing w:val="0"/>
          <w:kern w:val="0"/>
          <w:sz w:val="24"/>
          <w:szCs w:val="24"/>
          <w:highlight w:val="none"/>
          <w:lang w:val="en-US" w:eastAsia="zh-CN"/>
        </w:rPr>
        <w:t>.2</w:t>
      </w:r>
      <w:r>
        <w:rPr>
          <w:rFonts w:hint="default" w:ascii="宋体" w:hAnsi="宋体" w:eastAsia="宋体" w:cs="宋体"/>
          <w:b w:val="0"/>
          <w:bCs/>
          <w:snapToGrid w:val="0"/>
          <w:color w:val="auto"/>
          <w:spacing w:val="0"/>
          <w:kern w:val="0"/>
          <w:sz w:val="24"/>
          <w:szCs w:val="24"/>
          <w:highlight w:val="none"/>
          <w:lang w:val="en-US" w:eastAsia="zh-CN"/>
        </w:rPr>
        <w:t xml:space="preserve"> 中标人施工资料必须与形象进度同步。 </w:t>
      </w:r>
    </w:p>
    <w:p w14:paraId="0E435855">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28</w:t>
      </w:r>
      <w:r>
        <w:rPr>
          <w:rFonts w:hint="default" w:ascii="宋体" w:hAnsi="宋体" w:eastAsia="宋体" w:cs="宋体"/>
          <w:b/>
          <w:bCs w:val="0"/>
          <w:snapToGrid w:val="0"/>
          <w:color w:val="auto"/>
          <w:spacing w:val="0"/>
          <w:kern w:val="0"/>
          <w:sz w:val="24"/>
          <w:szCs w:val="24"/>
          <w:highlight w:val="none"/>
          <w:lang w:val="en-US" w:eastAsia="zh-CN"/>
        </w:rPr>
        <w:t>.3</w:t>
      </w:r>
      <w:r>
        <w:rPr>
          <w:rFonts w:hint="default" w:ascii="宋体" w:hAnsi="宋体" w:eastAsia="宋体" w:cs="宋体"/>
          <w:b w:val="0"/>
          <w:bCs/>
          <w:snapToGrid w:val="0"/>
          <w:color w:val="auto"/>
          <w:spacing w:val="0"/>
          <w:kern w:val="0"/>
          <w:sz w:val="24"/>
          <w:szCs w:val="24"/>
          <w:highlight w:val="none"/>
          <w:lang w:val="en-US" w:eastAsia="zh-CN"/>
        </w:rPr>
        <w:t xml:space="preserve"> 承包人没有正当合理的理由中途退场，可扣除承包人已递交的所有履约风险保证 </w:t>
      </w:r>
    </w:p>
    <w:p w14:paraId="7B1DB3D2">
      <w:pPr>
        <w:keepNext w:val="0"/>
        <w:keepLines w:val="0"/>
        <w:pageBreakBefore w:val="0"/>
        <w:wordWrap w:val="0"/>
        <w:overflowPunct/>
        <w:topLinePunct w:val="0"/>
        <w:bidi w:val="0"/>
        <w:adjustRightInd w:val="0"/>
        <w:snapToGrid w:val="0"/>
        <w:spacing w:line="440" w:lineRule="exact"/>
        <w:rPr>
          <w:rFonts w:hint="default" w:ascii="宋体" w:hAnsi="宋体" w:eastAsia="宋体" w:cs="宋体"/>
          <w:bCs/>
          <w:snapToGrid w:val="0"/>
          <w:color w:val="auto"/>
          <w:spacing w:val="0"/>
          <w:kern w:val="0"/>
          <w:sz w:val="24"/>
          <w:szCs w:val="24"/>
          <w:highlight w:val="none"/>
          <w:lang w:val="en-US" w:eastAsia="zh-CN" w:bidi="ar-SA"/>
        </w:rPr>
      </w:pPr>
      <w:r>
        <w:rPr>
          <w:rFonts w:hint="default" w:ascii="宋体" w:hAnsi="宋体" w:eastAsia="宋体" w:cs="宋体"/>
          <w:b w:val="0"/>
          <w:bCs/>
          <w:snapToGrid w:val="0"/>
          <w:color w:val="auto"/>
          <w:spacing w:val="0"/>
          <w:kern w:val="0"/>
          <w:sz w:val="24"/>
          <w:szCs w:val="24"/>
          <w:highlight w:val="none"/>
          <w:lang w:val="en-US" w:eastAsia="zh-CN"/>
        </w:rPr>
        <w:t>金。承包人因上述违约行为而须缴纳的违约金在工程进度款中或结算时一并扣除。</w:t>
      </w:r>
    </w:p>
    <w:p w14:paraId="22A28A7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bCs w:val="0"/>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5.其他合同条款由招标人与中标人自行协商约定</w:t>
      </w:r>
    </w:p>
    <w:p w14:paraId="76E3D22A">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592C9070">
      <w:pPr>
        <w:keepNext w:val="0"/>
        <w:keepLines w:val="0"/>
        <w:pageBreakBefore w:val="0"/>
        <w:wordWrap w:val="0"/>
        <w:overflowPunct/>
        <w:topLinePunct w:val="0"/>
        <w:bidi w:val="0"/>
        <w:spacing w:before="78" w:line="219" w:lineRule="auto"/>
        <w:ind w:left="3273"/>
        <w:outlineLvl w:val="0"/>
        <w:rPr>
          <w:rFonts w:hint="eastAsia" w:ascii="宋体" w:hAnsi="宋体" w:eastAsia="宋体" w:cs="宋体"/>
          <w:color w:val="auto"/>
          <w:spacing w:val="0"/>
          <w:highlight w:val="none"/>
        </w:rPr>
      </w:pPr>
      <w:bookmarkStart w:id="164" w:name="_Toc27258"/>
      <w:r>
        <w:rPr>
          <w:rFonts w:hint="eastAsia" w:ascii="宋体" w:hAnsi="宋体" w:eastAsia="宋体" w:cs="宋体"/>
          <w:b/>
          <w:bCs/>
          <w:color w:val="auto"/>
          <w:spacing w:val="0"/>
          <w:sz w:val="24"/>
          <w:szCs w:val="24"/>
          <w:highlight w:val="none"/>
        </w:rPr>
        <w:t>第四章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技术要求</w:t>
      </w:r>
      <w:bookmarkEnd w:id="164"/>
    </w:p>
    <w:p w14:paraId="3E6A87FB">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39F1228B">
      <w:pPr>
        <w:keepNext w:val="0"/>
        <w:keepLines w:val="0"/>
        <w:pageBreakBefore w:val="0"/>
        <w:wordWrap w:val="0"/>
        <w:overflowPunct/>
        <w:topLinePunct w:val="0"/>
        <w:bidi w:val="0"/>
        <w:spacing w:before="78" w:line="221" w:lineRule="auto"/>
        <w:ind w:left="125"/>
        <w:outlineLvl w:val="2"/>
        <w:rPr>
          <w:rFonts w:hint="eastAsia" w:ascii="宋体" w:hAnsi="宋体" w:eastAsia="宋体" w:cs="宋体"/>
          <w:color w:val="auto"/>
          <w:spacing w:val="0"/>
          <w:sz w:val="24"/>
          <w:szCs w:val="24"/>
          <w:highlight w:val="none"/>
        </w:rPr>
      </w:pPr>
      <w:bookmarkStart w:id="165" w:name="_Toc10155"/>
      <w:bookmarkStart w:id="166" w:name="_Toc5508"/>
      <w:r>
        <w:rPr>
          <w:rFonts w:hint="eastAsia" w:ascii="宋体" w:hAnsi="宋体" w:eastAsia="宋体" w:cs="宋体"/>
          <w:b/>
          <w:bCs/>
          <w:color w:val="auto"/>
          <w:spacing w:val="0"/>
          <w:sz w:val="24"/>
          <w:szCs w:val="24"/>
          <w:highlight w:val="none"/>
        </w:rPr>
        <w:t>1 ．房屋建筑工程建设项目</w:t>
      </w:r>
      <w:bookmarkEnd w:id="165"/>
      <w:bookmarkEnd w:id="166"/>
    </w:p>
    <w:p w14:paraId="0CE4FE26">
      <w:pPr>
        <w:keepNext w:val="0"/>
        <w:keepLines w:val="0"/>
        <w:pageBreakBefore w:val="0"/>
        <w:wordWrap w:val="0"/>
        <w:overflowPunct/>
        <w:topLinePunct w:val="0"/>
        <w:bidi w:val="0"/>
        <w:spacing w:before="152" w:line="220"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房屋建筑工程建设项目必须执行的现行技术规范，包括且不限于：</w:t>
      </w:r>
    </w:p>
    <w:p w14:paraId="2E913A2A">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（1）《建筑工程施工质量验收统一标准》；</w:t>
      </w:r>
    </w:p>
    <w:p w14:paraId="21289F3F">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（2）《建筑地基基础工程施工质量验收规范》；</w:t>
      </w:r>
    </w:p>
    <w:p w14:paraId="21379855">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（3）《砌体工程施工质量验收规范》；</w:t>
      </w:r>
    </w:p>
    <w:p w14:paraId="191C91D8">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（4）《混凝土结构工程施工质量验收规范》；</w:t>
      </w:r>
    </w:p>
    <w:p w14:paraId="3087379D">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（5）《屋面工程质量验收规范》；</w:t>
      </w:r>
    </w:p>
    <w:p w14:paraId="3B431104">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（6）《地下防水工程质量验收规范》；</w:t>
      </w:r>
    </w:p>
    <w:p w14:paraId="47AE272D">
      <w:pPr>
        <w:keepNext w:val="0"/>
        <w:keepLines w:val="0"/>
        <w:pageBreakBefore w:val="0"/>
        <w:wordWrap w:val="0"/>
        <w:overflowPunct/>
        <w:topLinePunct w:val="0"/>
        <w:bidi w:val="0"/>
        <w:spacing w:before="156"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（7）《建筑地面工程施工质量验收规范》；</w:t>
      </w:r>
    </w:p>
    <w:p w14:paraId="76A79CB0">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（8）《建筑装饰装修工程施工质量验收规范》；</w:t>
      </w:r>
    </w:p>
    <w:p w14:paraId="7E836C74">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（9）《建筑给排水及采暖工程施工质量验收规范》；</w:t>
      </w:r>
    </w:p>
    <w:p w14:paraId="27101421">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（10）《建筑电气工程施工质量验收规范》；</w:t>
      </w:r>
    </w:p>
    <w:p w14:paraId="64136A99">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（11）《住建部绿色建筑评价标准》；</w:t>
      </w:r>
    </w:p>
    <w:p w14:paraId="394AE18E">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（12）《建筑节能与可再生能源利用通用规范》（GB55015-2021）；</w:t>
      </w:r>
    </w:p>
    <w:p w14:paraId="5F96829D">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（13）《建筑环境通用规范》；</w:t>
      </w:r>
    </w:p>
    <w:p w14:paraId="0198E858">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67" w:name="_Toc16294"/>
      <w:bookmarkStart w:id="168" w:name="_Toc12084"/>
      <w:r>
        <w:rPr>
          <w:rFonts w:hint="eastAsia" w:ascii="宋体" w:hAnsi="宋体" w:eastAsia="宋体" w:cs="宋体"/>
          <w:color w:val="auto"/>
          <w:spacing w:val="0"/>
          <w:sz w:val="24"/>
          <w:szCs w:val="24"/>
          <w:highlight w:val="none"/>
        </w:rPr>
        <w:t>（14）《建筑与市政工程无障碍通用规范》 GB 55019-2021；</w:t>
      </w:r>
      <w:bookmarkEnd w:id="167"/>
      <w:bookmarkEnd w:id="168"/>
    </w:p>
    <w:p w14:paraId="208415E7">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69" w:name="_Toc1177"/>
      <w:bookmarkStart w:id="170" w:name="_Toc15158"/>
      <w:r>
        <w:rPr>
          <w:rFonts w:hint="eastAsia" w:ascii="宋体" w:hAnsi="宋体" w:eastAsia="宋体" w:cs="宋体"/>
          <w:color w:val="auto"/>
          <w:spacing w:val="0"/>
          <w:sz w:val="24"/>
          <w:szCs w:val="24"/>
          <w:highlight w:val="none"/>
        </w:rPr>
        <w:t>（15）《建筑防火通用规范》GB 55037-2022;</w:t>
      </w:r>
      <w:bookmarkEnd w:id="169"/>
      <w:bookmarkEnd w:id="170"/>
    </w:p>
    <w:p w14:paraId="3CAEBDB1">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71" w:name="_Toc2461"/>
      <w:bookmarkStart w:id="172" w:name="_Toc24233"/>
      <w:r>
        <w:rPr>
          <w:rFonts w:hint="eastAsia" w:ascii="宋体" w:hAnsi="宋体" w:eastAsia="宋体" w:cs="宋体"/>
          <w:color w:val="auto"/>
          <w:spacing w:val="0"/>
          <w:sz w:val="24"/>
          <w:szCs w:val="24"/>
          <w:highlight w:val="none"/>
        </w:rPr>
        <w:t>（16）《建筑与市政工程抗震通用规范》GB55002-2001;</w:t>
      </w:r>
      <w:bookmarkEnd w:id="171"/>
      <w:bookmarkEnd w:id="172"/>
    </w:p>
    <w:p w14:paraId="685DD796">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73" w:name="_Toc8109"/>
      <w:bookmarkStart w:id="174" w:name="_Toc5777"/>
      <w:r>
        <w:rPr>
          <w:rFonts w:hint="eastAsia" w:ascii="宋体" w:hAnsi="宋体" w:eastAsia="宋体" w:cs="宋体"/>
          <w:color w:val="auto"/>
          <w:spacing w:val="0"/>
          <w:sz w:val="24"/>
          <w:szCs w:val="24"/>
          <w:highlight w:val="none"/>
        </w:rPr>
        <w:t>（17）《建筑与市政地基基础通用规范》GB55003-2001;</w:t>
      </w:r>
      <w:bookmarkEnd w:id="173"/>
      <w:bookmarkEnd w:id="174"/>
    </w:p>
    <w:p w14:paraId="00DBFC09">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（18）《广东省住房和城乡建设厅绿色施工导则》；</w:t>
      </w:r>
    </w:p>
    <w:p w14:paraId="5D7737AC">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（19）《广东省建筑工程绿色施工评价标准》；</w:t>
      </w:r>
    </w:p>
    <w:p w14:paraId="5CD8C62F">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（20）《广东省建筑节能与绿色建筑工程施工质量验收规范》</w:t>
      </w:r>
    </w:p>
    <w:p w14:paraId="067E85AF">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（21）其他现行国家、广东省关于房建工程的施工及验收规范、定额、规程、标准。</w:t>
      </w:r>
    </w:p>
    <w:p w14:paraId="36B34C1F">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75E00F81">
      <w:pPr>
        <w:keepNext w:val="0"/>
        <w:keepLines w:val="0"/>
        <w:pageBreakBefore w:val="0"/>
        <w:wordWrap w:val="0"/>
        <w:overflowPunct/>
        <w:topLinePunct w:val="0"/>
        <w:bidi w:val="0"/>
        <w:spacing w:before="78" w:line="220" w:lineRule="auto"/>
        <w:ind w:left="115"/>
        <w:outlineLvl w:val="2"/>
        <w:rPr>
          <w:rFonts w:hint="eastAsia" w:ascii="宋体" w:hAnsi="宋体" w:eastAsia="宋体" w:cs="宋体"/>
          <w:color w:val="auto"/>
          <w:spacing w:val="0"/>
          <w:sz w:val="24"/>
          <w:szCs w:val="24"/>
          <w:highlight w:val="none"/>
        </w:rPr>
      </w:pPr>
      <w:bookmarkStart w:id="175" w:name="_Toc16055"/>
      <w:bookmarkStart w:id="176" w:name="_Toc15652"/>
      <w:r>
        <w:rPr>
          <w:rFonts w:hint="eastAsia" w:ascii="宋体" w:hAnsi="宋体" w:eastAsia="宋体" w:cs="宋体"/>
          <w:b/>
          <w:bCs/>
          <w:color w:val="auto"/>
          <w:spacing w:val="0"/>
          <w:sz w:val="24"/>
          <w:szCs w:val="24"/>
          <w:highlight w:val="none"/>
        </w:rPr>
        <w:t>2 ．市政基础设施工程建设项目</w:t>
      </w:r>
      <w:bookmarkEnd w:id="175"/>
      <w:bookmarkEnd w:id="176"/>
    </w:p>
    <w:p w14:paraId="1DE67B68">
      <w:pPr>
        <w:keepNext w:val="0"/>
        <w:keepLines w:val="0"/>
        <w:pageBreakBefore w:val="0"/>
        <w:wordWrap w:val="0"/>
        <w:overflowPunct/>
        <w:topLinePunct w:val="0"/>
        <w:bidi w:val="0"/>
        <w:spacing w:before="154" w:line="220" w:lineRule="auto"/>
        <w:ind w:left="1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市政基础设施工程建设项目必须执行的现行技术规范，包括且不限于：</w:t>
      </w:r>
    </w:p>
    <w:p w14:paraId="7EF67537">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（1）《公路路基施工技术规范》；</w:t>
      </w:r>
    </w:p>
    <w:p w14:paraId="0FD09BDA">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（2）《市政道路工程质量检验评定标准》；</w:t>
      </w:r>
    </w:p>
    <w:p w14:paraId="5E4C6C0A">
      <w:pPr>
        <w:keepNext w:val="0"/>
        <w:keepLines w:val="0"/>
        <w:pageBreakBefore w:val="0"/>
        <w:wordWrap w:val="0"/>
        <w:overflowPunct/>
        <w:topLinePunct w:val="0"/>
        <w:bidi w:val="0"/>
        <w:spacing w:before="154"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（3）《市政排水管渠工程质量检验评定标准》；</w:t>
      </w:r>
    </w:p>
    <w:p w14:paraId="5FFAA5AA">
      <w:pPr>
        <w:keepNext w:val="0"/>
        <w:keepLines w:val="0"/>
        <w:pageBreakBefore w:val="0"/>
        <w:widowControl w:val="0"/>
        <w:kinsoku w:val="0"/>
        <w:wordWrap w:val="0"/>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（4）《给水排水管道工程施工及验收规范》；</w:t>
      </w:r>
    </w:p>
    <w:p w14:paraId="5C80DC30">
      <w:pPr>
        <w:keepNext w:val="0"/>
        <w:keepLines w:val="0"/>
        <w:pageBreakBefore w:val="0"/>
        <w:widowControl w:val="0"/>
        <w:kinsoku w:val="0"/>
        <w:wordWrap w:val="0"/>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（5）《城市道路路基工程施工及验收规范》；</w:t>
      </w:r>
    </w:p>
    <w:p w14:paraId="3DE05869">
      <w:pPr>
        <w:keepNext w:val="0"/>
        <w:keepLines w:val="0"/>
        <w:pageBreakBefore w:val="0"/>
        <w:widowControl w:val="0"/>
        <w:kinsoku w:val="0"/>
        <w:wordWrap w:val="0"/>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（6）《水泥砼路面施工及验收规范》；</w:t>
      </w:r>
    </w:p>
    <w:p w14:paraId="2D0FA851">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（7）《公路水泥砼路面施工技术规范》；</w:t>
      </w:r>
    </w:p>
    <w:p w14:paraId="3DDEEDA6">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（8）《埋地硬聚氯乙烯排水管道工程技术规程》；</w:t>
      </w:r>
    </w:p>
    <w:p w14:paraId="0C40551B">
      <w:pPr>
        <w:keepNext w:val="0"/>
        <w:keepLines w:val="0"/>
        <w:pageBreakBefore w:val="0"/>
        <w:widowControl w:val="0"/>
        <w:kinsoku w:val="0"/>
        <w:wordWrap w:val="0"/>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（9）《沥青路面施工及验收规范》；</w:t>
      </w:r>
    </w:p>
    <w:p w14:paraId="051F222E">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（10）《广东省市政工程施工质量技术资料统一用表》。</w:t>
      </w:r>
    </w:p>
    <w:p w14:paraId="71A0E2DE">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77" w:name="_Toc8494"/>
      <w:bookmarkStart w:id="178" w:name="_Toc30781"/>
      <w:r>
        <w:rPr>
          <w:rFonts w:hint="eastAsia" w:ascii="宋体" w:hAnsi="宋体" w:eastAsia="宋体" w:cs="宋体"/>
          <w:color w:val="auto"/>
          <w:spacing w:val="0"/>
          <w:sz w:val="24"/>
          <w:szCs w:val="24"/>
          <w:highlight w:val="none"/>
        </w:rPr>
        <w:t>（11）《建筑与市政工程无障碍通用规范》 GB 55019-2021；</w:t>
      </w:r>
      <w:bookmarkEnd w:id="177"/>
      <w:bookmarkEnd w:id="178"/>
    </w:p>
    <w:p w14:paraId="0BB30486">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79" w:name="_Toc17383"/>
      <w:bookmarkStart w:id="180" w:name="_Toc31143"/>
      <w:r>
        <w:rPr>
          <w:rFonts w:hint="eastAsia" w:ascii="宋体" w:hAnsi="宋体" w:eastAsia="宋体" w:cs="宋体"/>
          <w:color w:val="auto"/>
          <w:spacing w:val="0"/>
          <w:sz w:val="24"/>
          <w:szCs w:val="24"/>
          <w:highlight w:val="none"/>
        </w:rPr>
        <w:t>（12）《建筑防火通用规范》GB 55037-2022;</w:t>
      </w:r>
      <w:bookmarkEnd w:id="179"/>
      <w:bookmarkEnd w:id="180"/>
    </w:p>
    <w:p w14:paraId="3167F8CD">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81" w:name="_Toc954"/>
      <w:bookmarkStart w:id="182" w:name="_Toc32476"/>
      <w:r>
        <w:rPr>
          <w:rFonts w:hint="eastAsia" w:ascii="宋体" w:hAnsi="宋体" w:eastAsia="宋体" w:cs="宋体"/>
          <w:color w:val="auto"/>
          <w:spacing w:val="0"/>
          <w:sz w:val="24"/>
          <w:szCs w:val="24"/>
          <w:highlight w:val="none"/>
        </w:rPr>
        <w:t>（13）《建筑与市政工程抗震通用规范》GB55002-2001;</w:t>
      </w:r>
      <w:bookmarkEnd w:id="181"/>
      <w:bookmarkEnd w:id="182"/>
    </w:p>
    <w:p w14:paraId="7E7E1132">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83" w:name="_Toc27898"/>
      <w:bookmarkStart w:id="184" w:name="_Toc7185"/>
      <w:r>
        <w:rPr>
          <w:rFonts w:hint="eastAsia" w:ascii="宋体" w:hAnsi="宋体" w:eastAsia="宋体" w:cs="宋体"/>
          <w:color w:val="auto"/>
          <w:spacing w:val="0"/>
          <w:sz w:val="24"/>
          <w:szCs w:val="24"/>
          <w:highlight w:val="none"/>
        </w:rPr>
        <w:t>（14）《建筑与市政地基基础通用规范》GB55003-2001;</w:t>
      </w:r>
      <w:bookmarkEnd w:id="183"/>
      <w:bookmarkEnd w:id="184"/>
    </w:p>
    <w:p w14:paraId="598E0BAE">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85" w:name="_Toc29669"/>
      <w:bookmarkStart w:id="186" w:name="_Toc17281"/>
      <w:r>
        <w:rPr>
          <w:rFonts w:hint="eastAsia" w:ascii="宋体" w:hAnsi="宋体" w:eastAsia="宋体" w:cs="宋体"/>
          <w:color w:val="auto"/>
          <w:spacing w:val="0"/>
          <w:sz w:val="24"/>
          <w:szCs w:val="24"/>
          <w:highlight w:val="none"/>
        </w:rPr>
        <w:t>（15）《城市道路照明设计标准》（CJJ45-2015）；</w:t>
      </w:r>
      <w:bookmarkEnd w:id="185"/>
      <w:bookmarkEnd w:id="186"/>
    </w:p>
    <w:p w14:paraId="17AD9E79">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87" w:name="_Toc31812"/>
      <w:bookmarkStart w:id="188" w:name="_Toc9161"/>
      <w:r>
        <w:rPr>
          <w:rFonts w:hint="eastAsia" w:ascii="宋体" w:hAnsi="宋体" w:eastAsia="宋体" w:cs="宋体"/>
          <w:color w:val="auto"/>
          <w:spacing w:val="0"/>
          <w:sz w:val="24"/>
          <w:szCs w:val="24"/>
          <w:highlight w:val="none"/>
        </w:rPr>
        <w:t>（16）《低压配电设计规范》（GB50054-2011）；</w:t>
      </w:r>
      <w:bookmarkEnd w:id="187"/>
      <w:bookmarkEnd w:id="188"/>
    </w:p>
    <w:p w14:paraId="39AD9BAB">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89" w:name="_Toc6405"/>
      <w:bookmarkStart w:id="190" w:name="_Toc18255"/>
      <w:r>
        <w:rPr>
          <w:rFonts w:hint="eastAsia" w:ascii="宋体" w:hAnsi="宋体" w:eastAsia="宋体" w:cs="宋体"/>
          <w:color w:val="auto"/>
          <w:spacing w:val="0"/>
          <w:sz w:val="24"/>
          <w:szCs w:val="24"/>
          <w:highlight w:val="none"/>
        </w:rPr>
        <w:t>（17）《城市道路照明工程施工及验收规程》（CJJ89-2012）；</w:t>
      </w:r>
      <w:bookmarkEnd w:id="189"/>
      <w:bookmarkEnd w:id="190"/>
    </w:p>
    <w:p w14:paraId="5C08A858">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（18）《LED 道路照明工程技术规范》（DB44/T 1898-2016）；</w:t>
      </w:r>
    </w:p>
    <w:p w14:paraId="2E0247A6">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（19）《灯具第 1 部分：一般要求与试验》（GB7000.1-2015）；</w:t>
      </w:r>
    </w:p>
    <w:p w14:paraId="304A14BA">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（20）《电缆工程电缆设计标准》（GB50217-2018）；</w:t>
      </w:r>
    </w:p>
    <w:p w14:paraId="2781CAEA">
      <w:pPr>
        <w:keepNext w:val="0"/>
        <w:keepLines w:val="0"/>
        <w:pageBreakBefore w:val="0"/>
        <w:widowControl w:val="0"/>
        <w:kinsoku w:val="0"/>
        <w:wordWrap w:val="0"/>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（21）其他现行国家、广东省关于市政工程的技术及验收规范、定额、规程、标准。</w:t>
      </w:r>
    </w:p>
    <w:p w14:paraId="4A2CCAE5">
      <w:pPr>
        <w:pStyle w:val="6"/>
        <w:keepNext w:val="0"/>
        <w:keepLines w:val="0"/>
        <w:pageBreakBefore w:val="0"/>
        <w:widowControl w:val="0"/>
        <w:kinsoku w:val="0"/>
        <w:wordWrap w:val="0"/>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spacing w:val="0"/>
          <w:highlight w:val="none"/>
        </w:rPr>
      </w:pPr>
    </w:p>
    <w:p w14:paraId="4C853389">
      <w:pPr>
        <w:pStyle w:val="6"/>
        <w:keepNext w:val="0"/>
        <w:keepLines w:val="0"/>
        <w:pageBreakBefore w:val="0"/>
        <w:widowControl w:val="0"/>
        <w:kinsoku w:val="0"/>
        <w:wordWrap w:val="0"/>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spacing w:val="0"/>
          <w:highlight w:val="none"/>
        </w:rPr>
      </w:pPr>
    </w:p>
    <w:p w14:paraId="75A42B65">
      <w:pPr>
        <w:keepNext w:val="0"/>
        <w:keepLines w:val="0"/>
        <w:pageBreakBefore w:val="0"/>
        <w:widowControl w:val="0"/>
        <w:kinsoku w:val="0"/>
        <w:wordWrap w:val="0"/>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pacing w:val="0"/>
          <w:sz w:val="24"/>
          <w:szCs w:val="24"/>
          <w:highlight w:val="none"/>
        </w:rPr>
      </w:pPr>
      <w:bookmarkStart w:id="191" w:name="_Toc9200"/>
      <w:bookmarkStart w:id="192" w:name="_Toc29206"/>
      <w:r>
        <w:rPr>
          <w:rFonts w:hint="eastAsia" w:ascii="宋体" w:hAnsi="宋体" w:eastAsia="宋体" w:cs="宋体"/>
          <w:b/>
          <w:bCs/>
          <w:color w:val="auto"/>
          <w:spacing w:val="0"/>
          <w:sz w:val="24"/>
          <w:szCs w:val="24"/>
          <w:highlight w:val="none"/>
        </w:rPr>
        <w:t>3 ．备查要求</w:t>
      </w:r>
      <w:bookmarkEnd w:id="191"/>
      <w:bookmarkEnd w:id="192"/>
    </w:p>
    <w:p w14:paraId="0334C0EA">
      <w:pPr>
        <w:keepNext w:val="0"/>
        <w:keepLines w:val="0"/>
        <w:pageBreakBefore w:val="0"/>
        <w:widowControl w:val="0"/>
        <w:kinsoku w:val="0"/>
        <w:wordWrap w:val="0"/>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spacing w:val="0"/>
          <w:highlight w:val="none"/>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0"/>
          <w:sz w:val="24"/>
          <w:szCs w:val="24"/>
          <w:highlight w:val="none"/>
        </w:rPr>
        <w:t>承包人必须在施工现场准备至少一套上述规范，发包人和监理单位可随时检查承 包人的上述规范，并监督承包人按规范要求执行。</w:t>
      </w:r>
    </w:p>
    <w:p w14:paraId="4E917614">
      <w:pPr>
        <w:keepNext w:val="0"/>
        <w:keepLines w:val="0"/>
        <w:pageBreakBefore w:val="0"/>
        <w:wordWrap w:val="0"/>
        <w:overflowPunct/>
        <w:topLinePunct w:val="0"/>
        <w:bidi w:val="0"/>
        <w:spacing w:before="78" w:line="219" w:lineRule="auto"/>
        <w:jc w:val="center"/>
        <w:outlineLvl w:val="0"/>
        <w:rPr>
          <w:rFonts w:hint="eastAsia" w:ascii="宋体" w:hAnsi="宋体" w:eastAsia="宋体" w:cs="宋体"/>
          <w:color w:val="auto"/>
          <w:spacing w:val="0"/>
          <w:sz w:val="24"/>
          <w:szCs w:val="24"/>
          <w:highlight w:val="none"/>
        </w:rPr>
      </w:pPr>
      <w:bookmarkStart w:id="193" w:name="bookmark146"/>
      <w:bookmarkEnd w:id="193"/>
      <w:bookmarkStart w:id="194" w:name="bookmark100"/>
      <w:bookmarkEnd w:id="194"/>
      <w:bookmarkStart w:id="195" w:name="_Toc321"/>
      <w:r>
        <w:rPr>
          <w:rFonts w:hint="eastAsia" w:ascii="宋体" w:hAnsi="宋体" w:eastAsia="宋体" w:cs="宋体"/>
          <w:b/>
          <w:bCs/>
          <w:color w:val="auto"/>
          <w:spacing w:val="0"/>
          <w:sz w:val="24"/>
          <w:szCs w:val="24"/>
          <w:highlight w:val="none"/>
        </w:rPr>
        <w:t>第五章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图纸和招标工程量清单</w:t>
      </w:r>
      <w:bookmarkEnd w:id="195"/>
    </w:p>
    <w:p w14:paraId="5FC74284">
      <w:pPr>
        <w:pStyle w:val="6"/>
        <w:keepNext w:val="0"/>
        <w:keepLines w:val="0"/>
        <w:pageBreakBefore w:val="0"/>
        <w:wordWrap w:val="0"/>
        <w:overflowPunct/>
        <w:topLinePunct w:val="0"/>
        <w:bidi w:val="0"/>
        <w:spacing w:line="283" w:lineRule="auto"/>
        <w:rPr>
          <w:rFonts w:hint="eastAsia" w:ascii="宋体" w:hAnsi="宋体" w:eastAsia="宋体" w:cs="宋体"/>
          <w:color w:val="auto"/>
          <w:spacing w:val="0"/>
          <w:highlight w:val="none"/>
        </w:rPr>
      </w:pPr>
    </w:p>
    <w:p w14:paraId="4531523B">
      <w:pPr>
        <w:pStyle w:val="6"/>
        <w:keepNext w:val="0"/>
        <w:keepLines w:val="0"/>
        <w:pageBreakBefore w:val="0"/>
        <w:wordWrap w:val="0"/>
        <w:overflowPunct/>
        <w:topLinePunct w:val="0"/>
        <w:bidi w:val="0"/>
        <w:spacing w:line="284" w:lineRule="auto"/>
        <w:rPr>
          <w:rFonts w:hint="eastAsia" w:ascii="宋体" w:hAnsi="宋体" w:eastAsia="宋体" w:cs="宋体"/>
          <w:color w:val="auto"/>
          <w:spacing w:val="0"/>
          <w:highlight w:val="none"/>
        </w:rPr>
      </w:pPr>
    </w:p>
    <w:p w14:paraId="57E54AE6">
      <w:pPr>
        <w:keepNext w:val="0"/>
        <w:keepLines w:val="0"/>
        <w:pageBreakBefore w:val="0"/>
        <w:wordWrap w:val="0"/>
        <w:overflowPunct/>
        <w:topLinePunct w:val="0"/>
        <w:bidi w:val="0"/>
        <w:spacing w:before="78" w:line="219" w:lineRule="auto"/>
        <w:ind w:left="10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□有，另附复印件         </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有，自行网上下载(浏览)           □无</w:t>
      </w:r>
    </w:p>
    <w:p w14:paraId="78499731">
      <w:pPr>
        <w:pStyle w:val="6"/>
        <w:keepNext w:val="0"/>
        <w:keepLines w:val="0"/>
        <w:pageBreakBefore w:val="0"/>
        <w:wordWrap w:val="0"/>
        <w:overflowPunct/>
        <w:topLinePunct w:val="0"/>
        <w:bidi w:val="0"/>
        <w:spacing w:line="265" w:lineRule="auto"/>
        <w:rPr>
          <w:rFonts w:hint="eastAsia" w:ascii="宋体" w:hAnsi="宋体" w:eastAsia="宋体" w:cs="宋体"/>
          <w:color w:val="auto"/>
          <w:spacing w:val="0"/>
          <w:highlight w:val="none"/>
        </w:rPr>
      </w:pPr>
    </w:p>
    <w:p w14:paraId="660835A9">
      <w:pPr>
        <w:keepNext w:val="0"/>
        <w:keepLines w:val="0"/>
        <w:pageBreakBefore w:val="0"/>
        <w:wordWrap w:val="0"/>
        <w:overflowPunct/>
        <w:topLinePunct w:val="0"/>
        <w:bidi w:val="0"/>
        <w:spacing w:before="151" w:line="222" w:lineRule="auto"/>
        <w:ind w:left="715"/>
        <w:outlineLvl w:val="2"/>
        <w:rPr>
          <w:rFonts w:hint="eastAsia" w:ascii="宋体" w:hAnsi="宋体" w:eastAsia="宋体" w:cs="宋体"/>
          <w:color w:val="auto"/>
          <w:spacing w:val="0"/>
          <w:sz w:val="24"/>
          <w:szCs w:val="24"/>
          <w:highlight w:val="none"/>
        </w:rPr>
      </w:pPr>
      <w:bookmarkStart w:id="196" w:name="_Toc24446"/>
      <w:bookmarkStart w:id="197" w:name="_Toc30038"/>
      <w:r>
        <w:rPr>
          <w:rFonts w:hint="eastAsia" w:ascii="宋体" w:hAnsi="宋体" w:eastAsia="宋体" w:cs="宋体"/>
          <w:b/>
          <w:bCs/>
          <w:color w:val="auto"/>
          <w:spacing w:val="0"/>
          <w:sz w:val="24"/>
          <w:szCs w:val="24"/>
          <w:highlight w:val="none"/>
        </w:rPr>
        <w:t>1 ．图纸</w:t>
      </w:r>
      <w:bookmarkEnd w:id="196"/>
      <w:bookmarkEnd w:id="197"/>
    </w:p>
    <w:p w14:paraId="00652F97">
      <w:pPr>
        <w:keepNext w:val="0"/>
        <w:keepLines w:val="0"/>
        <w:pageBreakBefore w:val="0"/>
        <w:wordWrap w:val="0"/>
        <w:overflowPunct/>
        <w:topLinePunct w:val="0"/>
        <w:bidi w:val="0"/>
        <w:spacing w:before="150" w:line="330" w:lineRule="auto"/>
        <w:ind w:left="230" w:firstLine="48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本招标文件随文另附施工图（电子文件）一套。</w:t>
      </w:r>
    </w:p>
    <w:p w14:paraId="48EB0DBD">
      <w:pPr>
        <w:pStyle w:val="6"/>
        <w:keepNext w:val="0"/>
        <w:keepLines w:val="0"/>
        <w:pageBreakBefore w:val="0"/>
        <w:wordWrap w:val="0"/>
        <w:overflowPunct/>
        <w:topLinePunct w:val="0"/>
        <w:bidi w:val="0"/>
        <w:spacing w:line="253" w:lineRule="auto"/>
        <w:rPr>
          <w:rFonts w:hint="eastAsia" w:ascii="宋体" w:hAnsi="宋体" w:eastAsia="宋体" w:cs="宋体"/>
          <w:color w:val="auto"/>
          <w:spacing w:val="0"/>
          <w:highlight w:val="none"/>
        </w:rPr>
      </w:pPr>
    </w:p>
    <w:p w14:paraId="7191C978">
      <w:pPr>
        <w:keepNext w:val="0"/>
        <w:keepLines w:val="0"/>
        <w:pageBreakBefore w:val="0"/>
        <w:wordWrap w:val="0"/>
        <w:overflowPunct/>
        <w:topLinePunct w:val="0"/>
        <w:bidi w:val="0"/>
        <w:spacing w:before="79" w:line="221" w:lineRule="auto"/>
        <w:ind w:left="705"/>
        <w:outlineLvl w:val="2"/>
        <w:rPr>
          <w:rFonts w:hint="eastAsia" w:ascii="宋体" w:hAnsi="宋体" w:eastAsia="宋体" w:cs="宋体"/>
          <w:color w:val="auto"/>
          <w:spacing w:val="0"/>
          <w:sz w:val="24"/>
          <w:szCs w:val="24"/>
          <w:highlight w:val="none"/>
        </w:rPr>
      </w:pPr>
      <w:bookmarkStart w:id="198" w:name="_Toc9064"/>
      <w:bookmarkStart w:id="199" w:name="_Toc7174"/>
      <w:r>
        <w:rPr>
          <w:rFonts w:hint="eastAsia" w:ascii="宋体" w:hAnsi="宋体" w:eastAsia="宋体" w:cs="宋体"/>
          <w:b/>
          <w:bCs/>
          <w:color w:val="auto"/>
          <w:spacing w:val="0"/>
          <w:sz w:val="24"/>
          <w:szCs w:val="24"/>
          <w:highlight w:val="none"/>
        </w:rPr>
        <w:t>2 ．招标工程量清单</w:t>
      </w:r>
      <w:bookmarkEnd w:id="198"/>
      <w:bookmarkEnd w:id="199"/>
    </w:p>
    <w:p w14:paraId="6A47FAFD">
      <w:pPr>
        <w:keepNext w:val="0"/>
        <w:keepLines w:val="0"/>
        <w:pageBreakBefore w:val="0"/>
        <w:wordWrap w:val="0"/>
        <w:overflowPunct/>
        <w:topLinePunct w:val="0"/>
        <w:bidi w:val="0"/>
        <w:spacing w:before="117" w:line="312" w:lineRule="auto"/>
        <w:ind w:left="231"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2.1  </w:t>
      </w:r>
      <w:r>
        <w:rPr>
          <w:rFonts w:hint="eastAsia" w:ascii="宋体" w:hAnsi="宋体" w:eastAsia="宋体" w:cs="宋体"/>
          <w:color w:val="auto"/>
          <w:spacing w:val="0"/>
          <w:sz w:val="24"/>
          <w:szCs w:val="24"/>
          <w:highlight w:val="none"/>
        </w:rPr>
        <w:t>本招标文件随文另附</w:t>
      </w:r>
      <w:bookmarkStart w:id="200" w:name="OLE_LINK33"/>
      <w:r>
        <w:rPr>
          <w:rFonts w:hint="eastAsia" w:ascii="宋体" w:hAnsi="宋体" w:eastAsia="宋体" w:cs="宋体"/>
          <w:color w:val="auto"/>
          <w:spacing w:val="0"/>
          <w:sz w:val="24"/>
          <w:szCs w:val="24"/>
          <w:highlight w:val="none"/>
          <w:u w:val="single"/>
        </w:rPr>
        <w:t>招标工程量清单  EXCEL 版</w:t>
      </w:r>
      <w:bookmarkEnd w:id="200"/>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电子文件一套。</w:t>
      </w:r>
    </w:p>
    <w:p w14:paraId="076FE901">
      <w:pPr>
        <w:keepNext w:val="0"/>
        <w:keepLines w:val="0"/>
        <w:pageBreakBefore w:val="0"/>
        <w:wordWrap w:val="0"/>
        <w:overflowPunct/>
        <w:topLinePunct w:val="0"/>
        <w:bidi w:val="0"/>
        <w:spacing w:before="78" w:line="219" w:lineRule="auto"/>
        <w:ind w:left="478" w:firstLine="241" w:firstLineChars="100"/>
        <w:rPr>
          <w:rFonts w:hint="eastAsia" w:ascii="宋体" w:hAnsi="宋体" w:eastAsia="宋体" w:cs="宋体"/>
          <w:color w:val="auto"/>
          <w:spacing w:val="0"/>
          <w:sz w:val="24"/>
          <w:szCs w:val="24"/>
          <w:highlight w:val="none"/>
        </w:rPr>
      </w:pPr>
      <w:bookmarkStart w:id="201" w:name="bookmark147"/>
      <w:bookmarkEnd w:id="201"/>
      <w:r>
        <w:rPr>
          <w:rFonts w:hint="eastAsia" w:ascii="宋体" w:hAnsi="宋体" w:eastAsia="宋体" w:cs="宋体"/>
          <w:b/>
          <w:bCs/>
          <w:color w:val="auto"/>
          <w:spacing w:val="0"/>
          <w:sz w:val="24"/>
          <w:szCs w:val="24"/>
          <w:highlight w:val="none"/>
        </w:rPr>
        <w:t xml:space="preserve">2.2  </w:t>
      </w:r>
      <w:r>
        <w:rPr>
          <w:rFonts w:hint="eastAsia" w:ascii="宋体" w:hAnsi="宋体" w:eastAsia="宋体" w:cs="宋体"/>
          <w:color w:val="auto"/>
          <w:spacing w:val="0"/>
          <w:sz w:val="24"/>
          <w:szCs w:val="24"/>
          <w:highlight w:val="none"/>
        </w:rPr>
        <w:t>本工程按照以下依据编制</w:t>
      </w:r>
      <w:r>
        <w:rPr>
          <w:rFonts w:hint="eastAsia" w:ascii="宋体" w:hAnsi="宋体" w:eastAsia="宋体" w:cs="宋体"/>
          <w:color w:val="auto"/>
          <w:spacing w:val="0"/>
          <w:sz w:val="24"/>
          <w:szCs w:val="24"/>
          <w:highlight w:val="none"/>
          <w:u w:val="single"/>
        </w:rPr>
        <w:t>招标工程量清单</w:t>
      </w:r>
      <w:r>
        <w:rPr>
          <w:rFonts w:hint="eastAsia" w:ascii="宋体" w:hAnsi="宋体" w:eastAsia="宋体" w:cs="宋体"/>
          <w:color w:val="auto"/>
          <w:spacing w:val="0"/>
          <w:sz w:val="24"/>
          <w:szCs w:val="24"/>
          <w:highlight w:val="none"/>
        </w:rPr>
        <w:t>：</w:t>
      </w:r>
    </w:p>
    <w:p w14:paraId="678730BC">
      <w:pPr>
        <w:keepNext w:val="0"/>
        <w:keepLines w:val="0"/>
        <w:pageBreakBefore w:val="0"/>
        <w:wordWrap w:val="0"/>
        <w:overflowPunct/>
        <w:topLinePunct w:val="0"/>
        <w:bidi w:val="0"/>
        <w:spacing w:before="123" w:line="219"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53E00F35">
      <w:pPr>
        <w:keepNext w:val="0"/>
        <w:keepLines w:val="0"/>
        <w:pageBreakBefore w:val="0"/>
        <w:wordWrap w:val="0"/>
        <w:overflowPunct/>
        <w:topLinePunct w:val="0"/>
        <w:bidi w:val="0"/>
        <w:spacing w:before="115" w:line="299" w:lineRule="auto"/>
        <w:ind w:firstLine="493"/>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量清单与计价表”中每个工作子目的工程量进行重新计算和校核。如果投标人经过检查和复核以后认为招标人提供的工程量清单存在差异，则投标人应将此类差异的详细情况连同按“投标须知 ”规定提交的要求招标人澄清的其他问题一起提交给招标人，招标人将根据实际情况决定是否颁发</w:t>
      </w:r>
      <w:r>
        <w:rPr>
          <w:rFonts w:hint="eastAsia" w:ascii="宋体" w:hAnsi="宋体" w:eastAsia="宋体" w:cs="宋体"/>
          <w:color w:val="auto"/>
          <w:spacing w:val="0"/>
          <w:sz w:val="24"/>
          <w:szCs w:val="24"/>
          <w:highlight w:val="none"/>
          <w:u w:val="single"/>
        </w:rPr>
        <w:t>工程量清单</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的补充和(或)修改文件。</w:t>
      </w:r>
    </w:p>
    <w:p w14:paraId="3E496F3B">
      <w:pPr>
        <w:keepNext w:val="0"/>
        <w:keepLines w:val="0"/>
        <w:pageBreakBefore w:val="0"/>
        <w:wordWrap w:val="0"/>
        <w:overflowPunct/>
        <w:topLinePunct w:val="0"/>
        <w:bidi w:val="0"/>
        <w:spacing w:before="79" w:line="263" w:lineRule="auto"/>
        <w:ind w:left="2" w:right="2" w:firstLine="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（3）本招标工程量清单措施项目中的</w:t>
      </w:r>
      <w:r>
        <w:rPr>
          <w:rFonts w:hint="eastAsia" w:ascii="宋体" w:hAnsi="宋体" w:eastAsia="宋体" w:cs="宋体"/>
          <w:b/>
          <w:bCs/>
          <w:color w:val="auto"/>
          <w:spacing w:val="0"/>
          <w:sz w:val="24"/>
          <w:szCs w:val="24"/>
          <w:highlight w:val="none"/>
        </w:rPr>
        <w:t>暂列金额、暂估价</w:t>
      </w:r>
      <w:r>
        <w:rPr>
          <w:rFonts w:hint="eastAsia" w:ascii="宋体" w:hAnsi="宋体" w:eastAsia="宋体" w:cs="宋体"/>
          <w:color w:val="auto"/>
          <w:spacing w:val="0"/>
          <w:sz w:val="24"/>
          <w:szCs w:val="24"/>
          <w:highlight w:val="none"/>
        </w:rPr>
        <w:t>不得作为竞争性费用，投标报价必须按本招标工程量清单规定的金额填报。</w:t>
      </w:r>
    </w:p>
    <w:p w14:paraId="24C45CC5">
      <w:pPr>
        <w:keepNext w:val="0"/>
        <w:keepLines w:val="0"/>
        <w:pageBreakBefore w:val="0"/>
        <w:wordWrap w:val="0"/>
        <w:overflowPunct/>
        <w:topLinePunct w:val="0"/>
        <w:bidi w:val="0"/>
        <w:spacing w:before="118" w:line="265" w:lineRule="auto"/>
        <w:ind w:left="7" w:right="4" w:firstLine="48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（4）投标报价使用的表格格式须按照《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5D89ED6B">
      <w:pPr>
        <w:keepNext w:val="0"/>
        <w:keepLines w:val="0"/>
        <w:pageBreakBefore w:val="0"/>
        <w:wordWrap w:val="0"/>
        <w:overflowPunct/>
        <w:topLinePunct w:val="0"/>
        <w:bidi w:val="0"/>
        <w:spacing w:before="107" w:line="286" w:lineRule="auto"/>
        <w:ind w:right="4"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4B3D583F">
      <w:pPr>
        <w:keepNext w:val="0"/>
        <w:keepLines w:val="0"/>
        <w:pageBreakBefore w:val="0"/>
        <w:wordWrap w:val="0"/>
        <w:overflowPunct/>
        <w:topLinePunct w:val="0"/>
        <w:bidi w:val="0"/>
        <w:spacing w:before="146" w:line="221"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（6）施工图及相关资料；</w:t>
      </w:r>
    </w:p>
    <w:p w14:paraId="2C855D25">
      <w:pPr>
        <w:keepNext w:val="0"/>
        <w:keepLines w:val="0"/>
        <w:pageBreakBefore w:val="0"/>
        <w:wordWrap w:val="0"/>
        <w:overflowPunct/>
        <w:topLinePunct w:val="0"/>
        <w:bidi w:val="0"/>
        <w:spacing w:before="153" w:line="220"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（7）招标文件；</w:t>
      </w:r>
    </w:p>
    <w:p w14:paraId="7D4A78D6">
      <w:pPr>
        <w:keepNext w:val="0"/>
        <w:keepLines w:val="0"/>
        <w:pageBreakBefore w:val="0"/>
        <w:wordWrap w:val="0"/>
        <w:overflowPunct/>
        <w:topLinePunct w:val="0"/>
        <w:bidi w:val="0"/>
        <w:spacing w:before="155" w:line="220"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（8）施工现场情况、地勘水文资料、工程特点及常规施工方案；</w:t>
      </w:r>
    </w:p>
    <w:p w14:paraId="617E9DDC">
      <w:pPr>
        <w:keepNext w:val="0"/>
        <w:keepLines w:val="0"/>
        <w:pageBreakBefore w:val="0"/>
        <w:wordWrap w:val="0"/>
        <w:overflowPunct/>
        <w:topLinePunct w:val="0"/>
        <w:bidi w:val="0"/>
        <w:spacing w:before="153" w:line="219"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（9）与建设工程有关的标准、规范、技术资料、材料设备信息价或市场价格等。</w:t>
      </w:r>
    </w:p>
    <w:p w14:paraId="12618F59">
      <w:pPr>
        <w:pStyle w:val="25"/>
        <w:rPr>
          <w:rFonts w:hint="eastAsia"/>
          <w:highlight w:val="none"/>
        </w:rPr>
      </w:pPr>
    </w:p>
    <w:p w14:paraId="499D0013">
      <w:pPr>
        <w:keepNext w:val="0"/>
        <w:keepLines w:val="0"/>
        <w:pageBreakBefore w:val="0"/>
        <w:wordWrap w:val="0"/>
        <w:overflowPunct/>
        <w:topLinePunct w:val="0"/>
        <w:bidi w:val="0"/>
        <w:spacing w:line="219" w:lineRule="auto"/>
        <w:rPr>
          <w:rFonts w:hint="eastAsia" w:ascii="宋体" w:hAnsi="宋体" w:eastAsia="宋体" w:cs="宋体"/>
          <w:color w:val="auto"/>
          <w:spacing w:val="0"/>
          <w:sz w:val="24"/>
          <w:szCs w:val="24"/>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6C94DD83">
      <w:pPr>
        <w:pStyle w:val="6"/>
        <w:keepNext w:val="0"/>
        <w:keepLines w:val="0"/>
        <w:pageBreakBefore w:val="0"/>
        <w:wordWrap w:val="0"/>
        <w:overflowPunct/>
        <w:topLinePunct w:val="0"/>
        <w:bidi w:val="0"/>
        <w:spacing w:line="304" w:lineRule="auto"/>
        <w:rPr>
          <w:rFonts w:hint="eastAsia" w:ascii="宋体" w:hAnsi="宋体" w:eastAsia="宋体" w:cs="宋体"/>
          <w:color w:val="auto"/>
          <w:spacing w:val="0"/>
          <w:highlight w:val="none"/>
        </w:rPr>
      </w:pPr>
    </w:p>
    <w:p w14:paraId="0C8B4CB9">
      <w:pPr>
        <w:keepNext w:val="0"/>
        <w:keepLines w:val="0"/>
        <w:pageBreakBefore w:val="0"/>
        <w:wordWrap w:val="0"/>
        <w:overflowPunct/>
        <w:topLinePunct w:val="0"/>
        <w:bidi w:val="0"/>
        <w:spacing w:before="78" w:line="219" w:lineRule="auto"/>
        <w:ind w:left="3357"/>
        <w:outlineLvl w:val="0"/>
        <w:rPr>
          <w:rFonts w:hint="eastAsia" w:ascii="宋体" w:hAnsi="宋体" w:eastAsia="宋体" w:cs="宋体"/>
          <w:color w:val="auto"/>
          <w:spacing w:val="0"/>
          <w:sz w:val="24"/>
          <w:szCs w:val="24"/>
          <w:highlight w:val="none"/>
        </w:rPr>
      </w:pPr>
      <w:bookmarkStart w:id="202" w:name="_Toc10270"/>
      <w:r>
        <w:rPr>
          <w:rFonts w:hint="eastAsia" w:ascii="宋体" w:hAnsi="宋体" w:eastAsia="宋体" w:cs="宋体"/>
          <w:b/>
          <w:bCs/>
          <w:color w:val="auto"/>
          <w:spacing w:val="0"/>
          <w:sz w:val="24"/>
          <w:szCs w:val="24"/>
          <w:highlight w:val="none"/>
        </w:rPr>
        <w:t>第六章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投标文件格式</w:t>
      </w:r>
      <w:bookmarkEnd w:id="202"/>
    </w:p>
    <w:p w14:paraId="5B1AE375">
      <w:pPr>
        <w:pStyle w:val="6"/>
        <w:keepNext w:val="0"/>
        <w:keepLines w:val="0"/>
        <w:pageBreakBefore w:val="0"/>
        <w:wordWrap w:val="0"/>
        <w:overflowPunct/>
        <w:topLinePunct w:val="0"/>
        <w:bidi w:val="0"/>
        <w:spacing w:line="302" w:lineRule="auto"/>
        <w:jc w:val="right"/>
        <w:rPr>
          <w:rFonts w:hint="eastAsia" w:ascii="宋体" w:hAnsi="宋体" w:eastAsia="宋体" w:cs="宋体"/>
          <w:color w:val="auto"/>
          <w:spacing w:val="0"/>
          <w:highlight w:val="none"/>
        </w:rPr>
      </w:pPr>
    </w:p>
    <w:p w14:paraId="732FF561">
      <w:pPr>
        <w:keepNext w:val="0"/>
        <w:keepLines w:val="0"/>
        <w:pageBreakBefore w:val="0"/>
        <w:wordWrap w:val="0"/>
        <w:overflowPunct/>
        <w:topLinePunct w:val="0"/>
        <w:bidi w:val="0"/>
        <w:spacing w:before="78" w:line="220" w:lineRule="auto"/>
        <w:outlineLvl w:val="2"/>
        <w:rPr>
          <w:rFonts w:hint="eastAsia" w:ascii="宋体" w:hAnsi="宋体" w:eastAsia="宋体" w:cs="宋体"/>
          <w:color w:val="auto"/>
          <w:spacing w:val="0"/>
          <w:sz w:val="24"/>
          <w:szCs w:val="24"/>
          <w:highlight w:val="none"/>
        </w:rPr>
      </w:pPr>
      <w:bookmarkStart w:id="203" w:name="_Toc10384"/>
      <w:r>
        <w:rPr>
          <w:rFonts w:hint="eastAsia" w:ascii="宋体" w:hAnsi="宋体" w:eastAsia="宋体" w:cs="宋体"/>
          <w:b/>
          <w:bCs/>
          <w:color w:val="auto"/>
          <w:spacing w:val="0"/>
          <w:sz w:val="24"/>
          <w:szCs w:val="24"/>
          <w:highlight w:val="none"/>
        </w:rPr>
        <w:t>格式一</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封面</w:t>
      </w:r>
      <w:bookmarkEnd w:id="203"/>
    </w:p>
    <w:p w14:paraId="3D936F71">
      <w:pPr>
        <w:pStyle w:val="6"/>
        <w:keepNext w:val="0"/>
        <w:keepLines w:val="0"/>
        <w:pageBreakBefore w:val="0"/>
        <w:wordWrap w:val="0"/>
        <w:overflowPunct/>
        <w:topLinePunct w:val="0"/>
        <w:bidi w:val="0"/>
        <w:spacing w:line="258" w:lineRule="auto"/>
        <w:rPr>
          <w:rFonts w:hint="eastAsia" w:ascii="宋体" w:hAnsi="宋体" w:eastAsia="宋体" w:cs="宋体"/>
          <w:color w:val="auto"/>
          <w:spacing w:val="0"/>
          <w:highlight w:val="none"/>
        </w:rPr>
      </w:pPr>
    </w:p>
    <w:p w14:paraId="068AB70E">
      <w:pPr>
        <w:pStyle w:val="6"/>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0DE0F809">
      <w:pPr>
        <w:pStyle w:val="6"/>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5ED9FBF6">
      <w:pPr>
        <w:keepNext w:val="0"/>
        <w:keepLines w:val="0"/>
        <w:pageBreakBefore w:val="0"/>
        <w:wordWrap w:val="0"/>
        <w:overflowPunct/>
        <w:topLinePunct w:val="0"/>
        <w:bidi w:val="0"/>
        <w:spacing w:before="153" w:line="225" w:lineRule="auto"/>
        <w:ind w:left="-1" w:leftChars="0" w:firstLine="0" w:firstLineChars="0"/>
        <w:jc w:val="center"/>
        <w:rPr>
          <w:rFonts w:hint="eastAsia" w:ascii="宋体" w:hAnsi="宋体" w:eastAsia="宋体" w:cs="宋体"/>
          <w:color w:val="auto"/>
          <w:spacing w:val="0"/>
          <w:sz w:val="47"/>
          <w:szCs w:val="47"/>
          <w:highlight w:val="none"/>
        </w:rPr>
      </w:pPr>
      <w:r>
        <w:rPr>
          <w:rFonts w:hint="eastAsia" w:ascii="宋体" w:hAnsi="宋体" w:eastAsia="宋体" w:cs="宋体"/>
          <w:b/>
          <w:bCs/>
          <w:color w:val="auto"/>
          <w:spacing w:val="0"/>
          <w:sz w:val="47"/>
          <w:szCs w:val="47"/>
          <w:highlight w:val="none"/>
          <w:u w:val="single"/>
          <w:lang w:val="en-US" w:eastAsia="zh-CN"/>
        </w:rPr>
        <w:t xml:space="preserve">    </w:t>
      </w:r>
      <w:r>
        <w:rPr>
          <w:rFonts w:hint="eastAsia" w:ascii="宋体" w:hAnsi="宋体" w:eastAsia="宋体" w:cs="宋体"/>
          <w:b/>
          <w:bCs/>
          <w:color w:val="auto"/>
          <w:spacing w:val="0"/>
          <w:sz w:val="47"/>
          <w:szCs w:val="47"/>
          <w:highlight w:val="none"/>
          <w:u w:val="single"/>
        </w:rPr>
        <w:t>（项目名称）</w:t>
      </w:r>
      <w:r>
        <w:rPr>
          <w:rFonts w:hint="eastAsia" w:ascii="宋体" w:hAnsi="宋体" w:eastAsia="宋体" w:cs="宋体"/>
          <w:b/>
          <w:bCs/>
          <w:color w:val="auto"/>
          <w:spacing w:val="0"/>
          <w:sz w:val="47"/>
          <w:szCs w:val="47"/>
          <w:highlight w:val="none"/>
          <w:u w:val="none"/>
          <w:lang w:val="en-US" w:eastAsia="zh-CN"/>
        </w:rPr>
        <w:t>施工</w:t>
      </w:r>
      <w:r>
        <w:rPr>
          <w:rFonts w:hint="eastAsia" w:ascii="宋体" w:hAnsi="宋体" w:eastAsia="宋体" w:cs="宋体"/>
          <w:b/>
          <w:bCs/>
          <w:color w:val="auto"/>
          <w:spacing w:val="0"/>
          <w:sz w:val="47"/>
          <w:szCs w:val="47"/>
          <w:highlight w:val="none"/>
        </w:rPr>
        <w:t>招标</w:t>
      </w:r>
    </w:p>
    <w:p w14:paraId="6DEABEF4">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5EF5EDE9">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34AB878A">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15E641E6">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3098056B">
      <w:pPr>
        <w:pStyle w:val="6"/>
        <w:keepNext w:val="0"/>
        <w:keepLines w:val="0"/>
        <w:pageBreakBefore w:val="0"/>
        <w:wordWrap w:val="0"/>
        <w:overflowPunct/>
        <w:topLinePunct w:val="0"/>
        <w:bidi w:val="0"/>
        <w:spacing w:line="248" w:lineRule="auto"/>
        <w:rPr>
          <w:rFonts w:hint="eastAsia" w:ascii="宋体" w:hAnsi="宋体" w:eastAsia="宋体" w:cs="宋体"/>
          <w:color w:val="auto"/>
          <w:spacing w:val="0"/>
          <w:highlight w:val="none"/>
        </w:rPr>
      </w:pPr>
    </w:p>
    <w:p w14:paraId="4ECB4A2E">
      <w:pPr>
        <w:keepNext w:val="0"/>
        <w:keepLines w:val="0"/>
        <w:pageBreakBefore w:val="0"/>
        <w:wordWrap w:val="0"/>
        <w:overflowPunct/>
        <w:topLinePunct w:val="0"/>
        <w:bidi w:val="0"/>
        <w:spacing w:before="231" w:line="223" w:lineRule="auto"/>
        <w:jc w:val="center"/>
        <w:rPr>
          <w:rFonts w:hint="eastAsia" w:ascii="宋体" w:hAnsi="宋体" w:eastAsia="宋体" w:cs="宋体"/>
          <w:color w:val="auto"/>
          <w:spacing w:val="0"/>
          <w:sz w:val="71"/>
          <w:szCs w:val="71"/>
          <w:highlight w:val="none"/>
        </w:rPr>
      </w:pPr>
      <w:r>
        <w:rPr>
          <w:rFonts w:hint="eastAsia" w:ascii="宋体" w:hAnsi="宋体" w:eastAsia="宋体" w:cs="宋体"/>
          <w:b/>
          <w:bCs/>
          <w:color w:val="auto"/>
          <w:spacing w:val="0"/>
          <w:sz w:val="71"/>
          <w:szCs w:val="71"/>
          <w:highlight w:val="none"/>
        </w:rPr>
        <w:t>投</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件</w:t>
      </w:r>
    </w:p>
    <w:p w14:paraId="23F78714">
      <w:pPr>
        <w:pStyle w:val="6"/>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0CD43441">
      <w:pPr>
        <w:pStyle w:val="6"/>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48210BB7">
      <w:pPr>
        <w:keepNext w:val="0"/>
        <w:keepLines w:val="0"/>
        <w:pageBreakBefore w:val="0"/>
        <w:wordWrap w:val="0"/>
        <w:overflowPunct/>
        <w:topLinePunct w:val="0"/>
        <w:bidi w:val="0"/>
        <w:spacing w:before="152" w:line="223" w:lineRule="auto"/>
        <w:jc w:val="center"/>
        <w:rPr>
          <w:rFonts w:hint="eastAsia" w:ascii="宋体" w:hAnsi="宋体" w:eastAsia="宋体" w:cs="宋体"/>
          <w:b/>
          <w:bCs/>
          <w:color w:val="auto"/>
          <w:spacing w:val="0"/>
          <w:sz w:val="47"/>
          <w:szCs w:val="47"/>
          <w:highlight w:val="none"/>
        </w:rPr>
      </w:pPr>
      <w:bookmarkStart w:id="204" w:name="bookmark105"/>
      <w:bookmarkEnd w:id="204"/>
      <w:r>
        <w:rPr>
          <w:rFonts w:hint="eastAsia" w:ascii="宋体" w:hAnsi="宋体" w:eastAsia="宋体" w:cs="宋体"/>
          <w:b/>
          <w:bCs/>
          <w:color w:val="auto"/>
          <w:spacing w:val="0"/>
          <w:sz w:val="47"/>
          <w:szCs w:val="47"/>
          <w:highlight w:val="none"/>
        </w:rPr>
        <w:t>（商务标书／经济标书／施工组织设计）</w:t>
      </w:r>
    </w:p>
    <w:p w14:paraId="33EFFA4B">
      <w:pPr>
        <w:keepNext w:val="0"/>
        <w:keepLines w:val="0"/>
        <w:pageBreakBefore w:val="0"/>
        <w:wordWrap w:val="0"/>
        <w:overflowPunct/>
        <w:topLinePunct w:val="0"/>
        <w:bidi w:val="0"/>
        <w:rPr>
          <w:rFonts w:hint="eastAsia"/>
          <w:color w:val="auto"/>
          <w:spacing w:val="0"/>
          <w:highlight w:val="none"/>
        </w:rPr>
      </w:pPr>
    </w:p>
    <w:p w14:paraId="71694CDA">
      <w:pPr>
        <w:keepNext w:val="0"/>
        <w:keepLines w:val="0"/>
        <w:pageBreakBefore w:val="0"/>
        <w:wordWrap w:val="0"/>
        <w:overflowPunct/>
        <w:topLinePunct w:val="0"/>
        <w:bidi w:val="0"/>
        <w:rPr>
          <w:rFonts w:hint="eastAsia"/>
          <w:color w:val="auto"/>
          <w:spacing w:val="0"/>
          <w:highlight w:val="none"/>
        </w:rPr>
      </w:pPr>
    </w:p>
    <w:p w14:paraId="7C6BCB43">
      <w:pPr>
        <w:keepNext w:val="0"/>
        <w:keepLines w:val="0"/>
        <w:pageBreakBefore w:val="0"/>
        <w:wordWrap w:val="0"/>
        <w:overflowPunct/>
        <w:topLinePunct w:val="0"/>
        <w:bidi w:val="0"/>
        <w:rPr>
          <w:rFonts w:hint="eastAsia"/>
          <w:color w:val="auto"/>
          <w:spacing w:val="0"/>
          <w:highlight w:val="none"/>
        </w:rPr>
      </w:pPr>
    </w:p>
    <w:p w14:paraId="10E86CD1">
      <w:pPr>
        <w:keepNext w:val="0"/>
        <w:keepLines w:val="0"/>
        <w:pageBreakBefore w:val="0"/>
        <w:wordWrap w:val="0"/>
        <w:overflowPunct/>
        <w:topLinePunct w:val="0"/>
        <w:bidi w:val="0"/>
        <w:rPr>
          <w:rFonts w:hint="eastAsia"/>
          <w:color w:val="auto"/>
          <w:spacing w:val="0"/>
          <w:highlight w:val="none"/>
        </w:rPr>
      </w:pPr>
    </w:p>
    <w:p w14:paraId="7AB4BF47">
      <w:pPr>
        <w:keepNext w:val="0"/>
        <w:keepLines w:val="0"/>
        <w:pageBreakBefore w:val="0"/>
        <w:wordWrap w:val="0"/>
        <w:overflowPunct/>
        <w:topLinePunct w:val="0"/>
        <w:bidi w:val="0"/>
        <w:rPr>
          <w:rFonts w:hint="eastAsia"/>
          <w:color w:val="auto"/>
          <w:spacing w:val="0"/>
          <w:highlight w:val="none"/>
        </w:rPr>
      </w:pPr>
    </w:p>
    <w:p w14:paraId="306BB099">
      <w:pPr>
        <w:keepNext w:val="0"/>
        <w:keepLines w:val="0"/>
        <w:pageBreakBefore w:val="0"/>
        <w:wordWrap w:val="0"/>
        <w:overflowPunct/>
        <w:topLinePunct w:val="0"/>
        <w:bidi w:val="0"/>
        <w:rPr>
          <w:rFonts w:hint="eastAsia"/>
          <w:color w:val="auto"/>
          <w:spacing w:val="0"/>
          <w:highlight w:val="none"/>
        </w:rPr>
      </w:pPr>
    </w:p>
    <w:p w14:paraId="17C1C6BE">
      <w:pPr>
        <w:keepNext w:val="0"/>
        <w:keepLines w:val="0"/>
        <w:pageBreakBefore w:val="0"/>
        <w:wordWrap w:val="0"/>
        <w:overflowPunct/>
        <w:topLinePunct w:val="0"/>
        <w:bidi w:val="0"/>
        <w:rPr>
          <w:rFonts w:hint="eastAsia"/>
          <w:color w:val="auto"/>
          <w:spacing w:val="0"/>
          <w:highlight w:val="none"/>
        </w:rPr>
      </w:pPr>
    </w:p>
    <w:p w14:paraId="313F4F70">
      <w:pPr>
        <w:keepNext w:val="0"/>
        <w:keepLines w:val="0"/>
        <w:pageBreakBefore w:val="0"/>
        <w:wordWrap w:val="0"/>
        <w:overflowPunct/>
        <w:topLinePunct w:val="0"/>
        <w:bidi w:val="0"/>
        <w:rPr>
          <w:rFonts w:hint="eastAsia"/>
          <w:color w:val="auto"/>
          <w:spacing w:val="0"/>
          <w:highlight w:val="none"/>
        </w:rPr>
      </w:pPr>
    </w:p>
    <w:p w14:paraId="2D1F340C">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投标人：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（盖单位章）</w:t>
      </w:r>
    </w:p>
    <w:p w14:paraId="711C8DA7">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3752A510">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7191B422">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法定代表人或其委托代理人：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（签字或盖章）</w:t>
      </w:r>
    </w:p>
    <w:p w14:paraId="76469CE6">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06FBE36F">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u w:val="single"/>
        </w:rPr>
      </w:pPr>
    </w:p>
    <w:p w14:paraId="6C1EC974">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
          <w:snapToGrid w:val="0"/>
          <w:color w:val="auto"/>
          <w:spacing w:val="0"/>
          <w:highlight w:val="none"/>
        </w:rPr>
      </w:pP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年</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月</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日</w:t>
      </w:r>
    </w:p>
    <w:p w14:paraId="22D60B74">
      <w:pPr>
        <w:keepNext w:val="0"/>
        <w:keepLines w:val="0"/>
        <w:pageBreakBefore w:val="0"/>
        <w:wordWrap w:val="0"/>
        <w:overflowPunct/>
        <w:topLinePunct w:val="0"/>
        <w:bidi w:val="0"/>
        <w:rPr>
          <w:rFonts w:hint="eastAsia"/>
          <w:color w:val="auto"/>
          <w:spacing w:val="0"/>
          <w:highlight w:val="none"/>
        </w:rPr>
      </w:pPr>
    </w:p>
    <w:p w14:paraId="75ADAE4C">
      <w:pPr>
        <w:keepNext w:val="0"/>
        <w:keepLines w:val="0"/>
        <w:pageBreakBefore w:val="0"/>
        <w:wordWrap w:val="0"/>
        <w:overflowPunct/>
        <w:topLinePunct w:val="0"/>
        <w:bidi w:val="0"/>
        <w:outlineLvl w:val="9"/>
        <w:rPr>
          <w:rFonts w:hint="eastAsia"/>
          <w:color w:val="auto"/>
          <w:spacing w:val="0"/>
          <w:highlight w:val="none"/>
        </w:rPr>
      </w:pPr>
    </w:p>
    <w:p w14:paraId="7A6DF66C">
      <w:pPr>
        <w:keepNext w:val="0"/>
        <w:keepLines w:val="0"/>
        <w:pageBreakBefore w:val="0"/>
        <w:wordWrap w:val="0"/>
        <w:overflowPunct/>
        <w:topLinePunct w:val="0"/>
        <w:bidi w:val="0"/>
        <w:spacing w:line="223" w:lineRule="auto"/>
        <w:rPr>
          <w:rFonts w:hint="eastAsia" w:ascii="宋体" w:hAnsi="宋体" w:eastAsia="宋体" w:cs="宋体"/>
          <w:color w:val="auto"/>
          <w:spacing w:val="0"/>
          <w:sz w:val="47"/>
          <w:szCs w:val="47"/>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39C38B38">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05" w:name="_Toc2430"/>
      <w:r>
        <w:rPr>
          <w:rFonts w:hint="eastAsia" w:ascii="宋体" w:hAnsi="宋体" w:eastAsia="宋体" w:cs="宋体"/>
          <w:b/>
          <w:bCs/>
          <w:color w:val="auto"/>
          <w:spacing w:val="0"/>
          <w:sz w:val="24"/>
          <w:szCs w:val="24"/>
          <w:highlight w:val="none"/>
        </w:rPr>
        <w:t>格式二 投标函</w:t>
      </w:r>
      <w:bookmarkEnd w:id="205"/>
    </w:p>
    <w:p w14:paraId="392E4C63">
      <w:pPr>
        <w:pStyle w:val="6"/>
        <w:keepNext w:val="0"/>
        <w:keepLines w:val="0"/>
        <w:pageBreakBefore w:val="0"/>
        <w:wordWrap w:val="0"/>
        <w:overflowPunct/>
        <w:topLinePunct w:val="0"/>
        <w:bidi w:val="0"/>
        <w:spacing w:line="261" w:lineRule="auto"/>
        <w:rPr>
          <w:rFonts w:hint="eastAsia" w:ascii="宋体" w:hAnsi="宋体" w:eastAsia="宋体" w:cs="宋体"/>
          <w:color w:val="auto"/>
          <w:spacing w:val="0"/>
          <w:highlight w:val="none"/>
        </w:rPr>
      </w:pPr>
    </w:p>
    <w:p w14:paraId="2E98BF1A">
      <w:pPr>
        <w:keepNext w:val="0"/>
        <w:keepLines w:val="0"/>
        <w:pageBreakBefore w:val="0"/>
        <w:wordWrap w:val="0"/>
        <w:overflowPunct/>
        <w:topLinePunct w:val="0"/>
        <w:bidi w:val="0"/>
        <w:spacing w:before="97" w:line="221" w:lineRule="auto"/>
        <w:ind w:left="3799"/>
        <w:outlineLvl w:val="9"/>
        <w:rPr>
          <w:rFonts w:hint="eastAsia" w:ascii="宋体" w:hAnsi="宋体" w:eastAsia="宋体" w:cs="宋体"/>
          <w:color w:val="auto"/>
          <w:spacing w:val="0"/>
          <w:sz w:val="30"/>
          <w:szCs w:val="30"/>
          <w:highlight w:val="none"/>
        </w:rPr>
      </w:pPr>
      <w:bookmarkStart w:id="206" w:name="bookmark148"/>
      <w:bookmarkEnd w:id="206"/>
      <w:bookmarkStart w:id="207" w:name="_Toc317"/>
      <w:bookmarkStart w:id="208" w:name="_Toc27397"/>
      <w:bookmarkStart w:id="209" w:name="_Toc297"/>
      <w:r>
        <w:rPr>
          <w:rFonts w:hint="eastAsia" w:ascii="宋体" w:hAnsi="宋体" w:eastAsia="宋体" w:cs="宋体"/>
          <w:b/>
          <w:bCs/>
          <w:color w:val="auto"/>
          <w:spacing w:val="0"/>
          <w:sz w:val="30"/>
          <w:szCs w:val="30"/>
          <w:highlight w:val="none"/>
        </w:rPr>
        <w:t>投</w:t>
      </w:r>
      <w:r>
        <w:rPr>
          <w:rFonts w:hint="eastAsia" w:ascii="宋体" w:hAnsi="宋体" w:eastAsia="宋体" w:cs="宋体"/>
          <w:color w:val="auto"/>
          <w:spacing w:val="0"/>
          <w:sz w:val="30"/>
          <w:szCs w:val="30"/>
          <w:highlight w:val="none"/>
        </w:rPr>
        <w:t xml:space="preserve">  </w:t>
      </w:r>
      <w:r>
        <w:rPr>
          <w:rFonts w:hint="eastAsia" w:ascii="宋体" w:hAnsi="宋体" w:eastAsia="宋体" w:cs="宋体"/>
          <w:b/>
          <w:bCs/>
          <w:color w:val="auto"/>
          <w:spacing w:val="0"/>
          <w:sz w:val="30"/>
          <w:szCs w:val="30"/>
          <w:highlight w:val="none"/>
        </w:rPr>
        <w:t>标</w:t>
      </w:r>
      <w:r>
        <w:rPr>
          <w:rFonts w:hint="eastAsia" w:ascii="宋体" w:hAnsi="宋体" w:eastAsia="宋体" w:cs="宋体"/>
          <w:color w:val="auto"/>
          <w:spacing w:val="0"/>
          <w:sz w:val="30"/>
          <w:szCs w:val="30"/>
          <w:highlight w:val="none"/>
        </w:rPr>
        <w:t xml:space="preserve">  </w:t>
      </w:r>
      <w:r>
        <w:rPr>
          <w:rFonts w:hint="eastAsia" w:ascii="宋体" w:hAnsi="宋体" w:eastAsia="宋体" w:cs="宋体"/>
          <w:b/>
          <w:bCs/>
          <w:color w:val="auto"/>
          <w:spacing w:val="0"/>
          <w:sz w:val="30"/>
          <w:szCs w:val="30"/>
          <w:highlight w:val="none"/>
        </w:rPr>
        <w:t>函</w:t>
      </w:r>
      <w:bookmarkEnd w:id="207"/>
      <w:bookmarkEnd w:id="208"/>
      <w:bookmarkEnd w:id="209"/>
    </w:p>
    <w:p w14:paraId="58F05F57">
      <w:pPr>
        <w:pStyle w:val="6"/>
        <w:keepNext w:val="0"/>
        <w:keepLines w:val="0"/>
        <w:pageBreakBefore w:val="0"/>
        <w:wordWrap w:val="0"/>
        <w:overflowPunct/>
        <w:topLinePunct w:val="0"/>
        <w:bidi w:val="0"/>
        <w:spacing w:line="249" w:lineRule="auto"/>
        <w:rPr>
          <w:rFonts w:hint="eastAsia" w:ascii="宋体" w:hAnsi="宋体" w:eastAsia="宋体" w:cs="宋体"/>
          <w:color w:val="auto"/>
          <w:spacing w:val="0"/>
          <w:highlight w:val="none"/>
        </w:rPr>
      </w:pPr>
    </w:p>
    <w:p w14:paraId="08B6DA1F">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1E3DA538">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448E62A4">
      <w:pPr>
        <w:keepNext w:val="0"/>
        <w:keepLines w:val="0"/>
        <w:pageBreakBefore w:val="0"/>
        <w:wordWrap w:val="0"/>
        <w:overflowPunct/>
        <w:topLinePunct w:val="0"/>
        <w:bidi w:val="0"/>
        <w:spacing w:before="78" w:line="221" w:lineRule="auto"/>
        <w:ind w:left="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（招标人名称）</w:t>
      </w:r>
    </w:p>
    <w:p w14:paraId="342E60C5">
      <w:pPr>
        <w:pStyle w:val="6"/>
        <w:keepNext w:val="0"/>
        <w:keepLines w:val="0"/>
        <w:pageBreakBefore w:val="0"/>
        <w:wordWrap w:val="0"/>
        <w:overflowPunct/>
        <w:topLinePunct w:val="0"/>
        <w:bidi w:val="0"/>
        <w:spacing w:before="156" w:line="328" w:lineRule="auto"/>
        <w:ind w:left="9" w:right="142" w:firstLine="589"/>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我方考察现场并充分研究</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（项目名称）（以下简称“本项目 ”）施工招标文件所有内容后，结合自身资质、能力和特点，愿意接受招标文件的全部内容和条件，兹以人民币（大写）：</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 的投标总价竞投本项目施工。</w:t>
      </w:r>
    </w:p>
    <w:p w14:paraId="19F6B28C">
      <w:pPr>
        <w:keepNext w:val="0"/>
        <w:keepLines w:val="0"/>
        <w:pageBreakBefore w:val="0"/>
        <w:wordWrap w:val="0"/>
        <w:overflowPunct/>
        <w:topLinePunct w:val="0"/>
        <w:bidi w:val="0"/>
        <w:spacing w:before="39" w:line="323" w:lineRule="auto"/>
        <w:ind w:right="142" w:firstLine="57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在我方的上述投标总价中，包括：</w:t>
      </w:r>
      <w:r>
        <w:rPr>
          <w:rFonts w:hint="eastAsia" w:ascii="宋体" w:hAnsi="宋体" w:eastAsia="宋体" w:cs="宋体"/>
          <w:b w:val="0"/>
          <w:bCs/>
          <w:i w:val="0"/>
          <w:iCs w:val="0"/>
          <w:caps w:val="0"/>
          <w:spacing w:val="0"/>
          <w:sz w:val="24"/>
          <w:szCs w:val="24"/>
          <w:highlight w:val="none"/>
          <w:shd w:val="clear" w:color="auto" w:fill="FFFFFF"/>
        </w:rPr>
        <w:t>安全生产措施费</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none"/>
          <w:lang w:eastAsia="zh-CN"/>
        </w:rPr>
        <w:t>；暂列金额</w:t>
      </w:r>
      <w:r>
        <w:rPr>
          <w:rFonts w:hint="eastAsia" w:ascii="宋体" w:hAnsi="宋体" w:eastAsia="宋体" w:cs="宋体"/>
          <w:color w:val="auto"/>
          <w:spacing w:val="0"/>
          <w:sz w:val="24"/>
          <w:szCs w:val="24"/>
          <w:highlight w:val="none"/>
          <w:u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none"/>
          <w:lang w:eastAsia="zh-CN"/>
        </w:rPr>
        <w:t>；</w:t>
      </w:r>
      <w:r>
        <w:rPr>
          <w:rFonts w:hint="eastAsia" w:ascii="宋体" w:hAnsi="宋体" w:eastAsia="宋体" w:cs="宋体"/>
          <w:b w:val="0"/>
          <w:bCs/>
          <w:i w:val="0"/>
          <w:iCs w:val="0"/>
          <w:caps w:val="0"/>
          <w:spacing w:val="0"/>
          <w:sz w:val="24"/>
          <w:szCs w:val="24"/>
          <w:highlight w:val="none"/>
          <w:shd w:val="clear" w:color="auto" w:fill="FFFFFF"/>
        </w:rPr>
        <w:t>专业工程暂估价</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w:t>
      </w:r>
    </w:p>
    <w:p w14:paraId="725455D2">
      <w:pPr>
        <w:keepNext w:val="0"/>
        <w:keepLines w:val="0"/>
        <w:pageBreakBefore w:val="0"/>
        <w:wordWrap w:val="0"/>
        <w:overflowPunct/>
        <w:topLinePunct w:val="0"/>
        <w:bidi w:val="0"/>
        <w:spacing w:before="38" w:line="280" w:lineRule="auto"/>
        <w:ind w:left="13" w:right="142" w:firstLine="56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如果我方中标，我方保证按照合同约定的开工日期开始本项目的施工，</w:t>
      </w:r>
      <w:bookmarkStart w:id="210" w:name="OLE_LINK34"/>
      <w:r>
        <w:rPr>
          <w:rFonts w:hint="eastAsia" w:ascii="宋体" w:hAnsi="宋体" w:eastAsia="宋体" w:cs="宋体"/>
          <w:color w:val="auto"/>
          <w:spacing w:val="0"/>
          <w:sz w:val="24"/>
          <w:szCs w:val="24"/>
          <w:highlight w:val="none"/>
          <w:u w:val="single"/>
          <w:lang w:val="en-US" w:eastAsia="zh-CN"/>
        </w:rPr>
        <w:t xml:space="preserve">     </w:t>
      </w:r>
      <w:bookmarkEnd w:id="210"/>
      <w:r>
        <w:rPr>
          <w:rFonts w:hint="eastAsia" w:ascii="宋体" w:hAnsi="宋体" w:eastAsia="宋体" w:cs="宋体"/>
          <w:color w:val="auto"/>
          <w:spacing w:val="0"/>
          <w:sz w:val="24"/>
          <w:szCs w:val="24"/>
          <w:highlight w:val="none"/>
        </w:rPr>
        <w:t>个日历天内竣工，并确保工程质量达到</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标准和维修其中的任何缺陷。</w:t>
      </w:r>
    </w:p>
    <w:p w14:paraId="10E8DA76">
      <w:pPr>
        <w:keepNext w:val="0"/>
        <w:keepLines w:val="0"/>
        <w:pageBreakBefore w:val="0"/>
        <w:wordWrap w:val="0"/>
        <w:overflowPunct/>
        <w:topLinePunct w:val="0"/>
        <w:bidi w:val="0"/>
        <w:spacing w:before="152" w:line="279" w:lineRule="auto"/>
        <w:ind w:left="11" w:right="142" w:firstLine="56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本投标函在你方接收我方递交的投标文件之日起、到招标文件规定的投标有效期期满前对我方具有约束力。我方随时准备接受你方发出的中标通知书。</w:t>
      </w:r>
    </w:p>
    <w:p w14:paraId="36F81C92">
      <w:pPr>
        <w:keepNext w:val="0"/>
        <w:keepLines w:val="0"/>
        <w:pageBreakBefore w:val="0"/>
        <w:wordWrap w:val="0"/>
        <w:overflowPunct/>
        <w:topLinePunct w:val="0"/>
        <w:bidi w:val="0"/>
        <w:spacing w:before="156" w:line="279" w:lineRule="auto"/>
        <w:ind w:left="11" w:right="61" w:firstLine="56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4 ．我方在此声明，我方不存在本项目招标文件第一章第三节第 </w:t>
      </w:r>
      <w:r>
        <w:rPr>
          <w:rFonts w:hint="eastAsia" w:ascii="宋体" w:hAnsi="宋体" w:eastAsia="宋体" w:cs="宋体"/>
          <w:b/>
          <w:bCs/>
          <w:color w:val="auto"/>
          <w:spacing w:val="0"/>
          <w:sz w:val="24"/>
          <w:szCs w:val="24"/>
          <w:highlight w:val="none"/>
        </w:rPr>
        <w:t>2.4</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条“禁止投标条款 ”所列出的任何一种情形，并愿意承担因我方就此弄虚作假所引起的一切法律后果。</w:t>
      </w:r>
    </w:p>
    <w:p w14:paraId="0E71490A">
      <w:pPr>
        <w:keepNext w:val="0"/>
        <w:keepLines w:val="0"/>
        <w:pageBreakBefore w:val="0"/>
        <w:wordWrap w:val="0"/>
        <w:overflowPunct/>
        <w:topLinePunct w:val="0"/>
        <w:bidi w:val="0"/>
        <w:spacing w:before="153" w:line="280" w:lineRule="auto"/>
        <w:ind w:left="9" w:right="142" w:firstLine="57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．我方在此承诺，所递交投标文件的全部内容均为真实、有效、准确的，并愿意承担因我方就此弄虚作假所引起的一切法律后果，同时理解和同意有可能被要求提供更多的资料。</w:t>
      </w:r>
    </w:p>
    <w:p w14:paraId="0954415E">
      <w:pPr>
        <w:keepNext w:val="0"/>
        <w:keepLines w:val="0"/>
        <w:pageBreakBefore w:val="0"/>
        <w:wordWrap w:val="0"/>
        <w:overflowPunct/>
        <w:topLinePunct w:val="0"/>
        <w:bidi w:val="0"/>
        <w:spacing w:before="153" w:line="326" w:lineRule="auto"/>
        <w:ind w:left="13" w:firstLine="5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  我方理解你方不一定要接纳收到的最低投标总价或任何投标总价的投标人中标， 也不要求你方解释我方是否中标的原因。</w:t>
      </w:r>
    </w:p>
    <w:p w14:paraId="665C13C8">
      <w:pPr>
        <w:pStyle w:val="6"/>
        <w:keepNext w:val="0"/>
        <w:keepLines w:val="0"/>
        <w:pageBreakBefore w:val="0"/>
        <w:wordWrap w:val="0"/>
        <w:overflowPunct/>
        <w:topLinePunct w:val="0"/>
        <w:bidi w:val="0"/>
        <w:spacing w:line="276" w:lineRule="auto"/>
        <w:rPr>
          <w:rFonts w:hint="eastAsia" w:ascii="宋体" w:hAnsi="宋体" w:eastAsia="宋体" w:cs="宋体"/>
          <w:color w:val="auto"/>
          <w:spacing w:val="0"/>
          <w:highlight w:val="none"/>
        </w:rPr>
      </w:pPr>
    </w:p>
    <w:p w14:paraId="6A293A0C">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1338C97A">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6D644921">
      <w:pPr>
        <w:keepNext w:val="0"/>
        <w:keepLines w:val="0"/>
        <w:pageBreakBefore w:val="0"/>
        <w:wordWrap w:val="0"/>
        <w:overflowPunct/>
        <w:topLinePunct w:val="0"/>
        <w:bidi w:val="0"/>
        <w:spacing w:before="79" w:line="219" w:lineRule="auto"/>
        <w:ind w:firstLine="5760" w:firstLineChars="240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（（盖单位章）</w:t>
      </w:r>
    </w:p>
    <w:p w14:paraId="53B9F8FC">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1FE5B2A2">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70C6C00B">
      <w:pPr>
        <w:keepNext w:val="0"/>
        <w:keepLines w:val="0"/>
        <w:pageBreakBefore w:val="0"/>
        <w:wordWrap w:val="0"/>
        <w:overflowPunct/>
        <w:topLinePunct w:val="0"/>
        <w:bidi w:val="0"/>
        <w:spacing w:before="78" w:line="219" w:lineRule="auto"/>
        <w:ind w:left="3922"/>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（（签字或盖章）</w:t>
      </w:r>
    </w:p>
    <w:p w14:paraId="37331156">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3063FEBF">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27512AB8">
      <w:pPr>
        <w:keepNext w:val="0"/>
        <w:keepLines w:val="0"/>
        <w:pageBreakBefore w:val="0"/>
        <w:wordWrap w:val="0"/>
        <w:overflowPunct/>
        <w:topLinePunct w:val="0"/>
        <w:bidi w:val="0"/>
        <w:spacing w:before="79" w:line="220" w:lineRule="auto"/>
        <w:ind w:left="697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日</w:t>
      </w:r>
    </w:p>
    <w:p w14:paraId="02A06E5B">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05EF889">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11" w:name="_Toc3736"/>
      <w:r>
        <w:rPr>
          <w:rFonts w:hint="eastAsia" w:ascii="宋体" w:hAnsi="宋体" w:eastAsia="宋体" w:cs="宋体"/>
          <w:b/>
          <w:bCs/>
          <w:color w:val="auto"/>
          <w:spacing w:val="0"/>
          <w:sz w:val="24"/>
          <w:szCs w:val="24"/>
          <w:highlight w:val="none"/>
        </w:rPr>
        <w:t>格式三 各项承诺一览表</w:t>
      </w:r>
      <w:bookmarkEnd w:id="211"/>
    </w:p>
    <w:p w14:paraId="51E0204F">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34B1A1A4">
      <w:pPr>
        <w:keepNext w:val="0"/>
        <w:keepLines w:val="0"/>
        <w:pageBreakBefore w:val="0"/>
        <w:wordWrap w:val="0"/>
        <w:overflowPunct/>
        <w:topLinePunct w:val="0"/>
        <w:bidi w:val="0"/>
        <w:spacing w:before="98" w:line="220" w:lineRule="auto"/>
        <w:ind w:left="3581"/>
        <w:outlineLvl w:val="9"/>
        <w:rPr>
          <w:rFonts w:hint="eastAsia" w:ascii="宋体" w:hAnsi="宋体" w:eastAsia="宋体" w:cs="宋体"/>
          <w:color w:val="auto"/>
          <w:spacing w:val="0"/>
          <w:sz w:val="30"/>
          <w:szCs w:val="30"/>
          <w:highlight w:val="none"/>
        </w:rPr>
      </w:pPr>
      <w:bookmarkStart w:id="212" w:name="bookmark149"/>
      <w:bookmarkEnd w:id="212"/>
      <w:bookmarkStart w:id="213" w:name="_Toc2936"/>
      <w:bookmarkStart w:id="214" w:name="_Toc10326"/>
      <w:bookmarkStart w:id="215" w:name="_Toc4767"/>
      <w:r>
        <w:rPr>
          <w:rFonts w:hint="eastAsia" w:ascii="宋体" w:hAnsi="宋体" w:eastAsia="宋体" w:cs="宋体"/>
          <w:b/>
          <w:bCs/>
          <w:color w:val="auto"/>
          <w:spacing w:val="0"/>
          <w:sz w:val="30"/>
          <w:szCs w:val="30"/>
          <w:highlight w:val="none"/>
        </w:rPr>
        <w:t>各项承诺一览表</w:t>
      </w:r>
      <w:bookmarkEnd w:id="213"/>
      <w:bookmarkEnd w:id="214"/>
      <w:bookmarkEnd w:id="215"/>
    </w:p>
    <w:p w14:paraId="5C63A27F">
      <w:pPr>
        <w:keepNext w:val="0"/>
        <w:keepLines w:val="0"/>
        <w:pageBreakBefore w:val="0"/>
        <w:wordWrap w:val="0"/>
        <w:overflowPunct/>
        <w:topLinePunct w:val="0"/>
        <w:bidi w:val="0"/>
        <w:spacing w:before="6"/>
        <w:rPr>
          <w:rFonts w:hint="eastAsia" w:ascii="宋体" w:hAnsi="宋体" w:eastAsia="宋体" w:cs="宋体"/>
          <w:color w:val="auto"/>
          <w:spacing w:val="0"/>
          <w:highlight w:val="none"/>
        </w:rPr>
      </w:pPr>
    </w:p>
    <w:tbl>
      <w:tblPr>
        <w:tblStyle w:val="15"/>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5204A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54B582C">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序号</w:t>
            </w:r>
          </w:p>
        </w:tc>
        <w:tc>
          <w:tcPr>
            <w:tcW w:w="1675" w:type="dxa"/>
            <w:vAlign w:val="top"/>
          </w:tcPr>
          <w:p w14:paraId="1CCE799E">
            <w:pPr>
              <w:keepNext w:val="0"/>
              <w:keepLines w:val="0"/>
              <w:pageBreakBefore w:val="0"/>
              <w:widowControl/>
              <w:kinsoku w:val="0"/>
              <w:wordWrap w:val="0"/>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承诺事项</w:t>
            </w:r>
          </w:p>
        </w:tc>
        <w:tc>
          <w:tcPr>
            <w:tcW w:w="3107" w:type="dxa"/>
            <w:vAlign w:val="top"/>
          </w:tcPr>
          <w:p w14:paraId="4EBB8A6D">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承诺内容</w:t>
            </w:r>
          </w:p>
        </w:tc>
        <w:tc>
          <w:tcPr>
            <w:tcW w:w="4272" w:type="dxa"/>
            <w:vAlign w:val="top"/>
          </w:tcPr>
          <w:p w14:paraId="31A27193">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违约承诺</w:t>
            </w:r>
          </w:p>
        </w:tc>
      </w:tr>
      <w:tr w14:paraId="2A006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48261D65">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p>
        </w:tc>
        <w:tc>
          <w:tcPr>
            <w:tcW w:w="1675" w:type="dxa"/>
            <w:vAlign w:val="center"/>
          </w:tcPr>
          <w:p w14:paraId="01CAE980">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自愿接受招标文件条款的承诺</w:t>
            </w:r>
          </w:p>
        </w:tc>
        <w:tc>
          <w:tcPr>
            <w:tcW w:w="3107" w:type="dxa"/>
            <w:vAlign w:val="top"/>
          </w:tcPr>
          <w:p w14:paraId="2CDC7B50">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41955F4E">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我方自愿接受招标文件的所有条款，所递交的投标文件已 经充分响应招标文件的实质性要求。</w:t>
            </w:r>
          </w:p>
        </w:tc>
        <w:tc>
          <w:tcPr>
            <w:tcW w:w="4272" w:type="dxa"/>
            <w:vAlign w:val="top"/>
          </w:tcPr>
          <w:p w14:paraId="31B3DB23">
            <w:pPr>
              <w:keepNext w:val="0"/>
              <w:keepLines w:val="0"/>
              <w:pageBreakBefore w:val="0"/>
              <w:widowControl/>
              <w:kinsoku w:val="0"/>
              <w:wordWrap w:val="0"/>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如果我方的投标文件未响应、违反、偏 离招标文件的实质性要求，我方接受招标人或其授权的招标代理机构或其组建的评标委员会依据招标文件作出的相应处理，包括否决投标。</w:t>
            </w:r>
          </w:p>
        </w:tc>
      </w:tr>
      <w:tr w14:paraId="10B0D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2F577063">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p>
        </w:tc>
        <w:tc>
          <w:tcPr>
            <w:tcW w:w="1675" w:type="dxa"/>
            <w:vAlign w:val="center"/>
          </w:tcPr>
          <w:p w14:paraId="796EA612">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无禁止投标情形的承诺</w:t>
            </w:r>
          </w:p>
        </w:tc>
        <w:tc>
          <w:tcPr>
            <w:tcW w:w="3107" w:type="dxa"/>
            <w:vAlign w:val="top"/>
          </w:tcPr>
          <w:p w14:paraId="6DBD4A30">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168E3A76">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37C38C6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我方不存在招标文件第一 章第三节第 </w:t>
            </w:r>
            <w:r>
              <w:rPr>
                <w:rFonts w:hint="eastAsia" w:ascii="宋体" w:hAnsi="宋体" w:eastAsia="宋体" w:cs="宋体"/>
                <w:b/>
                <w:bCs/>
                <w:color w:val="auto"/>
                <w:spacing w:val="0"/>
                <w:sz w:val="21"/>
                <w:szCs w:val="21"/>
                <w:highlight w:val="none"/>
              </w:rPr>
              <w:t xml:space="preserve">2.4 </w:t>
            </w:r>
            <w:r>
              <w:rPr>
                <w:rFonts w:hint="eastAsia" w:ascii="宋体" w:hAnsi="宋体" w:eastAsia="宋体" w:cs="宋体"/>
                <w:color w:val="auto"/>
                <w:spacing w:val="0"/>
                <w:sz w:val="21"/>
                <w:szCs w:val="21"/>
                <w:highlight w:val="none"/>
              </w:rPr>
              <w:t>条“禁止投标条 款 ”规定的任何一种情形。</w:t>
            </w:r>
          </w:p>
        </w:tc>
        <w:tc>
          <w:tcPr>
            <w:tcW w:w="4272" w:type="dxa"/>
            <w:vAlign w:val="top"/>
          </w:tcPr>
          <w:p w14:paraId="5C557624">
            <w:pPr>
              <w:keepNext w:val="0"/>
              <w:keepLines w:val="0"/>
              <w:pageBreakBefore w:val="0"/>
              <w:widowControl/>
              <w:kinsoku w:val="0"/>
              <w:wordWrap w:val="0"/>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如果我方有招标文件第一章第三节第 </w:t>
            </w:r>
            <w:r>
              <w:rPr>
                <w:rFonts w:hint="eastAsia" w:ascii="宋体" w:hAnsi="宋体" w:eastAsia="宋体" w:cs="宋体"/>
                <w:b/>
                <w:bCs/>
                <w:color w:val="auto"/>
                <w:spacing w:val="0"/>
                <w:sz w:val="21"/>
                <w:szCs w:val="21"/>
                <w:highlight w:val="none"/>
              </w:rPr>
              <w:t xml:space="preserve">2.  4 </w:t>
            </w:r>
            <w:r>
              <w:rPr>
                <w:rFonts w:hint="eastAsia" w:ascii="宋体" w:hAnsi="宋体" w:eastAsia="宋体" w:cs="宋体"/>
                <w:color w:val="auto"/>
                <w:spacing w:val="0"/>
                <w:sz w:val="21"/>
                <w:szCs w:val="21"/>
                <w:highlight w:val="none"/>
              </w:rPr>
              <w:t>条“禁止投标条款 ”规定的任何一种情形，我方接受招标人或其授权的招标代理机构或 其组建的评标委员会依据招标文件作出的相应处理以及有关监督部门作出的行政处罚，并承担由此引起的一切法律后果。</w:t>
            </w:r>
          </w:p>
        </w:tc>
      </w:tr>
      <w:tr w14:paraId="6BAE3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6D41129A">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p>
        </w:tc>
        <w:tc>
          <w:tcPr>
            <w:tcW w:w="1675" w:type="dxa"/>
            <w:vAlign w:val="center"/>
          </w:tcPr>
          <w:p w14:paraId="7EDF57FD">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自觉抵制围标</w:t>
            </w:r>
          </w:p>
          <w:p w14:paraId="7350A53C">
            <w:pPr>
              <w:keepNext w:val="0"/>
              <w:keepLines w:val="0"/>
              <w:pageBreakBefore w:val="0"/>
              <w:widowControl/>
              <w:kinsoku w:val="0"/>
              <w:wordWrap w:val="0"/>
              <w:overflowPunct/>
              <w:topLinePunct w:val="0"/>
              <w:autoSpaceDE w:val="0"/>
              <w:autoSpaceDN w:val="0"/>
              <w:bidi w:val="0"/>
              <w:adjustRightInd w:val="0"/>
              <w:snapToGrid w:val="0"/>
              <w:spacing w:before="131"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串标和弄虚</w:t>
            </w:r>
          </w:p>
          <w:p w14:paraId="18E84040">
            <w:pPr>
              <w:keepNext w:val="0"/>
              <w:keepLines w:val="0"/>
              <w:pageBreakBefore w:val="0"/>
              <w:widowControl/>
              <w:kinsoku w:val="0"/>
              <w:wordWrap w:val="0"/>
              <w:overflowPunct/>
              <w:topLinePunct w:val="0"/>
              <w:autoSpaceDE w:val="0"/>
              <w:autoSpaceDN w:val="0"/>
              <w:bidi w:val="0"/>
              <w:adjustRightInd w:val="0"/>
              <w:snapToGrid w:val="0"/>
              <w:spacing w:before="133"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作假行为的承诺</w:t>
            </w:r>
          </w:p>
        </w:tc>
        <w:tc>
          <w:tcPr>
            <w:tcW w:w="3107" w:type="dxa"/>
            <w:vAlign w:val="top"/>
          </w:tcPr>
          <w:p w14:paraId="62CF0363">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3960F528">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我方合法正当、诚实守信地参与投标，不组织、不参加围标串标违法行为，不通过弄虚作假 行为骗取中标。</w:t>
            </w:r>
          </w:p>
        </w:tc>
        <w:tc>
          <w:tcPr>
            <w:tcW w:w="4272" w:type="dxa"/>
            <w:vAlign w:val="top"/>
          </w:tcPr>
          <w:p w14:paraId="0A090EF8">
            <w:pPr>
              <w:keepNext w:val="0"/>
              <w:keepLines w:val="0"/>
              <w:pageBreakBefore w:val="0"/>
              <w:widowControl/>
              <w:kinsoku w:val="0"/>
              <w:wordWrap w:val="0"/>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6CBF9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39F3D356">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w:t>
            </w:r>
          </w:p>
        </w:tc>
        <w:tc>
          <w:tcPr>
            <w:tcW w:w="1675" w:type="dxa"/>
            <w:vAlign w:val="center"/>
          </w:tcPr>
          <w:p w14:paraId="5F8AABE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项目经理任职承诺</w:t>
            </w:r>
          </w:p>
        </w:tc>
        <w:tc>
          <w:tcPr>
            <w:tcW w:w="3107" w:type="dxa"/>
            <w:vAlign w:val="top"/>
          </w:tcPr>
          <w:p w14:paraId="3D586645">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25D7FCEF">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1EFE29D7">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我方拟派项目经理现阶段没有担任任何在施（包括已中标 未开工、已开工未竣工）建设工程项目的项目经理。</w:t>
            </w:r>
          </w:p>
        </w:tc>
        <w:tc>
          <w:tcPr>
            <w:tcW w:w="4272" w:type="dxa"/>
            <w:vAlign w:val="top"/>
          </w:tcPr>
          <w:p w14:paraId="4A8515D9">
            <w:pPr>
              <w:keepNext w:val="0"/>
              <w:keepLines w:val="0"/>
              <w:pageBreakBefore w:val="0"/>
              <w:widowControl/>
              <w:kinsoku w:val="0"/>
              <w:wordWrap w:val="0"/>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如果我方拟派项目经理在本项目招标投 标活动期间有担任其他任何在施（包括已中标未开工、已开工未竣工）建设工程项目的项目经理，我方接受招标人或其授权的招标代理机构或其组建的评标委员会依据招标文件作出的相应处理以及有关监督部门作出的行政处罚，并承担由此引起的一切法律后果。</w:t>
            </w:r>
          </w:p>
        </w:tc>
      </w:tr>
      <w:tr w14:paraId="5F5F5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1B9DDA4A">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w:t>
            </w:r>
          </w:p>
        </w:tc>
        <w:tc>
          <w:tcPr>
            <w:tcW w:w="1675" w:type="dxa"/>
            <w:vAlign w:val="center"/>
          </w:tcPr>
          <w:p w14:paraId="7009D3C6">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投标文件</w:t>
            </w:r>
          </w:p>
          <w:p w14:paraId="7FA4425B">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真实性承诺</w:t>
            </w:r>
          </w:p>
        </w:tc>
        <w:tc>
          <w:tcPr>
            <w:tcW w:w="3107" w:type="dxa"/>
            <w:vAlign w:val="top"/>
          </w:tcPr>
          <w:p w14:paraId="24313CA0">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80F2869">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我方所递交投标文件的全部内容均为真实、有效、准确的。</w:t>
            </w:r>
          </w:p>
        </w:tc>
        <w:tc>
          <w:tcPr>
            <w:tcW w:w="4272" w:type="dxa"/>
            <w:vAlign w:val="top"/>
          </w:tcPr>
          <w:p w14:paraId="117F7D2E">
            <w:pPr>
              <w:keepNext w:val="0"/>
              <w:keepLines w:val="0"/>
              <w:pageBreakBefore w:val="0"/>
              <w:widowControl/>
              <w:kinsoku w:val="0"/>
              <w:wordWrap w:val="0"/>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14:paraId="02577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center"/>
          </w:tcPr>
          <w:p w14:paraId="6B3A9885">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w:t>
            </w:r>
            <w:r>
              <w:rPr>
                <w:rFonts w:hint="eastAsia" w:ascii="宋体" w:hAnsi="宋体" w:eastAsia="宋体" w:cs="宋体"/>
                <w:color w:val="auto"/>
                <w:spacing w:val="0"/>
                <w:sz w:val="21"/>
                <w:szCs w:val="21"/>
                <w:highlight w:val="none"/>
              </w:rPr>
              <w:drawing>
                <wp:anchor distT="0" distB="0" distL="114300" distR="114300" simplePos="0" relativeHeight="251663360"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2"/>
                          <a:stretch>
                            <a:fillRect/>
                          </a:stretch>
                        </pic:blipFill>
                        <pic:spPr>
                          <a:xfrm>
                            <a:off x="0" y="0"/>
                            <a:ext cx="6350" cy="241300"/>
                          </a:xfrm>
                          <a:prstGeom prst="rect">
                            <a:avLst/>
                          </a:prstGeom>
                          <a:noFill/>
                          <a:ln>
                            <a:noFill/>
                          </a:ln>
                        </pic:spPr>
                      </pic:pic>
                    </a:graphicData>
                  </a:graphic>
                </wp:anchor>
              </w:drawing>
            </w:r>
          </w:p>
        </w:tc>
        <w:tc>
          <w:tcPr>
            <w:tcW w:w="1675" w:type="dxa"/>
            <w:vAlign w:val="center"/>
          </w:tcPr>
          <w:p w14:paraId="4D2FADD0">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投标文件</w:t>
            </w:r>
          </w:p>
          <w:p w14:paraId="0E95F9BE">
            <w:pPr>
              <w:keepNext w:val="0"/>
              <w:keepLines w:val="0"/>
              <w:pageBreakBefore w:val="0"/>
              <w:widowControl/>
              <w:kinsoku w:val="0"/>
              <w:wordWrap w:val="0"/>
              <w:overflowPunct/>
              <w:topLinePunct w:val="0"/>
              <w:autoSpaceDE w:val="0"/>
              <w:autoSpaceDN w:val="0"/>
              <w:bidi w:val="0"/>
              <w:adjustRightInd w:val="0"/>
              <w:snapToGrid w:val="0"/>
              <w:spacing w:before="132"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信息公开承诺</w:t>
            </w:r>
          </w:p>
        </w:tc>
        <w:tc>
          <w:tcPr>
            <w:tcW w:w="3107" w:type="dxa"/>
            <w:vAlign w:val="top"/>
          </w:tcPr>
          <w:p w14:paraId="0DF7EDDD">
            <w:pPr>
              <w:keepNext w:val="0"/>
              <w:keepLines w:val="0"/>
              <w:pageBreakBefore w:val="0"/>
              <w:widowControl/>
              <w:kinsoku w:val="0"/>
              <w:wordWrap w:val="0"/>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我方提供完整的文件。如果我方成为本项目中标候选人，我方同意并授权招标人在评标结果公示期内公开我方商务标书的全部内容。</w:t>
            </w:r>
          </w:p>
        </w:tc>
        <w:tc>
          <w:tcPr>
            <w:tcW w:w="4272" w:type="dxa"/>
            <w:vAlign w:val="top"/>
            <mc:AlternateContent>
              <mc:Choice Requires="wpsCustomData">
                <wpsCustomData:diagonals>
                  <wpsCustomData:diagonal from="20000" to="0">
                    <wpsCustomData:border w:val="single" w:color="000000" w:sz="2" w:space="0"/>
                  </wpsCustomData:diagonal>
                </wpsCustomData:diagonals>
              </mc:Choice>
            </mc:AlternateContent>
          </w:tcPr>
          <w:p w14:paraId="1164999A">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D48F5C3">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95D5933">
            <w:pPr>
              <w:keepNext w:val="0"/>
              <w:keepLines w:val="0"/>
              <w:pageBreakBefore w:val="0"/>
              <w:widowControl/>
              <w:kinsoku w:val="0"/>
              <w:wordWrap w:val="0"/>
              <w:overflowPunct/>
              <w:topLinePunct w:val="0"/>
              <w:autoSpaceDE w:val="0"/>
              <w:autoSpaceDN w:val="0"/>
              <w:bidi w:val="0"/>
              <w:adjustRightInd w:val="0"/>
              <w:snapToGrid w:val="0"/>
              <w:spacing w:before="58" w:line="240" w:lineRule="auto"/>
              <w:ind w:left="1979"/>
              <w:textAlignment w:val="baseline"/>
              <mc:AlternateContent>
                <mc:Choice Requires="wpsCustomData">
                  <wpsCustomData:diagonalParaType/>
                </mc:Choice>
              </mc:AlternateContent>
              <w:rPr>
                <w:rFonts w:hint="eastAsia" w:ascii="宋体" w:hAnsi="宋体" w:eastAsia="宋体" w:cs="宋体"/>
                <w:color w:val="auto"/>
                <w:spacing w:val="0"/>
                <w:sz w:val="21"/>
                <w:szCs w:val="21"/>
                <w:highlight w:val="none"/>
              </w:rPr>
            </w:pPr>
          </w:p>
          <w:p w14:paraId="52A22145">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auto"/>
                <w:spacing w:val="0"/>
                <w:sz w:val="21"/>
                <w:szCs w:val="21"/>
                <w:highlight w:val="none"/>
              </w:rPr>
            </w:pPr>
          </w:p>
        </w:tc>
      </w:tr>
      <w:tr w14:paraId="31DB0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center"/>
          </w:tcPr>
          <w:p w14:paraId="320F0521">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w:t>
            </w:r>
          </w:p>
        </w:tc>
        <w:tc>
          <w:tcPr>
            <w:tcW w:w="1675" w:type="dxa"/>
            <w:vAlign w:val="center"/>
          </w:tcPr>
          <w:p w14:paraId="5782E3F0">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对不正常报价的确认承诺</w:t>
            </w:r>
          </w:p>
        </w:tc>
        <w:tc>
          <w:tcPr>
            <w:tcW w:w="3107" w:type="dxa"/>
            <w:vAlign w:val="top"/>
          </w:tcPr>
          <w:p w14:paraId="6D8BDFB8">
            <w:pPr>
              <w:keepNext w:val="0"/>
              <w:keepLines w:val="0"/>
              <w:pageBreakBefore w:val="0"/>
              <w:widowControl/>
              <w:kinsoku w:val="0"/>
              <w:wordWrap w:val="0"/>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如果我方中标，我方接受招标人在合同订立期间依据招标文件有关条款约定对我方已标价工程量清单中不正常报价的修正或认定，并按要求签署《不正常报价清单》加以确认。</w:t>
            </w:r>
          </w:p>
        </w:tc>
        <w:tc>
          <w:tcPr>
            <w:tcW w:w="4272" w:type="dxa"/>
            <w:vAlign w:val="top"/>
            <mc:AlternateContent>
              <mc:Choice Requires="wpsCustomData">
                <wpsCustomData:diagonals>
                  <wpsCustomData:diagonal from="20000" to="0">
                    <wpsCustomData:border w:val="single" w:color="000000" w:sz="2" w:space="0"/>
                  </wpsCustomData:diagonal>
                </wpsCustomData:diagonals>
              </mc:Choice>
            </mc:AlternateContent>
          </w:tcPr>
          <w:p w14:paraId="55874C84">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7ACFEB24">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9C2BA43">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1303911B">
            <w:pPr>
              <w:keepNext w:val="0"/>
              <w:keepLines w:val="0"/>
              <w:pageBreakBefore w:val="0"/>
              <w:widowControl/>
              <w:kinsoku w:val="0"/>
              <w:wordWrap w:val="0"/>
              <w:overflowPunct/>
              <w:topLinePunct w:val="0"/>
              <w:autoSpaceDE w:val="0"/>
              <w:autoSpaceDN w:val="0"/>
              <w:bidi w:val="0"/>
              <w:adjustRightInd w:val="0"/>
              <w:snapToGrid w:val="0"/>
              <w:spacing w:before="57" w:line="240" w:lineRule="auto"/>
              <w:ind w:left="1979"/>
              <w:textAlignment w:val="baseline"/>
              <mc:AlternateContent>
                <mc:Choice Requires="wpsCustomData">
                  <wpsCustomData:diagonalParaType/>
                </mc:Choice>
              </mc:AlternateContent>
              <w:rPr>
                <w:rFonts w:hint="eastAsia" w:ascii="宋体" w:hAnsi="宋体" w:eastAsia="宋体" w:cs="宋体"/>
                <w:color w:val="auto"/>
                <w:spacing w:val="0"/>
                <w:sz w:val="21"/>
                <w:szCs w:val="21"/>
                <w:highlight w:val="none"/>
              </w:rPr>
            </w:pPr>
          </w:p>
          <w:p w14:paraId="1AB87749">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auto"/>
                <w:spacing w:val="0"/>
                <w:sz w:val="21"/>
                <w:szCs w:val="21"/>
                <w:highlight w:val="none"/>
              </w:rPr>
            </w:pPr>
          </w:p>
        </w:tc>
      </w:tr>
      <w:tr w14:paraId="2D63E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7C876BD4">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w:t>
            </w:r>
          </w:p>
        </w:tc>
        <w:tc>
          <w:tcPr>
            <w:tcW w:w="1675" w:type="dxa"/>
            <w:vAlign w:val="center"/>
          </w:tcPr>
          <w:p w14:paraId="01E67844">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按时提交履约保证的承诺</w:t>
            </w:r>
          </w:p>
        </w:tc>
        <w:tc>
          <w:tcPr>
            <w:tcW w:w="3107" w:type="dxa"/>
            <w:vAlign w:val="top"/>
          </w:tcPr>
          <w:p w14:paraId="29A0D195">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0CA932B">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如果我方中标，我方保证在招标文件规定的时限内全额提交履约保证。</w:t>
            </w:r>
          </w:p>
        </w:tc>
        <w:tc>
          <w:tcPr>
            <w:tcW w:w="4272" w:type="dxa"/>
            <w:vAlign w:val="top"/>
          </w:tcPr>
          <w:p w14:paraId="157135E5">
            <w:pPr>
              <w:keepNext w:val="0"/>
              <w:keepLines w:val="0"/>
              <w:pageBreakBefore w:val="0"/>
              <w:widowControl/>
              <w:kinsoku w:val="0"/>
              <w:wordWrap w:val="0"/>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如果我方未在招标文件规定的时限内全 额提交履约保证，我方接受招标人依据招标文件作出的相应处理以及有关监督部门作出的行政处罚，并承担由此引起的一切法律后果。</w:t>
            </w:r>
          </w:p>
        </w:tc>
      </w:tr>
      <w:tr w14:paraId="12204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2C8442E1">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9</w:t>
            </w:r>
          </w:p>
        </w:tc>
        <w:tc>
          <w:tcPr>
            <w:tcW w:w="1675" w:type="dxa"/>
            <w:vAlign w:val="center"/>
          </w:tcPr>
          <w:p w14:paraId="7AF6CE02">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按时签订合同的承诺</w:t>
            </w:r>
          </w:p>
        </w:tc>
        <w:tc>
          <w:tcPr>
            <w:tcW w:w="3107" w:type="dxa"/>
            <w:vAlign w:val="top"/>
          </w:tcPr>
          <w:p w14:paraId="59576A39">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25FCE2A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如果我方中标，我方保证在 招标文件规定的时限内与招标人签订合同，不提出违背或超出招标文件、中标文件的要求。</w:t>
            </w:r>
          </w:p>
        </w:tc>
        <w:tc>
          <w:tcPr>
            <w:tcW w:w="4272" w:type="dxa"/>
            <w:vAlign w:val="top"/>
          </w:tcPr>
          <w:p w14:paraId="3246D3A0">
            <w:pPr>
              <w:keepNext w:val="0"/>
              <w:keepLines w:val="0"/>
              <w:pageBreakBefore w:val="0"/>
              <w:widowControl/>
              <w:kinsoku w:val="0"/>
              <w:wordWrap w:val="0"/>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如果我方未在招标文件规定的时限内与招标人签订合同，或我方在签订合同过程中提出违背或超出招标文件、中标文件的要求。我方接受招标人依据招标文件作出的相应处 理以及有关监督部门作出的行政处罚，并承担由此引起的一切法律后果。</w:t>
            </w:r>
          </w:p>
        </w:tc>
      </w:tr>
    </w:tbl>
    <w:p w14:paraId="5841BEAA">
      <w:pPr>
        <w:keepNext w:val="0"/>
        <w:keepLines w:val="0"/>
        <w:pageBreakBefore w:val="0"/>
        <w:wordWrap w:val="0"/>
        <w:overflowPunct/>
        <w:topLinePunct w:val="0"/>
        <w:bidi w:val="0"/>
        <w:spacing w:before="78" w:line="219" w:lineRule="auto"/>
        <w:ind w:firstLine="6720" w:firstLineChars="2800"/>
        <w:jc w:val="both"/>
        <w:rPr>
          <w:rFonts w:hint="eastAsia" w:ascii="宋体" w:hAnsi="宋体" w:eastAsia="宋体" w:cs="宋体"/>
          <w:color w:val="auto"/>
          <w:spacing w:val="0"/>
          <w:sz w:val="24"/>
          <w:szCs w:val="24"/>
          <w:highlight w:val="none"/>
        </w:rPr>
      </w:pPr>
    </w:p>
    <w:p w14:paraId="5A5A4090">
      <w:pPr>
        <w:keepNext w:val="0"/>
        <w:keepLines w:val="0"/>
        <w:pageBreakBefore w:val="0"/>
        <w:wordWrap w:val="0"/>
        <w:overflowPunct/>
        <w:topLinePunct w:val="0"/>
        <w:bidi w:val="0"/>
        <w:spacing w:before="78" w:line="219" w:lineRule="auto"/>
        <w:ind w:firstLine="6720" w:firstLineChars="2800"/>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（盖单位章）</w:t>
      </w:r>
    </w:p>
    <w:p w14:paraId="11F3159F">
      <w:pPr>
        <w:pStyle w:val="6"/>
        <w:keepNext w:val="0"/>
        <w:keepLines w:val="0"/>
        <w:pageBreakBefore w:val="0"/>
        <w:wordWrap w:val="0"/>
        <w:overflowPunct/>
        <w:topLinePunct w:val="0"/>
        <w:bidi w:val="0"/>
        <w:spacing w:line="297" w:lineRule="auto"/>
        <w:jc w:val="right"/>
        <w:rPr>
          <w:rFonts w:hint="eastAsia" w:ascii="宋体" w:hAnsi="宋体" w:eastAsia="宋体" w:cs="宋体"/>
          <w:color w:val="auto"/>
          <w:spacing w:val="0"/>
          <w:highlight w:val="none"/>
        </w:rPr>
      </w:pPr>
    </w:p>
    <w:p w14:paraId="09C1B693">
      <w:pPr>
        <w:keepNext w:val="0"/>
        <w:keepLines w:val="0"/>
        <w:pageBreakBefore w:val="0"/>
        <w:wordWrap w:val="0"/>
        <w:overflowPunct/>
        <w:topLinePunct w:val="0"/>
        <w:bidi w:val="0"/>
        <w:spacing w:before="78" w:line="219" w:lineRule="auto"/>
        <w:ind w:left="4366"/>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（签字或盖章）</w:t>
      </w:r>
    </w:p>
    <w:p w14:paraId="5307D740">
      <w:pPr>
        <w:keepNext w:val="0"/>
        <w:keepLines w:val="0"/>
        <w:pageBreakBefore w:val="0"/>
        <w:wordWrap w:val="0"/>
        <w:overflowPunct/>
        <w:topLinePunct w:val="0"/>
        <w:bidi w:val="0"/>
        <w:outlineLvl w:val="9"/>
        <w:rPr>
          <w:rFonts w:hint="eastAsia"/>
          <w:color w:val="auto"/>
          <w:spacing w:val="0"/>
          <w:highlight w:val="none"/>
        </w:rPr>
      </w:pPr>
    </w:p>
    <w:p w14:paraId="76133165">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420BB4E">
      <w:pPr>
        <w:keepNext w:val="0"/>
        <w:keepLines w:val="0"/>
        <w:pageBreakBefore w:val="0"/>
        <w:wordWrap w:val="0"/>
        <w:overflowPunct/>
        <w:topLinePunct w:val="0"/>
        <w:bidi w:val="0"/>
        <w:spacing w:line="220" w:lineRule="auto"/>
        <w:jc w:val="right"/>
        <w:rPr>
          <w:rFonts w:hint="eastAsia" w:ascii="宋体" w:hAnsi="宋体" w:eastAsia="宋体" w:cs="宋体"/>
          <w:color w:val="auto"/>
          <w:spacing w:val="0"/>
          <w:sz w:val="24"/>
          <w:szCs w:val="24"/>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0B193340">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16" w:name="_Toc23435"/>
      <w:r>
        <w:rPr>
          <w:rFonts w:hint="eastAsia" w:ascii="宋体" w:hAnsi="宋体" w:eastAsia="宋体" w:cs="宋体"/>
          <w:b/>
          <w:bCs/>
          <w:color w:val="auto"/>
          <w:spacing w:val="0"/>
          <w:sz w:val="24"/>
          <w:szCs w:val="24"/>
          <w:highlight w:val="none"/>
        </w:rPr>
        <w:t>格式四 授权委托书</w:t>
      </w:r>
      <w:bookmarkEnd w:id="216"/>
    </w:p>
    <w:p w14:paraId="03776E3A">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27681910">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6710AE74">
      <w:pPr>
        <w:keepNext w:val="0"/>
        <w:keepLines w:val="0"/>
        <w:pageBreakBefore w:val="0"/>
        <w:wordWrap w:val="0"/>
        <w:overflowPunct/>
        <w:topLinePunct w:val="0"/>
        <w:bidi w:val="0"/>
        <w:spacing w:before="97" w:line="219" w:lineRule="auto"/>
        <w:ind w:left="3786"/>
        <w:rPr>
          <w:rFonts w:hint="eastAsia" w:ascii="宋体" w:hAnsi="宋体" w:eastAsia="宋体" w:cs="宋体"/>
          <w:color w:val="auto"/>
          <w:spacing w:val="0"/>
          <w:sz w:val="30"/>
          <w:szCs w:val="30"/>
          <w:highlight w:val="none"/>
        </w:rPr>
      </w:pPr>
      <w:bookmarkStart w:id="217" w:name="bookmark151"/>
      <w:bookmarkEnd w:id="217"/>
      <w:r>
        <w:rPr>
          <w:rFonts w:hint="eastAsia" w:ascii="宋体" w:hAnsi="宋体" w:eastAsia="宋体" w:cs="宋体"/>
          <w:b/>
          <w:bCs/>
          <w:color w:val="auto"/>
          <w:spacing w:val="0"/>
          <w:sz w:val="30"/>
          <w:szCs w:val="30"/>
          <w:highlight w:val="none"/>
        </w:rPr>
        <w:t>授权委托书</w:t>
      </w:r>
    </w:p>
    <w:p w14:paraId="6B19C13D">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761B3015">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586EF8E7">
      <w:pPr>
        <w:pStyle w:val="6"/>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29794F47">
      <w:pPr>
        <w:keepNext w:val="0"/>
        <w:keepLines w:val="0"/>
        <w:pageBreakBefore w:val="0"/>
        <w:widowControl/>
        <w:kinsoku w:val="0"/>
        <w:wordWrap w:val="0"/>
        <w:overflowPunct/>
        <w:topLinePunct w:val="0"/>
        <w:autoSpaceDE w:val="0"/>
        <w:autoSpaceDN w:val="0"/>
        <w:bidi w:val="0"/>
        <w:adjustRightInd w:val="0"/>
        <w:snapToGrid w:val="0"/>
        <w:spacing w:before="78" w:line="330" w:lineRule="auto"/>
        <w:ind w:firstLine="481"/>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 w:val="24"/>
          <w:szCs w:val="28"/>
          <w:highlight w:val="none"/>
          <w:lang w:eastAsia="zh-CN"/>
        </w:rPr>
        <w:t>本人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（姓名）系</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（投标人名称）的法定代表人，现委托</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snapToGrid w:val="0"/>
          <w:color w:val="auto"/>
          <w:spacing w:val="0"/>
          <w:kern w:val="0"/>
          <w:sz w:val="24"/>
          <w:szCs w:val="28"/>
          <w:highlight w:val="none"/>
          <w:u w:val="single"/>
          <w:lang w:eastAsia="zh-CN"/>
        </w:rPr>
        <w:t>（项目名称）</w:t>
      </w:r>
      <w:r>
        <w:rPr>
          <w:rFonts w:hint="eastAsia" w:ascii="宋体" w:hAnsi="宋体" w:eastAsia="宋体" w:cs="宋体"/>
          <w:snapToGrid w:val="0"/>
          <w:color w:val="auto"/>
          <w:spacing w:val="0"/>
          <w:kern w:val="0"/>
          <w:sz w:val="24"/>
          <w:szCs w:val="28"/>
          <w:highlight w:val="none"/>
          <w:lang w:eastAsia="zh-CN"/>
        </w:rPr>
        <w:t xml:space="preserve"> 施工投标文件、签订合同和处理有关事宜，其法律后果由我方承担。</w:t>
      </w:r>
    </w:p>
    <w:p w14:paraId="61311643">
      <w:pPr>
        <w:keepNext w:val="0"/>
        <w:keepLines w:val="0"/>
        <w:pageBreakBefore w:val="0"/>
        <w:widowControl/>
        <w:kinsoku w:val="0"/>
        <w:wordWrap w:val="0"/>
        <w:overflowPunct/>
        <w:topLinePunct w:val="0"/>
        <w:autoSpaceDE w:val="0"/>
        <w:autoSpaceDN w:val="0"/>
        <w:bidi w:val="0"/>
        <w:adjustRightInd w:val="0"/>
        <w:snapToGrid w:val="0"/>
        <w:spacing w:before="32" w:line="320" w:lineRule="auto"/>
        <w:ind w:left="480" w:right="49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委托期限：至</w:t>
      </w:r>
      <w:r>
        <w:rPr>
          <w:rFonts w:hint="eastAsia" w:ascii="宋体" w:hAnsi="宋体" w:eastAsia="宋体" w:cs="宋体"/>
          <w:color w:val="auto"/>
          <w:spacing w:val="0"/>
          <w:sz w:val="24"/>
          <w:szCs w:val="24"/>
          <w:highlight w:val="none"/>
          <w:u w:val="single"/>
        </w:rPr>
        <w:t xml:space="preserve">     年   月    日</w:t>
      </w:r>
      <w:r>
        <w:rPr>
          <w:rFonts w:hint="eastAsia" w:ascii="宋体" w:hAnsi="宋体" w:eastAsia="宋体" w:cs="宋体"/>
          <w:i/>
          <w:iCs/>
          <w:color w:val="auto"/>
          <w:spacing w:val="0"/>
          <w:sz w:val="25"/>
          <w:szCs w:val="25"/>
          <w:highlight w:val="none"/>
          <w:u w:val="single"/>
        </w:rPr>
        <w:t>（不得短于招标文件规定的投标有效期）</w:t>
      </w:r>
      <w:r>
        <w:rPr>
          <w:rFonts w:hint="eastAsia" w:ascii="宋体" w:hAnsi="宋体" w:eastAsia="宋体" w:cs="宋体"/>
          <w:color w:val="auto"/>
          <w:spacing w:val="0"/>
          <w:sz w:val="25"/>
          <w:szCs w:val="25"/>
          <w:highlight w:val="none"/>
        </w:rPr>
        <w:t xml:space="preserve"> </w:t>
      </w:r>
      <w:r>
        <w:rPr>
          <w:rFonts w:hint="eastAsia" w:ascii="宋体" w:hAnsi="宋体" w:eastAsia="宋体" w:cs="宋体"/>
          <w:color w:val="auto"/>
          <w:spacing w:val="0"/>
          <w:sz w:val="24"/>
          <w:szCs w:val="24"/>
          <w:highlight w:val="none"/>
        </w:rPr>
        <w:t xml:space="preserve">。 </w:t>
      </w:r>
    </w:p>
    <w:p w14:paraId="065F5DA6">
      <w:pPr>
        <w:keepNext w:val="0"/>
        <w:keepLines w:val="0"/>
        <w:pageBreakBefore w:val="0"/>
        <w:widowControl/>
        <w:kinsoku w:val="0"/>
        <w:wordWrap w:val="0"/>
        <w:overflowPunct/>
        <w:topLinePunct w:val="0"/>
        <w:autoSpaceDE w:val="0"/>
        <w:autoSpaceDN w:val="0"/>
        <w:bidi w:val="0"/>
        <w:adjustRightInd w:val="0"/>
        <w:snapToGrid w:val="0"/>
        <w:spacing w:before="32" w:line="320" w:lineRule="auto"/>
        <w:ind w:left="480" w:right="49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代理人无转委托权。</w:t>
      </w:r>
    </w:p>
    <w:p w14:paraId="03D08A77">
      <w:pPr>
        <w:pStyle w:val="6"/>
        <w:keepNext w:val="0"/>
        <w:keepLines w:val="0"/>
        <w:pageBreakBefore w:val="0"/>
        <w:wordWrap w:val="0"/>
        <w:overflowPunct/>
        <w:topLinePunct w:val="0"/>
        <w:bidi w:val="0"/>
        <w:spacing w:line="276" w:lineRule="auto"/>
        <w:rPr>
          <w:rFonts w:hint="eastAsia" w:ascii="宋体" w:hAnsi="宋体" w:eastAsia="宋体" w:cs="宋体"/>
          <w:color w:val="auto"/>
          <w:spacing w:val="0"/>
          <w:highlight w:val="none"/>
        </w:rPr>
      </w:pPr>
    </w:p>
    <w:p w14:paraId="43532AC3">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2B7914FB">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37C771EC">
      <w:pPr>
        <w:keepNext w:val="0"/>
        <w:keepLines w:val="0"/>
        <w:pageBreakBefore w:val="0"/>
        <w:wordWrap w:val="0"/>
        <w:overflowPunct/>
        <w:topLinePunct w:val="0"/>
        <w:bidi w:val="0"/>
        <w:spacing w:before="78" w:line="219" w:lineRule="auto"/>
        <w:ind w:left="3123"/>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  标  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67E86849">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4D39F848">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067D7E79">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67B8E691">
      <w:pPr>
        <w:keepNext w:val="0"/>
        <w:keepLines w:val="0"/>
        <w:pageBreakBefore w:val="0"/>
        <w:wordWrap w:val="0"/>
        <w:overflowPunct/>
        <w:topLinePunct w:val="0"/>
        <w:bidi w:val="0"/>
        <w:spacing w:before="79" w:line="219" w:lineRule="auto"/>
        <w:ind w:left="3121"/>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058F6FE5">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084C2FB0">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357963A6">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732A1D8F">
      <w:pPr>
        <w:keepNext w:val="0"/>
        <w:keepLines w:val="0"/>
        <w:pageBreakBefore w:val="0"/>
        <w:wordWrap w:val="0"/>
        <w:overflowPunct/>
        <w:topLinePunct w:val="0"/>
        <w:bidi w:val="0"/>
        <w:spacing w:before="78" w:line="219" w:lineRule="auto"/>
        <w:ind w:left="2880"/>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委托代理人：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1B567FA1">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3C2BC505">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32DFD235">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09CD99D4">
      <w:pPr>
        <w:keepNext w:val="0"/>
        <w:keepLines w:val="0"/>
        <w:pageBreakBefore w:val="0"/>
        <w:wordWrap w:val="0"/>
        <w:overflowPunct/>
        <w:topLinePunct w:val="0"/>
        <w:bidi w:val="0"/>
        <w:spacing w:before="78" w:line="220" w:lineRule="auto"/>
        <w:ind w:left="4201"/>
        <w:jc w:val="right"/>
        <w:rPr>
          <w:rFonts w:hint="eastAsia" w:ascii="宋体" w:hAnsi="宋体" w:eastAsia="宋体" w:cs="宋体"/>
          <w:color w:val="auto"/>
          <w:spacing w:val="0"/>
          <w:sz w:val="24"/>
          <w:szCs w:val="24"/>
          <w:highlight w:val="none"/>
        </w:rPr>
      </w:pPr>
    </w:p>
    <w:p w14:paraId="723A21F5">
      <w:pPr>
        <w:keepNext w:val="0"/>
        <w:keepLines w:val="0"/>
        <w:pageBreakBefore w:val="0"/>
        <w:wordWrap w:val="0"/>
        <w:overflowPunct/>
        <w:topLinePunct w:val="0"/>
        <w:bidi w:val="0"/>
        <w:spacing w:before="69"/>
        <w:rPr>
          <w:rFonts w:hint="eastAsia" w:ascii="宋体" w:hAnsi="宋体" w:eastAsia="宋体" w:cs="宋体"/>
          <w:color w:val="auto"/>
          <w:spacing w:val="0"/>
          <w:highlight w:val="none"/>
        </w:rPr>
      </w:pPr>
    </w:p>
    <w:p w14:paraId="1E0667E6">
      <w:pPr>
        <w:keepNext w:val="0"/>
        <w:keepLines w:val="0"/>
        <w:pageBreakBefore w:val="0"/>
        <w:wordWrap w:val="0"/>
        <w:overflowPunct/>
        <w:topLinePunct w:val="0"/>
        <w:bidi w:val="0"/>
        <w:spacing w:before="69"/>
        <w:rPr>
          <w:rFonts w:hint="eastAsia" w:ascii="宋体" w:hAnsi="宋体" w:eastAsia="宋体" w:cs="宋体"/>
          <w:color w:val="auto"/>
          <w:spacing w:val="0"/>
          <w:highlight w:val="none"/>
        </w:rPr>
      </w:pPr>
    </w:p>
    <w:tbl>
      <w:tblPr>
        <w:tblStyle w:val="15"/>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2127AB6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trHeight w:val="2570" w:hRule="atLeast"/>
        </w:trPr>
        <w:tc>
          <w:tcPr>
            <w:tcW w:w="5600" w:type="dxa"/>
            <w:vAlign w:val="top"/>
          </w:tcPr>
          <w:p w14:paraId="06290FA3">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73D5EEA8">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4189E6F9">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31D9240F">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30F2804B">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376A489E">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5A6EA383">
            <w:pPr>
              <w:pStyle w:val="28"/>
              <w:keepNext w:val="0"/>
              <w:keepLines w:val="0"/>
              <w:pageBreakBefore w:val="0"/>
              <w:wordWrap w:val="0"/>
              <w:overflowPunct/>
              <w:topLinePunct w:val="0"/>
              <w:bidi w:val="0"/>
              <w:spacing w:line="246" w:lineRule="auto"/>
              <w:rPr>
                <w:rFonts w:hint="eastAsia" w:ascii="宋体" w:hAnsi="宋体" w:eastAsia="宋体" w:cs="宋体"/>
                <w:color w:val="auto"/>
                <w:spacing w:val="0"/>
                <w:highlight w:val="none"/>
              </w:rPr>
            </w:pPr>
          </w:p>
          <w:p w14:paraId="46299238">
            <w:pPr>
              <w:keepNext w:val="0"/>
              <w:keepLines w:val="0"/>
              <w:pageBreakBefore w:val="0"/>
              <w:wordWrap w:val="0"/>
              <w:overflowPunct/>
              <w:topLinePunct w:val="0"/>
              <w:bidi w:val="0"/>
              <w:spacing w:before="78" w:line="220" w:lineRule="auto"/>
              <w:ind w:left="71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委托代理人身份证</w:t>
            </w:r>
            <w:r>
              <w:rPr>
                <w:rFonts w:hint="eastAsia" w:ascii="宋体" w:hAnsi="宋体" w:eastAsia="宋体" w:cs="宋体"/>
                <w:color w:val="auto"/>
                <w:spacing w:val="0"/>
                <w:sz w:val="24"/>
                <w:szCs w:val="24"/>
                <w:highlight w:val="none"/>
                <w:lang w:val="en-US" w:eastAsia="zh-CN"/>
              </w:rPr>
              <w:t>彩色扫描件</w:t>
            </w:r>
            <w:r>
              <w:rPr>
                <w:rFonts w:hint="eastAsia" w:ascii="宋体" w:hAnsi="宋体" w:eastAsia="宋体" w:cs="宋体"/>
                <w:color w:val="auto"/>
                <w:spacing w:val="0"/>
                <w:sz w:val="24"/>
                <w:szCs w:val="24"/>
                <w:highlight w:val="none"/>
              </w:rPr>
              <w:t>正、反面</w:t>
            </w:r>
          </w:p>
        </w:tc>
      </w:tr>
    </w:tbl>
    <w:p w14:paraId="1CD2E23D">
      <w:pPr>
        <w:pStyle w:val="6"/>
        <w:keepNext w:val="0"/>
        <w:keepLines w:val="0"/>
        <w:pageBreakBefore w:val="0"/>
        <w:wordWrap w:val="0"/>
        <w:overflowPunct/>
        <w:topLinePunct w:val="0"/>
        <w:bidi w:val="0"/>
        <w:rPr>
          <w:rFonts w:hint="eastAsia" w:ascii="宋体" w:hAnsi="宋体" w:eastAsia="宋体" w:cs="宋体"/>
          <w:color w:val="auto"/>
          <w:spacing w:val="0"/>
          <w:highlight w:val="none"/>
        </w:rPr>
      </w:pPr>
    </w:p>
    <w:p w14:paraId="414108A7">
      <w:pPr>
        <w:keepNext w:val="0"/>
        <w:keepLines w:val="0"/>
        <w:pageBreakBefore w:val="0"/>
        <w:wordWrap w:val="0"/>
        <w:overflowPunct/>
        <w:topLinePunct w:val="0"/>
        <w:bidi w:val="0"/>
        <w:rPr>
          <w:rFonts w:hint="eastAsia" w:ascii="宋体" w:hAnsi="宋体" w:eastAsia="宋体" w:cs="宋体"/>
          <w:color w:val="auto"/>
          <w:spacing w:val="0"/>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3DBB8BC">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18" w:name="_Toc9240"/>
      <w:r>
        <w:rPr>
          <w:rFonts w:hint="eastAsia" w:ascii="宋体" w:hAnsi="宋体" w:eastAsia="宋体" w:cs="宋体"/>
          <w:b/>
          <w:bCs/>
          <w:color w:val="auto"/>
          <w:spacing w:val="0"/>
          <w:sz w:val="24"/>
          <w:szCs w:val="24"/>
          <w:highlight w:val="none"/>
        </w:rPr>
        <w:t>格式五 法定代表人身份证明</w:t>
      </w:r>
      <w:bookmarkEnd w:id="218"/>
    </w:p>
    <w:p w14:paraId="64F0910B">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2888A3EE">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10601B29">
      <w:pPr>
        <w:keepNext w:val="0"/>
        <w:keepLines w:val="0"/>
        <w:pageBreakBefore w:val="0"/>
        <w:wordWrap w:val="0"/>
        <w:overflowPunct/>
        <w:topLinePunct w:val="0"/>
        <w:bidi w:val="0"/>
        <w:spacing w:before="98" w:line="220" w:lineRule="auto"/>
        <w:ind w:left="3183"/>
        <w:rPr>
          <w:rFonts w:hint="eastAsia" w:ascii="宋体" w:hAnsi="宋体" w:eastAsia="宋体" w:cs="宋体"/>
          <w:color w:val="auto"/>
          <w:spacing w:val="0"/>
          <w:sz w:val="30"/>
          <w:szCs w:val="30"/>
          <w:highlight w:val="none"/>
        </w:rPr>
      </w:pPr>
      <w:bookmarkStart w:id="219" w:name="bookmark152"/>
      <w:bookmarkEnd w:id="219"/>
      <w:r>
        <w:rPr>
          <w:rFonts w:hint="eastAsia" w:ascii="宋体" w:hAnsi="宋体" w:eastAsia="宋体" w:cs="宋体"/>
          <w:b/>
          <w:bCs/>
          <w:color w:val="auto"/>
          <w:spacing w:val="0"/>
          <w:sz w:val="30"/>
          <w:szCs w:val="30"/>
          <w:highlight w:val="none"/>
        </w:rPr>
        <w:t>法定代表人身份证明</w:t>
      </w:r>
    </w:p>
    <w:p w14:paraId="176A168B">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5B8D004F">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47A552CC">
      <w:pPr>
        <w:pStyle w:val="6"/>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6441890C">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u w:val="single"/>
        </w:rPr>
      </w:pPr>
      <w:r>
        <w:rPr>
          <w:rFonts w:hint="eastAsia" w:ascii="宋体" w:hAnsi="宋体" w:eastAsia="宋体" w:cs="宋体"/>
          <w:snapToGrid w:val="0"/>
          <w:color w:val="auto"/>
          <w:spacing w:val="0"/>
          <w:kern w:val="0"/>
          <w:sz w:val="24"/>
          <w:szCs w:val="24"/>
          <w:highlight w:val="none"/>
        </w:rPr>
        <w:t>投标人名称：</w:t>
      </w:r>
      <w:r>
        <w:rPr>
          <w:rFonts w:hint="eastAsia" w:ascii="宋体" w:hAnsi="宋体" w:eastAsia="宋体" w:cs="宋体"/>
          <w:snapToGrid w:val="0"/>
          <w:color w:val="auto"/>
          <w:spacing w:val="0"/>
          <w:kern w:val="0"/>
          <w:sz w:val="24"/>
          <w:szCs w:val="24"/>
          <w:highlight w:val="none"/>
          <w:u w:val="single"/>
        </w:rPr>
        <w:t xml:space="preserve">                  </w:t>
      </w:r>
    </w:p>
    <w:p w14:paraId="78081EA7">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u w:val="single"/>
        </w:rPr>
      </w:pPr>
      <w:r>
        <w:rPr>
          <w:rFonts w:hint="eastAsia" w:ascii="宋体" w:hAnsi="宋体" w:eastAsia="宋体" w:cs="宋体"/>
          <w:snapToGrid w:val="0"/>
          <w:color w:val="auto"/>
          <w:spacing w:val="0"/>
          <w:kern w:val="0"/>
          <w:sz w:val="24"/>
          <w:szCs w:val="24"/>
          <w:highlight w:val="none"/>
        </w:rPr>
        <w:t>姓名：</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性别：</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年龄：</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职务：</w:t>
      </w:r>
      <w:r>
        <w:rPr>
          <w:rFonts w:hint="eastAsia" w:ascii="宋体" w:hAnsi="宋体" w:eastAsia="宋体" w:cs="宋体"/>
          <w:snapToGrid w:val="0"/>
          <w:color w:val="auto"/>
          <w:spacing w:val="0"/>
          <w:kern w:val="0"/>
          <w:sz w:val="24"/>
          <w:szCs w:val="24"/>
          <w:highlight w:val="none"/>
          <w:u w:val="single"/>
        </w:rPr>
        <w:t xml:space="preserve">           </w:t>
      </w:r>
    </w:p>
    <w:p w14:paraId="572BE33E">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系</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（投标人名称）的法定代表人。</w:t>
      </w:r>
    </w:p>
    <w:p w14:paraId="7898B9FA">
      <w:pPr>
        <w:keepNext w:val="0"/>
        <w:keepLines w:val="0"/>
        <w:pageBreakBefore w:val="0"/>
        <w:wordWrap w:val="0"/>
        <w:overflowPunct/>
        <w:topLinePunct w:val="0"/>
        <w:bidi w:val="0"/>
        <w:adjustRightInd w:val="0"/>
        <w:snapToGrid w:val="0"/>
        <w:rPr>
          <w:rFonts w:hint="eastAsia" w:ascii="宋体" w:hAnsi="宋体" w:eastAsia="宋体" w:cs="宋体"/>
          <w:snapToGrid w:val="0"/>
          <w:color w:val="auto"/>
          <w:spacing w:val="0"/>
          <w:kern w:val="0"/>
          <w:szCs w:val="21"/>
          <w:highlight w:val="none"/>
        </w:rPr>
      </w:pPr>
      <w:r>
        <w:rPr>
          <w:rFonts w:hint="eastAsia" w:ascii="宋体" w:hAnsi="宋体" w:eastAsia="宋体" w:cs="宋体"/>
          <w:snapToGrid w:val="0"/>
          <w:color w:val="auto"/>
          <w:spacing w:val="0"/>
          <w:kern w:val="0"/>
          <w:sz w:val="24"/>
          <w:szCs w:val="24"/>
          <w:highlight w:val="none"/>
        </w:rPr>
        <w:t xml:space="preserve">    特此证明。</w:t>
      </w:r>
    </w:p>
    <w:p w14:paraId="1DA8C0EE">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46E051EF">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31074CD7">
      <w:pPr>
        <w:pStyle w:val="6"/>
        <w:keepNext w:val="0"/>
        <w:keepLines w:val="0"/>
        <w:pageBreakBefore w:val="0"/>
        <w:wordWrap w:val="0"/>
        <w:overflowPunct/>
        <w:topLinePunct w:val="0"/>
        <w:bidi w:val="0"/>
        <w:spacing w:line="278" w:lineRule="auto"/>
        <w:rPr>
          <w:rFonts w:hint="eastAsia" w:ascii="宋体" w:hAnsi="宋体" w:eastAsia="宋体" w:cs="宋体"/>
          <w:color w:val="auto"/>
          <w:spacing w:val="0"/>
          <w:highlight w:val="none"/>
        </w:rPr>
      </w:pPr>
    </w:p>
    <w:p w14:paraId="7DE923C3">
      <w:pPr>
        <w:keepNext w:val="0"/>
        <w:keepLines w:val="0"/>
        <w:pageBreakBefore w:val="0"/>
        <w:wordWrap w:val="0"/>
        <w:overflowPunct/>
        <w:topLinePunct w:val="0"/>
        <w:bidi w:val="0"/>
        <w:spacing w:before="78"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5195DD81">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355329DE">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6910EDC1">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14A7032E">
      <w:pPr>
        <w:keepNext w:val="0"/>
        <w:keepLines w:val="0"/>
        <w:pageBreakBefore w:val="0"/>
        <w:wordWrap w:val="0"/>
        <w:overflowPunct/>
        <w:topLinePunct w:val="0"/>
        <w:bidi w:val="0"/>
        <w:spacing w:before="79"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109F911F">
      <w:pPr>
        <w:pStyle w:val="6"/>
        <w:keepNext w:val="0"/>
        <w:keepLines w:val="0"/>
        <w:pageBreakBefore w:val="0"/>
        <w:wordWrap w:val="0"/>
        <w:overflowPunct/>
        <w:topLinePunct w:val="0"/>
        <w:bidi w:val="0"/>
        <w:spacing w:line="257" w:lineRule="auto"/>
        <w:jc w:val="right"/>
        <w:rPr>
          <w:rFonts w:hint="eastAsia" w:ascii="宋体" w:hAnsi="宋体" w:eastAsia="宋体" w:cs="宋体"/>
          <w:color w:val="auto"/>
          <w:spacing w:val="0"/>
          <w:highlight w:val="none"/>
        </w:rPr>
      </w:pPr>
    </w:p>
    <w:p w14:paraId="24B1B1E8">
      <w:pPr>
        <w:pStyle w:val="6"/>
        <w:keepNext w:val="0"/>
        <w:keepLines w:val="0"/>
        <w:pageBreakBefore w:val="0"/>
        <w:wordWrap w:val="0"/>
        <w:overflowPunct/>
        <w:topLinePunct w:val="0"/>
        <w:bidi w:val="0"/>
        <w:spacing w:line="257" w:lineRule="auto"/>
        <w:jc w:val="right"/>
        <w:rPr>
          <w:rFonts w:hint="eastAsia" w:ascii="宋体" w:hAnsi="宋体" w:eastAsia="宋体" w:cs="宋体"/>
          <w:color w:val="auto"/>
          <w:spacing w:val="0"/>
          <w:highlight w:val="none"/>
        </w:rPr>
      </w:pPr>
    </w:p>
    <w:p w14:paraId="033908D8">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4CB3CC8E">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1A118B4E">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29B7FFB7">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3FB212A0">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661DD784">
      <w:pPr>
        <w:pStyle w:val="6"/>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4F8DA62D">
      <w:pPr>
        <w:pStyle w:val="6"/>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67391F7A">
      <w:pPr>
        <w:pStyle w:val="6"/>
        <w:keepNext w:val="0"/>
        <w:keepLines w:val="0"/>
        <w:pageBreakBefore w:val="0"/>
        <w:wordWrap w:val="0"/>
        <w:overflowPunct/>
        <w:topLinePunct w:val="0"/>
        <w:bidi w:val="0"/>
        <w:spacing w:before="1" w:line="2510" w:lineRule="exact"/>
        <w:ind w:firstLine="2534"/>
        <w:rPr>
          <w:rFonts w:hint="eastAsia" w:ascii="宋体" w:hAnsi="宋体" w:eastAsia="宋体" w:cs="宋体"/>
          <w:color w:val="auto"/>
          <w:spacing w:val="0"/>
          <w:highlight w:val="none"/>
        </w:rPr>
      </w:pPr>
      <w:r>
        <w:rPr>
          <w:rFonts w:hint="eastAsia" w:ascii="宋体" w:hAnsi="宋体" w:eastAsia="宋体" w:cs="宋体"/>
          <w:color w:val="auto"/>
          <w:spacing w:val="0"/>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3"/>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30B2BA37">
                              <w:pPr>
                                <w:spacing w:line="249" w:lineRule="auto"/>
                                <w:rPr>
                                  <w:highlight w:val="none"/>
                                </w:rPr>
                              </w:pPr>
                            </w:p>
                            <w:p w14:paraId="0A32F196">
                              <w:pPr>
                                <w:spacing w:line="249" w:lineRule="auto"/>
                                <w:rPr>
                                  <w:highlight w:val="none"/>
                                </w:rPr>
                              </w:pPr>
                            </w:p>
                            <w:p w14:paraId="6C01FF1E">
                              <w:pPr>
                                <w:spacing w:line="249" w:lineRule="auto"/>
                                <w:rPr>
                                  <w:highlight w:val="none"/>
                                </w:rPr>
                              </w:pPr>
                            </w:p>
                            <w:p w14:paraId="5F468A72">
                              <w:pPr>
                                <w:spacing w:line="249" w:lineRule="auto"/>
                                <w:rPr>
                                  <w:highlight w:val="none"/>
                                </w:rPr>
                              </w:pPr>
                            </w:p>
                            <w:p w14:paraId="3437CEDB">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3"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0B2BA37">
                        <w:pPr>
                          <w:spacing w:line="249" w:lineRule="auto"/>
                          <w:rPr>
                            <w:highlight w:val="none"/>
                          </w:rPr>
                        </w:pPr>
                      </w:p>
                      <w:p w14:paraId="0A32F196">
                        <w:pPr>
                          <w:spacing w:line="249" w:lineRule="auto"/>
                          <w:rPr>
                            <w:highlight w:val="none"/>
                          </w:rPr>
                        </w:pPr>
                      </w:p>
                      <w:p w14:paraId="6C01FF1E">
                        <w:pPr>
                          <w:spacing w:line="249" w:lineRule="auto"/>
                          <w:rPr>
                            <w:highlight w:val="none"/>
                          </w:rPr>
                        </w:pPr>
                      </w:p>
                      <w:p w14:paraId="5F468A72">
                        <w:pPr>
                          <w:spacing w:line="249" w:lineRule="auto"/>
                          <w:rPr>
                            <w:highlight w:val="none"/>
                          </w:rPr>
                        </w:pPr>
                      </w:p>
                      <w:p w14:paraId="3437CEDB">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v:textbox>
                </v:shape>
                <w10:wrap type="none"/>
                <w10:anchorlock/>
              </v:group>
            </w:pict>
          </mc:Fallback>
        </mc:AlternateContent>
      </w:r>
    </w:p>
    <w:p w14:paraId="2BB2EBC8">
      <w:pPr>
        <w:keepNext w:val="0"/>
        <w:keepLines w:val="0"/>
        <w:pageBreakBefore w:val="0"/>
        <w:wordWrap w:val="0"/>
        <w:overflowPunct/>
        <w:topLinePunct w:val="0"/>
        <w:bidi w:val="0"/>
        <w:spacing w:line="2510" w:lineRule="exact"/>
        <w:rPr>
          <w:rFonts w:hint="eastAsia" w:ascii="宋体" w:hAnsi="宋体" w:eastAsia="宋体" w:cs="宋体"/>
          <w:color w:val="auto"/>
          <w:spacing w:val="0"/>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DAF3FC7">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lang w:eastAsia="zh-CN"/>
        </w:rPr>
      </w:pPr>
      <w:bookmarkStart w:id="220" w:name="_Toc12207"/>
      <w:r>
        <w:rPr>
          <w:rFonts w:hint="eastAsia" w:ascii="宋体" w:hAnsi="宋体" w:eastAsia="宋体" w:cs="宋体"/>
          <w:b/>
          <w:bCs/>
          <w:color w:val="auto"/>
          <w:spacing w:val="0"/>
          <w:sz w:val="24"/>
          <w:szCs w:val="24"/>
          <w:highlight w:val="none"/>
        </w:rPr>
        <w:t>格式六 联合体协议书</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如有</w:t>
      </w:r>
      <w:r>
        <w:rPr>
          <w:rFonts w:hint="eastAsia" w:ascii="宋体" w:hAnsi="宋体" w:eastAsia="宋体" w:cs="宋体"/>
          <w:b/>
          <w:bCs/>
          <w:color w:val="auto"/>
          <w:spacing w:val="0"/>
          <w:sz w:val="24"/>
          <w:szCs w:val="24"/>
          <w:highlight w:val="none"/>
          <w:lang w:eastAsia="zh-CN"/>
        </w:rPr>
        <w:t>）</w:t>
      </w:r>
      <w:bookmarkEnd w:id="220"/>
    </w:p>
    <w:p w14:paraId="7EE6374E">
      <w:pPr>
        <w:keepNext w:val="0"/>
        <w:keepLines w:val="0"/>
        <w:pageBreakBefore w:val="0"/>
        <w:wordWrap w:val="0"/>
        <w:overflowPunct/>
        <w:topLinePunct w:val="0"/>
        <w:bidi w:val="0"/>
        <w:spacing w:before="98" w:line="219" w:lineRule="auto"/>
        <w:ind w:left="3638"/>
        <w:rPr>
          <w:rFonts w:hint="eastAsia" w:ascii="宋体" w:hAnsi="宋体" w:eastAsia="宋体" w:cs="宋体"/>
          <w:color w:val="auto"/>
          <w:spacing w:val="0"/>
          <w:sz w:val="30"/>
          <w:szCs w:val="30"/>
          <w:highlight w:val="none"/>
          <w:lang w:eastAsia="zh-CN"/>
        </w:rPr>
      </w:pPr>
      <w:bookmarkStart w:id="221" w:name="bookmark153"/>
      <w:bookmarkEnd w:id="221"/>
      <w:r>
        <w:rPr>
          <w:rFonts w:hint="eastAsia" w:ascii="宋体" w:hAnsi="宋体" w:eastAsia="宋体" w:cs="宋体"/>
          <w:b/>
          <w:bCs/>
          <w:color w:val="auto"/>
          <w:spacing w:val="0"/>
          <w:sz w:val="30"/>
          <w:szCs w:val="30"/>
          <w:highlight w:val="none"/>
        </w:rPr>
        <w:t>联合体协议书</w:t>
      </w:r>
    </w:p>
    <w:p w14:paraId="66B66C30">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2B0D39DC">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牵头人名称： </w:t>
      </w:r>
    </w:p>
    <w:p w14:paraId="0F9C623A">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法定代表人： </w:t>
      </w:r>
    </w:p>
    <w:p w14:paraId="61337983">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法定住所：</w:t>
      </w:r>
    </w:p>
    <w:p w14:paraId="0B7EEC45">
      <w:pPr>
        <w:keepNext w:val="0"/>
        <w:keepLines w:val="0"/>
        <w:pageBreakBefore w:val="0"/>
        <w:wordWrap w:val="0"/>
        <w:overflowPunct/>
        <w:topLinePunct w:val="0"/>
        <w:bidi w:val="0"/>
        <w:outlineLvl w:val="9"/>
        <w:rPr>
          <w:rFonts w:hint="eastAsia"/>
          <w:color w:val="auto"/>
          <w:spacing w:val="0"/>
          <w:highlight w:val="none"/>
        </w:rPr>
      </w:pPr>
    </w:p>
    <w:p w14:paraId="207AD2AE">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成员二名称： </w:t>
      </w:r>
    </w:p>
    <w:p w14:paraId="35C3774A">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法定代表人： </w:t>
      </w:r>
    </w:p>
    <w:p w14:paraId="4A1D6D63">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法定住所：</w:t>
      </w:r>
    </w:p>
    <w:p w14:paraId="7C0F8432">
      <w:pPr>
        <w:keepNext w:val="0"/>
        <w:keepLines w:val="0"/>
        <w:pageBreakBefore w:val="0"/>
        <w:widowControl/>
        <w:kinsoku w:val="0"/>
        <w:wordWrap w:val="0"/>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p w14:paraId="09D55383">
      <w:pPr>
        <w:keepNext w:val="0"/>
        <w:keepLines w:val="0"/>
        <w:pageBreakBefore w:val="0"/>
        <w:widowControl/>
        <w:kinsoku w:val="0"/>
        <w:wordWrap w:val="0"/>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上述各成员单位经过友好协商，自愿组成联合体，共同参加（项目名称）（以下简 称“本项目 ”）的施工投标并争取赢得本项目施工承包合同（以下简称合同）。现就联 合体投标事宜订立如下协议：</w:t>
      </w:r>
    </w:p>
    <w:p w14:paraId="470AEF9A">
      <w:pPr>
        <w:keepNext w:val="0"/>
        <w:keepLines w:val="0"/>
        <w:pageBreakBefore w:val="0"/>
        <w:widowControl/>
        <w:kinsoku w:val="0"/>
        <w:wordWrap w:val="0"/>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．（某成员单位名称）为联合体牵头人。</w:t>
      </w:r>
    </w:p>
    <w:p w14:paraId="01E61A89">
      <w:pPr>
        <w:keepNext w:val="0"/>
        <w:keepLines w:val="0"/>
        <w:pageBreakBefore w:val="0"/>
        <w:widowControl/>
        <w:kinsoku w:val="0"/>
        <w:wordWrap w:val="0"/>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1F9A22CE">
      <w:pPr>
        <w:keepNext w:val="0"/>
        <w:keepLines w:val="0"/>
        <w:pageBreakBefore w:val="0"/>
        <w:widowControl/>
        <w:kinsoku w:val="0"/>
        <w:wordWrap w:val="0"/>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4ADCDF28">
      <w:pPr>
        <w:keepNext w:val="0"/>
        <w:keepLines w:val="0"/>
        <w:pageBreakBefore w:val="0"/>
        <w:widowControl/>
        <w:kinsoku w:val="0"/>
        <w:wordWrap w:val="0"/>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pacing w:val="0"/>
          <w:sz w:val="24"/>
          <w:szCs w:val="24"/>
          <w:highlight w:val="none"/>
        </w:rPr>
      </w:pPr>
      <w:bookmarkStart w:id="222" w:name="_Toc32149"/>
      <w:bookmarkStart w:id="223" w:name="_Toc5365"/>
      <w:r>
        <w:rPr>
          <w:rFonts w:hint="eastAsia" w:ascii="宋体" w:hAnsi="宋体" w:eastAsia="宋体" w:cs="宋体"/>
          <w:color w:val="auto"/>
          <w:spacing w:val="0"/>
          <w:sz w:val="24"/>
          <w:szCs w:val="24"/>
          <w:highlight w:val="none"/>
        </w:rPr>
        <w:t>4 ．联合体各成员单位内部的职责分工如下：。</w:t>
      </w:r>
      <w:bookmarkEnd w:id="222"/>
      <w:bookmarkEnd w:id="223"/>
    </w:p>
    <w:p w14:paraId="66972B38">
      <w:pPr>
        <w:keepNext w:val="0"/>
        <w:keepLines w:val="0"/>
        <w:pageBreakBefore w:val="0"/>
        <w:widowControl/>
        <w:kinsoku w:val="0"/>
        <w:wordWrap w:val="0"/>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．投标工作和联合体在中标后工程实施过程中的有关费用按各自承担的工作量分摊。</w:t>
      </w:r>
    </w:p>
    <w:p w14:paraId="16602AE1">
      <w:pPr>
        <w:keepNext w:val="0"/>
        <w:keepLines w:val="0"/>
        <w:pageBreakBefore w:val="0"/>
        <w:widowControl/>
        <w:kinsoku w:val="0"/>
        <w:wordWrap w:val="0"/>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 ．联合体中标后，本联合体协议是合同的附件，对联合体各成员单位有合同约束力。</w:t>
      </w:r>
    </w:p>
    <w:p w14:paraId="4A791BDA">
      <w:pPr>
        <w:keepNext w:val="0"/>
        <w:keepLines w:val="0"/>
        <w:pageBreakBefore w:val="0"/>
        <w:widowControl/>
        <w:kinsoku w:val="0"/>
        <w:wordWrap w:val="0"/>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 ．本协议书自签署之日起生效，联合体未中标或者中标时合同履行完毕后自动失效。</w:t>
      </w:r>
    </w:p>
    <w:p w14:paraId="45E52A06">
      <w:pPr>
        <w:keepNext w:val="0"/>
        <w:keepLines w:val="0"/>
        <w:pageBreakBefore w:val="0"/>
        <w:widowControl/>
        <w:kinsoku w:val="0"/>
        <w:wordWrap w:val="0"/>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pacing w:val="0"/>
          <w:sz w:val="24"/>
          <w:szCs w:val="24"/>
          <w:highlight w:val="none"/>
        </w:rPr>
      </w:pPr>
      <w:bookmarkStart w:id="224" w:name="_Toc26708"/>
      <w:bookmarkStart w:id="225" w:name="_Toc22612"/>
      <w:r>
        <w:rPr>
          <w:rFonts w:hint="eastAsia" w:ascii="宋体" w:hAnsi="宋体" w:eastAsia="宋体" w:cs="宋体"/>
          <w:color w:val="auto"/>
          <w:spacing w:val="0"/>
          <w:sz w:val="24"/>
          <w:szCs w:val="24"/>
          <w:highlight w:val="none"/>
        </w:rPr>
        <w:t>8 ．本协议书一式份，联合体成员和招标人各执一份。</w:t>
      </w:r>
      <w:bookmarkEnd w:id="224"/>
      <w:bookmarkEnd w:id="225"/>
    </w:p>
    <w:p w14:paraId="7383C992">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bookmarkStart w:id="226" w:name="bookmark154"/>
      <w:bookmarkEnd w:id="226"/>
      <w:r>
        <w:rPr>
          <w:rFonts w:hint="eastAsia" w:ascii="宋体" w:hAnsi="宋体" w:eastAsia="宋体" w:cs="宋体"/>
          <w:color w:val="auto"/>
          <w:spacing w:val="0"/>
          <w:sz w:val="24"/>
          <w:szCs w:val="24"/>
          <w:highlight w:val="none"/>
        </w:rPr>
        <w:t>牵头人名称：</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（盖单位章）</w:t>
      </w:r>
    </w:p>
    <w:p w14:paraId="473F3796">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5326D8EF">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（签字或盖章）</w:t>
      </w:r>
    </w:p>
    <w:p w14:paraId="4A50685C">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成员二名称：</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（盖单位章）</w:t>
      </w:r>
    </w:p>
    <w:p w14:paraId="5B247C4F">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1EC39C4E">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（签字或盖章）</w:t>
      </w:r>
    </w:p>
    <w:p w14:paraId="2C910984">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53670306">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7C2788A4">
      <w:pPr>
        <w:keepNext w:val="0"/>
        <w:keepLines w:val="0"/>
        <w:pageBreakBefore w:val="0"/>
        <w:widowControl/>
        <w:kinsoku w:val="0"/>
        <w:wordWrap w:val="0"/>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pacing w:val="0"/>
          <w:sz w:val="20"/>
          <w:szCs w:val="20"/>
          <w:highlight w:val="none"/>
        </w:rPr>
      </w:pPr>
      <w:r>
        <w:rPr>
          <w:rFonts w:hint="eastAsia" w:ascii="宋体" w:hAnsi="宋体" w:eastAsia="宋体" w:cs="宋体"/>
          <w:color w:val="auto"/>
          <w:spacing w:val="0"/>
          <w:sz w:val="20"/>
          <w:szCs w:val="20"/>
          <w:highlight w:val="none"/>
        </w:rPr>
        <w:t>说明：《联合体协议书》 由委托代理人签字或盖章的，应附法定代表人签字或盖章的授权委托书。</w:t>
      </w:r>
    </w:p>
    <w:p w14:paraId="1A78BC6F">
      <w:pPr>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sz w:val="20"/>
          <w:szCs w:val="20"/>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29AF8C9">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27" w:name="_Toc17122"/>
      <w:r>
        <w:rPr>
          <w:rFonts w:hint="eastAsia" w:ascii="宋体" w:hAnsi="宋体" w:eastAsia="宋体" w:cs="宋体"/>
          <w:b/>
          <w:bCs/>
          <w:color w:val="auto"/>
          <w:spacing w:val="0"/>
          <w:sz w:val="24"/>
          <w:szCs w:val="24"/>
          <w:highlight w:val="none"/>
        </w:rPr>
        <w:t>格式七 投标人基本情况表</w:t>
      </w:r>
      <w:bookmarkEnd w:id="227"/>
    </w:p>
    <w:p w14:paraId="3C060929">
      <w:pPr>
        <w:keepNext w:val="0"/>
        <w:keepLines w:val="0"/>
        <w:pageBreakBefore w:val="0"/>
        <w:wordWrap w:val="0"/>
        <w:overflowPunct/>
        <w:topLinePunct w:val="0"/>
        <w:bidi w:val="0"/>
        <w:spacing w:before="333" w:line="219" w:lineRule="auto"/>
        <w:ind w:left="3350"/>
        <w:rPr>
          <w:rFonts w:hint="eastAsia" w:ascii="宋体" w:hAnsi="宋体" w:eastAsia="宋体" w:cs="宋体"/>
          <w:color w:val="auto"/>
          <w:spacing w:val="0"/>
          <w:sz w:val="30"/>
          <w:szCs w:val="30"/>
          <w:highlight w:val="none"/>
        </w:rPr>
      </w:pPr>
      <w:r>
        <w:rPr>
          <w:rFonts w:hint="eastAsia" w:ascii="宋体" w:hAnsi="宋体" w:eastAsia="宋体" w:cs="宋体"/>
          <w:b/>
          <w:bCs/>
          <w:color w:val="auto"/>
          <w:spacing w:val="0"/>
          <w:sz w:val="30"/>
          <w:szCs w:val="30"/>
          <w:highlight w:val="none"/>
        </w:rPr>
        <w:t>投标人基本情况表</w:t>
      </w:r>
    </w:p>
    <w:p w14:paraId="06DA9422">
      <w:pPr>
        <w:keepNext w:val="0"/>
        <w:keepLines w:val="0"/>
        <w:pageBreakBefore w:val="0"/>
        <w:wordWrap w:val="0"/>
        <w:overflowPunct/>
        <w:topLinePunct w:val="0"/>
        <w:bidi w:val="0"/>
        <w:spacing w:line="239" w:lineRule="exact"/>
        <w:rPr>
          <w:rFonts w:hint="eastAsia" w:ascii="宋体" w:hAnsi="宋体" w:eastAsia="宋体" w:cs="宋体"/>
          <w:color w:val="auto"/>
          <w:spacing w:val="0"/>
          <w:highlight w:val="none"/>
        </w:rPr>
      </w:pPr>
    </w:p>
    <w:tbl>
      <w:tblPr>
        <w:tblStyle w:val="15"/>
        <w:tblW w:w="9259"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033E4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74A7C5BF">
            <w:pPr>
              <w:keepNext w:val="0"/>
              <w:keepLines w:val="0"/>
              <w:pageBreakBefore w:val="0"/>
              <w:widowControl/>
              <w:kinsoku w:val="0"/>
              <w:wordWrap w:val="0"/>
              <w:overflowPunct/>
              <w:topLinePunct w:val="0"/>
              <w:autoSpaceDE w:val="0"/>
              <w:autoSpaceDN w:val="0"/>
              <w:bidi w:val="0"/>
              <w:adjustRightInd w:val="0"/>
              <w:snapToGrid w:val="0"/>
              <w:spacing w:before="149"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投标人名称</w:t>
            </w:r>
          </w:p>
        </w:tc>
        <w:tc>
          <w:tcPr>
            <w:tcW w:w="7639" w:type="dxa"/>
            <w:gridSpan w:val="8"/>
            <w:vAlign w:val="center"/>
          </w:tcPr>
          <w:p w14:paraId="0DB2A2CE">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2F10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65451CF9">
            <w:pPr>
              <w:keepNext w:val="0"/>
              <w:keepLines w:val="0"/>
              <w:pageBreakBefore w:val="0"/>
              <w:widowControl/>
              <w:kinsoku w:val="0"/>
              <w:wordWrap w:val="0"/>
              <w:overflowPunct/>
              <w:topLinePunct w:val="0"/>
              <w:autoSpaceDE w:val="0"/>
              <w:autoSpaceDN w:val="0"/>
              <w:bidi w:val="0"/>
              <w:adjustRightInd w:val="0"/>
              <w:snapToGrid w:val="0"/>
              <w:spacing w:before="144"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注册地址</w:t>
            </w:r>
          </w:p>
        </w:tc>
        <w:tc>
          <w:tcPr>
            <w:tcW w:w="3684" w:type="dxa"/>
            <w:gridSpan w:val="3"/>
            <w:vAlign w:val="center"/>
          </w:tcPr>
          <w:p w14:paraId="7BF1DE6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6E7F119C">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邮政编码</w:t>
            </w:r>
          </w:p>
        </w:tc>
        <w:tc>
          <w:tcPr>
            <w:tcW w:w="2601" w:type="dxa"/>
            <w:gridSpan w:val="3"/>
            <w:vAlign w:val="center"/>
          </w:tcPr>
          <w:p w14:paraId="047A44F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75D48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Merge w:val="restart"/>
            <w:tcBorders>
              <w:bottom w:val="nil"/>
            </w:tcBorders>
            <w:vAlign w:val="center"/>
          </w:tcPr>
          <w:p w14:paraId="0F6ED57E">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联系方式</w:t>
            </w:r>
          </w:p>
        </w:tc>
        <w:tc>
          <w:tcPr>
            <w:tcW w:w="975" w:type="dxa"/>
            <w:vAlign w:val="center"/>
          </w:tcPr>
          <w:p w14:paraId="33FA9D06">
            <w:pPr>
              <w:keepNext w:val="0"/>
              <w:keepLines w:val="0"/>
              <w:pageBreakBefore w:val="0"/>
              <w:widowControl/>
              <w:kinsoku w:val="0"/>
              <w:wordWrap w:val="0"/>
              <w:overflowPunct/>
              <w:topLinePunct w:val="0"/>
              <w:autoSpaceDE w:val="0"/>
              <w:autoSpaceDN w:val="0"/>
              <w:bidi w:val="0"/>
              <w:adjustRightInd w:val="0"/>
              <w:snapToGrid w:val="0"/>
              <w:spacing w:before="145"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联系人</w:t>
            </w:r>
          </w:p>
        </w:tc>
        <w:tc>
          <w:tcPr>
            <w:tcW w:w="2709" w:type="dxa"/>
            <w:gridSpan w:val="2"/>
            <w:vAlign w:val="center"/>
          </w:tcPr>
          <w:p w14:paraId="3A1A86D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68D00D84">
            <w:pPr>
              <w:keepNext w:val="0"/>
              <w:keepLines w:val="0"/>
              <w:pageBreakBefore w:val="0"/>
              <w:widowControl/>
              <w:kinsoku w:val="0"/>
              <w:wordWrap w:val="0"/>
              <w:overflowPunct/>
              <w:topLinePunct w:val="0"/>
              <w:autoSpaceDE w:val="0"/>
              <w:autoSpaceDN w:val="0"/>
              <w:bidi w:val="0"/>
              <w:adjustRightInd w:val="0"/>
              <w:snapToGrid w:val="0"/>
              <w:spacing w:before="145"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  话</w:t>
            </w:r>
          </w:p>
        </w:tc>
        <w:tc>
          <w:tcPr>
            <w:tcW w:w="2601" w:type="dxa"/>
            <w:gridSpan w:val="3"/>
            <w:vAlign w:val="center"/>
          </w:tcPr>
          <w:p w14:paraId="478BD977">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0EE24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Merge w:val="continue"/>
            <w:tcBorders>
              <w:top w:val="nil"/>
            </w:tcBorders>
            <w:vAlign w:val="center"/>
          </w:tcPr>
          <w:p w14:paraId="7E9A5F01">
            <w:pPr>
              <w:pStyle w:val="28"/>
              <w:keepNext w:val="0"/>
              <w:keepLines w:val="0"/>
              <w:pageBreakBefore w:val="0"/>
              <w:widowControl/>
              <w:kinsoku w:val="0"/>
              <w:wordWrap w:val="0"/>
              <w:overflowPunct/>
              <w:topLinePunct w:val="0"/>
              <w:autoSpaceDE w:val="0"/>
              <w:autoSpaceDN w:val="0"/>
              <w:bidi w:val="0"/>
              <w:adjustRightInd w:val="0"/>
              <w:snapToGrid w:val="0"/>
              <w:spacing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975" w:type="dxa"/>
            <w:vAlign w:val="center"/>
          </w:tcPr>
          <w:p w14:paraId="04A5A850">
            <w:pPr>
              <w:keepNext w:val="0"/>
              <w:keepLines w:val="0"/>
              <w:pageBreakBefore w:val="0"/>
              <w:widowControl/>
              <w:kinsoku w:val="0"/>
              <w:wordWrap w:val="0"/>
              <w:overflowPunct/>
              <w:topLinePunct w:val="0"/>
              <w:autoSpaceDE w:val="0"/>
              <w:autoSpaceDN w:val="0"/>
              <w:bidi w:val="0"/>
              <w:adjustRightInd w:val="0"/>
              <w:snapToGrid w:val="0"/>
              <w:spacing w:before="143"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传  真</w:t>
            </w:r>
          </w:p>
        </w:tc>
        <w:tc>
          <w:tcPr>
            <w:tcW w:w="2709" w:type="dxa"/>
            <w:gridSpan w:val="2"/>
            <w:vAlign w:val="center"/>
          </w:tcPr>
          <w:p w14:paraId="408C0231">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7C350B75">
            <w:pPr>
              <w:keepNext w:val="0"/>
              <w:keepLines w:val="0"/>
              <w:pageBreakBefore w:val="0"/>
              <w:widowControl/>
              <w:kinsoku w:val="0"/>
              <w:wordWrap w:val="0"/>
              <w:overflowPunct/>
              <w:topLinePunct w:val="0"/>
              <w:autoSpaceDE w:val="0"/>
              <w:autoSpaceDN w:val="0"/>
              <w:bidi w:val="0"/>
              <w:adjustRightInd w:val="0"/>
              <w:snapToGrid w:val="0"/>
              <w:spacing w:before="144"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电子邮箱</w:t>
            </w:r>
          </w:p>
        </w:tc>
        <w:tc>
          <w:tcPr>
            <w:tcW w:w="2601" w:type="dxa"/>
            <w:gridSpan w:val="3"/>
            <w:vAlign w:val="center"/>
          </w:tcPr>
          <w:p w14:paraId="717515D4">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60C3F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33F0792">
            <w:pPr>
              <w:keepNext w:val="0"/>
              <w:keepLines w:val="0"/>
              <w:pageBreakBefore w:val="0"/>
              <w:widowControl/>
              <w:kinsoku w:val="0"/>
              <w:wordWrap w:val="0"/>
              <w:overflowPunct/>
              <w:topLinePunct w:val="0"/>
              <w:autoSpaceDE w:val="0"/>
              <w:autoSpaceDN w:val="0"/>
              <w:bidi w:val="0"/>
              <w:adjustRightInd w:val="0"/>
              <w:snapToGrid w:val="0"/>
              <w:spacing w:before="14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单位性质</w:t>
            </w:r>
          </w:p>
        </w:tc>
        <w:tc>
          <w:tcPr>
            <w:tcW w:w="7639" w:type="dxa"/>
            <w:gridSpan w:val="8"/>
            <w:vAlign w:val="center"/>
          </w:tcPr>
          <w:p w14:paraId="434E07A5">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C1E8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78583C86">
            <w:pPr>
              <w:keepNext w:val="0"/>
              <w:keepLines w:val="0"/>
              <w:pageBreakBefore w:val="0"/>
              <w:widowControl/>
              <w:kinsoku w:val="0"/>
              <w:wordWrap w:val="0"/>
              <w:overflowPunct/>
              <w:topLinePunct w:val="0"/>
              <w:autoSpaceDE w:val="0"/>
              <w:autoSpaceDN w:val="0"/>
              <w:bidi w:val="0"/>
              <w:adjustRightInd w:val="0"/>
              <w:snapToGrid w:val="0"/>
              <w:spacing w:before="144"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法定代表人</w:t>
            </w:r>
          </w:p>
        </w:tc>
        <w:tc>
          <w:tcPr>
            <w:tcW w:w="975" w:type="dxa"/>
            <w:vAlign w:val="center"/>
          </w:tcPr>
          <w:p w14:paraId="2CF8127D">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姓名</w:t>
            </w:r>
          </w:p>
        </w:tc>
        <w:tc>
          <w:tcPr>
            <w:tcW w:w="1837" w:type="dxa"/>
            <w:vAlign w:val="center"/>
          </w:tcPr>
          <w:p w14:paraId="55F10CB7">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Align w:val="center"/>
          </w:tcPr>
          <w:p w14:paraId="1248557B">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技术职称</w:t>
            </w:r>
          </w:p>
        </w:tc>
        <w:tc>
          <w:tcPr>
            <w:tcW w:w="1326" w:type="dxa"/>
            <w:gridSpan w:val="2"/>
            <w:vAlign w:val="center"/>
          </w:tcPr>
          <w:p w14:paraId="345CCE79">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770" w:type="dxa"/>
            <w:vAlign w:val="center"/>
          </w:tcPr>
          <w:p w14:paraId="63CA2C03">
            <w:pPr>
              <w:keepNext w:val="0"/>
              <w:keepLines w:val="0"/>
              <w:pageBreakBefore w:val="0"/>
              <w:widowControl/>
              <w:kinsoku w:val="0"/>
              <w:wordWrap w:val="0"/>
              <w:overflowPunct/>
              <w:topLinePunct w:val="0"/>
              <w:autoSpaceDE w:val="0"/>
              <w:autoSpaceDN w:val="0"/>
              <w:bidi w:val="0"/>
              <w:adjustRightInd w:val="0"/>
              <w:snapToGrid w:val="0"/>
              <w:spacing w:before="143"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电话</w:t>
            </w:r>
          </w:p>
        </w:tc>
        <w:tc>
          <w:tcPr>
            <w:tcW w:w="1548" w:type="dxa"/>
            <w:vAlign w:val="center"/>
          </w:tcPr>
          <w:p w14:paraId="21775F2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6C9B2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AB30980">
            <w:pPr>
              <w:keepNext w:val="0"/>
              <w:keepLines w:val="0"/>
              <w:pageBreakBefore w:val="0"/>
              <w:widowControl/>
              <w:kinsoku w:val="0"/>
              <w:wordWrap w:val="0"/>
              <w:overflowPunct/>
              <w:topLinePunct w:val="0"/>
              <w:autoSpaceDE w:val="0"/>
              <w:autoSpaceDN w:val="0"/>
              <w:bidi w:val="0"/>
              <w:adjustRightInd w:val="0"/>
              <w:snapToGrid w:val="0"/>
              <w:spacing w:before="14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成立时间</w:t>
            </w:r>
          </w:p>
        </w:tc>
        <w:tc>
          <w:tcPr>
            <w:tcW w:w="2812" w:type="dxa"/>
            <w:gridSpan w:val="2"/>
            <w:vAlign w:val="center"/>
          </w:tcPr>
          <w:p w14:paraId="1528A619">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4827" w:type="dxa"/>
            <w:gridSpan w:val="6"/>
            <w:vAlign w:val="center"/>
          </w:tcPr>
          <w:p w14:paraId="29648EC6">
            <w:pPr>
              <w:keepNext w:val="0"/>
              <w:keepLines w:val="0"/>
              <w:pageBreakBefore w:val="0"/>
              <w:widowControl/>
              <w:kinsoku w:val="0"/>
              <w:wordWrap w:val="0"/>
              <w:overflowPunct/>
              <w:topLinePunct w:val="0"/>
              <w:autoSpaceDE w:val="0"/>
              <w:autoSpaceDN w:val="0"/>
              <w:bidi w:val="0"/>
              <w:adjustRightInd w:val="0"/>
              <w:snapToGrid w:val="0"/>
              <w:spacing w:before="145"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员工总人数（个）：</w:t>
            </w:r>
          </w:p>
        </w:tc>
      </w:tr>
      <w:tr w14:paraId="1639B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554FA43F">
            <w:pPr>
              <w:keepNext w:val="0"/>
              <w:keepLines w:val="0"/>
              <w:pageBreakBefore w:val="0"/>
              <w:widowControl/>
              <w:kinsoku w:val="0"/>
              <w:wordWrap w:val="0"/>
              <w:overflowPunct/>
              <w:topLinePunct w:val="0"/>
              <w:autoSpaceDE w:val="0"/>
              <w:autoSpaceDN w:val="0"/>
              <w:bidi w:val="0"/>
              <w:adjustRightInd w:val="0"/>
              <w:snapToGrid w:val="0"/>
              <w:spacing w:before="61"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企业资质  </w:t>
            </w:r>
          </w:p>
          <w:p w14:paraId="4BDC0C8F">
            <w:pPr>
              <w:keepNext w:val="0"/>
              <w:keepLines w:val="0"/>
              <w:pageBreakBefore w:val="0"/>
              <w:widowControl/>
              <w:kinsoku w:val="0"/>
              <w:wordWrap w:val="0"/>
              <w:overflowPunct/>
              <w:topLinePunct w:val="0"/>
              <w:autoSpaceDE w:val="0"/>
              <w:autoSpaceDN w:val="0"/>
              <w:bidi w:val="0"/>
              <w:adjustRightInd w:val="0"/>
              <w:snapToGrid w:val="0"/>
              <w:spacing w:before="61"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类型和等级</w:t>
            </w:r>
          </w:p>
        </w:tc>
        <w:tc>
          <w:tcPr>
            <w:tcW w:w="2812" w:type="dxa"/>
            <w:gridSpan w:val="2"/>
            <w:vAlign w:val="center"/>
          </w:tcPr>
          <w:p w14:paraId="177F1066">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restart"/>
            <w:tcBorders>
              <w:bottom w:val="nil"/>
            </w:tcBorders>
            <w:vAlign w:val="center"/>
          </w:tcPr>
          <w:p w14:paraId="102DBC66">
            <w:pPr>
              <w:keepNext w:val="0"/>
              <w:keepLines w:val="0"/>
              <w:pageBreakBefore w:val="0"/>
              <w:widowControl/>
              <w:kinsoku w:val="0"/>
              <w:wordWrap w:val="0"/>
              <w:overflowPunct/>
              <w:topLinePunct w:val="0"/>
              <w:autoSpaceDE w:val="0"/>
              <w:autoSpaceDN w:val="0"/>
              <w:bidi w:val="0"/>
              <w:adjustRightInd w:val="0"/>
              <w:snapToGrid w:val="0"/>
              <w:spacing w:before="65"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其中</w:t>
            </w:r>
          </w:p>
        </w:tc>
        <w:tc>
          <w:tcPr>
            <w:tcW w:w="2096" w:type="dxa"/>
            <w:gridSpan w:val="3"/>
            <w:vAlign w:val="center"/>
          </w:tcPr>
          <w:p w14:paraId="2278305A">
            <w:pPr>
              <w:keepNext w:val="0"/>
              <w:keepLines w:val="0"/>
              <w:pageBreakBefore w:val="0"/>
              <w:widowControl/>
              <w:kinsoku w:val="0"/>
              <w:wordWrap w:val="0"/>
              <w:overflowPunct/>
              <w:topLinePunct w:val="0"/>
              <w:autoSpaceDE w:val="0"/>
              <w:autoSpaceDN w:val="0"/>
              <w:bidi w:val="0"/>
              <w:adjustRightInd w:val="0"/>
              <w:snapToGrid w:val="0"/>
              <w:spacing w:before="214"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项目经理</w:t>
            </w:r>
          </w:p>
        </w:tc>
        <w:tc>
          <w:tcPr>
            <w:tcW w:w="1548" w:type="dxa"/>
            <w:vAlign w:val="center"/>
          </w:tcPr>
          <w:p w14:paraId="3262520C">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738EE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3E310579">
            <w:pPr>
              <w:keepNext w:val="0"/>
              <w:keepLines w:val="0"/>
              <w:pageBreakBefore w:val="0"/>
              <w:widowControl/>
              <w:kinsoku w:val="0"/>
              <w:wordWrap w:val="0"/>
              <w:overflowPunct/>
              <w:topLinePunct w:val="0"/>
              <w:autoSpaceDE w:val="0"/>
              <w:autoSpaceDN w:val="0"/>
              <w:bidi w:val="0"/>
              <w:adjustRightInd w:val="0"/>
              <w:snapToGrid w:val="0"/>
              <w:spacing w:before="146"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营业执照号</w:t>
            </w:r>
          </w:p>
        </w:tc>
        <w:tc>
          <w:tcPr>
            <w:tcW w:w="2812" w:type="dxa"/>
            <w:gridSpan w:val="2"/>
            <w:vAlign w:val="center"/>
          </w:tcPr>
          <w:p w14:paraId="771E0050">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5949ACF2">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6C5F1489">
            <w:pPr>
              <w:keepNext w:val="0"/>
              <w:keepLines w:val="0"/>
              <w:pageBreakBefore w:val="0"/>
              <w:widowControl/>
              <w:kinsoku w:val="0"/>
              <w:wordWrap w:val="0"/>
              <w:overflowPunct/>
              <w:topLinePunct w:val="0"/>
              <w:autoSpaceDE w:val="0"/>
              <w:autoSpaceDN w:val="0"/>
              <w:bidi w:val="0"/>
              <w:adjustRightInd w:val="0"/>
              <w:snapToGrid w:val="0"/>
              <w:spacing w:before="146"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高级职称人员</w:t>
            </w:r>
          </w:p>
        </w:tc>
        <w:tc>
          <w:tcPr>
            <w:tcW w:w="1548" w:type="dxa"/>
            <w:vAlign w:val="center"/>
          </w:tcPr>
          <w:p w14:paraId="484C31E4">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77906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199E82AD">
            <w:pPr>
              <w:keepNext w:val="0"/>
              <w:keepLines w:val="0"/>
              <w:pageBreakBefore w:val="0"/>
              <w:widowControl/>
              <w:kinsoku w:val="0"/>
              <w:wordWrap w:val="0"/>
              <w:overflowPunct/>
              <w:topLinePunct w:val="0"/>
              <w:autoSpaceDE w:val="0"/>
              <w:autoSpaceDN w:val="0"/>
              <w:bidi w:val="0"/>
              <w:adjustRightInd w:val="0"/>
              <w:snapToGrid w:val="0"/>
              <w:spacing w:before="146"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注册资金</w:t>
            </w:r>
          </w:p>
        </w:tc>
        <w:tc>
          <w:tcPr>
            <w:tcW w:w="2812" w:type="dxa"/>
            <w:gridSpan w:val="2"/>
            <w:vAlign w:val="center"/>
          </w:tcPr>
          <w:p w14:paraId="28BB0564">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2B790690">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27F06363">
            <w:pPr>
              <w:keepNext w:val="0"/>
              <w:keepLines w:val="0"/>
              <w:pageBreakBefore w:val="0"/>
              <w:widowControl/>
              <w:kinsoku w:val="0"/>
              <w:wordWrap w:val="0"/>
              <w:overflowPunct/>
              <w:topLinePunct w:val="0"/>
              <w:autoSpaceDE w:val="0"/>
              <w:autoSpaceDN w:val="0"/>
              <w:bidi w:val="0"/>
              <w:adjustRightInd w:val="0"/>
              <w:snapToGrid w:val="0"/>
              <w:spacing w:before="147"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中级职称人员</w:t>
            </w:r>
          </w:p>
        </w:tc>
        <w:tc>
          <w:tcPr>
            <w:tcW w:w="1548" w:type="dxa"/>
            <w:vAlign w:val="center"/>
          </w:tcPr>
          <w:p w14:paraId="18CD397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453B7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532F27D9">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基本账户 </w:t>
            </w:r>
          </w:p>
          <w:p w14:paraId="41955478">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开户银行</w:t>
            </w:r>
          </w:p>
        </w:tc>
        <w:tc>
          <w:tcPr>
            <w:tcW w:w="2812" w:type="dxa"/>
            <w:gridSpan w:val="2"/>
            <w:vAlign w:val="center"/>
          </w:tcPr>
          <w:p w14:paraId="65DFBEF7">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31F677A8">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0336B438">
            <w:pPr>
              <w:keepNext w:val="0"/>
              <w:keepLines w:val="0"/>
              <w:pageBreakBefore w:val="0"/>
              <w:widowControl/>
              <w:kinsoku w:val="0"/>
              <w:wordWrap w:val="0"/>
              <w:overflowPunct/>
              <w:topLinePunct w:val="0"/>
              <w:autoSpaceDE w:val="0"/>
              <w:autoSpaceDN w:val="0"/>
              <w:bidi w:val="0"/>
              <w:adjustRightInd w:val="0"/>
              <w:snapToGrid w:val="0"/>
              <w:spacing w:before="191" w:line="230"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初级职称人员</w:t>
            </w:r>
          </w:p>
        </w:tc>
        <w:tc>
          <w:tcPr>
            <w:tcW w:w="1548" w:type="dxa"/>
            <w:vAlign w:val="center"/>
          </w:tcPr>
          <w:p w14:paraId="00F898E7">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2E7A6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E52826A">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基本账户 </w:t>
            </w:r>
          </w:p>
          <w:p w14:paraId="33D5D73F">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银行账号</w:t>
            </w:r>
          </w:p>
        </w:tc>
        <w:tc>
          <w:tcPr>
            <w:tcW w:w="2812" w:type="dxa"/>
            <w:gridSpan w:val="2"/>
            <w:vAlign w:val="center"/>
          </w:tcPr>
          <w:p w14:paraId="60A346F4">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tcBorders>
            <w:vAlign w:val="center"/>
          </w:tcPr>
          <w:p w14:paraId="1322C4EB">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4D44C804">
            <w:pPr>
              <w:keepNext w:val="0"/>
              <w:keepLines w:val="0"/>
              <w:pageBreakBefore w:val="0"/>
              <w:widowControl/>
              <w:kinsoku w:val="0"/>
              <w:wordWrap w:val="0"/>
              <w:overflowPunct/>
              <w:topLinePunct w:val="0"/>
              <w:autoSpaceDE w:val="0"/>
              <w:autoSpaceDN w:val="0"/>
              <w:bidi w:val="0"/>
              <w:adjustRightInd w:val="0"/>
              <w:snapToGrid w:val="0"/>
              <w:spacing w:before="211"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技术员</w:t>
            </w:r>
          </w:p>
        </w:tc>
        <w:tc>
          <w:tcPr>
            <w:tcW w:w="1548" w:type="dxa"/>
            <w:vAlign w:val="center"/>
          </w:tcPr>
          <w:p w14:paraId="46D2B23A">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6A626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3BF7B502">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经营范围</w:t>
            </w:r>
          </w:p>
        </w:tc>
        <w:tc>
          <w:tcPr>
            <w:tcW w:w="7639" w:type="dxa"/>
            <w:gridSpan w:val="8"/>
            <w:vAlign w:val="center"/>
          </w:tcPr>
          <w:p w14:paraId="07997BAE">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29A8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05DF8A32">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关联企业情况</w:t>
            </w:r>
          </w:p>
        </w:tc>
        <w:tc>
          <w:tcPr>
            <w:tcW w:w="7639" w:type="dxa"/>
            <w:gridSpan w:val="8"/>
            <w:vAlign w:val="center"/>
          </w:tcPr>
          <w:p w14:paraId="1E7ADE4D">
            <w:pPr>
              <w:keepNext w:val="0"/>
              <w:keepLines w:val="0"/>
              <w:pageBreakBefore w:val="0"/>
              <w:widowControl/>
              <w:kinsoku w:val="0"/>
              <w:wordWrap w:val="0"/>
              <w:overflowPunct/>
              <w:topLinePunct w:val="0"/>
              <w:autoSpaceDE w:val="0"/>
              <w:autoSpaceDN w:val="0"/>
              <w:bidi w:val="0"/>
              <w:adjustRightInd w:val="0"/>
              <w:snapToGrid w:val="0"/>
              <w:spacing w:before="168"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包括但不限于与投标人存在以下关系的不同单位：</w:t>
            </w:r>
          </w:p>
          <w:p w14:paraId="0A579FFA">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1 ．法定代表人为同一人的。</w:t>
            </w:r>
          </w:p>
          <w:p w14:paraId="20E6965C">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2 ．存在控股、管理关系的。</w:t>
            </w:r>
          </w:p>
          <w:p w14:paraId="585BD72F">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3 ．主要人员相互任职的。</w:t>
            </w:r>
          </w:p>
        </w:tc>
      </w:tr>
      <w:tr w14:paraId="28D64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A94CEF9">
            <w:pPr>
              <w:keepNext w:val="0"/>
              <w:keepLines w:val="0"/>
              <w:pageBreakBefore w:val="0"/>
              <w:widowControl/>
              <w:kinsoku w:val="0"/>
              <w:wordWrap w:val="0"/>
              <w:overflowPunct/>
              <w:topLinePunct w:val="0"/>
              <w:autoSpaceDE w:val="0"/>
              <w:autoSpaceDN w:val="0"/>
              <w:bidi w:val="0"/>
              <w:adjustRightInd w:val="0"/>
              <w:snapToGrid w:val="0"/>
              <w:spacing w:before="235" w:line="230"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备注</w:t>
            </w:r>
          </w:p>
        </w:tc>
        <w:tc>
          <w:tcPr>
            <w:tcW w:w="7639" w:type="dxa"/>
            <w:gridSpan w:val="8"/>
            <w:vAlign w:val="center"/>
          </w:tcPr>
          <w:p w14:paraId="33A69765">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bl>
    <w:p w14:paraId="34C67D25">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p>
    <w:p w14:paraId="69B31669">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说明：</w:t>
      </w:r>
    </w:p>
    <w:p w14:paraId="5F7DADAA">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outlineLvl w:val="9"/>
        <w:rPr>
          <w:rFonts w:hint="eastAsia" w:ascii="宋体" w:hAnsi="宋体" w:eastAsia="宋体" w:cs="宋体"/>
          <w:color w:val="auto"/>
          <w:spacing w:val="0"/>
          <w:sz w:val="21"/>
          <w:szCs w:val="21"/>
          <w:highlight w:val="none"/>
        </w:rPr>
      </w:pPr>
      <w:bookmarkStart w:id="228" w:name="_Toc14048"/>
      <w:bookmarkStart w:id="229" w:name="_Toc5131"/>
      <w:r>
        <w:rPr>
          <w:rFonts w:hint="eastAsia" w:ascii="宋体" w:hAnsi="宋体" w:eastAsia="宋体" w:cs="宋体"/>
          <w:color w:val="auto"/>
          <w:spacing w:val="0"/>
          <w:sz w:val="21"/>
          <w:szCs w:val="21"/>
          <w:highlight w:val="none"/>
        </w:rPr>
        <w:t>1 ．《投标人基本情况表》后应附以下资料：</w:t>
      </w:r>
      <w:bookmarkEnd w:id="228"/>
      <w:bookmarkEnd w:id="229"/>
    </w:p>
    <w:p w14:paraId="230E1626">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259B1130">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（2）</w:t>
      </w:r>
      <w:r>
        <w:rPr>
          <w:rFonts w:hint="eastAsia" w:ascii="宋体" w:hAnsi="宋体" w:eastAsia="宋体" w:cs="宋体"/>
          <w:color w:val="auto"/>
          <w:spacing w:val="0"/>
          <w:sz w:val="21"/>
          <w:szCs w:val="21"/>
          <w:highlight w:val="none"/>
        </w:rPr>
        <w:t>“进粤企业和人员诚信信息登记平台 ”企业信息情况打印页。（适用于省外建筑企业）</w:t>
      </w:r>
    </w:p>
    <w:p w14:paraId="49CB0524">
      <w:pPr>
        <w:keepNext w:val="0"/>
        <w:keepLines w:val="0"/>
        <w:pageBreakBefore w:val="0"/>
        <w:widowControl/>
        <w:kinsoku w:val="0"/>
        <w:wordWrap w:val="0"/>
        <w:overflowPunct/>
        <w:topLinePunct w:val="0"/>
        <w:autoSpaceDE w:val="0"/>
        <w:autoSpaceDN w:val="0"/>
        <w:bidi w:val="0"/>
        <w:adjustRightInd w:val="0"/>
        <w:snapToGrid w:val="0"/>
        <w:spacing w:line="30" w:lineRule="atLeast"/>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（3）</w:t>
      </w:r>
      <w:r>
        <w:rPr>
          <w:rFonts w:hint="eastAsia" w:ascii="宋体" w:hAnsi="宋体" w:eastAsia="宋体" w:cs="宋体"/>
          <w:color w:val="auto"/>
          <w:spacing w:val="0"/>
          <w:sz w:val="21"/>
          <w:szCs w:val="21"/>
          <w:highlight w:val="none"/>
        </w:rPr>
        <w:t>《法人和非法人组织公共信用信息报告》（在“信用中国 ”网站企业查询界面中下载）。</w:t>
      </w:r>
    </w:p>
    <w:p w14:paraId="214750AF">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．联合体投标的，联合体成员单位均应填写《投标人基本情况表》并提供以上所需资料。</w:t>
      </w:r>
    </w:p>
    <w:p w14:paraId="012C8021">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2AB7BED9">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30" w:name="_Toc30292"/>
      <w:r>
        <w:rPr>
          <w:rFonts w:hint="eastAsia" w:ascii="宋体" w:hAnsi="宋体" w:eastAsia="宋体" w:cs="宋体"/>
          <w:b/>
          <w:bCs/>
          <w:color w:val="auto"/>
          <w:spacing w:val="0"/>
          <w:sz w:val="24"/>
          <w:szCs w:val="24"/>
          <w:highlight w:val="none"/>
        </w:rPr>
        <w:t>格式八 项目经理简历表</w:t>
      </w:r>
      <w:bookmarkEnd w:id="230"/>
    </w:p>
    <w:p w14:paraId="07245DD0">
      <w:pPr>
        <w:pStyle w:val="6"/>
        <w:keepNext w:val="0"/>
        <w:keepLines w:val="0"/>
        <w:pageBreakBefore w:val="0"/>
        <w:wordWrap w:val="0"/>
        <w:overflowPunct/>
        <w:topLinePunct w:val="0"/>
        <w:bidi w:val="0"/>
        <w:spacing w:line="444" w:lineRule="auto"/>
        <w:rPr>
          <w:rFonts w:hint="eastAsia" w:ascii="宋体" w:hAnsi="宋体" w:eastAsia="宋体" w:cs="宋体"/>
          <w:color w:val="auto"/>
          <w:spacing w:val="0"/>
          <w:highlight w:val="none"/>
        </w:rPr>
      </w:pPr>
    </w:p>
    <w:p w14:paraId="0C78A5C7">
      <w:pPr>
        <w:keepNext w:val="0"/>
        <w:keepLines w:val="0"/>
        <w:pageBreakBefore w:val="0"/>
        <w:wordWrap w:val="0"/>
        <w:overflowPunct/>
        <w:topLinePunct w:val="0"/>
        <w:bidi w:val="0"/>
        <w:spacing w:before="97" w:line="219" w:lineRule="auto"/>
        <w:ind w:left="3538"/>
        <w:outlineLvl w:val="9"/>
        <w:rPr>
          <w:rFonts w:hint="eastAsia" w:ascii="宋体" w:hAnsi="宋体" w:eastAsia="宋体" w:cs="宋体"/>
          <w:color w:val="auto"/>
          <w:spacing w:val="0"/>
          <w:sz w:val="30"/>
          <w:szCs w:val="30"/>
          <w:highlight w:val="none"/>
        </w:rPr>
      </w:pPr>
      <w:bookmarkStart w:id="231" w:name="bookmark156"/>
      <w:bookmarkEnd w:id="231"/>
      <w:bookmarkStart w:id="232" w:name="bookmark89"/>
      <w:bookmarkEnd w:id="232"/>
      <w:bookmarkStart w:id="233" w:name="_Toc24489"/>
      <w:bookmarkStart w:id="234" w:name="_Toc31533"/>
      <w:r>
        <w:rPr>
          <w:rFonts w:hint="eastAsia" w:ascii="宋体" w:hAnsi="宋体" w:eastAsia="宋体" w:cs="宋体"/>
          <w:b/>
          <w:bCs/>
          <w:color w:val="auto"/>
          <w:spacing w:val="0"/>
          <w:sz w:val="30"/>
          <w:szCs w:val="30"/>
          <w:highlight w:val="none"/>
        </w:rPr>
        <w:t>项目经理简历表</w:t>
      </w:r>
      <w:bookmarkEnd w:id="233"/>
      <w:bookmarkEnd w:id="234"/>
    </w:p>
    <w:p w14:paraId="733B316D">
      <w:pPr>
        <w:keepNext w:val="0"/>
        <w:keepLines w:val="0"/>
        <w:pageBreakBefore w:val="0"/>
        <w:wordWrap w:val="0"/>
        <w:overflowPunct/>
        <w:topLinePunct w:val="0"/>
        <w:bidi w:val="0"/>
        <w:spacing w:line="240" w:lineRule="exact"/>
        <w:rPr>
          <w:rFonts w:hint="eastAsia" w:ascii="宋体" w:hAnsi="宋体" w:eastAsia="宋体" w:cs="宋体"/>
          <w:color w:val="auto"/>
          <w:spacing w:val="0"/>
          <w:highlight w:val="none"/>
        </w:rPr>
      </w:pPr>
    </w:p>
    <w:tbl>
      <w:tblPr>
        <w:tblStyle w:val="15"/>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52897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center"/>
          </w:tcPr>
          <w:p w14:paraId="4005FF2B">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姓   名</w:t>
            </w:r>
          </w:p>
        </w:tc>
        <w:tc>
          <w:tcPr>
            <w:tcW w:w="1294" w:type="dxa"/>
            <w:gridSpan w:val="2"/>
            <w:vAlign w:val="center"/>
          </w:tcPr>
          <w:p w14:paraId="459C112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57" w:type="dxa"/>
            <w:vAlign w:val="center"/>
          </w:tcPr>
          <w:p w14:paraId="1B35C805">
            <w:pPr>
              <w:keepNext w:val="0"/>
              <w:keepLines w:val="0"/>
              <w:pageBreakBefore w:val="0"/>
              <w:widowControl/>
              <w:kinsoku w:val="0"/>
              <w:wordWrap w:val="0"/>
              <w:overflowPunct/>
              <w:topLinePunct w:val="0"/>
              <w:autoSpaceDE w:val="0"/>
              <w:autoSpaceDN w:val="0"/>
              <w:bidi w:val="0"/>
              <w:adjustRightInd w:val="0"/>
              <w:snapToGrid w:val="0"/>
              <w:spacing w:before="177"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性  别</w:t>
            </w:r>
          </w:p>
        </w:tc>
        <w:tc>
          <w:tcPr>
            <w:tcW w:w="2062" w:type="dxa"/>
            <w:vAlign w:val="center"/>
          </w:tcPr>
          <w:p w14:paraId="606F045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144F8EEA">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龄</w:t>
            </w:r>
          </w:p>
        </w:tc>
        <w:tc>
          <w:tcPr>
            <w:tcW w:w="1398" w:type="dxa"/>
            <w:vAlign w:val="center"/>
          </w:tcPr>
          <w:p w14:paraId="248A87D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C7B6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center"/>
          </w:tcPr>
          <w:p w14:paraId="6C5EBB96">
            <w:pPr>
              <w:keepNext w:val="0"/>
              <w:keepLines w:val="0"/>
              <w:pageBreakBefore w:val="0"/>
              <w:widowControl/>
              <w:kinsoku w:val="0"/>
              <w:wordWrap w:val="0"/>
              <w:overflowPunct/>
              <w:topLinePunct w:val="0"/>
              <w:autoSpaceDE w:val="0"/>
              <w:autoSpaceDN w:val="0"/>
              <w:bidi w:val="0"/>
              <w:adjustRightInd w:val="0"/>
              <w:snapToGrid w:val="0"/>
              <w:spacing w:before="17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务</w:t>
            </w:r>
          </w:p>
        </w:tc>
        <w:tc>
          <w:tcPr>
            <w:tcW w:w="1294" w:type="dxa"/>
            <w:gridSpan w:val="2"/>
            <w:vAlign w:val="center"/>
          </w:tcPr>
          <w:p w14:paraId="4970326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57" w:type="dxa"/>
            <w:vAlign w:val="center"/>
          </w:tcPr>
          <w:p w14:paraId="275BEF66">
            <w:pPr>
              <w:keepNext w:val="0"/>
              <w:keepLines w:val="0"/>
              <w:pageBreakBefore w:val="0"/>
              <w:widowControl/>
              <w:kinsoku w:val="0"/>
              <w:wordWrap w:val="0"/>
              <w:overflowPunct/>
              <w:topLinePunct w:val="0"/>
              <w:autoSpaceDE w:val="0"/>
              <w:autoSpaceDN w:val="0"/>
              <w:bidi w:val="0"/>
              <w:adjustRightInd w:val="0"/>
              <w:snapToGrid w:val="0"/>
              <w:spacing w:before="174" w:line="231"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称</w:t>
            </w:r>
          </w:p>
        </w:tc>
        <w:tc>
          <w:tcPr>
            <w:tcW w:w="2062" w:type="dxa"/>
            <w:vAlign w:val="center"/>
          </w:tcPr>
          <w:p w14:paraId="16D1E87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3B726250">
            <w:pPr>
              <w:keepNext w:val="0"/>
              <w:keepLines w:val="0"/>
              <w:pageBreakBefore w:val="0"/>
              <w:widowControl/>
              <w:kinsoku w:val="0"/>
              <w:wordWrap w:val="0"/>
              <w:overflowPunct/>
              <w:topLinePunct w:val="0"/>
              <w:autoSpaceDE w:val="0"/>
              <w:autoSpaceDN w:val="0"/>
              <w:bidi w:val="0"/>
              <w:adjustRightInd w:val="0"/>
              <w:snapToGrid w:val="0"/>
              <w:spacing w:before="175"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学   历</w:t>
            </w:r>
          </w:p>
        </w:tc>
        <w:tc>
          <w:tcPr>
            <w:tcW w:w="1398" w:type="dxa"/>
            <w:vAlign w:val="center"/>
          </w:tcPr>
          <w:p w14:paraId="18686FE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8DD0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center"/>
          </w:tcPr>
          <w:p w14:paraId="6CA0A6E3">
            <w:pPr>
              <w:keepNext w:val="0"/>
              <w:keepLines w:val="0"/>
              <w:pageBreakBefore w:val="0"/>
              <w:widowControl/>
              <w:kinsoku w:val="0"/>
              <w:wordWrap w:val="0"/>
              <w:overflowPunct/>
              <w:topLinePunct w:val="0"/>
              <w:autoSpaceDE w:val="0"/>
              <w:autoSpaceDN w:val="0"/>
              <w:bidi w:val="0"/>
              <w:adjustRightInd w:val="0"/>
              <w:snapToGrid w:val="0"/>
              <w:spacing w:before="175"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参加工作时间</w:t>
            </w:r>
          </w:p>
        </w:tc>
        <w:tc>
          <w:tcPr>
            <w:tcW w:w="2651" w:type="dxa"/>
            <w:gridSpan w:val="3"/>
            <w:vAlign w:val="center"/>
          </w:tcPr>
          <w:p w14:paraId="1D8F273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3860" w:type="dxa"/>
            <w:gridSpan w:val="2"/>
            <w:vAlign w:val="center"/>
          </w:tcPr>
          <w:p w14:paraId="1DCA2560">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从事工程建设项目管理工作年限</w:t>
            </w:r>
          </w:p>
        </w:tc>
        <w:tc>
          <w:tcPr>
            <w:tcW w:w="1398" w:type="dxa"/>
            <w:vAlign w:val="center"/>
          </w:tcPr>
          <w:p w14:paraId="55F6DD2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35205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center"/>
          </w:tcPr>
          <w:p w14:paraId="1985FCD7">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以项目经理身份参与过的主要业绩（已完工项目）</w:t>
            </w:r>
          </w:p>
        </w:tc>
      </w:tr>
      <w:tr w14:paraId="6A55E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center"/>
          </w:tcPr>
          <w:p w14:paraId="226DD453">
            <w:pPr>
              <w:keepNext w:val="0"/>
              <w:keepLines w:val="0"/>
              <w:pageBreakBefore w:val="0"/>
              <w:widowControl/>
              <w:kinsoku w:val="0"/>
              <w:wordWrap w:val="0"/>
              <w:overflowPunct/>
              <w:topLinePunct w:val="0"/>
              <w:autoSpaceDE w:val="0"/>
              <w:autoSpaceDN w:val="0"/>
              <w:bidi w:val="0"/>
              <w:adjustRightInd w:val="0"/>
              <w:snapToGrid w:val="0"/>
              <w:spacing w:before="176"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1624" w:type="dxa"/>
            <w:gridSpan w:val="2"/>
            <w:vAlign w:val="center"/>
          </w:tcPr>
          <w:p w14:paraId="67B2AAAA">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项目名称</w:t>
            </w:r>
          </w:p>
        </w:tc>
        <w:tc>
          <w:tcPr>
            <w:tcW w:w="2037" w:type="dxa"/>
            <w:gridSpan w:val="2"/>
            <w:vAlign w:val="center"/>
          </w:tcPr>
          <w:p w14:paraId="4801985C">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建设单位</w:t>
            </w:r>
          </w:p>
        </w:tc>
        <w:tc>
          <w:tcPr>
            <w:tcW w:w="2062" w:type="dxa"/>
            <w:vAlign w:val="center"/>
          </w:tcPr>
          <w:p w14:paraId="027FA0A0">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建设内容和规模</w:t>
            </w:r>
          </w:p>
        </w:tc>
        <w:tc>
          <w:tcPr>
            <w:tcW w:w="1798" w:type="dxa"/>
            <w:vAlign w:val="center"/>
          </w:tcPr>
          <w:p w14:paraId="13665F3A">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开、竣工日期</w:t>
            </w:r>
          </w:p>
        </w:tc>
        <w:tc>
          <w:tcPr>
            <w:tcW w:w="1398" w:type="dxa"/>
            <w:vAlign w:val="center"/>
          </w:tcPr>
          <w:p w14:paraId="1363170B">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质量等级</w:t>
            </w:r>
          </w:p>
        </w:tc>
      </w:tr>
      <w:tr w14:paraId="69665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center"/>
          </w:tcPr>
          <w:p w14:paraId="67F61AFB">
            <w:pPr>
              <w:keepNext w:val="0"/>
              <w:keepLines w:val="0"/>
              <w:pageBreakBefore w:val="0"/>
              <w:widowControl/>
              <w:kinsoku w:val="0"/>
              <w:wordWrap w:val="0"/>
              <w:overflowPunct/>
              <w:topLinePunct w:val="0"/>
              <w:autoSpaceDE w:val="0"/>
              <w:autoSpaceDN w:val="0"/>
              <w:bidi w:val="0"/>
              <w:adjustRightInd w:val="0"/>
              <w:snapToGrid w:val="0"/>
              <w:spacing w:before="214"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624" w:type="dxa"/>
            <w:gridSpan w:val="2"/>
            <w:vAlign w:val="center"/>
          </w:tcPr>
          <w:p w14:paraId="6B906EE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39014A6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015E44A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191B5C4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5601622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ADBD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center"/>
          </w:tcPr>
          <w:p w14:paraId="2D37EB61">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624" w:type="dxa"/>
            <w:gridSpan w:val="2"/>
            <w:vAlign w:val="center"/>
          </w:tcPr>
          <w:p w14:paraId="3F9424A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5C8C87A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4B5D2BB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347BC37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0D3458B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612B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center"/>
          </w:tcPr>
          <w:p w14:paraId="3C8FBE28">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1624" w:type="dxa"/>
            <w:gridSpan w:val="2"/>
            <w:vAlign w:val="center"/>
          </w:tcPr>
          <w:p w14:paraId="05CB1FA8">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67C95E4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0F3F3FC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7EEF915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1073B93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5BEC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center"/>
          </w:tcPr>
          <w:p w14:paraId="68FD65E9">
            <w:pPr>
              <w:keepNext w:val="0"/>
              <w:keepLines w:val="0"/>
              <w:pageBreakBefore w:val="0"/>
              <w:widowControl/>
              <w:kinsoku w:val="0"/>
              <w:wordWrap w:val="0"/>
              <w:overflowPunct/>
              <w:topLinePunct w:val="0"/>
              <w:autoSpaceDE w:val="0"/>
              <w:autoSpaceDN w:val="0"/>
              <w:bidi w:val="0"/>
              <w:adjustRightInd w:val="0"/>
              <w:snapToGrid w:val="0"/>
              <w:spacing w:before="177" w:line="325"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624" w:type="dxa"/>
            <w:gridSpan w:val="2"/>
            <w:vAlign w:val="center"/>
          </w:tcPr>
          <w:p w14:paraId="11BEC3E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3178352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01C4C87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7DE5047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26308B2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2A57AD35">
      <w:pPr>
        <w:pStyle w:val="6"/>
        <w:keepNext w:val="0"/>
        <w:keepLines w:val="0"/>
        <w:pageBreakBefore w:val="0"/>
        <w:wordWrap w:val="0"/>
        <w:overflowPunct/>
        <w:topLinePunct w:val="0"/>
        <w:bidi w:val="0"/>
        <w:spacing w:line="315" w:lineRule="auto"/>
        <w:rPr>
          <w:rFonts w:hint="eastAsia" w:ascii="宋体" w:hAnsi="宋体" w:eastAsia="宋体" w:cs="宋体"/>
          <w:color w:val="auto"/>
          <w:spacing w:val="0"/>
          <w:highlight w:val="none"/>
        </w:rPr>
      </w:pPr>
    </w:p>
    <w:p w14:paraId="006CE30E">
      <w:pPr>
        <w:keepNext w:val="0"/>
        <w:keepLines w:val="0"/>
        <w:pageBreakBefore w:val="0"/>
        <w:wordWrap w:val="0"/>
        <w:overflowPunct/>
        <w:topLinePunct w:val="0"/>
        <w:bidi w:val="0"/>
        <w:spacing w:before="78" w:line="220" w:lineRule="auto"/>
        <w:ind w:left="69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项目经理：</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color w:val="auto"/>
          <w:spacing w:val="0"/>
          <w:sz w:val="24"/>
          <w:szCs w:val="24"/>
          <w:highlight w:val="none"/>
        </w:rPr>
        <w:t>（签字）</w:t>
      </w:r>
    </w:p>
    <w:p w14:paraId="16855C17">
      <w:pPr>
        <w:pStyle w:val="6"/>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13503D5A">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046C6DB">
      <w:pPr>
        <w:keepNext w:val="0"/>
        <w:keepLines w:val="0"/>
        <w:pageBreakBefore w:val="0"/>
        <w:wordWrap w:val="0"/>
        <w:overflowPunct/>
        <w:topLinePunct w:val="0"/>
        <w:bidi w:val="0"/>
        <w:spacing w:before="78" w:line="220" w:lineRule="auto"/>
        <w:ind w:left="4226"/>
        <w:jc w:val="center"/>
        <w:rPr>
          <w:rFonts w:hint="eastAsia" w:ascii="宋体" w:hAnsi="宋体" w:eastAsia="宋体" w:cs="宋体"/>
          <w:color w:val="auto"/>
          <w:spacing w:val="0"/>
          <w:highlight w:val="none"/>
        </w:rPr>
      </w:pPr>
    </w:p>
    <w:p w14:paraId="338141CB">
      <w:pPr>
        <w:pStyle w:val="6"/>
        <w:keepNext w:val="0"/>
        <w:keepLines w:val="0"/>
        <w:pageBreakBefore w:val="0"/>
        <w:wordWrap w:val="0"/>
        <w:overflowPunct/>
        <w:topLinePunct w:val="0"/>
        <w:bidi w:val="0"/>
        <w:spacing w:line="241" w:lineRule="auto"/>
        <w:rPr>
          <w:rFonts w:hint="eastAsia" w:ascii="宋体" w:hAnsi="宋体" w:eastAsia="宋体" w:cs="宋体"/>
          <w:color w:val="auto"/>
          <w:spacing w:val="0"/>
          <w:highlight w:val="none"/>
        </w:rPr>
      </w:pPr>
    </w:p>
    <w:p w14:paraId="0D471702">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说明：《项目经理简历表》后应附拟派项目经理以下资料：</w:t>
      </w:r>
    </w:p>
    <w:p w14:paraId="4709B043">
      <w:pPr>
        <w:wordWrap w:val="0"/>
        <w:adjustRightInd w:val="0"/>
        <w:snapToGrid w:val="0"/>
        <w:spacing w:line="360" w:lineRule="auto"/>
        <w:ind w:left="210" w:leftChars="100" w:firstLine="0" w:firstLineChars="0"/>
        <w:rPr>
          <w:rFonts w:hint="eastAsia" w:ascii="宋体" w:hAnsi="宋体" w:eastAsia="宋体" w:cs="宋体"/>
          <w:color w:val="auto"/>
          <w:spacing w:val="0"/>
          <w:sz w:val="24"/>
          <w:szCs w:val="24"/>
          <w:highlight w:val="none"/>
        </w:rPr>
      </w:pPr>
      <w:bookmarkStart w:id="235" w:name="_Toc25271"/>
      <w:bookmarkStart w:id="236" w:name="_Toc1942"/>
      <w:r>
        <w:rPr>
          <w:rFonts w:hint="eastAsia" w:ascii="宋体" w:hAnsi="宋体" w:eastAsia="宋体" w:cs="宋体"/>
          <w:color w:val="auto"/>
          <w:spacing w:val="0"/>
          <w:sz w:val="24"/>
          <w:szCs w:val="24"/>
          <w:highlight w:val="none"/>
        </w:rPr>
        <w:t>1 ．身份证彩色扫描件；</w:t>
      </w:r>
      <w:bookmarkEnd w:id="235"/>
      <w:bookmarkEnd w:id="236"/>
      <w:r>
        <w:rPr>
          <w:rFonts w:hint="eastAsia" w:ascii="宋体" w:hAnsi="宋体" w:eastAsia="宋体" w:cs="宋体"/>
          <w:color w:val="auto"/>
          <w:spacing w:val="0"/>
          <w:sz w:val="24"/>
          <w:szCs w:val="24"/>
          <w:highlight w:val="none"/>
        </w:rPr>
        <w:br w:type="textWrapping"/>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 xml:space="preserve"> ．文物保护工程责任工程师（业务范围须包括：古文化遗址古墓葬）</w:t>
      </w:r>
      <w:r>
        <w:rPr>
          <w:rFonts w:hint="eastAsia" w:ascii="宋体" w:hAnsi="宋体" w:eastAsia="宋体" w:cs="宋体"/>
          <w:color w:val="auto"/>
          <w:spacing w:val="0"/>
          <w:sz w:val="24"/>
          <w:szCs w:val="24"/>
          <w:highlight w:val="none"/>
          <w:lang w:eastAsia="zh-CN"/>
        </w:rPr>
        <w:t>。</w:t>
      </w:r>
    </w:p>
    <w:p w14:paraId="76F37EF6">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240" w:firstLineChars="1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 xml:space="preserve"> ．在本单位缴纳社保</w:t>
      </w:r>
      <w:r>
        <w:rPr>
          <w:rFonts w:hint="eastAsia" w:ascii="宋体" w:hAnsi="宋体" w:eastAsia="宋体" w:cs="宋体"/>
          <w:color w:val="auto"/>
          <w:spacing w:val="0"/>
          <w:sz w:val="24"/>
          <w:szCs w:val="24"/>
          <w:highlight w:val="none"/>
          <w:lang w:eastAsia="zh-CN"/>
        </w:rPr>
        <w:t>的证明（至少6个月，其中必须有2026年3月）</w:t>
      </w:r>
      <w:r>
        <w:rPr>
          <w:rFonts w:hint="eastAsia" w:ascii="宋体" w:hAnsi="宋体" w:eastAsia="宋体" w:cs="宋体"/>
          <w:color w:val="auto"/>
          <w:spacing w:val="0"/>
          <w:sz w:val="24"/>
          <w:szCs w:val="24"/>
          <w:highlight w:val="none"/>
          <w:lang w:val="en-US" w:eastAsia="zh-CN"/>
        </w:rPr>
        <w:t>扫描</w:t>
      </w:r>
      <w:r>
        <w:rPr>
          <w:rFonts w:hint="eastAsia" w:ascii="宋体" w:hAnsi="宋体" w:eastAsia="宋体" w:cs="宋体"/>
          <w:color w:val="auto"/>
          <w:spacing w:val="0"/>
          <w:sz w:val="24"/>
          <w:szCs w:val="24"/>
          <w:highlight w:val="none"/>
        </w:rPr>
        <w:t>件或打印件。拟派项目经理为退休返聘人员无法提供社保证明的，提供退休证和劳动合同彩色扫描件。</w:t>
      </w:r>
    </w:p>
    <w:p w14:paraId="2A87991E">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p>
    <w:p w14:paraId="4BCF539F">
      <w:pPr>
        <w:pStyle w:val="25"/>
        <w:rPr>
          <w:rFonts w:hint="eastAsia"/>
          <w:highlight w:val="none"/>
        </w:rPr>
      </w:pPr>
    </w:p>
    <w:p w14:paraId="00386200">
      <w:pPr>
        <w:keepNext w:val="0"/>
        <w:keepLines w:val="0"/>
        <w:pageBreakBefore w:val="0"/>
        <w:wordWrap w:val="0"/>
        <w:overflowPunct/>
        <w:topLinePunct w:val="0"/>
        <w:bidi w:val="0"/>
        <w:spacing w:line="300" w:lineRule="auto"/>
        <w:rPr>
          <w:rFonts w:hint="eastAsia" w:ascii="宋体" w:hAnsi="宋体" w:eastAsia="宋体" w:cs="宋体"/>
          <w:color w:val="auto"/>
          <w:spacing w:val="0"/>
          <w:sz w:val="20"/>
          <w:szCs w:val="20"/>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A1871F0">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37" w:name="_Toc10251"/>
      <w:r>
        <w:rPr>
          <w:rFonts w:hint="eastAsia" w:ascii="宋体" w:hAnsi="宋体" w:eastAsia="宋体" w:cs="宋体"/>
          <w:b/>
          <w:bCs/>
          <w:color w:val="auto"/>
          <w:spacing w:val="0"/>
          <w:sz w:val="24"/>
          <w:szCs w:val="24"/>
          <w:highlight w:val="none"/>
        </w:rPr>
        <w:t>格式九 项目经理任职声明</w:t>
      </w:r>
      <w:bookmarkEnd w:id="237"/>
    </w:p>
    <w:p w14:paraId="0578F8FA">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18B06342">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40F834AF">
      <w:pPr>
        <w:keepNext w:val="0"/>
        <w:keepLines w:val="0"/>
        <w:pageBreakBefore w:val="0"/>
        <w:wordWrap w:val="0"/>
        <w:overflowPunct/>
        <w:topLinePunct w:val="0"/>
        <w:bidi w:val="0"/>
        <w:spacing w:before="98" w:line="220" w:lineRule="auto"/>
        <w:ind w:left="3338"/>
        <w:rPr>
          <w:rFonts w:hint="eastAsia" w:ascii="宋体" w:hAnsi="宋体" w:eastAsia="宋体" w:cs="宋体"/>
          <w:color w:val="auto"/>
          <w:spacing w:val="0"/>
          <w:sz w:val="30"/>
          <w:szCs w:val="30"/>
          <w:highlight w:val="none"/>
        </w:rPr>
      </w:pPr>
      <w:bookmarkStart w:id="238" w:name="bookmark157"/>
      <w:bookmarkEnd w:id="238"/>
      <w:r>
        <w:rPr>
          <w:rFonts w:hint="eastAsia" w:ascii="宋体" w:hAnsi="宋体" w:eastAsia="宋体" w:cs="宋体"/>
          <w:b/>
          <w:bCs/>
          <w:color w:val="auto"/>
          <w:spacing w:val="0"/>
          <w:sz w:val="30"/>
          <w:szCs w:val="30"/>
          <w:highlight w:val="none"/>
        </w:rPr>
        <w:t>项目经理任职声明</w:t>
      </w:r>
    </w:p>
    <w:p w14:paraId="532E6150">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5161A470">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641FA575">
      <w:pPr>
        <w:pStyle w:val="6"/>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5A6A5383">
      <w:pPr>
        <w:keepNext w:val="0"/>
        <w:keepLines w:val="0"/>
        <w:pageBreakBefore w:val="0"/>
        <w:wordWrap w:val="0"/>
        <w:overflowPunct/>
        <w:topLinePunct w:val="0"/>
        <w:bidi w:val="0"/>
        <w:spacing w:before="78" w:line="221"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（招标人名称）</w:t>
      </w:r>
    </w:p>
    <w:p w14:paraId="6DF111E3">
      <w:pPr>
        <w:keepNext w:val="0"/>
        <w:keepLines w:val="0"/>
        <w:pageBreakBefore w:val="0"/>
        <w:wordWrap w:val="0"/>
        <w:overflowPunct/>
        <w:topLinePunct w:val="0"/>
        <w:bidi w:val="0"/>
        <w:spacing w:before="155" w:line="324" w:lineRule="auto"/>
        <w:ind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我方在此声明，我方拟派往</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（项目名称）的项目经理</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（项目经理姓名）现阶段没有担任任何在施（包括已中标未开工、已开工未竣工）建设工程项目的项目经理。</w:t>
      </w:r>
    </w:p>
    <w:p w14:paraId="30B4DC4A">
      <w:pPr>
        <w:keepNext w:val="0"/>
        <w:keepLines w:val="0"/>
        <w:pageBreakBefore w:val="0"/>
        <w:wordWrap w:val="0"/>
        <w:overflowPunct/>
        <w:topLinePunct w:val="0"/>
        <w:bidi w:val="0"/>
        <w:spacing w:before="35" w:line="326" w:lineRule="auto"/>
        <w:ind w:firstLine="48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我方保证上述信息的真实和准确，并愿意承担因我方就此弄虚作假所引起的一切法律后果。</w:t>
      </w:r>
    </w:p>
    <w:p w14:paraId="3FFEA1FE">
      <w:pPr>
        <w:pStyle w:val="6"/>
        <w:keepNext w:val="0"/>
        <w:keepLines w:val="0"/>
        <w:pageBreakBefore w:val="0"/>
        <w:wordWrap w:val="0"/>
        <w:overflowPunct/>
        <w:topLinePunct w:val="0"/>
        <w:bidi w:val="0"/>
        <w:spacing w:line="391" w:lineRule="auto"/>
        <w:rPr>
          <w:rFonts w:hint="eastAsia" w:ascii="宋体" w:hAnsi="宋体" w:eastAsia="宋体" w:cs="宋体"/>
          <w:color w:val="auto"/>
          <w:spacing w:val="0"/>
          <w:highlight w:val="none"/>
        </w:rPr>
      </w:pPr>
    </w:p>
    <w:p w14:paraId="2CFADE2D">
      <w:pPr>
        <w:keepNext w:val="0"/>
        <w:keepLines w:val="0"/>
        <w:pageBreakBefore w:val="0"/>
        <w:wordWrap w:val="0"/>
        <w:overflowPunct/>
        <w:topLinePunct w:val="0"/>
        <w:bidi w:val="0"/>
        <w:spacing w:before="78" w:line="220" w:lineRule="auto"/>
        <w:ind w:left="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特此承诺</w:t>
      </w:r>
    </w:p>
    <w:p w14:paraId="187690F7">
      <w:pPr>
        <w:pStyle w:val="6"/>
        <w:keepNext w:val="0"/>
        <w:keepLines w:val="0"/>
        <w:pageBreakBefore w:val="0"/>
        <w:wordWrap w:val="0"/>
        <w:overflowPunct/>
        <w:topLinePunct w:val="0"/>
        <w:bidi w:val="0"/>
        <w:spacing w:line="316" w:lineRule="auto"/>
        <w:rPr>
          <w:rFonts w:hint="eastAsia" w:ascii="宋体" w:hAnsi="宋体" w:eastAsia="宋体" w:cs="宋体"/>
          <w:color w:val="auto"/>
          <w:spacing w:val="0"/>
          <w:highlight w:val="none"/>
        </w:rPr>
      </w:pPr>
    </w:p>
    <w:p w14:paraId="5CA4FAA1">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66166C76">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07DB27C5">
      <w:pPr>
        <w:keepNext w:val="0"/>
        <w:keepLines w:val="0"/>
        <w:pageBreakBefore w:val="0"/>
        <w:wordWrap w:val="0"/>
        <w:overflowPunct/>
        <w:topLinePunct w:val="0"/>
        <w:bidi w:val="0"/>
        <w:spacing w:before="79"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1AF704E9">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4421D560">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7188D609">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6A29B34B">
      <w:pPr>
        <w:keepNext w:val="0"/>
        <w:keepLines w:val="0"/>
        <w:pageBreakBefore w:val="0"/>
        <w:wordWrap w:val="0"/>
        <w:overflowPunct/>
        <w:topLinePunct w:val="0"/>
        <w:bidi w:val="0"/>
        <w:spacing w:before="78"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6AD94480">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234EACCA">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348EEA26">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C2A7387">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E9C11AF">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39" w:name="_Toc13610"/>
      <w:r>
        <w:rPr>
          <w:rFonts w:hint="eastAsia" w:ascii="宋体" w:hAnsi="宋体" w:eastAsia="宋体" w:cs="宋体"/>
          <w:b/>
          <w:bCs/>
          <w:color w:val="auto"/>
          <w:spacing w:val="0"/>
          <w:sz w:val="24"/>
          <w:szCs w:val="24"/>
          <w:highlight w:val="none"/>
        </w:rPr>
        <w:t>格式十 项目技术负责人简历表</w:t>
      </w:r>
      <w:bookmarkEnd w:id="239"/>
    </w:p>
    <w:p w14:paraId="4A542C8B">
      <w:pPr>
        <w:pStyle w:val="6"/>
        <w:keepNext w:val="0"/>
        <w:keepLines w:val="0"/>
        <w:pageBreakBefore w:val="0"/>
        <w:wordWrap w:val="0"/>
        <w:overflowPunct/>
        <w:topLinePunct w:val="0"/>
        <w:bidi w:val="0"/>
        <w:spacing w:line="444" w:lineRule="auto"/>
        <w:rPr>
          <w:rFonts w:hint="eastAsia" w:ascii="宋体" w:hAnsi="宋体" w:eastAsia="宋体" w:cs="宋体"/>
          <w:color w:val="auto"/>
          <w:spacing w:val="0"/>
          <w:highlight w:val="none"/>
        </w:rPr>
      </w:pPr>
    </w:p>
    <w:p w14:paraId="19FD339A">
      <w:pPr>
        <w:keepNext w:val="0"/>
        <w:keepLines w:val="0"/>
        <w:pageBreakBefore w:val="0"/>
        <w:wordWrap w:val="0"/>
        <w:overflowPunct/>
        <w:topLinePunct w:val="0"/>
        <w:bidi w:val="0"/>
        <w:spacing w:before="97" w:line="219" w:lineRule="auto"/>
        <w:ind w:left="3087"/>
        <w:outlineLvl w:val="9"/>
        <w:rPr>
          <w:rFonts w:hint="eastAsia" w:ascii="宋体" w:hAnsi="宋体" w:eastAsia="宋体" w:cs="宋体"/>
          <w:color w:val="auto"/>
          <w:spacing w:val="0"/>
          <w:sz w:val="30"/>
          <w:szCs w:val="30"/>
          <w:highlight w:val="none"/>
        </w:rPr>
      </w:pPr>
      <w:bookmarkStart w:id="240" w:name="_Toc1553"/>
      <w:bookmarkStart w:id="241" w:name="_Toc25712"/>
      <w:r>
        <w:rPr>
          <w:rFonts w:hint="eastAsia" w:ascii="宋体" w:hAnsi="宋体" w:eastAsia="宋体" w:cs="宋体"/>
          <w:b/>
          <w:bCs/>
          <w:color w:val="auto"/>
          <w:spacing w:val="0"/>
          <w:sz w:val="30"/>
          <w:szCs w:val="30"/>
          <w:highlight w:val="none"/>
        </w:rPr>
        <w:t>项目技术负责人简历表</w:t>
      </w:r>
      <w:bookmarkEnd w:id="240"/>
      <w:bookmarkEnd w:id="241"/>
    </w:p>
    <w:p w14:paraId="76293364">
      <w:pPr>
        <w:keepNext w:val="0"/>
        <w:keepLines w:val="0"/>
        <w:pageBreakBefore w:val="0"/>
        <w:wordWrap w:val="0"/>
        <w:overflowPunct/>
        <w:topLinePunct w:val="0"/>
        <w:bidi w:val="0"/>
        <w:spacing w:line="240" w:lineRule="exact"/>
        <w:rPr>
          <w:rFonts w:hint="eastAsia" w:ascii="宋体" w:hAnsi="宋体" w:eastAsia="宋体" w:cs="宋体"/>
          <w:color w:val="auto"/>
          <w:spacing w:val="0"/>
          <w:highlight w:val="none"/>
        </w:rPr>
      </w:pPr>
    </w:p>
    <w:tbl>
      <w:tblPr>
        <w:tblStyle w:val="15"/>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2EEC3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center"/>
          </w:tcPr>
          <w:p w14:paraId="202B1A61">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姓   名</w:t>
            </w:r>
          </w:p>
        </w:tc>
        <w:tc>
          <w:tcPr>
            <w:tcW w:w="1282" w:type="dxa"/>
            <w:gridSpan w:val="2"/>
            <w:vAlign w:val="center"/>
          </w:tcPr>
          <w:p w14:paraId="35180F1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default" w:ascii="宋体" w:hAnsi="宋体" w:eastAsia="宋体" w:cs="宋体"/>
                <w:color w:val="auto"/>
                <w:spacing w:val="0"/>
                <w:sz w:val="24"/>
                <w:szCs w:val="24"/>
                <w:highlight w:val="none"/>
                <w:lang w:val="en-US" w:eastAsia="zh-CN"/>
              </w:rPr>
            </w:pPr>
          </w:p>
        </w:tc>
        <w:tc>
          <w:tcPr>
            <w:tcW w:w="1346" w:type="dxa"/>
            <w:vAlign w:val="center"/>
          </w:tcPr>
          <w:p w14:paraId="411B9C93">
            <w:pPr>
              <w:keepNext w:val="0"/>
              <w:keepLines w:val="0"/>
              <w:pageBreakBefore w:val="0"/>
              <w:widowControl/>
              <w:kinsoku w:val="0"/>
              <w:wordWrap w:val="0"/>
              <w:overflowPunct/>
              <w:topLinePunct w:val="0"/>
              <w:autoSpaceDE w:val="0"/>
              <w:autoSpaceDN w:val="0"/>
              <w:bidi w:val="0"/>
              <w:adjustRightInd w:val="0"/>
              <w:snapToGrid w:val="0"/>
              <w:spacing w:before="177"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性  别</w:t>
            </w:r>
          </w:p>
        </w:tc>
        <w:tc>
          <w:tcPr>
            <w:tcW w:w="2047" w:type="dxa"/>
            <w:vAlign w:val="center"/>
          </w:tcPr>
          <w:p w14:paraId="2F452FF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2A711865">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龄</w:t>
            </w:r>
          </w:p>
        </w:tc>
        <w:tc>
          <w:tcPr>
            <w:tcW w:w="1386" w:type="dxa"/>
            <w:vAlign w:val="center"/>
          </w:tcPr>
          <w:p w14:paraId="5240B45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6C2B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center"/>
          </w:tcPr>
          <w:p w14:paraId="29B76BC5">
            <w:pPr>
              <w:keepNext w:val="0"/>
              <w:keepLines w:val="0"/>
              <w:pageBreakBefore w:val="0"/>
              <w:widowControl/>
              <w:kinsoku w:val="0"/>
              <w:wordWrap w:val="0"/>
              <w:overflowPunct/>
              <w:topLinePunct w:val="0"/>
              <w:autoSpaceDE w:val="0"/>
              <w:autoSpaceDN w:val="0"/>
              <w:bidi w:val="0"/>
              <w:adjustRightInd w:val="0"/>
              <w:snapToGrid w:val="0"/>
              <w:spacing w:before="17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务</w:t>
            </w:r>
          </w:p>
        </w:tc>
        <w:tc>
          <w:tcPr>
            <w:tcW w:w="1282" w:type="dxa"/>
            <w:gridSpan w:val="2"/>
            <w:vAlign w:val="center"/>
          </w:tcPr>
          <w:p w14:paraId="307065D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46" w:type="dxa"/>
            <w:vAlign w:val="center"/>
          </w:tcPr>
          <w:p w14:paraId="2E6461F1">
            <w:pPr>
              <w:keepNext w:val="0"/>
              <w:keepLines w:val="0"/>
              <w:pageBreakBefore w:val="0"/>
              <w:widowControl/>
              <w:kinsoku w:val="0"/>
              <w:wordWrap w:val="0"/>
              <w:overflowPunct/>
              <w:topLinePunct w:val="0"/>
              <w:autoSpaceDE w:val="0"/>
              <w:autoSpaceDN w:val="0"/>
              <w:bidi w:val="0"/>
              <w:adjustRightInd w:val="0"/>
              <w:snapToGrid w:val="0"/>
              <w:spacing w:before="174" w:line="231"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称</w:t>
            </w:r>
          </w:p>
        </w:tc>
        <w:tc>
          <w:tcPr>
            <w:tcW w:w="2047" w:type="dxa"/>
            <w:vAlign w:val="center"/>
          </w:tcPr>
          <w:p w14:paraId="59539D9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1F83FFA8">
            <w:pPr>
              <w:keepNext w:val="0"/>
              <w:keepLines w:val="0"/>
              <w:pageBreakBefore w:val="0"/>
              <w:widowControl/>
              <w:kinsoku w:val="0"/>
              <w:wordWrap w:val="0"/>
              <w:overflowPunct/>
              <w:topLinePunct w:val="0"/>
              <w:autoSpaceDE w:val="0"/>
              <w:autoSpaceDN w:val="0"/>
              <w:bidi w:val="0"/>
              <w:adjustRightInd w:val="0"/>
              <w:snapToGrid w:val="0"/>
              <w:spacing w:before="175"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学   历</w:t>
            </w:r>
          </w:p>
        </w:tc>
        <w:tc>
          <w:tcPr>
            <w:tcW w:w="1386" w:type="dxa"/>
            <w:vAlign w:val="center"/>
          </w:tcPr>
          <w:p w14:paraId="46640CD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C17D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center"/>
          </w:tcPr>
          <w:p w14:paraId="2A561424">
            <w:pPr>
              <w:keepNext w:val="0"/>
              <w:keepLines w:val="0"/>
              <w:pageBreakBefore w:val="0"/>
              <w:widowControl/>
              <w:kinsoku w:val="0"/>
              <w:wordWrap w:val="0"/>
              <w:overflowPunct/>
              <w:topLinePunct w:val="0"/>
              <w:autoSpaceDE w:val="0"/>
              <w:autoSpaceDN w:val="0"/>
              <w:bidi w:val="0"/>
              <w:adjustRightInd w:val="0"/>
              <w:snapToGrid w:val="0"/>
              <w:spacing w:before="175"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参加工作时间</w:t>
            </w:r>
          </w:p>
        </w:tc>
        <w:tc>
          <w:tcPr>
            <w:tcW w:w="2628" w:type="dxa"/>
            <w:gridSpan w:val="3"/>
            <w:vAlign w:val="center"/>
          </w:tcPr>
          <w:p w14:paraId="14B0033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3830" w:type="dxa"/>
            <w:gridSpan w:val="2"/>
            <w:vAlign w:val="center"/>
          </w:tcPr>
          <w:p w14:paraId="0B864845">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从事工程建设项目管理工作年限</w:t>
            </w:r>
          </w:p>
        </w:tc>
        <w:tc>
          <w:tcPr>
            <w:tcW w:w="1386" w:type="dxa"/>
            <w:vAlign w:val="center"/>
          </w:tcPr>
          <w:p w14:paraId="18B2FE9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C727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center"/>
          </w:tcPr>
          <w:p w14:paraId="0F93C385">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以项目技术负责人身份参与过的主要业绩（已完工项目）</w:t>
            </w:r>
          </w:p>
        </w:tc>
      </w:tr>
      <w:tr w14:paraId="259C5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center"/>
          </w:tcPr>
          <w:p w14:paraId="23B1418B">
            <w:pPr>
              <w:keepNext w:val="0"/>
              <w:keepLines w:val="0"/>
              <w:pageBreakBefore w:val="0"/>
              <w:widowControl/>
              <w:kinsoku w:val="0"/>
              <w:wordWrap w:val="0"/>
              <w:overflowPunct/>
              <w:topLinePunct w:val="0"/>
              <w:autoSpaceDE w:val="0"/>
              <w:autoSpaceDN w:val="0"/>
              <w:bidi w:val="0"/>
              <w:adjustRightInd w:val="0"/>
              <w:snapToGrid w:val="0"/>
              <w:spacing w:before="176"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1610" w:type="dxa"/>
            <w:gridSpan w:val="2"/>
            <w:vAlign w:val="center"/>
          </w:tcPr>
          <w:p w14:paraId="7FF7FF79">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项目名称</w:t>
            </w:r>
          </w:p>
        </w:tc>
        <w:tc>
          <w:tcPr>
            <w:tcW w:w="2021" w:type="dxa"/>
            <w:gridSpan w:val="2"/>
            <w:vAlign w:val="center"/>
          </w:tcPr>
          <w:p w14:paraId="7075F8FD">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建设单位</w:t>
            </w:r>
          </w:p>
        </w:tc>
        <w:tc>
          <w:tcPr>
            <w:tcW w:w="2047" w:type="dxa"/>
            <w:vAlign w:val="center"/>
          </w:tcPr>
          <w:p w14:paraId="00179D26">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建设内容和规模</w:t>
            </w:r>
          </w:p>
        </w:tc>
        <w:tc>
          <w:tcPr>
            <w:tcW w:w="1783" w:type="dxa"/>
            <w:vAlign w:val="center"/>
          </w:tcPr>
          <w:p w14:paraId="236A707E">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开、竣工日期</w:t>
            </w:r>
          </w:p>
        </w:tc>
        <w:tc>
          <w:tcPr>
            <w:tcW w:w="1386" w:type="dxa"/>
            <w:vAlign w:val="center"/>
          </w:tcPr>
          <w:p w14:paraId="2BE768CF">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质量等级</w:t>
            </w:r>
          </w:p>
        </w:tc>
      </w:tr>
      <w:tr w14:paraId="04238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0F63873B">
            <w:pPr>
              <w:keepNext w:val="0"/>
              <w:keepLines w:val="0"/>
              <w:pageBreakBefore w:val="0"/>
              <w:widowControl/>
              <w:kinsoku w:val="0"/>
              <w:wordWrap w:val="0"/>
              <w:overflowPunct/>
              <w:topLinePunct w:val="0"/>
              <w:autoSpaceDE w:val="0"/>
              <w:autoSpaceDN w:val="0"/>
              <w:bidi w:val="0"/>
              <w:adjustRightInd w:val="0"/>
              <w:snapToGrid w:val="0"/>
              <w:spacing w:before="214"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610" w:type="dxa"/>
            <w:gridSpan w:val="2"/>
            <w:vAlign w:val="center"/>
          </w:tcPr>
          <w:p w14:paraId="578F80B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6F99EC2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4631B1E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2230ED0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0169407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3653F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center"/>
          </w:tcPr>
          <w:p w14:paraId="7F39EB96">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610" w:type="dxa"/>
            <w:gridSpan w:val="2"/>
            <w:vAlign w:val="center"/>
          </w:tcPr>
          <w:p w14:paraId="2429E20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21F3968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187647C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12E10BA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2CCF984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0E2BD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4C3BEFDC">
            <w:pPr>
              <w:keepNext w:val="0"/>
              <w:keepLines w:val="0"/>
              <w:pageBreakBefore w:val="0"/>
              <w:widowControl/>
              <w:kinsoku w:val="0"/>
              <w:wordWrap w:val="0"/>
              <w:overflowPunct/>
              <w:topLinePunct w:val="0"/>
              <w:autoSpaceDE w:val="0"/>
              <w:autoSpaceDN w:val="0"/>
              <w:bidi w:val="0"/>
              <w:adjustRightInd w:val="0"/>
              <w:snapToGrid w:val="0"/>
              <w:spacing w:before="178" w:line="324"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610" w:type="dxa"/>
            <w:gridSpan w:val="2"/>
            <w:vAlign w:val="center"/>
          </w:tcPr>
          <w:p w14:paraId="4CA19BC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3B5F7A6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2C82DE6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1E92035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0264D79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F797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468DEEC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610" w:type="dxa"/>
            <w:gridSpan w:val="2"/>
            <w:vAlign w:val="center"/>
          </w:tcPr>
          <w:p w14:paraId="4D6AC80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477B400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1E64ACA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10A6E2C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262B31D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2483F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center"/>
          </w:tcPr>
          <w:p w14:paraId="46E9589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610" w:type="dxa"/>
            <w:gridSpan w:val="2"/>
            <w:vAlign w:val="center"/>
          </w:tcPr>
          <w:p w14:paraId="6C7700F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7FB1A63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748C336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47051D9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5DDD380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65A12D51">
      <w:pPr>
        <w:pStyle w:val="6"/>
        <w:keepNext w:val="0"/>
        <w:keepLines w:val="0"/>
        <w:pageBreakBefore w:val="0"/>
        <w:wordWrap w:val="0"/>
        <w:overflowPunct/>
        <w:topLinePunct w:val="0"/>
        <w:bidi w:val="0"/>
        <w:spacing w:line="314" w:lineRule="auto"/>
        <w:rPr>
          <w:rFonts w:hint="eastAsia" w:ascii="宋体" w:hAnsi="宋体" w:eastAsia="宋体" w:cs="宋体"/>
          <w:color w:val="auto"/>
          <w:spacing w:val="0"/>
          <w:sz w:val="24"/>
          <w:szCs w:val="24"/>
          <w:highlight w:val="none"/>
        </w:rPr>
      </w:pPr>
    </w:p>
    <w:p w14:paraId="06CDD6A3">
      <w:pPr>
        <w:pStyle w:val="6"/>
        <w:keepNext w:val="0"/>
        <w:keepLines w:val="0"/>
        <w:pageBreakBefore w:val="0"/>
        <w:wordWrap w:val="0"/>
        <w:overflowPunct/>
        <w:topLinePunct w:val="0"/>
        <w:bidi w:val="0"/>
        <w:spacing w:line="315" w:lineRule="auto"/>
        <w:rPr>
          <w:rFonts w:hint="eastAsia" w:ascii="宋体" w:hAnsi="宋体" w:eastAsia="宋体" w:cs="宋体"/>
          <w:color w:val="auto"/>
          <w:spacing w:val="0"/>
          <w:sz w:val="24"/>
          <w:szCs w:val="24"/>
          <w:highlight w:val="none"/>
        </w:rPr>
      </w:pPr>
    </w:p>
    <w:p w14:paraId="23DA4F53">
      <w:pPr>
        <w:keepNext w:val="0"/>
        <w:keepLines w:val="0"/>
        <w:pageBreakBefore w:val="0"/>
        <w:wordWrap w:val="0"/>
        <w:overflowPunct/>
        <w:topLinePunct w:val="0"/>
        <w:bidi w:val="0"/>
        <w:spacing w:before="78" w:line="220" w:lineRule="auto"/>
        <w:ind w:left="5165"/>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项目技术负责人：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w:t>
      </w:r>
    </w:p>
    <w:p w14:paraId="765047AA">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sz w:val="24"/>
          <w:szCs w:val="24"/>
          <w:highlight w:val="none"/>
        </w:rPr>
      </w:pPr>
    </w:p>
    <w:p w14:paraId="48E9D4AF">
      <w:pPr>
        <w:pStyle w:val="6"/>
        <w:keepNext w:val="0"/>
        <w:keepLines w:val="0"/>
        <w:pageBreakBefore w:val="0"/>
        <w:wordWrap w:val="0"/>
        <w:overflowPunct/>
        <w:topLinePunct w:val="0"/>
        <w:bidi w:val="0"/>
        <w:spacing w:line="257" w:lineRule="auto"/>
        <w:jc w:val="right"/>
        <w:rPr>
          <w:rFonts w:hint="eastAsia" w:ascii="宋体" w:hAnsi="宋体" w:eastAsia="宋体" w:cs="宋体"/>
          <w:color w:val="auto"/>
          <w:spacing w:val="0"/>
          <w:sz w:val="24"/>
          <w:szCs w:val="24"/>
          <w:highlight w:val="none"/>
        </w:rPr>
      </w:pPr>
    </w:p>
    <w:p w14:paraId="7AFA30EA">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6EF6B21B">
      <w:pPr>
        <w:keepNext w:val="0"/>
        <w:keepLines w:val="0"/>
        <w:pageBreakBefore w:val="0"/>
        <w:widowControl/>
        <w:kinsoku w:val="0"/>
        <w:wordWrap w:val="0"/>
        <w:overflowPunct/>
        <w:topLinePunct w:val="0"/>
        <w:autoSpaceDE w:val="0"/>
        <w:autoSpaceDN w:val="0"/>
        <w:bidi w:val="0"/>
        <w:adjustRightInd/>
        <w:snapToGrid/>
        <w:spacing w:before="65"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说明：《项目技术负责人简历表》后应附拟派项目技术负责人以下资料：</w:t>
      </w:r>
    </w:p>
    <w:p w14:paraId="5ED95DA0">
      <w:pPr>
        <w:keepNext w:val="0"/>
        <w:keepLines w:val="0"/>
        <w:pageBreakBefore w:val="0"/>
        <w:widowControl/>
        <w:kinsoku w:val="0"/>
        <w:wordWrap w:val="0"/>
        <w:overflowPunct/>
        <w:topLinePunct w:val="0"/>
        <w:autoSpaceDE w:val="0"/>
        <w:autoSpaceDN w:val="0"/>
        <w:bidi w:val="0"/>
        <w:adjustRightInd/>
        <w:snapToGrid/>
        <w:spacing w:before="155"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．身份证彩色扫描件；</w:t>
      </w:r>
    </w:p>
    <w:p w14:paraId="1DB79E91">
      <w:pPr>
        <w:keepNext w:val="0"/>
        <w:keepLines w:val="0"/>
        <w:pageBreakBefore w:val="0"/>
        <w:widowControl/>
        <w:kinsoku w:val="0"/>
        <w:wordWrap w:val="0"/>
        <w:overflowPunct/>
        <w:topLinePunct w:val="0"/>
        <w:autoSpaceDE w:val="0"/>
        <w:autoSpaceDN w:val="0"/>
        <w:bidi w:val="0"/>
        <w:adjustRightInd/>
        <w:snapToGrid/>
        <w:spacing w:before="151"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．职称证彩色扫描件；</w:t>
      </w:r>
    </w:p>
    <w:p w14:paraId="21264357">
      <w:pPr>
        <w:keepNext w:val="0"/>
        <w:keepLines w:val="0"/>
        <w:pageBreakBefore w:val="0"/>
        <w:widowControl/>
        <w:kinsoku w:val="0"/>
        <w:wordWrap w:val="0"/>
        <w:overflowPunct/>
        <w:topLinePunct w:val="0"/>
        <w:autoSpaceDE w:val="0"/>
        <w:autoSpaceDN w:val="0"/>
        <w:bidi w:val="0"/>
        <w:adjustRightInd/>
        <w:snapToGrid/>
        <w:spacing w:before="153"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．在本单位缴纳社保的证明（</w:t>
      </w:r>
      <w:r>
        <w:rPr>
          <w:rFonts w:hint="eastAsia" w:ascii="宋体" w:hAnsi="宋体" w:eastAsia="宋体" w:cs="宋体"/>
          <w:color w:val="auto"/>
          <w:spacing w:val="0"/>
          <w:sz w:val="24"/>
          <w:szCs w:val="24"/>
          <w:highlight w:val="none"/>
          <w:lang w:eastAsia="zh-CN"/>
        </w:rPr>
        <w:t>至少6个月，其中必须有2026年3月</w:t>
      </w:r>
      <w:r>
        <w:rPr>
          <w:rFonts w:hint="eastAsia" w:ascii="宋体" w:hAnsi="宋体" w:eastAsia="宋体" w:cs="宋体"/>
          <w:color w:val="auto"/>
          <w:spacing w:val="0"/>
          <w:sz w:val="24"/>
          <w:szCs w:val="24"/>
          <w:highlight w:val="none"/>
        </w:rPr>
        <w:t>）扫描件</w:t>
      </w:r>
      <w:r>
        <w:rPr>
          <w:rFonts w:hint="eastAsia" w:ascii="宋体" w:hAnsi="宋体" w:eastAsia="宋体" w:cs="宋体"/>
          <w:color w:val="auto"/>
          <w:spacing w:val="0"/>
          <w:sz w:val="24"/>
          <w:szCs w:val="24"/>
          <w:highlight w:val="none"/>
          <w:lang w:val="en-US" w:eastAsia="zh-CN"/>
        </w:rPr>
        <w:t>或打印件</w:t>
      </w:r>
      <w:r>
        <w:rPr>
          <w:rFonts w:hint="eastAsia" w:ascii="宋体" w:hAnsi="宋体" w:eastAsia="宋体" w:cs="宋体"/>
          <w:color w:val="auto"/>
          <w:spacing w:val="0"/>
          <w:sz w:val="24"/>
          <w:szCs w:val="24"/>
          <w:highlight w:val="none"/>
        </w:rPr>
        <w:t>。 拟派项目技术负责人为退休返聘人员无法提供社保证明的，提供退休证和劳动合同彩色扫描件。</w:t>
      </w:r>
    </w:p>
    <w:p w14:paraId="03E99B1D">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40C4B517">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42" w:name="_Toc21428"/>
      <w:r>
        <w:rPr>
          <w:rFonts w:hint="eastAsia" w:ascii="宋体" w:hAnsi="宋体" w:eastAsia="宋体" w:cs="宋体"/>
          <w:b/>
          <w:bCs/>
          <w:color w:val="auto"/>
          <w:spacing w:val="0"/>
          <w:sz w:val="24"/>
          <w:szCs w:val="24"/>
          <w:highlight w:val="none"/>
        </w:rPr>
        <w:t>格式十一 项目管理机构组成表</w:t>
      </w:r>
      <w:bookmarkEnd w:id="242"/>
    </w:p>
    <w:p w14:paraId="3B084A82">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25B0F7B1">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4DF3D9BA">
      <w:pPr>
        <w:keepNext w:val="0"/>
        <w:keepLines w:val="0"/>
        <w:pageBreakBefore w:val="0"/>
        <w:wordWrap w:val="0"/>
        <w:overflowPunct/>
        <w:topLinePunct w:val="0"/>
        <w:bidi w:val="0"/>
        <w:spacing w:before="97" w:line="219" w:lineRule="auto"/>
        <w:ind w:left="3200"/>
        <w:outlineLvl w:val="9"/>
        <w:rPr>
          <w:rFonts w:hint="eastAsia" w:ascii="宋体" w:hAnsi="宋体" w:eastAsia="宋体" w:cs="宋体"/>
          <w:color w:val="auto"/>
          <w:spacing w:val="0"/>
          <w:sz w:val="30"/>
          <w:szCs w:val="30"/>
          <w:highlight w:val="none"/>
        </w:rPr>
      </w:pPr>
      <w:bookmarkStart w:id="243" w:name="bookmark158"/>
      <w:bookmarkEnd w:id="243"/>
      <w:bookmarkStart w:id="244" w:name="_Toc28765"/>
      <w:bookmarkStart w:id="245" w:name="_Toc19973"/>
      <w:r>
        <w:rPr>
          <w:rFonts w:hint="eastAsia" w:ascii="宋体" w:hAnsi="宋体" w:eastAsia="宋体" w:cs="宋体"/>
          <w:b/>
          <w:bCs/>
          <w:color w:val="auto"/>
          <w:spacing w:val="0"/>
          <w:sz w:val="30"/>
          <w:szCs w:val="30"/>
          <w:highlight w:val="none"/>
        </w:rPr>
        <w:t>项目管理机构组成表</w:t>
      </w:r>
      <w:bookmarkEnd w:id="244"/>
      <w:bookmarkEnd w:id="245"/>
    </w:p>
    <w:p w14:paraId="14B78991">
      <w:pPr>
        <w:keepNext w:val="0"/>
        <w:keepLines w:val="0"/>
        <w:pageBreakBefore w:val="0"/>
        <w:wordWrap w:val="0"/>
        <w:overflowPunct/>
        <w:topLinePunct w:val="0"/>
        <w:bidi w:val="0"/>
        <w:spacing w:before="7"/>
        <w:rPr>
          <w:rFonts w:hint="eastAsia" w:ascii="宋体" w:hAnsi="宋体" w:eastAsia="宋体" w:cs="宋体"/>
          <w:color w:val="auto"/>
          <w:spacing w:val="0"/>
          <w:highlight w:val="none"/>
        </w:rPr>
      </w:pPr>
    </w:p>
    <w:tbl>
      <w:tblPr>
        <w:tblStyle w:val="15"/>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50326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center"/>
          </w:tcPr>
          <w:p w14:paraId="60869D9E">
            <w:pPr>
              <w:keepNext w:val="0"/>
              <w:keepLines w:val="0"/>
              <w:pageBreakBefore w:val="0"/>
              <w:widowControl/>
              <w:kinsoku w:val="0"/>
              <w:wordWrap w:val="0"/>
              <w:overflowPunct/>
              <w:topLinePunct w:val="0"/>
              <w:autoSpaceDE w:val="0"/>
              <w:autoSpaceDN w:val="0"/>
              <w:bidi w:val="0"/>
              <w:adjustRightInd w:val="0"/>
              <w:snapToGrid w:val="0"/>
              <w:spacing w:before="229"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序号</w:t>
            </w:r>
          </w:p>
        </w:tc>
        <w:tc>
          <w:tcPr>
            <w:tcW w:w="1939" w:type="dxa"/>
            <w:vAlign w:val="center"/>
          </w:tcPr>
          <w:p w14:paraId="7439BD66">
            <w:pPr>
              <w:keepNext w:val="0"/>
              <w:keepLines w:val="0"/>
              <w:pageBreakBefore w:val="0"/>
              <w:widowControl/>
              <w:kinsoku w:val="0"/>
              <w:wordWrap w:val="0"/>
              <w:overflowPunct/>
              <w:topLinePunct w:val="0"/>
              <w:autoSpaceDE w:val="0"/>
              <w:autoSpaceDN w:val="0"/>
              <w:bidi w:val="0"/>
              <w:adjustRightInd w:val="0"/>
              <w:snapToGrid w:val="0"/>
              <w:spacing w:before="228"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岗位</w:t>
            </w:r>
          </w:p>
        </w:tc>
        <w:tc>
          <w:tcPr>
            <w:tcW w:w="1567" w:type="dxa"/>
            <w:vAlign w:val="center"/>
          </w:tcPr>
          <w:p w14:paraId="7EBB74F3">
            <w:pPr>
              <w:keepNext w:val="0"/>
              <w:keepLines w:val="0"/>
              <w:pageBreakBefore w:val="0"/>
              <w:widowControl/>
              <w:kinsoku w:val="0"/>
              <w:wordWrap w:val="0"/>
              <w:overflowPunct/>
              <w:topLinePunct w:val="0"/>
              <w:autoSpaceDE w:val="0"/>
              <w:autoSpaceDN w:val="0"/>
              <w:bidi w:val="0"/>
              <w:adjustRightInd w:val="0"/>
              <w:snapToGrid w:val="0"/>
              <w:spacing w:before="228"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姓名</w:t>
            </w:r>
          </w:p>
        </w:tc>
        <w:tc>
          <w:tcPr>
            <w:tcW w:w="1017" w:type="dxa"/>
            <w:vAlign w:val="center"/>
          </w:tcPr>
          <w:p w14:paraId="3DE10A85">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性别</w:t>
            </w:r>
          </w:p>
        </w:tc>
        <w:tc>
          <w:tcPr>
            <w:tcW w:w="1002" w:type="dxa"/>
            <w:vAlign w:val="center"/>
          </w:tcPr>
          <w:p w14:paraId="3050ABB3">
            <w:pPr>
              <w:keepNext w:val="0"/>
              <w:keepLines w:val="0"/>
              <w:pageBreakBefore w:val="0"/>
              <w:widowControl/>
              <w:kinsoku w:val="0"/>
              <w:wordWrap w:val="0"/>
              <w:overflowPunct/>
              <w:topLinePunct w:val="0"/>
              <w:autoSpaceDE w:val="0"/>
              <w:autoSpaceDN w:val="0"/>
              <w:bidi w:val="0"/>
              <w:adjustRightInd w:val="0"/>
              <w:snapToGrid w:val="0"/>
              <w:spacing w:before="229"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年龄</w:t>
            </w:r>
          </w:p>
        </w:tc>
        <w:tc>
          <w:tcPr>
            <w:tcW w:w="1551" w:type="dxa"/>
            <w:vAlign w:val="center"/>
          </w:tcPr>
          <w:p w14:paraId="59C156EA">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职称</w:t>
            </w:r>
          </w:p>
        </w:tc>
        <w:tc>
          <w:tcPr>
            <w:tcW w:w="1926" w:type="dxa"/>
            <w:vAlign w:val="center"/>
          </w:tcPr>
          <w:p w14:paraId="7FE3C975">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备注</w:t>
            </w:r>
          </w:p>
        </w:tc>
      </w:tr>
      <w:tr w14:paraId="1711D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36AB410A">
            <w:pPr>
              <w:keepNext w:val="0"/>
              <w:keepLines w:val="0"/>
              <w:pageBreakBefore w:val="0"/>
              <w:widowControl/>
              <w:kinsoku w:val="0"/>
              <w:wordWrap w:val="0"/>
              <w:overflowPunct/>
              <w:topLinePunct w:val="0"/>
              <w:autoSpaceDE w:val="0"/>
              <w:autoSpaceDN w:val="0"/>
              <w:bidi w:val="0"/>
              <w:adjustRightInd w:val="0"/>
              <w:snapToGrid w:val="0"/>
              <w:spacing w:before="185"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939" w:type="dxa"/>
            <w:vAlign w:val="center"/>
          </w:tcPr>
          <w:p w14:paraId="1997300C">
            <w:pPr>
              <w:keepNext w:val="0"/>
              <w:keepLines w:val="0"/>
              <w:pageBreakBefore w:val="0"/>
              <w:widowControl/>
              <w:kinsoku w:val="0"/>
              <w:wordWrap w:val="0"/>
              <w:overflowPunct/>
              <w:topLinePunct w:val="0"/>
              <w:autoSpaceDE w:val="0"/>
              <w:autoSpaceDN w:val="0"/>
              <w:bidi w:val="0"/>
              <w:adjustRightInd w:val="0"/>
              <w:snapToGrid w:val="0"/>
              <w:spacing w:before="150"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项目经理</w:t>
            </w:r>
          </w:p>
        </w:tc>
        <w:tc>
          <w:tcPr>
            <w:tcW w:w="1567" w:type="dxa"/>
            <w:vAlign w:val="center"/>
          </w:tcPr>
          <w:p w14:paraId="05C5473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57F30F4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0F1D6EB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41672C6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4DE9F02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2165C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center"/>
          </w:tcPr>
          <w:p w14:paraId="31D50A1B">
            <w:pPr>
              <w:keepNext w:val="0"/>
              <w:keepLines w:val="0"/>
              <w:pageBreakBefore w:val="0"/>
              <w:widowControl/>
              <w:kinsoku w:val="0"/>
              <w:wordWrap w:val="0"/>
              <w:overflowPunct/>
              <w:topLinePunct w:val="0"/>
              <w:autoSpaceDE w:val="0"/>
              <w:autoSpaceDN w:val="0"/>
              <w:bidi w:val="0"/>
              <w:adjustRightInd w:val="0"/>
              <w:snapToGrid w:val="0"/>
              <w:spacing w:before="187"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939" w:type="dxa"/>
            <w:vAlign w:val="center"/>
          </w:tcPr>
          <w:p w14:paraId="3A12DDFD">
            <w:pPr>
              <w:keepNext w:val="0"/>
              <w:keepLines w:val="0"/>
              <w:pageBreakBefore w:val="0"/>
              <w:widowControl/>
              <w:kinsoku w:val="0"/>
              <w:wordWrap w:val="0"/>
              <w:overflowPunct/>
              <w:topLinePunct w:val="0"/>
              <w:autoSpaceDE w:val="0"/>
              <w:autoSpaceDN w:val="0"/>
              <w:bidi w:val="0"/>
              <w:adjustRightInd w:val="0"/>
              <w:snapToGrid w:val="0"/>
              <w:spacing w:before="152"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项目技术负责人</w:t>
            </w:r>
          </w:p>
        </w:tc>
        <w:tc>
          <w:tcPr>
            <w:tcW w:w="1567" w:type="dxa"/>
            <w:vAlign w:val="center"/>
          </w:tcPr>
          <w:p w14:paraId="6A048FE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62616D6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290403F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513D574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44350E5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C2BE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7FC001D7">
            <w:pPr>
              <w:keepNext w:val="0"/>
              <w:keepLines w:val="0"/>
              <w:pageBreakBefore w:val="0"/>
              <w:widowControl/>
              <w:kinsoku w:val="0"/>
              <w:wordWrap w:val="0"/>
              <w:overflowPunct/>
              <w:topLinePunct w:val="0"/>
              <w:autoSpaceDE w:val="0"/>
              <w:autoSpaceDN w:val="0"/>
              <w:bidi w:val="0"/>
              <w:adjustRightInd w:val="0"/>
              <w:snapToGrid w:val="0"/>
              <w:spacing w:before="189" w:line="195" w:lineRule="auto"/>
              <w:ind w:left="0"/>
              <w:jc w:val="center"/>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w:t>
            </w:r>
          </w:p>
        </w:tc>
        <w:tc>
          <w:tcPr>
            <w:tcW w:w="1939" w:type="dxa"/>
            <w:vAlign w:val="center"/>
          </w:tcPr>
          <w:p w14:paraId="35920EAB">
            <w:pPr>
              <w:keepNext w:val="0"/>
              <w:keepLines w:val="0"/>
              <w:pageBreakBefore w:val="0"/>
              <w:widowControl/>
              <w:kinsoku w:val="0"/>
              <w:wordWrap w:val="0"/>
              <w:overflowPunct/>
              <w:topLinePunct w:val="0"/>
              <w:autoSpaceDE w:val="0"/>
              <w:autoSpaceDN w:val="0"/>
              <w:bidi w:val="0"/>
              <w:adjustRightInd w:val="0"/>
              <w:snapToGrid w:val="0"/>
              <w:spacing w:before="153"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专职安全员</w:t>
            </w:r>
          </w:p>
        </w:tc>
        <w:tc>
          <w:tcPr>
            <w:tcW w:w="1567" w:type="dxa"/>
            <w:vAlign w:val="center"/>
          </w:tcPr>
          <w:p w14:paraId="539D56F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106625F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1934B0B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733019E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2A7AA2A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10559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0773F671">
            <w:pPr>
              <w:keepNext w:val="0"/>
              <w:keepLines w:val="0"/>
              <w:pageBreakBefore w:val="0"/>
              <w:widowControl/>
              <w:kinsoku w:val="0"/>
              <w:wordWrap w:val="0"/>
              <w:overflowPunct/>
              <w:topLinePunct w:val="0"/>
              <w:autoSpaceDE w:val="0"/>
              <w:autoSpaceDN w:val="0"/>
              <w:bidi w:val="0"/>
              <w:adjustRightInd w:val="0"/>
              <w:snapToGrid w:val="0"/>
              <w:spacing w:before="188"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w:t>
            </w:r>
          </w:p>
        </w:tc>
        <w:tc>
          <w:tcPr>
            <w:tcW w:w="1939" w:type="dxa"/>
            <w:vAlign w:val="center"/>
          </w:tcPr>
          <w:p w14:paraId="30C10F88">
            <w:pPr>
              <w:keepNext w:val="0"/>
              <w:keepLines w:val="0"/>
              <w:pageBreakBefore w:val="0"/>
              <w:widowControl/>
              <w:kinsoku w:val="0"/>
              <w:wordWrap w:val="0"/>
              <w:overflowPunct/>
              <w:topLinePunct w:val="0"/>
              <w:autoSpaceDE w:val="0"/>
              <w:autoSpaceDN w:val="0"/>
              <w:bidi w:val="0"/>
              <w:adjustRightInd w:val="0"/>
              <w:snapToGrid w:val="0"/>
              <w:spacing w:before="152"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施工员</w:t>
            </w:r>
          </w:p>
        </w:tc>
        <w:tc>
          <w:tcPr>
            <w:tcW w:w="1567" w:type="dxa"/>
            <w:vAlign w:val="center"/>
          </w:tcPr>
          <w:p w14:paraId="05CA2BD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10108C0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34A0A4E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2D97556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48296E4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131EE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1C720381">
            <w:pPr>
              <w:keepNext w:val="0"/>
              <w:keepLines w:val="0"/>
              <w:pageBreakBefore w:val="0"/>
              <w:widowControl/>
              <w:kinsoku w:val="0"/>
              <w:wordWrap w:val="0"/>
              <w:overflowPunct/>
              <w:topLinePunct w:val="0"/>
              <w:autoSpaceDE w:val="0"/>
              <w:autoSpaceDN w:val="0"/>
              <w:bidi w:val="0"/>
              <w:adjustRightInd w:val="0"/>
              <w:snapToGrid w:val="0"/>
              <w:spacing w:before="193" w:line="192"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w:t>
            </w:r>
          </w:p>
        </w:tc>
        <w:tc>
          <w:tcPr>
            <w:tcW w:w="1939" w:type="dxa"/>
            <w:vAlign w:val="center"/>
          </w:tcPr>
          <w:p w14:paraId="3CAE22C0">
            <w:pPr>
              <w:keepNext w:val="0"/>
              <w:keepLines w:val="0"/>
              <w:pageBreakBefore w:val="0"/>
              <w:widowControl/>
              <w:kinsoku w:val="0"/>
              <w:wordWrap w:val="0"/>
              <w:overflowPunct/>
              <w:topLinePunct w:val="0"/>
              <w:autoSpaceDE w:val="0"/>
              <w:autoSpaceDN w:val="0"/>
              <w:bidi w:val="0"/>
              <w:adjustRightInd w:val="0"/>
              <w:snapToGrid w:val="0"/>
              <w:spacing w:before="154"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质量员</w:t>
            </w:r>
          </w:p>
        </w:tc>
        <w:tc>
          <w:tcPr>
            <w:tcW w:w="1567" w:type="dxa"/>
            <w:vAlign w:val="center"/>
          </w:tcPr>
          <w:p w14:paraId="16086B6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203D9B6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465E507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1AC236B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1B74D74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3A35A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2DD916FB">
            <w:pPr>
              <w:keepNext w:val="0"/>
              <w:keepLines w:val="0"/>
              <w:pageBreakBefore w:val="0"/>
              <w:widowControl/>
              <w:kinsoku w:val="0"/>
              <w:wordWrap w:val="0"/>
              <w:overflowPunct/>
              <w:topLinePunct w:val="0"/>
              <w:autoSpaceDE w:val="0"/>
              <w:autoSpaceDN w:val="0"/>
              <w:bidi w:val="0"/>
              <w:adjustRightInd w:val="0"/>
              <w:snapToGrid w:val="0"/>
              <w:spacing w:before="191"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w:t>
            </w:r>
          </w:p>
        </w:tc>
        <w:tc>
          <w:tcPr>
            <w:tcW w:w="1939" w:type="dxa"/>
            <w:vAlign w:val="center"/>
          </w:tcPr>
          <w:p w14:paraId="00D908A3">
            <w:pPr>
              <w:keepNext w:val="0"/>
              <w:keepLines w:val="0"/>
              <w:pageBreakBefore w:val="0"/>
              <w:widowControl/>
              <w:kinsoku w:val="0"/>
              <w:wordWrap w:val="0"/>
              <w:overflowPunct/>
              <w:topLinePunct w:val="0"/>
              <w:autoSpaceDE w:val="0"/>
              <w:autoSpaceDN w:val="0"/>
              <w:bidi w:val="0"/>
              <w:adjustRightInd w:val="0"/>
              <w:snapToGrid w:val="0"/>
              <w:spacing w:before="15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材料员</w:t>
            </w:r>
          </w:p>
        </w:tc>
        <w:tc>
          <w:tcPr>
            <w:tcW w:w="1567" w:type="dxa"/>
            <w:vAlign w:val="center"/>
          </w:tcPr>
          <w:p w14:paraId="7A4124E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21B90CF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7429CA6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355EF2B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3D80AEA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96C3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4F1DC0C4">
            <w:pPr>
              <w:keepNext w:val="0"/>
              <w:keepLines w:val="0"/>
              <w:pageBreakBefore w:val="0"/>
              <w:widowControl/>
              <w:kinsoku w:val="0"/>
              <w:wordWrap w:val="0"/>
              <w:overflowPunct/>
              <w:topLinePunct w:val="0"/>
              <w:autoSpaceDE w:val="0"/>
              <w:autoSpaceDN w:val="0"/>
              <w:bidi w:val="0"/>
              <w:adjustRightInd w:val="0"/>
              <w:snapToGrid w:val="0"/>
              <w:spacing w:before="192" w:line="192"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w:t>
            </w:r>
          </w:p>
        </w:tc>
        <w:tc>
          <w:tcPr>
            <w:tcW w:w="1939" w:type="dxa"/>
            <w:vAlign w:val="center"/>
          </w:tcPr>
          <w:p w14:paraId="2B81E2B2">
            <w:pPr>
              <w:keepNext w:val="0"/>
              <w:keepLines w:val="0"/>
              <w:pageBreakBefore w:val="0"/>
              <w:widowControl/>
              <w:kinsoku w:val="0"/>
              <w:wordWrap w:val="0"/>
              <w:overflowPunct/>
              <w:topLinePunct w:val="0"/>
              <w:autoSpaceDE w:val="0"/>
              <w:autoSpaceDN w:val="0"/>
              <w:bidi w:val="0"/>
              <w:adjustRightInd w:val="0"/>
              <w:snapToGrid w:val="0"/>
              <w:spacing w:before="154"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资料员</w:t>
            </w:r>
          </w:p>
        </w:tc>
        <w:tc>
          <w:tcPr>
            <w:tcW w:w="1567" w:type="dxa"/>
            <w:vAlign w:val="center"/>
          </w:tcPr>
          <w:p w14:paraId="5830ACF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2BE2E7C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1AEE4D9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462B06F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75D8694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6E88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center"/>
          </w:tcPr>
          <w:p w14:paraId="01C28551">
            <w:pPr>
              <w:keepNext w:val="0"/>
              <w:keepLines w:val="0"/>
              <w:pageBreakBefore w:val="0"/>
              <w:widowControl/>
              <w:kinsoku w:val="0"/>
              <w:wordWrap w:val="0"/>
              <w:overflowPunct/>
              <w:topLinePunct w:val="0"/>
              <w:autoSpaceDE w:val="0"/>
              <w:autoSpaceDN w:val="0"/>
              <w:bidi w:val="0"/>
              <w:adjustRightInd w:val="0"/>
              <w:snapToGrid w:val="0"/>
              <w:spacing w:before="154" w:line="325"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939" w:type="dxa"/>
            <w:vAlign w:val="center"/>
          </w:tcPr>
          <w:p w14:paraId="40723A7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67" w:type="dxa"/>
            <w:vAlign w:val="center"/>
          </w:tcPr>
          <w:p w14:paraId="7F1F6AE8">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77322F0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62FB4EA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2D6E46A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5245007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1A2216AD">
      <w:pPr>
        <w:pStyle w:val="6"/>
        <w:keepNext w:val="0"/>
        <w:keepLines w:val="0"/>
        <w:pageBreakBefore w:val="0"/>
        <w:wordWrap w:val="0"/>
        <w:overflowPunct/>
        <w:topLinePunct w:val="0"/>
        <w:bidi w:val="0"/>
        <w:spacing w:line="395" w:lineRule="auto"/>
        <w:rPr>
          <w:rFonts w:hint="eastAsia" w:ascii="宋体" w:hAnsi="宋体" w:eastAsia="宋体" w:cs="宋体"/>
          <w:color w:val="auto"/>
          <w:spacing w:val="0"/>
          <w:sz w:val="24"/>
          <w:szCs w:val="24"/>
          <w:highlight w:val="none"/>
        </w:rPr>
      </w:pPr>
    </w:p>
    <w:p w14:paraId="3469D01B">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w:t>
      </w:r>
    </w:p>
    <w:p w14:paraId="39CA077E">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．《项目管理机构组成表》后应附表中拟派人员（项目经理、项目技术负责人除外）以下资料：</w:t>
      </w:r>
    </w:p>
    <w:p w14:paraId="0CE589C1">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身份证彩色扫描件；</w:t>
      </w:r>
    </w:p>
    <w:p w14:paraId="02AA64CE">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3CEAFCD3">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在本单位缴纳社保的证明（</w:t>
      </w:r>
      <w:r>
        <w:rPr>
          <w:rFonts w:hint="eastAsia" w:ascii="宋体" w:hAnsi="宋体" w:eastAsia="宋体" w:cs="宋体"/>
          <w:color w:val="auto"/>
          <w:spacing w:val="0"/>
          <w:sz w:val="24"/>
          <w:szCs w:val="24"/>
          <w:highlight w:val="none"/>
          <w:lang w:eastAsia="zh-CN"/>
        </w:rPr>
        <w:t>至少6个月，其中必须有2026年3月</w:t>
      </w:r>
      <w:r>
        <w:rPr>
          <w:rFonts w:hint="eastAsia" w:ascii="宋体" w:hAnsi="宋体" w:eastAsia="宋体" w:cs="宋体"/>
          <w:color w:val="auto"/>
          <w:spacing w:val="0"/>
          <w:sz w:val="24"/>
          <w:szCs w:val="24"/>
          <w:highlight w:val="none"/>
        </w:rPr>
        <w:t>）扫描件</w:t>
      </w:r>
      <w:r>
        <w:rPr>
          <w:rFonts w:hint="eastAsia" w:ascii="宋体" w:hAnsi="宋体" w:eastAsia="宋体" w:cs="宋体"/>
          <w:color w:val="auto"/>
          <w:spacing w:val="0"/>
          <w:sz w:val="24"/>
          <w:szCs w:val="24"/>
          <w:highlight w:val="none"/>
          <w:lang w:val="en-US" w:eastAsia="zh-CN"/>
        </w:rPr>
        <w:t>或打印件</w:t>
      </w:r>
      <w:r>
        <w:rPr>
          <w:rFonts w:hint="eastAsia" w:ascii="宋体" w:hAnsi="宋体" w:eastAsia="宋体" w:cs="宋体"/>
          <w:color w:val="auto"/>
          <w:spacing w:val="0"/>
          <w:sz w:val="24"/>
          <w:szCs w:val="24"/>
          <w:highlight w:val="none"/>
        </w:rPr>
        <w:t>。拟派</w:t>
      </w:r>
      <w:r>
        <w:rPr>
          <w:rFonts w:hint="eastAsia" w:ascii="宋体" w:hAnsi="宋体" w:eastAsia="宋体" w:cs="宋体"/>
          <w:color w:val="auto"/>
          <w:spacing w:val="0"/>
          <w:sz w:val="24"/>
          <w:szCs w:val="24"/>
          <w:highlight w:val="none"/>
          <w:lang w:val="en-US" w:eastAsia="zh-CN"/>
        </w:rPr>
        <w:t>人员</w:t>
      </w:r>
      <w:r>
        <w:rPr>
          <w:rFonts w:hint="eastAsia" w:ascii="宋体" w:hAnsi="宋体" w:eastAsia="宋体" w:cs="宋体"/>
          <w:color w:val="auto"/>
          <w:spacing w:val="0"/>
          <w:sz w:val="24"/>
          <w:szCs w:val="24"/>
          <w:highlight w:val="none"/>
        </w:rPr>
        <w:t>为退休返聘人员无法提供社保证明的，提供退休证和劳动合同彩色扫描件。</w:t>
      </w:r>
    </w:p>
    <w:p w14:paraId="3503A7F4">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联合体投标的，《项目管理机构组成表》应包括联合体成员单位参与项目管理机构的人员，并提供以上所需资料。</w:t>
      </w:r>
    </w:p>
    <w:p w14:paraId="73BD7082">
      <w:pP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14:paraId="0C3F1F26">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p>
    <w:p w14:paraId="734EE390">
      <w:pPr>
        <w:keepNext w:val="0"/>
        <w:keepLines w:val="0"/>
        <w:pageBreakBefore w:val="0"/>
        <w:wordWrap w:val="0"/>
        <w:overflowPunct/>
        <w:topLinePunct w:val="0"/>
        <w:bidi w:val="0"/>
        <w:outlineLvl w:val="9"/>
        <w:rPr>
          <w:rFonts w:hint="eastAsia" w:ascii="宋体" w:hAnsi="宋体" w:eastAsia="宋体" w:cs="宋体"/>
          <w:color w:val="auto"/>
          <w:spacing w:val="0"/>
          <w:highlight w:val="none"/>
        </w:rPr>
      </w:pPr>
    </w:p>
    <w:p w14:paraId="64B4C367">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1D37CFE7">
      <w:pPr>
        <w:keepNext w:val="0"/>
        <w:keepLines w:val="0"/>
        <w:pageBreakBefore w:val="0"/>
        <w:wordWrap w:val="0"/>
        <w:overflowPunct/>
        <w:topLinePunct w:val="0"/>
        <w:bidi w:val="0"/>
        <w:spacing w:line="10744" w:lineRule="exact"/>
        <w:rPr>
          <w:rFonts w:hint="eastAsia" w:ascii="宋体" w:hAnsi="宋体" w:eastAsia="宋体" w:cs="宋体"/>
          <w:color w:val="auto"/>
          <w:spacing w:val="0"/>
          <w:highlight w:val="none"/>
        </w:rPr>
      </w:pPr>
      <w:r>
        <w:rPr>
          <w:rFonts w:hint="eastAsia" w:ascii="宋体" w:hAnsi="宋体" w:eastAsia="宋体" w:cs="宋体"/>
          <w:color w:val="auto"/>
          <w:spacing w:val="0"/>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4"/>
                    <a:stretch>
                      <a:fillRect/>
                    </a:stretch>
                  </pic:blipFill>
                  <pic:spPr>
                    <a:xfrm>
                      <a:off x="0" y="0"/>
                      <a:ext cx="6285865" cy="6925310"/>
                    </a:xfrm>
                    <a:prstGeom prst="rect">
                      <a:avLst/>
                    </a:prstGeom>
                    <a:noFill/>
                    <a:ln>
                      <a:noFill/>
                    </a:ln>
                  </pic:spPr>
                </pic:pic>
              </a:graphicData>
            </a:graphic>
          </wp:inline>
        </w:drawing>
      </w:r>
    </w:p>
    <w:p w14:paraId="174F9627">
      <w:pPr>
        <w:keepNext w:val="0"/>
        <w:keepLines w:val="0"/>
        <w:pageBreakBefore w:val="0"/>
        <w:wordWrap w:val="0"/>
        <w:overflowPunct/>
        <w:topLinePunct w:val="0"/>
        <w:bidi w:val="0"/>
        <w:spacing w:line="10744" w:lineRule="exact"/>
        <w:rPr>
          <w:rFonts w:hint="eastAsia" w:ascii="宋体" w:hAnsi="宋体" w:eastAsia="宋体" w:cs="宋体"/>
          <w:color w:val="auto"/>
          <w:spacing w:val="0"/>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4F0F2A5C">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p>
    <w:p w14:paraId="749D726F">
      <w:pPr>
        <w:keepNext w:val="0"/>
        <w:keepLines w:val="0"/>
        <w:pageBreakBefore w:val="0"/>
        <w:wordWrap w:val="0"/>
        <w:overflowPunct/>
        <w:topLinePunct w:val="0"/>
        <w:bidi w:val="0"/>
        <w:spacing w:before="78" w:line="220" w:lineRule="auto"/>
        <w:jc w:val="both"/>
        <w:outlineLvl w:val="2"/>
        <w:rPr>
          <w:rFonts w:hint="default" w:ascii="宋体" w:hAnsi="宋体" w:eastAsia="宋体" w:cs="宋体"/>
          <w:b/>
          <w:bCs/>
          <w:color w:val="auto"/>
          <w:spacing w:val="0"/>
          <w:sz w:val="24"/>
          <w:szCs w:val="24"/>
          <w:highlight w:val="none"/>
          <w:lang w:val="en-US" w:eastAsia="zh-CN"/>
        </w:rPr>
      </w:pPr>
      <w:bookmarkStart w:id="246" w:name="_Toc24660"/>
      <w:r>
        <w:rPr>
          <w:rFonts w:hint="eastAsia" w:ascii="宋体" w:hAnsi="宋体" w:eastAsia="宋体" w:cs="宋体"/>
          <w:b/>
          <w:bCs/>
          <w:color w:val="auto"/>
          <w:spacing w:val="0"/>
          <w:sz w:val="24"/>
          <w:szCs w:val="24"/>
          <w:highlight w:val="none"/>
        </w:rPr>
        <w:t>格式十</w:t>
      </w:r>
      <w:r>
        <w:rPr>
          <w:rFonts w:hint="eastAsia" w:ascii="宋体" w:hAnsi="宋体" w:eastAsia="宋体" w:cs="宋体"/>
          <w:b/>
          <w:bCs/>
          <w:color w:val="auto"/>
          <w:spacing w:val="0"/>
          <w:sz w:val="24"/>
          <w:szCs w:val="24"/>
          <w:highlight w:val="none"/>
          <w:lang w:val="en-US" w:eastAsia="zh-CN"/>
        </w:rPr>
        <w:t xml:space="preserve">二  </w:t>
      </w:r>
      <w:r>
        <w:rPr>
          <w:rFonts w:hint="eastAsia" w:ascii="宋体" w:hAnsi="宋体" w:eastAsia="宋体" w:cs="宋体"/>
          <w:b/>
          <w:bCs/>
          <w:color w:val="auto"/>
          <w:spacing w:val="0"/>
          <w:position w:val="3"/>
          <w:sz w:val="21"/>
          <w:szCs w:val="21"/>
          <w:highlight w:val="none"/>
        </w:rPr>
        <w:t>投标保证金信用承诺函</w:t>
      </w:r>
      <w:bookmarkEnd w:id="246"/>
    </w:p>
    <w:p w14:paraId="0C4BB798">
      <w:pPr>
        <w:keepNext w:val="0"/>
        <w:keepLines w:val="0"/>
        <w:pageBreakBefore w:val="0"/>
        <w:wordWrap w:val="0"/>
        <w:overflowPunct/>
        <w:topLinePunct w:val="0"/>
        <w:bidi w:val="0"/>
        <w:spacing w:before="140" w:line="604" w:lineRule="exact"/>
        <w:jc w:val="center"/>
        <w:rPr>
          <w:rFonts w:hint="eastAsia" w:ascii="宋体" w:hAnsi="宋体" w:eastAsia="宋体" w:cs="宋体"/>
          <w:color w:val="auto"/>
          <w:spacing w:val="0"/>
          <w:sz w:val="28"/>
          <w:szCs w:val="28"/>
          <w:highlight w:val="none"/>
        </w:rPr>
      </w:pPr>
      <w:r>
        <w:rPr>
          <w:rFonts w:hint="eastAsia" w:ascii="宋体" w:hAnsi="宋体" w:eastAsia="宋体" w:cs="宋体"/>
          <w:b/>
          <w:bCs/>
          <w:color w:val="auto"/>
          <w:spacing w:val="0"/>
          <w:position w:val="3"/>
          <w:sz w:val="28"/>
          <w:szCs w:val="28"/>
          <w:highlight w:val="none"/>
        </w:rPr>
        <w:t>投标保证金信用承诺函</w:t>
      </w:r>
    </w:p>
    <w:p w14:paraId="63DA26AC">
      <w:pPr>
        <w:pStyle w:val="6"/>
        <w:keepNext w:val="0"/>
        <w:keepLines w:val="0"/>
        <w:pageBreakBefore w:val="0"/>
        <w:wordWrap w:val="0"/>
        <w:overflowPunct/>
        <w:topLinePunct w:val="0"/>
        <w:bidi w:val="0"/>
        <w:spacing w:line="408" w:lineRule="auto"/>
        <w:rPr>
          <w:rFonts w:hint="eastAsia" w:ascii="宋体" w:hAnsi="宋体" w:eastAsia="宋体" w:cs="宋体"/>
          <w:color w:val="auto"/>
          <w:spacing w:val="0"/>
          <w:highlight w:val="none"/>
        </w:rPr>
      </w:pPr>
    </w:p>
    <w:p w14:paraId="2318544C">
      <w:pPr>
        <w:keepNext w:val="0"/>
        <w:keepLines w:val="0"/>
        <w:pageBreakBefore w:val="0"/>
        <w:wordWrap w:val="0"/>
        <w:overflowPunct/>
        <w:topLinePunct w:val="0"/>
        <w:bidi w:val="0"/>
        <w:spacing w:before="101" w:line="257" w:lineRule="auto"/>
        <w:ind w:left="3" w:firstLine="965"/>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一、</w:t>
      </w:r>
      <w:r>
        <w:rPr>
          <w:rFonts w:hint="eastAsia" w:ascii="宋体" w:hAnsi="宋体" w:eastAsia="宋体" w:cs="宋体"/>
          <w:color w:val="auto"/>
          <w:spacing w:val="0"/>
          <w:sz w:val="24"/>
          <w:szCs w:val="24"/>
          <w:highlight w:val="none"/>
        </w:rPr>
        <w:t>我单位参加</w:t>
      </w:r>
      <w:r>
        <w:rPr>
          <w:rFonts w:hint="eastAsia" w:ascii="宋体" w:hAnsi="宋体" w:eastAsia="宋体" w:cs="宋体"/>
          <w:color w:val="auto"/>
          <w:spacing w:val="0"/>
          <w:sz w:val="24"/>
          <w:szCs w:val="24"/>
          <w:highlight w:val="none"/>
          <w:u w:val="single"/>
        </w:rPr>
        <w:t xml:space="preserve">  （工程项目名称）  </w:t>
      </w:r>
      <w:r>
        <w:rPr>
          <w:rFonts w:hint="eastAsia" w:ascii="宋体" w:hAnsi="宋体" w:eastAsia="宋体" w:cs="宋体"/>
          <w:color w:val="auto"/>
          <w:spacing w:val="0"/>
          <w:sz w:val="24"/>
          <w:szCs w:val="24"/>
          <w:highlight w:val="none"/>
        </w:rPr>
        <w:t xml:space="preserve"> 的投标活动，现承诺：将严格按照法律法规规定参与交易活动，按照招标文件要求 依法履行投标人义务；我方若出现违反《中华人民共和国招标投标法》、《中华人民共和国招标投标法实施条例》、《电子招标 投标办法》等有关法律法规的行为，将于投标有效期内全额付清 招标文件规定的投标保证金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元。</w:t>
      </w:r>
    </w:p>
    <w:p w14:paraId="2B9D0EA5">
      <w:pPr>
        <w:keepNext w:val="0"/>
        <w:keepLines w:val="0"/>
        <w:pageBreakBefore w:val="0"/>
        <w:wordWrap w:val="0"/>
        <w:overflowPunct/>
        <w:topLinePunct w:val="0"/>
        <w:bidi w:val="0"/>
        <w:spacing w:before="48" w:line="252" w:lineRule="auto"/>
        <w:ind w:left="1" w:firstLine="647"/>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二、至投标文件提交当天，本公司无严重不良信用记录或存在曾作出虚假承诺的情形，且不属于韶关市建筑市场信用管理平 台公布的信用等级为 B 级、C 级、D 级的企业。</w:t>
      </w:r>
    </w:p>
    <w:p w14:paraId="1EFDE8F2">
      <w:pPr>
        <w:keepNext w:val="0"/>
        <w:keepLines w:val="0"/>
        <w:pageBreakBefore w:val="0"/>
        <w:wordWrap w:val="0"/>
        <w:overflowPunct/>
        <w:topLinePunct w:val="0"/>
        <w:bidi w:val="0"/>
        <w:spacing w:before="52" w:line="247" w:lineRule="auto"/>
        <w:ind w:left="6" w:right="2" w:firstLine="63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本企业对以上承诺和声明负责。如有虚假，愿接受行政主管部门作出的处罚，并承担以下后果：</w:t>
      </w:r>
    </w:p>
    <w:p w14:paraId="28F04F87">
      <w:pPr>
        <w:keepNext w:val="0"/>
        <w:keepLines w:val="0"/>
        <w:pageBreakBefore w:val="0"/>
        <w:wordWrap w:val="0"/>
        <w:overflowPunct/>
        <w:topLinePunct w:val="0"/>
        <w:bidi w:val="0"/>
        <w:spacing w:before="48"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（一）取消本单位在本项目中的投标资格或中标资格；</w:t>
      </w:r>
    </w:p>
    <w:p w14:paraId="64420808">
      <w:pPr>
        <w:keepNext w:val="0"/>
        <w:keepLines w:val="0"/>
        <w:pageBreakBefore w:val="0"/>
        <w:wordWrap w:val="0"/>
        <w:overflowPunct/>
        <w:topLinePunct w:val="0"/>
        <w:bidi w:val="0"/>
        <w:spacing w:before="64"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（二）将本单位不良行为纳入信用信息管理系统；</w:t>
      </w:r>
    </w:p>
    <w:p w14:paraId="30729E54">
      <w:pPr>
        <w:keepNext w:val="0"/>
        <w:keepLines w:val="0"/>
        <w:pageBreakBefore w:val="0"/>
        <w:wordWrap w:val="0"/>
        <w:overflowPunct/>
        <w:topLinePunct w:val="0"/>
        <w:bidi w:val="0"/>
        <w:spacing w:before="60" w:line="244" w:lineRule="auto"/>
        <w:ind w:left="41" w:right="2" w:firstLine="6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（三）主动在产生不良行为所在的各县（市、区）行政区域内不参加房建市政工程项目的投标活动一年；</w:t>
      </w:r>
    </w:p>
    <w:p w14:paraId="0761697F">
      <w:pPr>
        <w:keepNext w:val="0"/>
        <w:keepLines w:val="0"/>
        <w:pageBreakBefore w:val="0"/>
        <w:wordWrap w:val="0"/>
        <w:overflowPunct/>
        <w:topLinePunct w:val="0"/>
        <w:bidi w:val="0"/>
        <w:spacing w:before="63"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（四）应付的赔偿责任和相应法律责任。</w:t>
      </w:r>
    </w:p>
    <w:p w14:paraId="71665105">
      <w:pPr>
        <w:pStyle w:val="6"/>
        <w:keepNext w:val="0"/>
        <w:keepLines w:val="0"/>
        <w:pageBreakBefore w:val="0"/>
        <w:wordWrap w:val="0"/>
        <w:overflowPunct/>
        <w:topLinePunct w:val="0"/>
        <w:bidi w:val="0"/>
        <w:spacing w:line="329" w:lineRule="auto"/>
        <w:rPr>
          <w:rFonts w:hint="eastAsia" w:ascii="宋体" w:hAnsi="宋体" w:eastAsia="宋体" w:cs="宋体"/>
          <w:color w:val="auto"/>
          <w:spacing w:val="0"/>
          <w:sz w:val="24"/>
          <w:szCs w:val="24"/>
          <w:highlight w:val="none"/>
        </w:rPr>
      </w:pPr>
    </w:p>
    <w:p w14:paraId="301930B0">
      <w:pPr>
        <w:keepNext w:val="0"/>
        <w:keepLines w:val="0"/>
        <w:pageBreakBefore w:val="0"/>
        <w:wordWrap w:val="0"/>
        <w:overflowPunct/>
        <w:topLinePunct w:val="0"/>
        <w:bidi w:val="0"/>
        <w:spacing w:before="102" w:line="225" w:lineRule="auto"/>
        <w:ind w:left="8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单位名称（公章）：</w:t>
      </w:r>
    </w:p>
    <w:p w14:paraId="2C853675">
      <w:pPr>
        <w:pStyle w:val="6"/>
        <w:keepNext w:val="0"/>
        <w:keepLines w:val="0"/>
        <w:pageBreakBefore w:val="0"/>
        <w:wordWrap w:val="0"/>
        <w:overflowPunct/>
        <w:topLinePunct w:val="0"/>
        <w:bidi w:val="0"/>
        <w:spacing w:line="457" w:lineRule="auto"/>
        <w:rPr>
          <w:rFonts w:hint="eastAsia" w:ascii="宋体" w:hAnsi="宋体" w:eastAsia="宋体" w:cs="宋体"/>
          <w:color w:val="auto"/>
          <w:spacing w:val="0"/>
          <w:sz w:val="24"/>
          <w:szCs w:val="24"/>
          <w:highlight w:val="none"/>
        </w:rPr>
      </w:pPr>
    </w:p>
    <w:p w14:paraId="1304A271">
      <w:pPr>
        <w:keepNext w:val="0"/>
        <w:keepLines w:val="0"/>
        <w:pageBreakBefore w:val="0"/>
        <w:wordWrap w:val="0"/>
        <w:overflowPunct/>
        <w:topLinePunct w:val="0"/>
        <w:bidi w:val="0"/>
        <w:spacing w:before="100" w:line="225" w:lineRule="auto"/>
        <w:ind w:left="85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统一社会信用代码：</w:t>
      </w:r>
    </w:p>
    <w:p w14:paraId="1892BA66">
      <w:pPr>
        <w:pStyle w:val="6"/>
        <w:keepNext w:val="0"/>
        <w:keepLines w:val="0"/>
        <w:pageBreakBefore w:val="0"/>
        <w:wordWrap w:val="0"/>
        <w:overflowPunct/>
        <w:topLinePunct w:val="0"/>
        <w:bidi w:val="0"/>
        <w:spacing w:line="457" w:lineRule="auto"/>
        <w:rPr>
          <w:rFonts w:hint="eastAsia" w:ascii="宋体" w:hAnsi="宋体" w:eastAsia="宋体" w:cs="宋体"/>
          <w:color w:val="auto"/>
          <w:spacing w:val="0"/>
          <w:sz w:val="24"/>
          <w:szCs w:val="24"/>
          <w:highlight w:val="none"/>
        </w:rPr>
      </w:pPr>
    </w:p>
    <w:p w14:paraId="5DBB6F71">
      <w:pPr>
        <w:keepNext w:val="0"/>
        <w:keepLines w:val="0"/>
        <w:pageBreakBefore w:val="0"/>
        <w:wordWrap w:val="0"/>
        <w:overflowPunct/>
        <w:topLinePunct w:val="0"/>
        <w:bidi w:val="0"/>
        <w:spacing w:before="102" w:line="543" w:lineRule="auto"/>
        <w:ind w:left="844" w:right="50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法定代表人（签字）：</w:t>
      </w:r>
    </w:p>
    <w:p w14:paraId="2D5FF0AE">
      <w:pPr>
        <w:keepNext w:val="0"/>
        <w:keepLines w:val="0"/>
        <w:pageBreakBefore w:val="0"/>
        <w:wordWrap w:val="0"/>
        <w:overflowPunct/>
        <w:topLinePunct w:val="0"/>
        <w:bidi w:val="0"/>
        <w:spacing w:before="102" w:line="543" w:lineRule="auto"/>
        <w:ind w:left="844" w:right="50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年   月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日</w:t>
      </w:r>
    </w:p>
    <w:p w14:paraId="0CF3EB86">
      <w:pPr>
        <w:pStyle w:val="14"/>
        <w:keepNext w:val="0"/>
        <w:keepLines w:val="0"/>
        <w:pageBreakBefore w:val="0"/>
        <w:wordWrap w:val="0"/>
        <w:overflowPunct/>
        <w:topLinePunct w:val="0"/>
        <w:bidi w:val="0"/>
        <w:rPr>
          <w:rFonts w:hint="eastAsia" w:ascii="宋体" w:hAnsi="宋体" w:eastAsia="宋体" w:cs="宋体"/>
          <w:color w:val="auto"/>
          <w:spacing w:val="0"/>
          <w:highlight w:val="none"/>
        </w:rPr>
      </w:pPr>
    </w:p>
    <w:p w14:paraId="352EA194">
      <w:pPr>
        <w:pStyle w:val="14"/>
        <w:keepNext w:val="0"/>
        <w:keepLines w:val="0"/>
        <w:pageBreakBefore w:val="0"/>
        <w:wordWrap w:val="0"/>
        <w:overflowPunct/>
        <w:topLinePunct w:val="0"/>
        <w:bidi w:val="0"/>
        <w:rPr>
          <w:rFonts w:hint="eastAsia" w:ascii="宋体" w:hAnsi="宋体" w:eastAsia="宋体" w:cs="宋体"/>
          <w:color w:val="auto"/>
          <w:spacing w:val="0"/>
          <w:sz w:val="24"/>
          <w:szCs w:val="24"/>
          <w:highlight w:val="none"/>
          <w:lang w:eastAsia="zh-CN"/>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367075C">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47" w:name="_Toc5098"/>
      <w:r>
        <w:rPr>
          <w:rFonts w:hint="eastAsia" w:ascii="宋体" w:hAnsi="宋体" w:eastAsia="宋体" w:cs="宋体"/>
          <w:b/>
          <w:bCs/>
          <w:color w:val="auto"/>
          <w:spacing w:val="0"/>
          <w:sz w:val="24"/>
          <w:szCs w:val="24"/>
          <w:highlight w:val="none"/>
        </w:rPr>
        <w:t>格式十</w:t>
      </w:r>
      <w:r>
        <w:rPr>
          <w:rFonts w:hint="eastAsia" w:ascii="宋体" w:hAnsi="宋体" w:eastAsia="宋体" w:cs="宋体"/>
          <w:b/>
          <w:bCs/>
          <w:color w:val="auto"/>
          <w:spacing w:val="0"/>
          <w:sz w:val="24"/>
          <w:szCs w:val="24"/>
          <w:highlight w:val="none"/>
          <w:lang w:val="en-US" w:eastAsia="zh-CN"/>
        </w:rPr>
        <w:t>三</w:t>
      </w:r>
      <w:r>
        <w:rPr>
          <w:rFonts w:hint="eastAsia" w:ascii="宋体" w:hAnsi="宋体" w:eastAsia="宋体" w:cs="宋体"/>
          <w:b/>
          <w:bCs/>
          <w:color w:val="auto"/>
          <w:spacing w:val="0"/>
          <w:sz w:val="24"/>
          <w:szCs w:val="24"/>
          <w:highlight w:val="none"/>
        </w:rPr>
        <w:t xml:space="preserve">  原件一览表</w:t>
      </w:r>
      <w:bookmarkEnd w:id="247"/>
    </w:p>
    <w:tbl>
      <w:tblPr>
        <w:tblStyle w:val="15"/>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5F244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2B40EF1C">
            <w:pPr>
              <w:keepNext w:val="0"/>
              <w:keepLines w:val="0"/>
              <w:pageBreakBefore w:val="0"/>
              <w:wordWrap w:val="0"/>
              <w:overflowPunct/>
              <w:topLinePunct w:val="0"/>
              <w:bidi w:val="0"/>
              <w:spacing w:before="132" w:line="220" w:lineRule="auto"/>
              <w:ind w:left="396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原件一览表</w:t>
            </w:r>
          </w:p>
        </w:tc>
      </w:tr>
      <w:tr w14:paraId="6C17C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center"/>
          </w:tcPr>
          <w:p w14:paraId="03FBA86E">
            <w:pPr>
              <w:keepNext w:val="0"/>
              <w:keepLines w:val="0"/>
              <w:pageBreakBefore w:val="0"/>
              <w:wordWrap w:val="0"/>
              <w:overflowPunct/>
              <w:topLinePunct w:val="0"/>
              <w:bidi w:val="0"/>
              <w:spacing w:before="62" w:line="23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工程名称</w:t>
            </w:r>
          </w:p>
        </w:tc>
        <w:tc>
          <w:tcPr>
            <w:tcW w:w="6816" w:type="dxa"/>
            <w:gridSpan w:val="6"/>
            <w:vAlign w:val="top"/>
          </w:tcPr>
          <w:p w14:paraId="5F792F2C">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487BE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254D3CCA">
            <w:pPr>
              <w:keepNext w:val="0"/>
              <w:keepLines w:val="0"/>
              <w:pageBreakBefore w:val="0"/>
              <w:wordWrap w:val="0"/>
              <w:overflowPunct/>
              <w:topLinePunct w:val="0"/>
              <w:bidi w:val="0"/>
              <w:spacing w:before="150" w:line="23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投标人名称(请务必填写单位全称)</w:t>
            </w:r>
          </w:p>
        </w:tc>
        <w:tc>
          <w:tcPr>
            <w:tcW w:w="6816" w:type="dxa"/>
            <w:gridSpan w:val="6"/>
            <w:vAlign w:val="top"/>
          </w:tcPr>
          <w:p w14:paraId="0F353D01">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22EC7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6683BB0E">
            <w:pPr>
              <w:keepNext w:val="0"/>
              <w:keepLines w:val="0"/>
              <w:pageBreakBefore w:val="0"/>
              <w:wordWrap w:val="0"/>
              <w:overflowPunct/>
              <w:topLinePunct w:val="0"/>
              <w:bidi w:val="0"/>
              <w:spacing w:before="151"/>
              <w:ind w:right="14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投标人法定代表人或其委托代理人签名</w:t>
            </w:r>
          </w:p>
        </w:tc>
        <w:tc>
          <w:tcPr>
            <w:tcW w:w="2689" w:type="dxa"/>
            <w:gridSpan w:val="2"/>
            <w:vAlign w:val="top"/>
          </w:tcPr>
          <w:p w14:paraId="79697200">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499" w:type="dxa"/>
            <w:gridSpan w:val="2"/>
            <w:vAlign w:val="top"/>
          </w:tcPr>
          <w:p w14:paraId="58C1E63A">
            <w:pPr>
              <w:keepNext w:val="0"/>
              <w:keepLines w:val="0"/>
              <w:pageBreakBefore w:val="0"/>
              <w:wordWrap w:val="0"/>
              <w:overflowPunct/>
              <w:topLinePunct w:val="0"/>
              <w:bidi w:val="0"/>
              <w:spacing w:before="151" w:line="312" w:lineRule="auto"/>
              <w:ind w:right="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手机号码</w:t>
            </w:r>
          </w:p>
        </w:tc>
        <w:tc>
          <w:tcPr>
            <w:tcW w:w="2628" w:type="dxa"/>
            <w:gridSpan w:val="2"/>
            <w:vAlign w:val="top"/>
          </w:tcPr>
          <w:p w14:paraId="460A230E">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1064F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5B16BEA7">
            <w:pPr>
              <w:keepNext w:val="0"/>
              <w:keepLines w:val="0"/>
              <w:pageBreakBefore w:val="0"/>
              <w:wordWrap w:val="0"/>
              <w:overflowPunct/>
              <w:topLinePunct w:val="0"/>
              <w:bidi w:val="0"/>
              <w:spacing w:before="62" w:line="228" w:lineRule="auto"/>
              <w:ind w:left="336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递交的证明材料原件如下：</w:t>
            </w:r>
          </w:p>
        </w:tc>
      </w:tr>
      <w:tr w14:paraId="6562F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47F8E8A8">
            <w:pPr>
              <w:pStyle w:val="28"/>
              <w:keepNext w:val="0"/>
              <w:keepLines w:val="0"/>
              <w:pageBreakBefore w:val="0"/>
              <w:wordWrap w:val="0"/>
              <w:overflowPunct/>
              <w:topLinePunct w:val="0"/>
              <w:bidi w:val="0"/>
              <w:spacing w:line="257" w:lineRule="auto"/>
              <w:rPr>
                <w:rFonts w:hint="eastAsia" w:ascii="宋体" w:hAnsi="宋体" w:eastAsia="宋体" w:cs="宋体"/>
                <w:color w:val="auto"/>
                <w:spacing w:val="0"/>
                <w:sz w:val="24"/>
                <w:szCs w:val="24"/>
                <w:highlight w:val="none"/>
              </w:rPr>
            </w:pPr>
          </w:p>
          <w:p w14:paraId="6022230E">
            <w:pPr>
              <w:keepNext w:val="0"/>
              <w:keepLines w:val="0"/>
              <w:pageBreakBefore w:val="0"/>
              <w:wordWrap w:val="0"/>
              <w:overflowPunct/>
              <w:topLinePunct w:val="0"/>
              <w:bidi w:val="0"/>
              <w:spacing w:before="62" w:line="230" w:lineRule="auto"/>
              <w:ind w:left="15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5304" w:type="dxa"/>
            <w:gridSpan w:val="4"/>
            <w:vAlign w:val="top"/>
          </w:tcPr>
          <w:p w14:paraId="35D769FC">
            <w:pPr>
              <w:pStyle w:val="28"/>
              <w:keepNext w:val="0"/>
              <w:keepLines w:val="0"/>
              <w:pageBreakBefore w:val="0"/>
              <w:wordWrap w:val="0"/>
              <w:overflowPunct/>
              <w:topLinePunct w:val="0"/>
              <w:bidi w:val="0"/>
              <w:spacing w:line="257" w:lineRule="auto"/>
              <w:rPr>
                <w:rFonts w:hint="eastAsia" w:ascii="宋体" w:hAnsi="宋体" w:eastAsia="宋体" w:cs="宋体"/>
                <w:color w:val="auto"/>
                <w:spacing w:val="0"/>
                <w:sz w:val="24"/>
                <w:szCs w:val="24"/>
                <w:highlight w:val="none"/>
              </w:rPr>
            </w:pPr>
          </w:p>
          <w:p w14:paraId="3EEA02B2">
            <w:pPr>
              <w:keepNext w:val="0"/>
              <w:keepLines w:val="0"/>
              <w:pageBreakBefore w:val="0"/>
              <w:wordWrap w:val="0"/>
              <w:overflowPunct/>
              <w:topLinePunct w:val="0"/>
              <w:bidi w:val="0"/>
              <w:spacing w:before="61" w:line="228" w:lineRule="auto"/>
              <w:ind w:left="17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证明材料原件名称</w:t>
            </w:r>
          </w:p>
        </w:tc>
        <w:tc>
          <w:tcPr>
            <w:tcW w:w="1771" w:type="dxa"/>
            <w:gridSpan w:val="2"/>
            <w:vAlign w:val="top"/>
          </w:tcPr>
          <w:p w14:paraId="66A03B25">
            <w:pPr>
              <w:pStyle w:val="28"/>
              <w:keepNext w:val="0"/>
              <w:keepLines w:val="0"/>
              <w:pageBreakBefore w:val="0"/>
              <w:wordWrap w:val="0"/>
              <w:overflowPunct/>
              <w:topLinePunct w:val="0"/>
              <w:bidi w:val="0"/>
              <w:spacing w:line="256" w:lineRule="auto"/>
              <w:rPr>
                <w:rFonts w:hint="eastAsia" w:ascii="宋体" w:hAnsi="宋体" w:eastAsia="宋体" w:cs="宋体"/>
                <w:color w:val="auto"/>
                <w:spacing w:val="0"/>
                <w:sz w:val="24"/>
                <w:szCs w:val="24"/>
                <w:highlight w:val="none"/>
              </w:rPr>
            </w:pPr>
          </w:p>
          <w:p w14:paraId="692559B5">
            <w:pPr>
              <w:keepNext w:val="0"/>
              <w:keepLines w:val="0"/>
              <w:pageBreakBefore w:val="0"/>
              <w:wordWrap w:val="0"/>
              <w:overflowPunct/>
              <w:topLinePunct w:val="0"/>
              <w:bidi w:val="0"/>
              <w:spacing w:before="62" w:line="230" w:lineRule="auto"/>
              <w:ind w:left="6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单位</w:t>
            </w:r>
          </w:p>
        </w:tc>
        <w:tc>
          <w:tcPr>
            <w:tcW w:w="1637" w:type="dxa"/>
            <w:vAlign w:val="top"/>
          </w:tcPr>
          <w:p w14:paraId="3BEEA542">
            <w:pPr>
              <w:pStyle w:val="28"/>
              <w:keepNext w:val="0"/>
              <w:keepLines w:val="0"/>
              <w:pageBreakBefore w:val="0"/>
              <w:wordWrap w:val="0"/>
              <w:overflowPunct/>
              <w:topLinePunct w:val="0"/>
              <w:bidi w:val="0"/>
              <w:spacing w:line="256" w:lineRule="auto"/>
              <w:rPr>
                <w:rFonts w:hint="eastAsia" w:ascii="宋体" w:hAnsi="宋体" w:eastAsia="宋体" w:cs="宋体"/>
                <w:color w:val="auto"/>
                <w:spacing w:val="0"/>
                <w:sz w:val="24"/>
                <w:szCs w:val="24"/>
                <w:highlight w:val="none"/>
              </w:rPr>
            </w:pPr>
          </w:p>
          <w:p w14:paraId="6CE3B1D0">
            <w:pPr>
              <w:keepNext w:val="0"/>
              <w:keepLines w:val="0"/>
              <w:pageBreakBefore w:val="0"/>
              <w:wordWrap w:val="0"/>
              <w:overflowPunct/>
              <w:topLinePunct w:val="0"/>
              <w:bidi w:val="0"/>
              <w:spacing w:before="62" w:line="229" w:lineRule="auto"/>
              <w:ind w:left="5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数量</w:t>
            </w:r>
          </w:p>
        </w:tc>
      </w:tr>
      <w:tr w14:paraId="4F82D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BE58E00">
            <w:pPr>
              <w:keepNext w:val="0"/>
              <w:keepLines w:val="0"/>
              <w:pageBreakBefore w:val="0"/>
              <w:wordWrap w:val="0"/>
              <w:overflowPunct/>
              <w:topLinePunct w:val="0"/>
              <w:bidi w:val="0"/>
              <w:spacing w:before="287" w:line="184" w:lineRule="auto"/>
              <w:ind w:left="3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5304" w:type="dxa"/>
            <w:gridSpan w:val="4"/>
            <w:vAlign w:val="top"/>
          </w:tcPr>
          <w:p w14:paraId="48BEE8B0">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69FF32C9">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23FE9655">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2DB2F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439F9AE2">
            <w:pPr>
              <w:keepNext w:val="0"/>
              <w:keepLines w:val="0"/>
              <w:pageBreakBefore w:val="0"/>
              <w:wordWrap w:val="0"/>
              <w:overflowPunct/>
              <w:topLinePunct w:val="0"/>
              <w:bidi w:val="0"/>
              <w:spacing w:before="288" w:line="183" w:lineRule="auto"/>
              <w:ind w:left="30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5304" w:type="dxa"/>
            <w:gridSpan w:val="4"/>
            <w:vAlign w:val="top"/>
          </w:tcPr>
          <w:p w14:paraId="4F70EA65">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72C3C76C">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1969C218">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73152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4F34003A">
            <w:pPr>
              <w:keepNext w:val="0"/>
              <w:keepLines w:val="0"/>
              <w:pageBreakBefore w:val="0"/>
              <w:wordWrap w:val="0"/>
              <w:overflowPunct/>
              <w:topLinePunct w:val="0"/>
              <w:bidi w:val="0"/>
              <w:spacing w:before="287" w:line="183" w:lineRule="auto"/>
              <w:ind w:left="30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5304" w:type="dxa"/>
            <w:gridSpan w:val="4"/>
            <w:vAlign w:val="top"/>
          </w:tcPr>
          <w:p w14:paraId="32F8469F">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7AD8029B">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6E7CE753">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00948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36DFC70">
            <w:pPr>
              <w:pStyle w:val="28"/>
              <w:keepNext w:val="0"/>
              <w:keepLines w:val="0"/>
              <w:pageBreakBefore w:val="0"/>
              <w:wordWrap w:val="0"/>
              <w:overflowPunct/>
              <w:topLinePunct w:val="0"/>
              <w:bidi w:val="0"/>
              <w:spacing w:line="348" w:lineRule="auto"/>
              <w:rPr>
                <w:rFonts w:hint="eastAsia" w:ascii="宋体" w:hAnsi="宋体" w:eastAsia="宋体" w:cs="宋体"/>
                <w:color w:val="auto"/>
                <w:spacing w:val="0"/>
                <w:sz w:val="24"/>
                <w:szCs w:val="24"/>
                <w:highlight w:val="none"/>
              </w:rPr>
            </w:pPr>
          </w:p>
          <w:p w14:paraId="6EBABEED">
            <w:pPr>
              <w:keepNext w:val="0"/>
              <w:keepLines w:val="0"/>
              <w:pageBreakBefore w:val="0"/>
              <w:wordWrap w:val="0"/>
              <w:overflowPunct/>
              <w:topLinePunct w:val="0"/>
              <w:bidi w:val="0"/>
              <w:spacing w:before="78" w:line="99" w:lineRule="exact"/>
              <w:ind w:left="18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1"/>
                <w:sz w:val="24"/>
                <w:szCs w:val="24"/>
                <w:highlight w:val="none"/>
              </w:rPr>
              <w:t>...</w:t>
            </w:r>
          </w:p>
        </w:tc>
        <w:tc>
          <w:tcPr>
            <w:tcW w:w="5304" w:type="dxa"/>
            <w:gridSpan w:val="4"/>
            <w:vAlign w:val="top"/>
          </w:tcPr>
          <w:p w14:paraId="78AEE5FA">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56A6BE9F">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15AD4B06">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44067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5E70F2C3">
            <w:pPr>
              <w:pStyle w:val="28"/>
              <w:keepNext w:val="0"/>
              <w:keepLines w:val="0"/>
              <w:pageBreakBefore w:val="0"/>
              <w:wordWrap w:val="0"/>
              <w:overflowPunct/>
              <w:topLinePunct w:val="0"/>
              <w:bidi w:val="0"/>
              <w:spacing w:line="274" w:lineRule="auto"/>
              <w:rPr>
                <w:rFonts w:hint="eastAsia" w:ascii="宋体" w:hAnsi="宋体" w:eastAsia="宋体" w:cs="宋体"/>
                <w:color w:val="auto"/>
                <w:spacing w:val="0"/>
                <w:sz w:val="24"/>
                <w:szCs w:val="24"/>
                <w:highlight w:val="none"/>
              </w:rPr>
            </w:pPr>
          </w:p>
          <w:p w14:paraId="12A84F17">
            <w:pPr>
              <w:pStyle w:val="28"/>
              <w:keepNext w:val="0"/>
              <w:keepLines w:val="0"/>
              <w:pageBreakBefore w:val="0"/>
              <w:wordWrap w:val="0"/>
              <w:overflowPunct/>
              <w:topLinePunct w:val="0"/>
              <w:bidi w:val="0"/>
              <w:spacing w:line="275" w:lineRule="auto"/>
              <w:rPr>
                <w:rFonts w:hint="eastAsia" w:ascii="宋体" w:hAnsi="宋体" w:eastAsia="宋体" w:cs="宋体"/>
                <w:color w:val="auto"/>
                <w:spacing w:val="0"/>
                <w:sz w:val="24"/>
                <w:szCs w:val="24"/>
                <w:highlight w:val="none"/>
              </w:rPr>
            </w:pPr>
          </w:p>
          <w:p w14:paraId="4DCB2179">
            <w:pPr>
              <w:pStyle w:val="28"/>
              <w:keepNext w:val="0"/>
              <w:keepLines w:val="0"/>
              <w:pageBreakBefore w:val="0"/>
              <w:wordWrap w:val="0"/>
              <w:overflowPunct/>
              <w:topLinePunct w:val="0"/>
              <w:bidi w:val="0"/>
              <w:spacing w:line="275" w:lineRule="auto"/>
              <w:rPr>
                <w:rFonts w:hint="eastAsia" w:ascii="宋体" w:hAnsi="宋体" w:eastAsia="宋体" w:cs="宋体"/>
                <w:color w:val="auto"/>
                <w:spacing w:val="0"/>
                <w:sz w:val="24"/>
                <w:szCs w:val="24"/>
                <w:highlight w:val="none"/>
              </w:rPr>
            </w:pPr>
          </w:p>
          <w:p w14:paraId="0A613965">
            <w:pPr>
              <w:keepNext w:val="0"/>
              <w:keepLines w:val="0"/>
              <w:pageBreakBefore w:val="0"/>
              <w:wordWrap w:val="0"/>
              <w:overflowPunct/>
              <w:topLinePunct w:val="0"/>
              <w:bidi w:val="0"/>
              <w:spacing w:before="62" w:line="233" w:lineRule="auto"/>
              <w:ind w:left="2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注意：</w:t>
            </w:r>
          </w:p>
        </w:tc>
        <w:tc>
          <w:tcPr>
            <w:tcW w:w="8712" w:type="dxa"/>
            <w:gridSpan w:val="7"/>
            <w:vAlign w:val="top"/>
          </w:tcPr>
          <w:p w14:paraId="04434907">
            <w:pPr>
              <w:keepNext w:val="0"/>
              <w:keepLines w:val="0"/>
              <w:pageBreakBefore w:val="0"/>
              <w:wordWrap w:val="0"/>
              <w:overflowPunct/>
              <w:topLinePunct w:val="0"/>
              <w:bidi w:val="0"/>
              <w:spacing w:before="148"/>
              <w:ind w:left="111" w:right="107" w:firstLine="483"/>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 内容及真实性负责。</w:t>
            </w:r>
          </w:p>
        </w:tc>
      </w:tr>
      <w:tr w14:paraId="1CF26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761E9651">
            <w:pPr>
              <w:pStyle w:val="28"/>
              <w:keepNext w:val="0"/>
              <w:keepLines w:val="0"/>
              <w:pageBreakBefore w:val="0"/>
              <w:wordWrap w:val="0"/>
              <w:overflowPunct/>
              <w:topLinePunct w:val="0"/>
              <w:bidi w:val="0"/>
              <w:spacing w:line="240" w:lineRule="auto"/>
              <w:rPr>
                <w:rFonts w:hint="eastAsia" w:ascii="宋体" w:hAnsi="宋体" w:eastAsia="宋体" w:cs="宋体"/>
                <w:color w:val="auto"/>
                <w:spacing w:val="0"/>
                <w:sz w:val="24"/>
                <w:szCs w:val="24"/>
                <w:highlight w:val="none"/>
              </w:rPr>
            </w:pPr>
          </w:p>
          <w:p w14:paraId="2A419AAE">
            <w:pPr>
              <w:keepNext w:val="0"/>
              <w:keepLines w:val="0"/>
              <w:pageBreakBefore w:val="0"/>
              <w:wordWrap w:val="0"/>
              <w:overflowPunct/>
              <w:topLinePunct w:val="0"/>
              <w:bidi w:val="0"/>
              <w:spacing w:before="61" w:line="240" w:lineRule="auto"/>
              <w:ind w:left="760" w:right="153" w:hanging="6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接收原件经办人</w:t>
            </w:r>
          </w:p>
          <w:p w14:paraId="1690E6DB">
            <w:pPr>
              <w:keepNext w:val="0"/>
              <w:keepLines w:val="0"/>
              <w:pageBreakBefore w:val="0"/>
              <w:wordWrap w:val="0"/>
              <w:overflowPunct/>
              <w:topLinePunct w:val="0"/>
              <w:bidi w:val="0"/>
              <w:spacing w:before="61" w:line="240" w:lineRule="auto"/>
              <w:ind w:left="760" w:right="153" w:hanging="6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(招标代理)：</w:t>
            </w:r>
          </w:p>
        </w:tc>
        <w:tc>
          <w:tcPr>
            <w:tcW w:w="1725" w:type="dxa"/>
            <w:vAlign w:val="top"/>
          </w:tcPr>
          <w:p w14:paraId="275A8985">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83" w:type="dxa"/>
            <w:gridSpan w:val="2"/>
            <w:vAlign w:val="top"/>
          </w:tcPr>
          <w:p w14:paraId="1474D634">
            <w:pPr>
              <w:pStyle w:val="28"/>
              <w:keepNext w:val="0"/>
              <w:keepLines w:val="0"/>
              <w:pageBreakBefore w:val="0"/>
              <w:wordWrap w:val="0"/>
              <w:overflowPunct/>
              <w:topLinePunct w:val="0"/>
              <w:bidi w:val="0"/>
              <w:spacing w:line="288" w:lineRule="auto"/>
              <w:rPr>
                <w:rFonts w:hint="eastAsia" w:ascii="宋体" w:hAnsi="宋体" w:eastAsia="宋体" w:cs="宋体"/>
                <w:color w:val="auto"/>
                <w:spacing w:val="0"/>
                <w:sz w:val="24"/>
                <w:szCs w:val="24"/>
                <w:highlight w:val="none"/>
              </w:rPr>
            </w:pPr>
          </w:p>
          <w:p w14:paraId="6DC3DCF2">
            <w:pPr>
              <w:pStyle w:val="28"/>
              <w:keepNext w:val="0"/>
              <w:keepLines w:val="0"/>
              <w:pageBreakBefore w:val="0"/>
              <w:wordWrap w:val="0"/>
              <w:overflowPunct/>
              <w:topLinePunct w:val="0"/>
              <w:bidi w:val="0"/>
              <w:spacing w:line="289" w:lineRule="auto"/>
              <w:rPr>
                <w:rFonts w:hint="eastAsia" w:ascii="宋体" w:hAnsi="宋体" w:eastAsia="宋体" w:cs="宋体"/>
                <w:color w:val="auto"/>
                <w:spacing w:val="0"/>
                <w:sz w:val="24"/>
                <w:szCs w:val="24"/>
                <w:highlight w:val="none"/>
              </w:rPr>
            </w:pPr>
          </w:p>
          <w:p w14:paraId="6674EC6F">
            <w:pPr>
              <w:keepNext w:val="0"/>
              <w:keepLines w:val="0"/>
              <w:pageBreakBefore w:val="0"/>
              <w:wordWrap w:val="0"/>
              <w:overflowPunct/>
              <w:topLinePunct w:val="0"/>
              <w:bidi w:val="0"/>
              <w:spacing w:before="62" w:line="229" w:lineRule="auto"/>
              <w:ind w:left="3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接收时间：</w:t>
            </w:r>
          </w:p>
        </w:tc>
        <w:tc>
          <w:tcPr>
            <w:tcW w:w="3408" w:type="dxa"/>
            <w:gridSpan w:val="3"/>
            <w:vAlign w:val="top"/>
          </w:tcPr>
          <w:p w14:paraId="14CF6FE5">
            <w:pPr>
              <w:pStyle w:val="28"/>
              <w:keepNext w:val="0"/>
              <w:keepLines w:val="0"/>
              <w:pageBreakBefore w:val="0"/>
              <w:wordWrap w:val="0"/>
              <w:overflowPunct/>
              <w:topLinePunct w:val="0"/>
              <w:bidi w:val="0"/>
              <w:spacing w:line="288" w:lineRule="auto"/>
              <w:rPr>
                <w:rFonts w:hint="eastAsia" w:ascii="宋体" w:hAnsi="宋体" w:eastAsia="宋体" w:cs="宋体"/>
                <w:color w:val="auto"/>
                <w:spacing w:val="0"/>
                <w:sz w:val="24"/>
                <w:szCs w:val="24"/>
                <w:highlight w:val="none"/>
              </w:rPr>
            </w:pPr>
          </w:p>
          <w:p w14:paraId="4D2D58A7">
            <w:pPr>
              <w:pStyle w:val="28"/>
              <w:keepNext w:val="0"/>
              <w:keepLines w:val="0"/>
              <w:pageBreakBefore w:val="0"/>
              <w:wordWrap w:val="0"/>
              <w:overflowPunct/>
              <w:topLinePunct w:val="0"/>
              <w:bidi w:val="0"/>
              <w:spacing w:line="289" w:lineRule="auto"/>
              <w:rPr>
                <w:rFonts w:hint="eastAsia" w:ascii="宋体" w:hAnsi="宋体" w:eastAsia="宋体" w:cs="宋体"/>
                <w:color w:val="auto"/>
                <w:spacing w:val="0"/>
                <w:sz w:val="24"/>
                <w:szCs w:val="24"/>
                <w:highlight w:val="none"/>
              </w:rPr>
            </w:pPr>
          </w:p>
          <w:p w14:paraId="705600D0">
            <w:pPr>
              <w:keepNext w:val="0"/>
              <w:keepLines w:val="0"/>
              <w:pageBreakBefore w:val="0"/>
              <w:wordWrap w:val="0"/>
              <w:overflowPunct/>
              <w:topLinePunct w:val="0"/>
              <w:bidi w:val="0"/>
              <w:spacing w:before="62" w:line="229"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月   日   时  分</w:t>
            </w:r>
          </w:p>
        </w:tc>
      </w:tr>
      <w:tr w14:paraId="25E6C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2EB55666">
            <w:pPr>
              <w:keepNext w:val="0"/>
              <w:keepLines w:val="0"/>
              <w:pageBreakBefore w:val="0"/>
              <w:wordWrap w:val="0"/>
              <w:overflowPunct/>
              <w:topLinePunct w:val="0"/>
              <w:bidi w:val="0"/>
              <w:spacing w:before="155" w:line="240" w:lineRule="auto"/>
              <w:ind w:left="861" w:right="153" w:hanging="69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退还原件接收人</w:t>
            </w:r>
          </w:p>
          <w:p w14:paraId="1CDD5251">
            <w:pPr>
              <w:keepNext w:val="0"/>
              <w:keepLines w:val="0"/>
              <w:pageBreakBefore w:val="0"/>
              <w:wordWrap w:val="0"/>
              <w:overflowPunct/>
              <w:topLinePunct w:val="0"/>
              <w:bidi w:val="0"/>
              <w:spacing w:before="155" w:line="240" w:lineRule="auto"/>
              <w:ind w:left="861" w:right="153" w:hanging="69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p>
        </w:tc>
        <w:tc>
          <w:tcPr>
            <w:tcW w:w="1725" w:type="dxa"/>
            <w:vAlign w:val="top"/>
          </w:tcPr>
          <w:p w14:paraId="66FA3EB1">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83" w:type="dxa"/>
            <w:gridSpan w:val="2"/>
            <w:vAlign w:val="top"/>
          </w:tcPr>
          <w:p w14:paraId="37AC43BC">
            <w:pPr>
              <w:pStyle w:val="28"/>
              <w:keepNext w:val="0"/>
              <w:keepLines w:val="0"/>
              <w:pageBreakBefore w:val="0"/>
              <w:wordWrap w:val="0"/>
              <w:overflowPunct/>
              <w:topLinePunct w:val="0"/>
              <w:bidi w:val="0"/>
              <w:spacing w:line="336" w:lineRule="auto"/>
              <w:rPr>
                <w:rFonts w:hint="eastAsia" w:ascii="宋体" w:hAnsi="宋体" w:eastAsia="宋体" w:cs="宋体"/>
                <w:color w:val="auto"/>
                <w:spacing w:val="0"/>
                <w:sz w:val="24"/>
                <w:szCs w:val="24"/>
                <w:highlight w:val="none"/>
              </w:rPr>
            </w:pPr>
          </w:p>
          <w:p w14:paraId="3C24FA50">
            <w:pPr>
              <w:keepNext w:val="0"/>
              <w:keepLines w:val="0"/>
              <w:pageBreakBefore w:val="0"/>
              <w:wordWrap w:val="0"/>
              <w:overflowPunct/>
              <w:topLinePunct w:val="0"/>
              <w:bidi w:val="0"/>
              <w:spacing w:before="61" w:line="231" w:lineRule="auto"/>
              <w:ind w:left="3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退还时间：</w:t>
            </w:r>
          </w:p>
        </w:tc>
        <w:tc>
          <w:tcPr>
            <w:tcW w:w="3408" w:type="dxa"/>
            <w:gridSpan w:val="3"/>
            <w:vAlign w:val="top"/>
          </w:tcPr>
          <w:p w14:paraId="7DD435CD">
            <w:pPr>
              <w:pStyle w:val="28"/>
              <w:keepNext w:val="0"/>
              <w:keepLines w:val="0"/>
              <w:pageBreakBefore w:val="0"/>
              <w:wordWrap w:val="0"/>
              <w:overflowPunct/>
              <w:topLinePunct w:val="0"/>
              <w:bidi w:val="0"/>
              <w:spacing w:line="335" w:lineRule="auto"/>
              <w:rPr>
                <w:rFonts w:hint="eastAsia" w:ascii="宋体" w:hAnsi="宋体" w:eastAsia="宋体" w:cs="宋体"/>
                <w:color w:val="auto"/>
                <w:spacing w:val="0"/>
                <w:sz w:val="24"/>
                <w:szCs w:val="24"/>
                <w:highlight w:val="none"/>
              </w:rPr>
            </w:pPr>
          </w:p>
          <w:p w14:paraId="683946A7">
            <w:pPr>
              <w:keepNext w:val="0"/>
              <w:keepLines w:val="0"/>
              <w:pageBreakBefore w:val="0"/>
              <w:wordWrap w:val="0"/>
              <w:overflowPunct/>
              <w:topLinePunct w:val="0"/>
              <w:bidi w:val="0"/>
              <w:spacing w:before="62" w:line="229"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月   日  时   分</w:t>
            </w:r>
          </w:p>
        </w:tc>
      </w:tr>
    </w:tbl>
    <w:p w14:paraId="1BC6BFE4">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48" w:name="bookmark107"/>
      <w:bookmarkEnd w:id="248"/>
      <w:r>
        <w:rPr>
          <w:rFonts w:hint="eastAsia" w:ascii="宋体" w:hAnsi="宋体" w:eastAsia="宋体" w:cs="宋体"/>
          <w:b/>
          <w:bCs/>
          <w:color w:val="auto"/>
          <w:spacing w:val="0"/>
          <w:sz w:val="24"/>
          <w:szCs w:val="24"/>
          <w:highlight w:val="none"/>
        </w:rPr>
        <w:br w:type="page"/>
      </w:r>
      <w:bookmarkStart w:id="249" w:name="_Toc30269"/>
      <w:r>
        <w:rPr>
          <w:rFonts w:hint="eastAsia" w:ascii="宋体" w:hAnsi="宋体" w:eastAsia="宋体" w:cs="宋体"/>
          <w:b/>
          <w:bCs/>
          <w:color w:val="auto"/>
          <w:spacing w:val="0"/>
          <w:sz w:val="24"/>
          <w:szCs w:val="24"/>
          <w:highlight w:val="none"/>
        </w:rPr>
        <w:t>格式</w:t>
      </w:r>
      <w:r>
        <w:rPr>
          <w:rFonts w:hint="eastAsia" w:ascii="宋体" w:hAnsi="宋体" w:eastAsia="宋体" w:cs="宋体"/>
          <w:b/>
          <w:bCs/>
          <w:color w:val="auto"/>
          <w:spacing w:val="0"/>
          <w:sz w:val="24"/>
          <w:szCs w:val="24"/>
          <w:highlight w:val="none"/>
          <w:lang w:val="en-US" w:eastAsia="zh-CN"/>
        </w:rPr>
        <w:t>十四</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定标文件</w:t>
      </w:r>
      <w:r>
        <w:rPr>
          <w:rFonts w:hint="eastAsia" w:ascii="宋体" w:hAnsi="宋体" w:eastAsia="宋体" w:cs="宋体"/>
          <w:b/>
          <w:bCs/>
          <w:color w:val="auto"/>
          <w:spacing w:val="0"/>
          <w:sz w:val="24"/>
          <w:szCs w:val="24"/>
          <w:highlight w:val="none"/>
        </w:rPr>
        <w:t>封面</w:t>
      </w:r>
      <w:bookmarkEnd w:id="249"/>
    </w:p>
    <w:p w14:paraId="5006DC9A">
      <w:pPr>
        <w:pStyle w:val="6"/>
        <w:keepNext w:val="0"/>
        <w:keepLines w:val="0"/>
        <w:pageBreakBefore w:val="0"/>
        <w:wordWrap w:val="0"/>
        <w:overflowPunct/>
        <w:topLinePunct w:val="0"/>
        <w:bidi w:val="0"/>
        <w:spacing w:line="258" w:lineRule="auto"/>
        <w:rPr>
          <w:rFonts w:hint="eastAsia" w:ascii="宋体" w:hAnsi="宋体" w:eastAsia="宋体" w:cs="宋体"/>
          <w:color w:val="auto"/>
          <w:spacing w:val="0"/>
          <w:highlight w:val="none"/>
        </w:rPr>
      </w:pPr>
    </w:p>
    <w:p w14:paraId="34B09997">
      <w:pPr>
        <w:pStyle w:val="6"/>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4A87BBC5">
      <w:pPr>
        <w:pStyle w:val="6"/>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28D329B3">
      <w:pPr>
        <w:keepNext w:val="0"/>
        <w:keepLines w:val="0"/>
        <w:pageBreakBefore w:val="0"/>
        <w:wordWrap w:val="0"/>
        <w:overflowPunct/>
        <w:topLinePunct w:val="0"/>
        <w:bidi w:val="0"/>
        <w:spacing w:before="153" w:line="225" w:lineRule="auto"/>
        <w:ind w:left="-1" w:leftChars="0" w:firstLine="0" w:firstLineChars="0"/>
        <w:jc w:val="center"/>
        <w:rPr>
          <w:rFonts w:hint="eastAsia" w:ascii="宋体" w:hAnsi="宋体" w:eastAsia="宋体" w:cs="宋体"/>
          <w:color w:val="auto"/>
          <w:spacing w:val="0"/>
          <w:sz w:val="47"/>
          <w:szCs w:val="47"/>
          <w:highlight w:val="none"/>
        </w:rPr>
      </w:pPr>
      <w:r>
        <w:rPr>
          <w:rFonts w:hint="eastAsia" w:ascii="宋体" w:hAnsi="宋体" w:eastAsia="宋体" w:cs="宋体"/>
          <w:b/>
          <w:bCs/>
          <w:color w:val="auto"/>
          <w:spacing w:val="0"/>
          <w:sz w:val="47"/>
          <w:szCs w:val="47"/>
          <w:highlight w:val="none"/>
          <w:u w:val="single"/>
          <w:lang w:val="en-US" w:eastAsia="zh-CN"/>
        </w:rPr>
        <w:t xml:space="preserve">    </w:t>
      </w:r>
      <w:r>
        <w:rPr>
          <w:rFonts w:hint="eastAsia" w:ascii="宋体" w:hAnsi="宋体" w:eastAsia="宋体" w:cs="宋体"/>
          <w:b/>
          <w:bCs/>
          <w:color w:val="auto"/>
          <w:spacing w:val="0"/>
          <w:sz w:val="47"/>
          <w:szCs w:val="47"/>
          <w:highlight w:val="none"/>
          <w:u w:val="single"/>
        </w:rPr>
        <w:t>（项目名称）</w:t>
      </w:r>
      <w:r>
        <w:rPr>
          <w:rFonts w:hint="eastAsia" w:ascii="宋体" w:hAnsi="宋体" w:eastAsia="宋体" w:cs="宋体"/>
          <w:b/>
          <w:bCs/>
          <w:color w:val="auto"/>
          <w:spacing w:val="0"/>
          <w:sz w:val="47"/>
          <w:szCs w:val="47"/>
          <w:highlight w:val="none"/>
          <w:u w:val="none"/>
          <w:lang w:val="en-US" w:eastAsia="zh-CN"/>
        </w:rPr>
        <w:t>施工</w:t>
      </w:r>
      <w:r>
        <w:rPr>
          <w:rFonts w:hint="eastAsia" w:ascii="宋体" w:hAnsi="宋体" w:eastAsia="宋体" w:cs="宋体"/>
          <w:b/>
          <w:bCs/>
          <w:color w:val="auto"/>
          <w:spacing w:val="0"/>
          <w:sz w:val="47"/>
          <w:szCs w:val="47"/>
          <w:highlight w:val="none"/>
        </w:rPr>
        <w:t>招标</w:t>
      </w:r>
    </w:p>
    <w:p w14:paraId="3A78CA2F">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7AD59DF3">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586F1425">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43C3E641">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7C9D8589">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6AE0B3FF">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7CC6864C">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604705F4">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03EF797F">
      <w:pPr>
        <w:pStyle w:val="6"/>
        <w:keepNext w:val="0"/>
        <w:keepLines w:val="0"/>
        <w:pageBreakBefore w:val="0"/>
        <w:wordWrap w:val="0"/>
        <w:overflowPunct/>
        <w:topLinePunct w:val="0"/>
        <w:bidi w:val="0"/>
        <w:spacing w:line="248" w:lineRule="auto"/>
        <w:rPr>
          <w:rFonts w:hint="eastAsia" w:ascii="宋体" w:hAnsi="宋体" w:eastAsia="宋体" w:cs="宋体"/>
          <w:color w:val="auto"/>
          <w:spacing w:val="0"/>
          <w:highlight w:val="none"/>
        </w:rPr>
      </w:pPr>
    </w:p>
    <w:p w14:paraId="4944BE40">
      <w:pPr>
        <w:keepNext w:val="0"/>
        <w:keepLines w:val="0"/>
        <w:pageBreakBefore w:val="0"/>
        <w:wordWrap w:val="0"/>
        <w:overflowPunct/>
        <w:topLinePunct w:val="0"/>
        <w:bidi w:val="0"/>
        <w:spacing w:before="231" w:line="223" w:lineRule="auto"/>
        <w:jc w:val="center"/>
        <w:rPr>
          <w:rFonts w:hint="eastAsia" w:ascii="宋体" w:hAnsi="宋体" w:eastAsia="宋体" w:cs="宋体"/>
          <w:color w:val="auto"/>
          <w:spacing w:val="0"/>
          <w:sz w:val="71"/>
          <w:szCs w:val="71"/>
          <w:highlight w:val="none"/>
        </w:rPr>
      </w:pPr>
      <w:r>
        <w:rPr>
          <w:rFonts w:hint="eastAsia" w:ascii="宋体" w:hAnsi="宋体" w:eastAsia="宋体" w:cs="宋体"/>
          <w:b/>
          <w:bCs/>
          <w:color w:val="auto"/>
          <w:spacing w:val="0"/>
          <w:sz w:val="71"/>
          <w:szCs w:val="71"/>
          <w:highlight w:val="none"/>
          <w:lang w:val="en-US" w:eastAsia="zh-CN"/>
        </w:rPr>
        <w:t>定</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件</w:t>
      </w:r>
    </w:p>
    <w:p w14:paraId="00A1771B">
      <w:pPr>
        <w:pStyle w:val="6"/>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0C409A07">
      <w:pPr>
        <w:pStyle w:val="6"/>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49E76458">
      <w:pPr>
        <w:keepNext w:val="0"/>
        <w:keepLines w:val="0"/>
        <w:pageBreakBefore w:val="0"/>
        <w:wordWrap w:val="0"/>
        <w:overflowPunct/>
        <w:topLinePunct w:val="0"/>
        <w:bidi w:val="0"/>
        <w:rPr>
          <w:rFonts w:hint="eastAsia"/>
          <w:color w:val="auto"/>
          <w:spacing w:val="0"/>
          <w:highlight w:val="none"/>
        </w:rPr>
      </w:pPr>
    </w:p>
    <w:p w14:paraId="5472E38F">
      <w:pPr>
        <w:keepNext w:val="0"/>
        <w:keepLines w:val="0"/>
        <w:pageBreakBefore w:val="0"/>
        <w:wordWrap w:val="0"/>
        <w:overflowPunct/>
        <w:topLinePunct w:val="0"/>
        <w:bidi w:val="0"/>
        <w:rPr>
          <w:rFonts w:hint="eastAsia"/>
          <w:color w:val="auto"/>
          <w:spacing w:val="0"/>
          <w:highlight w:val="none"/>
        </w:rPr>
      </w:pPr>
    </w:p>
    <w:p w14:paraId="0834D83C">
      <w:pPr>
        <w:keepNext w:val="0"/>
        <w:keepLines w:val="0"/>
        <w:pageBreakBefore w:val="0"/>
        <w:wordWrap w:val="0"/>
        <w:overflowPunct/>
        <w:topLinePunct w:val="0"/>
        <w:bidi w:val="0"/>
        <w:rPr>
          <w:rFonts w:hint="eastAsia"/>
          <w:color w:val="auto"/>
          <w:spacing w:val="0"/>
          <w:highlight w:val="none"/>
        </w:rPr>
      </w:pPr>
    </w:p>
    <w:p w14:paraId="34D736C6">
      <w:pPr>
        <w:keepNext w:val="0"/>
        <w:keepLines w:val="0"/>
        <w:pageBreakBefore w:val="0"/>
        <w:wordWrap w:val="0"/>
        <w:overflowPunct/>
        <w:topLinePunct w:val="0"/>
        <w:bidi w:val="0"/>
        <w:rPr>
          <w:rFonts w:hint="eastAsia"/>
          <w:color w:val="auto"/>
          <w:spacing w:val="0"/>
          <w:highlight w:val="none"/>
        </w:rPr>
      </w:pPr>
    </w:p>
    <w:p w14:paraId="30D7943B">
      <w:pPr>
        <w:keepNext w:val="0"/>
        <w:keepLines w:val="0"/>
        <w:pageBreakBefore w:val="0"/>
        <w:wordWrap w:val="0"/>
        <w:overflowPunct/>
        <w:topLinePunct w:val="0"/>
        <w:bidi w:val="0"/>
        <w:rPr>
          <w:rFonts w:hint="eastAsia"/>
          <w:color w:val="auto"/>
          <w:spacing w:val="0"/>
          <w:highlight w:val="none"/>
        </w:rPr>
      </w:pPr>
    </w:p>
    <w:p w14:paraId="4FEE1ED6">
      <w:pPr>
        <w:keepNext w:val="0"/>
        <w:keepLines w:val="0"/>
        <w:pageBreakBefore w:val="0"/>
        <w:wordWrap w:val="0"/>
        <w:overflowPunct/>
        <w:topLinePunct w:val="0"/>
        <w:bidi w:val="0"/>
        <w:rPr>
          <w:rFonts w:hint="eastAsia"/>
          <w:color w:val="auto"/>
          <w:spacing w:val="0"/>
          <w:highlight w:val="none"/>
        </w:rPr>
      </w:pPr>
    </w:p>
    <w:p w14:paraId="27FDCF24">
      <w:pPr>
        <w:keepNext w:val="0"/>
        <w:keepLines w:val="0"/>
        <w:pageBreakBefore w:val="0"/>
        <w:wordWrap w:val="0"/>
        <w:overflowPunct/>
        <w:topLinePunct w:val="0"/>
        <w:bidi w:val="0"/>
        <w:rPr>
          <w:rFonts w:hint="eastAsia"/>
          <w:color w:val="auto"/>
          <w:spacing w:val="0"/>
          <w:highlight w:val="none"/>
        </w:rPr>
      </w:pPr>
    </w:p>
    <w:p w14:paraId="2B6F77E3">
      <w:pPr>
        <w:keepNext w:val="0"/>
        <w:keepLines w:val="0"/>
        <w:pageBreakBefore w:val="0"/>
        <w:wordWrap w:val="0"/>
        <w:overflowPunct/>
        <w:topLinePunct w:val="0"/>
        <w:bidi w:val="0"/>
        <w:rPr>
          <w:rFonts w:hint="eastAsia"/>
          <w:color w:val="auto"/>
          <w:spacing w:val="0"/>
          <w:highlight w:val="none"/>
        </w:rPr>
      </w:pPr>
    </w:p>
    <w:p w14:paraId="33769B22">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投标人：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（盖单位章）</w:t>
      </w:r>
    </w:p>
    <w:p w14:paraId="4A3C1EB5">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345CEE2D">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32283156">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法定代表人或其委托代理人：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（签字或盖章）</w:t>
      </w:r>
    </w:p>
    <w:p w14:paraId="7D3457AD">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687E9E9D">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u w:val="single"/>
        </w:rPr>
      </w:pPr>
    </w:p>
    <w:p w14:paraId="15EA410B">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
          <w:snapToGrid w:val="0"/>
          <w:color w:val="auto"/>
          <w:spacing w:val="0"/>
          <w:highlight w:val="none"/>
        </w:rPr>
      </w:pP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年</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月</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日</w:t>
      </w:r>
    </w:p>
    <w:p w14:paraId="25CDFBA3">
      <w:pPr>
        <w:spacing w:line="500" w:lineRule="exact"/>
        <w:jc w:val="left"/>
        <w:outlineLvl w:val="2"/>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pacing w:val="0"/>
          <w:sz w:val="24"/>
          <w:szCs w:val="24"/>
          <w:highlight w:val="none"/>
        </w:rPr>
        <w:br w:type="page"/>
      </w:r>
      <w:bookmarkStart w:id="250" w:name="_Toc31668"/>
      <w:r>
        <w:rPr>
          <w:rFonts w:hint="eastAsia" w:ascii="宋体" w:hAnsi="宋体" w:eastAsia="宋体" w:cs="宋体"/>
          <w:b/>
          <w:bCs/>
          <w:color w:val="auto"/>
          <w:spacing w:val="0"/>
          <w:sz w:val="24"/>
          <w:szCs w:val="24"/>
          <w:highlight w:val="none"/>
        </w:rPr>
        <w:t>格式</w:t>
      </w:r>
      <w:r>
        <w:rPr>
          <w:rFonts w:hint="eastAsia" w:ascii="宋体" w:hAnsi="宋体" w:eastAsia="宋体" w:cs="宋体"/>
          <w:b/>
          <w:bCs/>
          <w:color w:val="auto"/>
          <w:spacing w:val="0"/>
          <w:sz w:val="24"/>
          <w:szCs w:val="24"/>
          <w:highlight w:val="none"/>
          <w:lang w:val="en-US" w:eastAsia="zh-CN"/>
        </w:rPr>
        <w:t>十五</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定标因素评审资料</w:t>
      </w:r>
      <w:r>
        <w:rPr>
          <w:rFonts w:hint="eastAsia" w:ascii="宋体" w:hAnsi="宋体" w:eastAsia="宋体" w:cs="宋体"/>
          <w:b/>
          <w:bCs/>
          <w:color w:val="auto"/>
          <w:spacing w:val="0"/>
          <w:sz w:val="24"/>
          <w:szCs w:val="24"/>
          <w:highlight w:val="none"/>
        </w:rPr>
        <w:br w:type="textWrapping"/>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z w:val="30"/>
          <w:szCs w:val="30"/>
          <w:highlight w:val="none"/>
          <w:lang w:eastAsia="zh-CN"/>
        </w:rPr>
        <w:t>定标因素评审资料</w:t>
      </w:r>
      <w:bookmarkEnd w:id="250"/>
    </w:p>
    <w:p w14:paraId="5876F9F4">
      <w:pPr>
        <w:jc w:val="left"/>
        <w:rPr>
          <w:rFonts w:hint="eastAsia" w:ascii="宋体" w:hAnsi="宋体" w:eastAsia="宋体" w:cs="宋体"/>
          <w:color w:val="auto"/>
          <w:sz w:val="24"/>
          <w:highlight w:val="none"/>
          <w:lang w:eastAsia="zh-CN"/>
        </w:rPr>
      </w:pPr>
    </w:p>
    <w:p w14:paraId="3931FE62">
      <w:pPr>
        <w:spacing w:line="5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投标人根据“</w:t>
      </w: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 xml:space="preserve">章 </w:t>
      </w:r>
      <w:r>
        <w:rPr>
          <w:rFonts w:hint="eastAsia" w:ascii="宋体" w:hAnsi="宋体" w:eastAsia="宋体" w:cs="宋体"/>
          <w:b/>
          <w:bCs/>
          <w:color w:val="auto"/>
          <w:sz w:val="24"/>
          <w:szCs w:val="24"/>
          <w:highlight w:val="none"/>
          <w:lang w:val="en-US" w:eastAsia="zh-CN"/>
        </w:rPr>
        <w:t>第三节 16.5”载明的</w:t>
      </w:r>
      <w:r>
        <w:rPr>
          <w:rFonts w:hint="eastAsia" w:ascii="宋体" w:hAnsi="宋体" w:eastAsia="宋体" w:cs="宋体"/>
          <w:b/>
          <w:bCs/>
          <w:color w:val="auto"/>
          <w:sz w:val="24"/>
          <w:szCs w:val="24"/>
          <w:highlight w:val="none"/>
          <w:lang w:eastAsia="zh-CN"/>
        </w:rPr>
        <w:t>定标因素，</w:t>
      </w:r>
      <w:r>
        <w:rPr>
          <w:rFonts w:hint="eastAsia" w:ascii="宋体" w:hAnsi="宋体" w:eastAsia="宋体" w:cs="宋体"/>
          <w:b/>
          <w:bCs/>
          <w:color w:val="auto"/>
          <w:sz w:val="24"/>
          <w:szCs w:val="24"/>
          <w:highlight w:val="none"/>
          <w:lang w:val="en-US" w:eastAsia="zh-CN"/>
        </w:rPr>
        <w:t>提交</w:t>
      </w:r>
      <w:r>
        <w:rPr>
          <w:rFonts w:hint="eastAsia" w:ascii="宋体" w:hAnsi="宋体" w:eastAsia="宋体" w:cs="宋体"/>
          <w:b/>
          <w:bCs/>
          <w:color w:val="auto"/>
          <w:sz w:val="24"/>
          <w:szCs w:val="24"/>
          <w:highlight w:val="none"/>
          <w:lang w:eastAsia="zh-CN"/>
        </w:rPr>
        <w:t>评审资料，</w:t>
      </w:r>
      <w:r>
        <w:rPr>
          <w:rFonts w:hint="eastAsia" w:ascii="宋体" w:hAnsi="宋体" w:eastAsia="宋体" w:cs="宋体"/>
          <w:b/>
          <w:bCs/>
          <w:color w:val="auto"/>
          <w:sz w:val="24"/>
          <w:szCs w:val="24"/>
          <w:highlight w:val="none"/>
          <w:lang w:val="en-US" w:eastAsia="zh-CN"/>
        </w:rPr>
        <w:t>提交的评审资料包括但不限于以下内容</w:t>
      </w:r>
      <w:r>
        <w:rPr>
          <w:rFonts w:hint="eastAsia" w:ascii="宋体" w:hAnsi="宋体" w:eastAsia="宋体" w:cs="宋体"/>
          <w:b/>
          <w:bCs/>
          <w:color w:val="auto"/>
          <w:sz w:val="24"/>
          <w:szCs w:val="24"/>
          <w:highlight w:val="none"/>
          <w:lang w:eastAsia="zh-CN"/>
        </w:rPr>
        <w:t>。</w:t>
      </w:r>
    </w:p>
    <w:p w14:paraId="5B088A7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（1）拟派团队管理能力与水平（履约能力）</w:t>
      </w:r>
    </w:p>
    <w:p w14:paraId="6523790B">
      <w:pPr>
        <w:keepNext w:val="0"/>
        <w:keepLines w:val="0"/>
        <w:pageBreakBefore w:val="0"/>
        <w:widowControl w:val="0"/>
        <w:kinsoku/>
        <w:wordWrap/>
        <w:overflowPunct/>
        <w:topLinePunct w:val="0"/>
        <w:autoSpaceDE/>
        <w:autoSpaceDN/>
        <w:bidi w:val="0"/>
        <w:adjustRightInd/>
        <w:snapToGrid/>
        <w:spacing w:line="400" w:lineRule="exact"/>
        <w:ind w:left="479" w:leftChars="228" w:right="0" w:rightChars="0" w:firstLine="0" w:firstLineChars="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（2）企业信誉</w:t>
      </w:r>
      <w:r>
        <w:rPr>
          <w:rFonts w:hint="eastAsia" w:ascii="宋体" w:hAnsi="宋体" w:eastAsia="宋体" w:cs="宋体"/>
          <w:b w:val="0"/>
          <w:bCs w:val="0"/>
          <w:color w:val="auto"/>
          <w:spacing w:val="0"/>
          <w:position w:val="0"/>
          <w:sz w:val="24"/>
          <w:szCs w:val="24"/>
          <w:highlight w:val="none"/>
          <w:u w:val="none" w:color="auto"/>
          <w:lang w:val="en-US" w:eastAsia="zh-CN"/>
        </w:rPr>
        <w:br w:type="textWrapping"/>
      </w:r>
      <w:r>
        <w:rPr>
          <w:rFonts w:hint="eastAsia" w:ascii="宋体" w:hAnsi="宋体" w:eastAsia="宋体" w:cs="宋体"/>
          <w:b w:val="0"/>
          <w:bCs w:val="0"/>
          <w:color w:val="auto"/>
          <w:spacing w:val="0"/>
          <w:position w:val="0"/>
          <w:sz w:val="24"/>
          <w:szCs w:val="24"/>
          <w:highlight w:val="none"/>
          <w:u w:val="none" w:color="auto"/>
          <w:lang w:val="en-US" w:eastAsia="zh-CN"/>
        </w:rPr>
        <w:t>（3）农民工工资保障情况</w:t>
      </w:r>
      <w:r>
        <w:rPr>
          <w:rFonts w:hint="eastAsia" w:ascii="宋体" w:hAnsi="宋体" w:eastAsia="宋体" w:cs="宋体"/>
          <w:b w:val="0"/>
          <w:bCs w:val="0"/>
          <w:color w:val="auto"/>
          <w:spacing w:val="0"/>
          <w:position w:val="0"/>
          <w:sz w:val="24"/>
          <w:szCs w:val="24"/>
          <w:highlight w:val="none"/>
          <w:u w:val="none" w:color="auto"/>
          <w:lang w:val="en-US" w:eastAsia="zh-CN"/>
        </w:rPr>
        <w:br w:type="textWrapping"/>
      </w:r>
      <w:r>
        <w:rPr>
          <w:rFonts w:hint="eastAsia" w:ascii="宋体" w:hAnsi="宋体" w:eastAsia="宋体" w:cs="宋体"/>
          <w:b w:val="0"/>
          <w:bCs w:val="0"/>
          <w:color w:val="auto"/>
          <w:spacing w:val="0"/>
          <w:position w:val="0"/>
          <w:sz w:val="24"/>
          <w:szCs w:val="24"/>
          <w:highlight w:val="none"/>
          <w:u w:val="none" w:color="auto"/>
          <w:lang w:val="en-US" w:eastAsia="zh-CN"/>
        </w:rPr>
        <w:t>（4）企业实力</w:t>
      </w:r>
    </w:p>
    <w:p w14:paraId="726FFF1A">
      <w:pPr>
        <w:keepNext w:val="0"/>
        <w:keepLines w:val="0"/>
        <w:pageBreakBefore w:val="0"/>
        <w:widowControl w:val="0"/>
        <w:kinsoku/>
        <w:wordWrap/>
        <w:overflowPunct/>
        <w:topLinePunct w:val="0"/>
        <w:autoSpaceDE/>
        <w:autoSpaceDN/>
        <w:bidi w:val="0"/>
        <w:adjustRightInd/>
        <w:snapToGrid/>
        <w:spacing w:line="400" w:lineRule="exact"/>
        <w:ind w:left="479" w:leftChars="228" w:right="0" w:rightChars="0" w:firstLine="0" w:firstLineChars="0"/>
        <w:jc w:val="both"/>
        <w:textAlignment w:val="auto"/>
        <w:outlineLvl w:val="9"/>
        <w:rPr>
          <w:rFonts w:hint="eastAsia"/>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（5）技术方案</w:t>
      </w:r>
      <w:r>
        <w:rPr>
          <w:rFonts w:hint="eastAsia" w:ascii="宋体" w:hAnsi="宋体" w:eastAsia="宋体" w:cs="宋体"/>
          <w:b w:val="0"/>
          <w:bCs w:val="0"/>
          <w:color w:val="auto"/>
          <w:spacing w:val="0"/>
          <w:position w:val="0"/>
          <w:sz w:val="24"/>
          <w:szCs w:val="24"/>
          <w:highlight w:val="none"/>
          <w:u w:val="none" w:color="auto"/>
          <w:lang w:val="en-US" w:eastAsia="zh-CN"/>
        </w:rPr>
        <w:br w:type="textWrapping"/>
      </w:r>
      <w:r>
        <w:rPr>
          <w:rFonts w:hint="eastAsia" w:ascii="宋体" w:hAnsi="宋体" w:eastAsia="宋体" w:cs="宋体"/>
          <w:b w:val="0"/>
          <w:bCs w:val="0"/>
          <w:color w:val="auto"/>
          <w:spacing w:val="0"/>
          <w:position w:val="0"/>
          <w:sz w:val="24"/>
          <w:szCs w:val="24"/>
          <w:highlight w:val="none"/>
          <w:u w:val="none" w:color="auto"/>
          <w:lang w:val="en-US" w:eastAsia="zh-CN"/>
        </w:rPr>
        <w:t>（6）</w:t>
      </w:r>
      <w:r>
        <w:rPr>
          <w:rFonts w:hint="eastAsia" w:ascii="宋体" w:hAnsi="宋体" w:eastAsia="宋体" w:cs="宋体"/>
          <w:color w:val="auto"/>
          <w:spacing w:val="0"/>
          <w:sz w:val="24"/>
          <w:szCs w:val="24"/>
          <w:highlight w:val="none"/>
        </w:rPr>
        <w:t>投标人认为有必要补充的其他资料</w:t>
      </w:r>
    </w:p>
    <w:p w14:paraId="328C5C4C">
      <w:pPr>
        <w:spacing w:line="540" w:lineRule="exact"/>
        <w:ind w:firstLine="862" w:firstLineChars="308"/>
        <w:rPr>
          <w:rFonts w:hint="eastAsia" w:ascii="宋体" w:hAnsi="宋体" w:eastAsia="宋体" w:cs="宋体"/>
          <w:color w:val="auto"/>
          <w:sz w:val="28"/>
          <w:szCs w:val="28"/>
          <w:highlight w:val="none"/>
        </w:rPr>
      </w:pPr>
    </w:p>
    <w:p w14:paraId="6998EFA2">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p>
    <w:p w14:paraId="4C1EC471">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3E438A30">
      <w:pPr>
        <w:keepNext w:val="0"/>
        <w:keepLines w:val="0"/>
        <w:pageBreakBefore w:val="0"/>
        <w:wordWrap w:val="0"/>
        <w:overflowPunct/>
        <w:topLinePunct w:val="0"/>
        <w:bidi w:val="0"/>
        <w:spacing w:before="78" w:line="219" w:lineRule="auto"/>
        <w:jc w:val="center"/>
        <w:outlineLvl w:val="1"/>
        <w:rPr>
          <w:rFonts w:hint="eastAsia" w:ascii="宋体" w:hAnsi="宋体" w:eastAsia="宋体" w:cs="宋体"/>
          <w:color w:val="auto"/>
          <w:spacing w:val="0"/>
          <w:highlight w:val="none"/>
        </w:rPr>
      </w:pPr>
      <w:bookmarkStart w:id="251" w:name="_Toc15085"/>
      <w:r>
        <w:rPr>
          <w:rFonts w:hint="eastAsia" w:ascii="宋体" w:hAnsi="宋体" w:eastAsia="宋体" w:cs="宋体"/>
          <w:b/>
          <w:bCs/>
          <w:color w:val="auto"/>
          <w:spacing w:val="0"/>
          <w:sz w:val="24"/>
          <w:szCs w:val="24"/>
          <w:highlight w:val="none"/>
        </w:rPr>
        <w:t>第七章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建设工程施工合同</w:t>
      </w:r>
      <w:bookmarkEnd w:id="251"/>
    </w:p>
    <w:p w14:paraId="0F14ACDF">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151CC36E">
      <w:pPr>
        <w:keepNext w:val="0"/>
        <w:keepLines w:val="0"/>
        <w:pageBreakBefore w:val="0"/>
        <w:wordWrap w:val="0"/>
        <w:overflowPunct/>
        <w:topLinePunct w:val="0"/>
        <w:bidi w:val="0"/>
        <w:spacing w:before="78" w:line="324" w:lineRule="auto"/>
        <w:ind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（略），按《广东省建设工程标准施工合同》（2009 年版）或《建设工程施工合同（示范文本）》（GF—2017—0201）执行。</w:t>
      </w:r>
    </w:p>
    <w:p w14:paraId="01801F5B">
      <w:pPr>
        <w:keepNext w:val="0"/>
        <w:keepLines w:val="0"/>
        <w:pageBreakBefore w:val="0"/>
        <w:wordWrap w:val="0"/>
        <w:overflowPunct/>
        <w:topLinePunct w:val="0"/>
        <w:bidi w:val="0"/>
        <w:rPr>
          <w:rFonts w:hint="eastAsia" w:ascii="宋体" w:hAnsi="宋体" w:eastAsia="宋体" w:cs="宋体"/>
          <w:color w:val="auto"/>
          <w:spacing w:val="0"/>
          <w:highlight w:val="none"/>
        </w:rPr>
      </w:pPr>
    </w:p>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0A288">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111AF">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B88D6">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AEB88D6">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B3D4B">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9540B">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5C9540B">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CA7E8">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A68BB">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BFA68BB">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B6E0A">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CEF52">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55CEF52">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D6CBA">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93DF6">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C393DF6">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F25A">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58473">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5158473">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30510">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35F8D">
                          <w:pPr>
                            <w:pStyle w:val="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6235F8D">
                    <w:pPr>
                      <w:pStyle w:val="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0073A">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16AC4E">
                          <w:pPr>
                            <w:pStyle w:val="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B16AC4E">
                    <w:pPr>
                      <w:pStyle w:val="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FF30B">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8FFB92">
                          <w:pPr>
                            <w:pStyle w:val="9"/>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388FFB92">
                    <w:pPr>
                      <w:pStyle w:val="9"/>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4F5C4">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0A844">
                          <w:pPr>
                            <w:pStyle w:val="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F40A844">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6E4AF">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A77C8">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0A77C8">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A2642">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3644F">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53644F">
                    <w:pPr>
                      <w:pStyle w:val="9"/>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83137">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65B2D">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B65B2D">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1E147">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0DBAC9">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40DBAC9">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BFC2D">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91286">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F091286">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DF844">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B81C9">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8DB81C9">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40724">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85931">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5285931">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67EE6">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08799">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3B08799">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A3C7A">
    <w:pPr>
      <w:pStyle w:val="6"/>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2D440">
    <w:pPr>
      <w:pStyle w:val="6"/>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978D7">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9BDCA"/>
    <w:multiLevelType w:val="singleLevel"/>
    <w:tmpl w:val="E6C9BD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ZmUxYzUwZTk0YWQ4OWIxZDY5YjRhZmIwMjUzNzMifQ=="/>
  </w:docVars>
  <w:rsids>
    <w:rsidRoot w:val="4F582EF7"/>
    <w:rsid w:val="000D6A89"/>
    <w:rsid w:val="0012211A"/>
    <w:rsid w:val="003F512F"/>
    <w:rsid w:val="00473031"/>
    <w:rsid w:val="004F4B45"/>
    <w:rsid w:val="00D61DC8"/>
    <w:rsid w:val="00F661CB"/>
    <w:rsid w:val="01203FAE"/>
    <w:rsid w:val="012A2737"/>
    <w:rsid w:val="013F232E"/>
    <w:rsid w:val="014B09BB"/>
    <w:rsid w:val="014C6B51"/>
    <w:rsid w:val="016471F9"/>
    <w:rsid w:val="01916C5A"/>
    <w:rsid w:val="01B841E6"/>
    <w:rsid w:val="01D95F0B"/>
    <w:rsid w:val="02337D11"/>
    <w:rsid w:val="026E699E"/>
    <w:rsid w:val="0273635F"/>
    <w:rsid w:val="027619AC"/>
    <w:rsid w:val="02AA30B8"/>
    <w:rsid w:val="02B7625C"/>
    <w:rsid w:val="02BF0C55"/>
    <w:rsid w:val="03091250"/>
    <w:rsid w:val="03200BA0"/>
    <w:rsid w:val="032C4E8C"/>
    <w:rsid w:val="0358304C"/>
    <w:rsid w:val="035D0AB7"/>
    <w:rsid w:val="03696A9E"/>
    <w:rsid w:val="037C563F"/>
    <w:rsid w:val="038453D9"/>
    <w:rsid w:val="039E06FB"/>
    <w:rsid w:val="03B524C9"/>
    <w:rsid w:val="03C5042E"/>
    <w:rsid w:val="04021749"/>
    <w:rsid w:val="04200D92"/>
    <w:rsid w:val="043C0BB8"/>
    <w:rsid w:val="04540333"/>
    <w:rsid w:val="048719B2"/>
    <w:rsid w:val="04B51863"/>
    <w:rsid w:val="04B67F25"/>
    <w:rsid w:val="04BF763A"/>
    <w:rsid w:val="04C07235"/>
    <w:rsid w:val="04C93D12"/>
    <w:rsid w:val="04CE00F8"/>
    <w:rsid w:val="053D0F60"/>
    <w:rsid w:val="05654685"/>
    <w:rsid w:val="05956F39"/>
    <w:rsid w:val="05E732EC"/>
    <w:rsid w:val="05EC614B"/>
    <w:rsid w:val="05FE0636"/>
    <w:rsid w:val="06342423"/>
    <w:rsid w:val="063C112F"/>
    <w:rsid w:val="064E6EC7"/>
    <w:rsid w:val="066642EF"/>
    <w:rsid w:val="066C1D20"/>
    <w:rsid w:val="066E18CA"/>
    <w:rsid w:val="069B537E"/>
    <w:rsid w:val="06B156A8"/>
    <w:rsid w:val="06C70A28"/>
    <w:rsid w:val="06C929F2"/>
    <w:rsid w:val="06E67100"/>
    <w:rsid w:val="06EE2458"/>
    <w:rsid w:val="07133987"/>
    <w:rsid w:val="073360BD"/>
    <w:rsid w:val="073C35E3"/>
    <w:rsid w:val="074B3407"/>
    <w:rsid w:val="07A1396F"/>
    <w:rsid w:val="07A71DAB"/>
    <w:rsid w:val="07B90CB8"/>
    <w:rsid w:val="07EC510E"/>
    <w:rsid w:val="08000695"/>
    <w:rsid w:val="082A5712"/>
    <w:rsid w:val="083D3697"/>
    <w:rsid w:val="08C55606"/>
    <w:rsid w:val="08CD7283"/>
    <w:rsid w:val="08DB07BA"/>
    <w:rsid w:val="08EB6C4F"/>
    <w:rsid w:val="08F939AD"/>
    <w:rsid w:val="092D5890"/>
    <w:rsid w:val="09C339A8"/>
    <w:rsid w:val="09F06AB0"/>
    <w:rsid w:val="09FA34EB"/>
    <w:rsid w:val="0A182626"/>
    <w:rsid w:val="0A2763AD"/>
    <w:rsid w:val="0A4D56E8"/>
    <w:rsid w:val="0A62467A"/>
    <w:rsid w:val="0A7D4664"/>
    <w:rsid w:val="0AD33307"/>
    <w:rsid w:val="0AEE3BCC"/>
    <w:rsid w:val="0AFB0342"/>
    <w:rsid w:val="0B04049C"/>
    <w:rsid w:val="0B3866B7"/>
    <w:rsid w:val="0B3B5F5C"/>
    <w:rsid w:val="0B644CDF"/>
    <w:rsid w:val="0BD240F7"/>
    <w:rsid w:val="0C120997"/>
    <w:rsid w:val="0C350433"/>
    <w:rsid w:val="0C3D67FB"/>
    <w:rsid w:val="0C4153D2"/>
    <w:rsid w:val="0C4E3A2A"/>
    <w:rsid w:val="0CA07D76"/>
    <w:rsid w:val="0CA247B5"/>
    <w:rsid w:val="0CC51EAD"/>
    <w:rsid w:val="0CEB3524"/>
    <w:rsid w:val="0CFE2CC9"/>
    <w:rsid w:val="0D03679A"/>
    <w:rsid w:val="0D410E67"/>
    <w:rsid w:val="0D786450"/>
    <w:rsid w:val="0D847672"/>
    <w:rsid w:val="0DB97443"/>
    <w:rsid w:val="0DCB0DFD"/>
    <w:rsid w:val="0DD203DE"/>
    <w:rsid w:val="0DDC125D"/>
    <w:rsid w:val="0DF525DE"/>
    <w:rsid w:val="0DF61CE0"/>
    <w:rsid w:val="0E122ED0"/>
    <w:rsid w:val="0E1E1875"/>
    <w:rsid w:val="0E8E37ED"/>
    <w:rsid w:val="0EAF2E14"/>
    <w:rsid w:val="0EDB59B8"/>
    <w:rsid w:val="0EF30E7F"/>
    <w:rsid w:val="0F1B4006"/>
    <w:rsid w:val="0F312AB7"/>
    <w:rsid w:val="0F87169C"/>
    <w:rsid w:val="0FB775B8"/>
    <w:rsid w:val="0FF44D8A"/>
    <w:rsid w:val="103425BC"/>
    <w:rsid w:val="10433815"/>
    <w:rsid w:val="10484987"/>
    <w:rsid w:val="105858FC"/>
    <w:rsid w:val="1069143D"/>
    <w:rsid w:val="108403E2"/>
    <w:rsid w:val="109275A9"/>
    <w:rsid w:val="10945E1E"/>
    <w:rsid w:val="10C15734"/>
    <w:rsid w:val="110D36CE"/>
    <w:rsid w:val="11183B29"/>
    <w:rsid w:val="11533574"/>
    <w:rsid w:val="11785740"/>
    <w:rsid w:val="117874EE"/>
    <w:rsid w:val="11862732"/>
    <w:rsid w:val="118F278E"/>
    <w:rsid w:val="119105B0"/>
    <w:rsid w:val="11994D85"/>
    <w:rsid w:val="11A47985"/>
    <w:rsid w:val="11D80D88"/>
    <w:rsid w:val="11F50B3F"/>
    <w:rsid w:val="12906AB9"/>
    <w:rsid w:val="12B46AE6"/>
    <w:rsid w:val="12C7072D"/>
    <w:rsid w:val="12E7492B"/>
    <w:rsid w:val="12E74FC1"/>
    <w:rsid w:val="12F27F6E"/>
    <w:rsid w:val="12F53397"/>
    <w:rsid w:val="131A26A8"/>
    <w:rsid w:val="132A4818"/>
    <w:rsid w:val="13313DF9"/>
    <w:rsid w:val="133D279D"/>
    <w:rsid w:val="13842E04"/>
    <w:rsid w:val="1385172F"/>
    <w:rsid w:val="13B36C86"/>
    <w:rsid w:val="13C438FA"/>
    <w:rsid w:val="13E34C75"/>
    <w:rsid w:val="14141B79"/>
    <w:rsid w:val="148650F4"/>
    <w:rsid w:val="1505553D"/>
    <w:rsid w:val="150D2643"/>
    <w:rsid w:val="15192D96"/>
    <w:rsid w:val="153A55AD"/>
    <w:rsid w:val="155663AB"/>
    <w:rsid w:val="15674B8D"/>
    <w:rsid w:val="15DC13FE"/>
    <w:rsid w:val="15F3699E"/>
    <w:rsid w:val="16005D04"/>
    <w:rsid w:val="161F618A"/>
    <w:rsid w:val="16223ECC"/>
    <w:rsid w:val="16351E52"/>
    <w:rsid w:val="16737FC1"/>
    <w:rsid w:val="16C60CFC"/>
    <w:rsid w:val="16DF591A"/>
    <w:rsid w:val="1722468F"/>
    <w:rsid w:val="17233A97"/>
    <w:rsid w:val="172C4685"/>
    <w:rsid w:val="173157BB"/>
    <w:rsid w:val="1767428D"/>
    <w:rsid w:val="1776627E"/>
    <w:rsid w:val="17C50FB3"/>
    <w:rsid w:val="18226406"/>
    <w:rsid w:val="182A472E"/>
    <w:rsid w:val="1862610F"/>
    <w:rsid w:val="18710487"/>
    <w:rsid w:val="187C6927"/>
    <w:rsid w:val="18C06D07"/>
    <w:rsid w:val="190B3062"/>
    <w:rsid w:val="192D6E10"/>
    <w:rsid w:val="192E77AB"/>
    <w:rsid w:val="19355CC5"/>
    <w:rsid w:val="19597C05"/>
    <w:rsid w:val="1963464B"/>
    <w:rsid w:val="19675454"/>
    <w:rsid w:val="197764F6"/>
    <w:rsid w:val="1A200723"/>
    <w:rsid w:val="1A2C70C8"/>
    <w:rsid w:val="1A3A6836"/>
    <w:rsid w:val="1A4A3FE0"/>
    <w:rsid w:val="1A5B5BFF"/>
    <w:rsid w:val="1A6040D2"/>
    <w:rsid w:val="1AE57555"/>
    <w:rsid w:val="1B2B0B2B"/>
    <w:rsid w:val="1BB32838"/>
    <w:rsid w:val="1BC25F36"/>
    <w:rsid w:val="1BCD48DA"/>
    <w:rsid w:val="1C116575"/>
    <w:rsid w:val="1C2A3ADB"/>
    <w:rsid w:val="1C324211"/>
    <w:rsid w:val="1C623275"/>
    <w:rsid w:val="1C7F3E27"/>
    <w:rsid w:val="1C977356"/>
    <w:rsid w:val="1CEA7FA2"/>
    <w:rsid w:val="1CEE68B6"/>
    <w:rsid w:val="1CFE11EF"/>
    <w:rsid w:val="1D1C4C74"/>
    <w:rsid w:val="1D4666F2"/>
    <w:rsid w:val="1DED3012"/>
    <w:rsid w:val="1DFB74DD"/>
    <w:rsid w:val="1E02178A"/>
    <w:rsid w:val="1E3B5065"/>
    <w:rsid w:val="1E3B5B2B"/>
    <w:rsid w:val="1E491296"/>
    <w:rsid w:val="1E504393"/>
    <w:rsid w:val="1E5B1F6F"/>
    <w:rsid w:val="1E5D49E3"/>
    <w:rsid w:val="1E6432D4"/>
    <w:rsid w:val="1E9F430C"/>
    <w:rsid w:val="1EB53B18"/>
    <w:rsid w:val="1EBD4792"/>
    <w:rsid w:val="1EE461C3"/>
    <w:rsid w:val="1F1F71FB"/>
    <w:rsid w:val="1F2962CC"/>
    <w:rsid w:val="1F297E9B"/>
    <w:rsid w:val="1F3C3740"/>
    <w:rsid w:val="1F487665"/>
    <w:rsid w:val="1F4E5D32"/>
    <w:rsid w:val="1F683A66"/>
    <w:rsid w:val="1F793D64"/>
    <w:rsid w:val="1F82221D"/>
    <w:rsid w:val="1FA6791C"/>
    <w:rsid w:val="1FB65DB1"/>
    <w:rsid w:val="1FDA1374"/>
    <w:rsid w:val="20210F16"/>
    <w:rsid w:val="20264FF8"/>
    <w:rsid w:val="206770AC"/>
    <w:rsid w:val="208714FC"/>
    <w:rsid w:val="20B41F4E"/>
    <w:rsid w:val="20B73CE8"/>
    <w:rsid w:val="20CB1F07"/>
    <w:rsid w:val="20E76E0C"/>
    <w:rsid w:val="21244F9D"/>
    <w:rsid w:val="216E1E9C"/>
    <w:rsid w:val="222C2B90"/>
    <w:rsid w:val="22457E73"/>
    <w:rsid w:val="2248233E"/>
    <w:rsid w:val="22592440"/>
    <w:rsid w:val="227D2BB6"/>
    <w:rsid w:val="229E3272"/>
    <w:rsid w:val="22E70030"/>
    <w:rsid w:val="22EC3898"/>
    <w:rsid w:val="22F866E1"/>
    <w:rsid w:val="23260E04"/>
    <w:rsid w:val="233953DA"/>
    <w:rsid w:val="23481ED7"/>
    <w:rsid w:val="234F2844"/>
    <w:rsid w:val="23515DF1"/>
    <w:rsid w:val="237613B4"/>
    <w:rsid w:val="23790749"/>
    <w:rsid w:val="237B4B25"/>
    <w:rsid w:val="23931F66"/>
    <w:rsid w:val="24782AD4"/>
    <w:rsid w:val="249C3951"/>
    <w:rsid w:val="249F17D3"/>
    <w:rsid w:val="24A10C0D"/>
    <w:rsid w:val="250C7A19"/>
    <w:rsid w:val="251E59E0"/>
    <w:rsid w:val="254479BB"/>
    <w:rsid w:val="254C2D14"/>
    <w:rsid w:val="25622C50"/>
    <w:rsid w:val="256D06AE"/>
    <w:rsid w:val="2582242A"/>
    <w:rsid w:val="259077D0"/>
    <w:rsid w:val="25981BD9"/>
    <w:rsid w:val="25AF7A72"/>
    <w:rsid w:val="25B20381"/>
    <w:rsid w:val="25DB33C1"/>
    <w:rsid w:val="25F25669"/>
    <w:rsid w:val="260357AC"/>
    <w:rsid w:val="26081331"/>
    <w:rsid w:val="260B6FC2"/>
    <w:rsid w:val="264763B7"/>
    <w:rsid w:val="268B2A3A"/>
    <w:rsid w:val="268B3DAD"/>
    <w:rsid w:val="269905F4"/>
    <w:rsid w:val="26A61FB0"/>
    <w:rsid w:val="26B13700"/>
    <w:rsid w:val="26E1530D"/>
    <w:rsid w:val="275131CB"/>
    <w:rsid w:val="277025E4"/>
    <w:rsid w:val="27734537"/>
    <w:rsid w:val="279B1E5B"/>
    <w:rsid w:val="282B4E63"/>
    <w:rsid w:val="282B6C11"/>
    <w:rsid w:val="28541BD2"/>
    <w:rsid w:val="28884FF7"/>
    <w:rsid w:val="28B60B0F"/>
    <w:rsid w:val="28E16404"/>
    <w:rsid w:val="28F60FCD"/>
    <w:rsid w:val="290F389D"/>
    <w:rsid w:val="291572CF"/>
    <w:rsid w:val="293033DF"/>
    <w:rsid w:val="293D2CA4"/>
    <w:rsid w:val="293E21D3"/>
    <w:rsid w:val="29567CBD"/>
    <w:rsid w:val="2962542C"/>
    <w:rsid w:val="296F1102"/>
    <w:rsid w:val="298250A2"/>
    <w:rsid w:val="29893309"/>
    <w:rsid w:val="29A9794B"/>
    <w:rsid w:val="2A58372E"/>
    <w:rsid w:val="2A5D6CB9"/>
    <w:rsid w:val="2A7228D5"/>
    <w:rsid w:val="2AD73080"/>
    <w:rsid w:val="2AF37B03"/>
    <w:rsid w:val="2B160E6F"/>
    <w:rsid w:val="2B351DFD"/>
    <w:rsid w:val="2B367172"/>
    <w:rsid w:val="2B784A6E"/>
    <w:rsid w:val="2B9A7B07"/>
    <w:rsid w:val="2BAE2033"/>
    <w:rsid w:val="2BB37649"/>
    <w:rsid w:val="2BB82A63"/>
    <w:rsid w:val="2BC730F4"/>
    <w:rsid w:val="2BE42462"/>
    <w:rsid w:val="2BFA2F81"/>
    <w:rsid w:val="2BFD3113"/>
    <w:rsid w:val="2BFD6B16"/>
    <w:rsid w:val="2C0003B4"/>
    <w:rsid w:val="2C15160E"/>
    <w:rsid w:val="2C3A068B"/>
    <w:rsid w:val="2CA156F3"/>
    <w:rsid w:val="2D236108"/>
    <w:rsid w:val="2D906B09"/>
    <w:rsid w:val="2D9C5EBB"/>
    <w:rsid w:val="2DAC0A59"/>
    <w:rsid w:val="2DCE076A"/>
    <w:rsid w:val="2E9A689E"/>
    <w:rsid w:val="2ED7388A"/>
    <w:rsid w:val="2EDD4BB1"/>
    <w:rsid w:val="2EE212D0"/>
    <w:rsid w:val="2F2729AC"/>
    <w:rsid w:val="2F3C0F4C"/>
    <w:rsid w:val="2F5A6566"/>
    <w:rsid w:val="2FAB20EE"/>
    <w:rsid w:val="2FB82F9F"/>
    <w:rsid w:val="2FD61B58"/>
    <w:rsid w:val="2FE5383E"/>
    <w:rsid w:val="306B49F6"/>
    <w:rsid w:val="30E67B79"/>
    <w:rsid w:val="313C778B"/>
    <w:rsid w:val="319C13AD"/>
    <w:rsid w:val="31D9592F"/>
    <w:rsid w:val="32105FF7"/>
    <w:rsid w:val="321A2D0F"/>
    <w:rsid w:val="322E1126"/>
    <w:rsid w:val="324D664C"/>
    <w:rsid w:val="32504AC8"/>
    <w:rsid w:val="32BE6EB2"/>
    <w:rsid w:val="32C616FD"/>
    <w:rsid w:val="32C7154E"/>
    <w:rsid w:val="32D46E8A"/>
    <w:rsid w:val="3317207A"/>
    <w:rsid w:val="331A6B7B"/>
    <w:rsid w:val="33204F95"/>
    <w:rsid w:val="33396D39"/>
    <w:rsid w:val="33643EF5"/>
    <w:rsid w:val="33D80BF4"/>
    <w:rsid w:val="33E57C5B"/>
    <w:rsid w:val="34124B0B"/>
    <w:rsid w:val="346F60D7"/>
    <w:rsid w:val="348F605A"/>
    <w:rsid w:val="34A357B5"/>
    <w:rsid w:val="34AA1521"/>
    <w:rsid w:val="34B1049E"/>
    <w:rsid w:val="34C22379"/>
    <w:rsid w:val="34D4478E"/>
    <w:rsid w:val="34EF2E71"/>
    <w:rsid w:val="34F206CA"/>
    <w:rsid w:val="34F51A33"/>
    <w:rsid w:val="35233259"/>
    <w:rsid w:val="357E4769"/>
    <w:rsid w:val="35846234"/>
    <w:rsid w:val="358636D8"/>
    <w:rsid w:val="35B20971"/>
    <w:rsid w:val="35F03248"/>
    <w:rsid w:val="360B729D"/>
    <w:rsid w:val="361E1B63"/>
    <w:rsid w:val="365D08DD"/>
    <w:rsid w:val="369F27CF"/>
    <w:rsid w:val="36B60605"/>
    <w:rsid w:val="36C73FA8"/>
    <w:rsid w:val="36CF7301"/>
    <w:rsid w:val="36DB3EF8"/>
    <w:rsid w:val="3701395E"/>
    <w:rsid w:val="3727713D"/>
    <w:rsid w:val="375B08FF"/>
    <w:rsid w:val="37704A11"/>
    <w:rsid w:val="379538CC"/>
    <w:rsid w:val="379D2F5B"/>
    <w:rsid w:val="37C45ACE"/>
    <w:rsid w:val="37CB7AC8"/>
    <w:rsid w:val="37E335F2"/>
    <w:rsid w:val="37E76AA3"/>
    <w:rsid w:val="37F60FE9"/>
    <w:rsid w:val="38125B90"/>
    <w:rsid w:val="3835053A"/>
    <w:rsid w:val="387463B2"/>
    <w:rsid w:val="38BE1535"/>
    <w:rsid w:val="39322A36"/>
    <w:rsid w:val="395A2DA3"/>
    <w:rsid w:val="397A7B42"/>
    <w:rsid w:val="39B4157B"/>
    <w:rsid w:val="39DF785B"/>
    <w:rsid w:val="3A1A0893"/>
    <w:rsid w:val="3A5C534F"/>
    <w:rsid w:val="3A5E69D2"/>
    <w:rsid w:val="3A60099C"/>
    <w:rsid w:val="3A751F07"/>
    <w:rsid w:val="3A8B1791"/>
    <w:rsid w:val="3AA16B06"/>
    <w:rsid w:val="3AD969A0"/>
    <w:rsid w:val="3B2C2F74"/>
    <w:rsid w:val="3B351E28"/>
    <w:rsid w:val="3B78218B"/>
    <w:rsid w:val="3B8B205B"/>
    <w:rsid w:val="3BA174BE"/>
    <w:rsid w:val="3BAE1FDB"/>
    <w:rsid w:val="3BAE3989"/>
    <w:rsid w:val="3BC05FBD"/>
    <w:rsid w:val="3BCC3E0F"/>
    <w:rsid w:val="3BD258C9"/>
    <w:rsid w:val="3C123FA5"/>
    <w:rsid w:val="3C242530"/>
    <w:rsid w:val="3C607CD7"/>
    <w:rsid w:val="3C8B7826"/>
    <w:rsid w:val="3C8D17F0"/>
    <w:rsid w:val="3CA078D1"/>
    <w:rsid w:val="3CCA02B2"/>
    <w:rsid w:val="3CE62383"/>
    <w:rsid w:val="3CEC7A2A"/>
    <w:rsid w:val="3D0433A8"/>
    <w:rsid w:val="3D15699B"/>
    <w:rsid w:val="3D6A66B2"/>
    <w:rsid w:val="3D867B10"/>
    <w:rsid w:val="3DA07301"/>
    <w:rsid w:val="3DBF44D4"/>
    <w:rsid w:val="3DC207FD"/>
    <w:rsid w:val="3DCE35B6"/>
    <w:rsid w:val="3DD136B5"/>
    <w:rsid w:val="3DF14E3C"/>
    <w:rsid w:val="3DFC6C2D"/>
    <w:rsid w:val="3E043D34"/>
    <w:rsid w:val="3E0A3EC6"/>
    <w:rsid w:val="3E0D6740"/>
    <w:rsid w:val="3E1D441D"/>
    <w:rsid w:val="3E2609B2"/>
    <w:rsid w:val="3E7F6463"/>
    <w:rsid w:val="3EAF459C"/>
    <w:rsid w:val="3ECB4852"/>
    <w:rsid w:val="3EEB0292"/>
    <w:rsid w:val="3EF142B8"/>
    <w:rsid w:val="3EF313C9"/>
    <w:rsid w:val="3F281B00"/>
    <w:rsid w:val="3F3E0C3D"/>
    <w:rsid w:val="3F4D76DD"/>
    <w:rsid w:val="3F930BE9"/>
    <w:rsid w:val="3F952DC8"/>
    <w:rsid w:val="3FE15005"/>
    <w:rsid w:val="3FE77469"/>
    <w:rsid w:val="400E2C48"/>
    <w:rsid w:val="401B4FB0"/>
    <w:rsid w:val="401C11D4"/>
    <w:rsid w:val="40324B88"/>
    <w:rsid w:val="403D2804"/>
    <w:rsid w:val="40515615"/>
    <w:rsid w:val="408567E3"/>
    <w:rsid w:val="40B21825"/>
    <w:rsid w:val="40BE641C"/>
    <w:rsid w:val="40C14BE6"/>
    <w:rsid w:val="40E85E9C"/>
    <w:rsid w:val="41173D7E"/>
    <w:rsid w:val="417778B2"/>
    <w:rsid w:val="42056C09"/>
    <w:rsid w:val="428D039F"/>
    <w:rsid w:val="42D77BC6"/>
    <w:rsid w:val="42FC0E58"/>
    <w:rsid w:val="431379ED"/>
    <w:rsid w:val="4315253F"/>
    <w:rsid w:val="436C6603"/>
    <w:rsid w:val="437454B8"/>
    <w:rsid w:val="43947908"/>
    <w:rsid w:val="43AA0EDA"/>
    <w:rsid w:val="43CC2BFE"/>
    <w:rsid w:val="43D25E53"/>
    <w:rsid w:val="43FE4D82"/>
    <w:rsid w:val="440138A0"/>
    <w:rsid w:val="44246EDE"/>
    <w:rsid w:val="44384737"/>
    <w:rsid w:val="44692B43"/>
    <w:rsid w:val="44740E09"/>
    <w:rsid w:val="447A2ACE"/>
    <w:rsid w:val="44983428"/>
    <w:rsid w:val="44C47D79"/>
    <w:rsid w:val="450F07D9"/>
    <w:rsid w:val="451A208F"/>
    <w:rsid w:val="453170D2"/>
    <w:rsid w:val="453E5D7D"/>
    <w:rsid w:val="45464C32"/>
    <w:rsid w:val="45AD2F03"/>
    <w:rsid w:val="45BE2A1A"/>
    <w:rsid w:val="45D60635"/>
    <w:rsid w:val="45F17038"/>
    <w:rsid w:val="460B7B64"/>
    <w:rsid w:val="4612476D"/>
    <w:rsid w:val="46276812"/>
    <w:rsid w:val="462F50FB"/>
    <w:rsid w:val="46617E0B"/>
    <w:rsid w:val="468F5CB4"/>
    <w:rsid w:val="46953618"/>
    <w:rsid w:val="46C027C2"/>
    <w:rsid w:val="46E75FA1"/>
    <w:rsid w:val="474820C5"/>
    <w:rsid w:val="475B13E7"/>
    <w:rsid w:val="476B2262"/>
    <w:rsid w:val="477A7EE5"/>
    <w:rsid w:val="477C5396"/>
    <w:rsid w:val="47DD7AD0"/>
    <w:rsid w:val="47F0715F"/>
    <w:rsid w:val="47F51E94"/>
    <w:rsid w:val="481D611E"/>
    <w:rsid w:val="48422063"/>
    <w:rsid w:val="4851130F"/>
    <w:rsid w:val="485D476D"/>
    <w:rsid w:val="48665BDE"/>
    <w:rsid w:val="48B545A9"/>
    <w:rsid w:val="48B979EC"/>
    <w:rsid w:val="48D34790"/>
    <w:rsid w:val="494D6EBA"/>
    <w:rsid w:val="49557B3A"/>
    <w:rsid w:val="49753CDE"/>
    <w:rsid w:val="49877DA8"/>
    <w:rsid w:val="498C348F"/>
    <w:rsid w:val="49BA4655"/>
    <w:rsid w:val="49CD757C"/>
    <w:rsid w:val="49DA3B9B"/>
    <w:rsid w:val="49EF5898"/>
    <w:rsid w:val="49FA5FEB"/>
    <w:rsid w:val="4A3C6BE3"/>
    <w:rsid w:val="4A62606A"/>
    <w:rsid w:val="4A6F0787"/>
    <w:rsid w:val="4A7638C4"/>
    <w:rsid w:val="4AA76173"/>
    <w:rsid w:val="4AAE1013"/>
    <w:rsid w:val="4ADE1878"/>
    <w:rsid w:val="4ADE2E23"/>
    <w:rsid w:val="4AE64EED"/>
    <w:rsid w:val="4B380D6F"/>
    <w:rsid w:val="4B7F745A"/>
    <w:rsid w:val="4BA47B1F"/>
    <w:rsid w:val="4BBC29D4"/>
    <w:rsid w:val="4C37599E"/>
    <w:rsid w:val="4C560DCF"/>
    <w:rsid w:val="4C9F604B"/>
    <w:rsid w:val="4CA73452"/>
    <w:rsid w:val="4CBE77A4"/>
    <w:rsid w:val="4CC32763"/>
    <w:rsid w:val="4D0F1621"/>
    <w:rsid w:val="4D24354A"/>
    <w:rsid w:val="4D4E6D7A"/>
    <w:rsid w:val="4D64659D"/>
    <w:rsid w:val="4D785BA5"/>
    <w:rsid w:val="4DEB45C9"/>
    <w:rsid w:val="4DF97234"/>
    <w:rsid w:val="4E437F61"/>
    <w:rsid w:val="4E4C36AA"/>
    <w:rsid w:val="4E4F6531"/>
    <w:rsid w:val="4EB7021F"/>
    <w:rsid w:val="4F377967"/>
    <w:rsid w:val="4F411EB6"/>
    <w:rsid w:val="4F42646A"/>
    <w:rsid w:val="4F582EF7"/>
    <w:rsid w:val="4F5F63A7"/>
    <w:rsid w:val="4FBA24A4"/>
    <w:rsid w:val="4FDA6E22"/>
    <w:rsid w:val="4FFD0EF1"/>
    <w:rsid w:val="50127E61"/>
    <w:rsid w:val="502F4C40"/>
    <w:rsid w:val="50353716"/>
    <w:rsid w:val="50AC44E3"/>
    <w:rsid w:val="510E3C07"/>
    <w:rsid w:val="5135755A"/>
    <w:rsid w:val="514F12D7"/>
    <w:rsid w:val="51754B1B"/>
    <w:rsid w:val="517B73AD"/>
    <w:rsid w:val="518A5306"/>
    <w:rsid w:val="51A37E3C"/>
    <w:rsid w:val="51B66656"/>
    <w:rsid w:val="51D16F4E"/>
    <w:rsid w:val="51D610EC"/>
    <w:rsid w:val="521045FE"/>
    <w:rsid w:val="52534816"/>
    <w:rsid w:val="52634928"/>
    <w:rsid w:val="52C2513C"/>
    <w:rsid w:val="52E2243E"/>
    <w:rsid w:val="52FE057D"/>
    <w:rsid w:val="53277999"/>
    <w:rsid w:val="53353269"/>
    <w:rsid w:val="533B7DA0"/>
    <w:rsid w:val="536746F1"/>
    <w:rsid w:val="53764934"/>
    <w:rsid w:val="53A35FB7"/>
    <w:rsid w:val="53B536AF"/>
    <w:rsid w:val="53C80FD0"/>
    <w:rsid w:val="53E30294"/>
    <w:rsid w:val="54296415"/>
    <w:rsid w:val="544B3A05"/>
    <w:rsid w:val="5472334E"/>
    <w:rsid w:val="549269FE"/>
    <w:rsid w:val="54A86D6F"/>
    <w:rsid w:val="54CA0898"/>
    <w:rsid w:val="550F1330"/>
    <w:rsid w:val="556829A3"/>
    <w:rsid w:val="55782BE6"/>
    <w:rsid w:val="55B415BA"/>
    <w:rsid w:val="55CD4E7B"/>
    <w:rsid w:val="55D46448"/>
    <w:rsid w:val="560E3442"/>
    <w:rsid w:val="56111251"/>
    <w:rsid w:val="56193729"/>
    <w:rsid w:val="56252ADC"/>
    <w:rsid w:val="56327239"/>
    <w:rsid w:val="56426E9F"/>
    <w:rsid w:val="564725B8"/>
    <w:rsid w:val="56652099"/>
    <w:rsid w:val="56680EAC"/>
    <w:rsid w:val="566D353C"/>
    <w:rsid w:val="569B3338"/>
    <w:rsid w:val="56F269C8"/>
    <w:rsid w:val="572F3778"/>
    <w:rsid w:val="576176AA"/>
    <w:rsid w:val="5765355C"/>
    <w:rsid w:val="57690BD0"/>
    <w:rsid w:val="57CA1153"/>
    <w:rsid w:val="58460B49"/>
    <w:rsid w:val="584A495B"/>
    <w:rsid w:val="586675E4"/>
    <w:rsid w:val="58765D26"/>
    <w:rsid w:val="58947716"/>
    <w:rsid w:val="58B66C06"/>
    <w:rsid w:val="58C919AA"/>
    <w:rsid w:val="58D345D7"/>
    <w:rsid w:val="59152645"/>
    <w:rsid w:val="591F4A55"/>
    <w:rsid w:val="59407EBE"/>
    <w:rsid w:val="59495785"/>
    <w:rsid w:val="5962393D"/>
    <w:rsid w:val="59816B33"/>
    <w:rsid w:val="599C2C1B"/>
    <w:rsid w:val="59AC7302"/>
    <w:rsid w:val="59BE5287"/>
    <w:rsid w:val="59BF67D8"/>
    <w:rsid w:val="59BF6E54"/>
    <w:rsid w:val="59C96098"/>
    <w:rsid w:val="59CD22DC"/>
    <w:rsid w:val="5A2F2D66"/>
    <w:rsid w:val="5A9467BF"/>
    <w:rsid w:val="5AAE69DB"/>
    <w:rsid w:val="5AC261B4"/>
    <w:rsid w:val="5ACA056B"/>
    <w:rsid w:val="5AEC0684"/>
    <w:rsid w:val="5AF0582F"/>
    <w:rsid w:val="5B1B6AA6"/>
    <w:rsid w:val="5B224E28"/>
    <w:rsid w:val="5B9C02BE"/>
    <w:rsid w:val="5BAF7B56"/>
    <w:rsid w:val="5BF611E3"/>
    <w:rsid w:val="5C0E6052"/>
    <w:rsid w:val="5C313AEE"/>
    <w:rsid w:val="5C7D4F86"/>
    <w:rsid w:val="5C86208C"/>
    <w:rsid w:val="5CAC7619"/>
    <w:rsid w:val="5D072AA1"/>
    <w:rsid w:val="5D211242"/>
    <w:rsid w:val="5D2B49E2"/>
    <w:rsid w:val="5D730EDB"/>
    <w:rsid w:val="5D7C18C6"/>
    <w:rsid w:val="5D902A97"/>
    <w:rsid w:val="5D916BB6"/>
    <w:rsid w:val="5DC32E6C"/>
    <w:rsid w:val="5DC65EB1"/>
    <w:rsid w:val="5DE3467B"/>
    <w:rsid w:val="5E000678"/>
    <w:rsid w:val="5E634018"/>
    <w:rsid w:val="5EB639EA"/>
    <w:rsid w:val="5F0537AA"/>
    <w:rsid w:val="5F1267B5"/>
    <w:rsid w:val="5F2B3E04"/>
    <w:rsid w:val="5F4A1A8C"/>
    <w:rsid w:val="5F760F40"/>
    <w:rsid w:val="5FD9212E"/>
    <w:rsid w:val="5FFF5CB2"/>
    <w:rsid w:val="600532C8"/>
    <w:rsid w:val="60213B2C"/>
    <w:rsid w:val="60673F83"/>
    <w:rsid w:val="606E1F64"/>
    <w:rsid w:val="607F0240"/>
    <w:rsid w:val="60AD1128"/>
    <w:rsid w:val="60CE0B25"/>
    <w:rsid w:val="610E5FB8"/>
    <w:rsid w:val="61113EEE"/>
    <w:rsid w:val="61555832"/>
    <w:rsid w:val="6194560C"/>
    <w:rsid w:val="619C4100"/>
    <w:rsid w:val="61A30FEA"/>
    <w:rsid w:val="61BE5E24"/>
    <w:rsid w:val="61D300DB"/>
    <w:rsid w:val="61D5316E"/>
    <w:rsid w:val="61DB6D9C"/>
    <w:rsid w:val="623C3CCB"/>
    <w:rsid w:val="6277131B"/>
    <w:rsid w:val="62894736"/>
    <w:rsid w:val="62A274F4"/>
    <w:rsid w:val="62A72D5C"/>
    <w:rsid w:val="62DC02C2"/>
    <w:rsid w:val="62E679C4"/>
    <w:rsid w:val="632E6FDA"/>
    <w:rsid w:val="6345292E"/>
    <w:rsid w:val="635D5082"/>
    <w:rsid w:val="63964B41"/>
    <w:rsid w:val="63CD05A1"/>
    <w:rsid w:val="6410048D"/>
    <w:rsid w:val="64421F3D"/>
    <w:rsid w:val="64487C27"/>
    <w:rsid w:val="647C3D75"/>
    <w:rsid w:val="648570CD"/>
    <w:rsid w:val="64AD03D2"/>
    <w:rsid w:val="64B66E59"/>
    <w:rsid w:val="64CC5E52"/>
    <w:rsid w:val="650F4B9B"/>
    <w:rsid w:val="654E657D"/>
    <w:rsid w:val="656B2244"/>
    <w:rsid w:val="65864EAB"/>
    <w:rsid w:val="65AC2438"/>
    <w:rsid w:val="65B768E4"/>
    <w:rsid w:val="65BF216B"/>
    <w:rsid w:val="65C57872"/>
    <w:rsid w:val="65DA0D53"/>
    <w:rsid w:val="65EF0F14"/>
    <w:rsid w:val="66042274"/>
    <w:rsid w:val="66043DF1"/>
    <w:rsid w:val="6614083B"/>
    <w:rsid w:val="661D46CA"/>
    <w:rsid w:val="667B0788"/>
    <w:rsid w:val="66887A48"/>
    <w:rsid w:val="669F48C5"/>
    <w:rsid w:val="66B94E0C"/>
    <w:rsid w:val="66BB1AFB"/>
    <w:rsid w:val="66C8643E"/>
    <w:rsid w:val="66CA0DC7"/>
    <w:rsid w:val="66F0707E"/>
    <w:rsid w:val="66F20D2E"/>
    <w:rsid w:val="66F95B50"/>
    <w:rsid w:val="673D6A15"/>
    <w:rsid w:val="67960780"/>
    <w:rsid w:val="67BB2DBB"/>
    <w:rsid w:val="682E5386"/>
    <w:rsid w:val="683F57E5"/>
    <w:rsid w:val="68415A7C"/>
    <w:rsid w:val="688D47A2"/>
    <w:rsid w:val="68CD623B"/>
    <w:rsid w:val="68FD36D6"/>
    <w:rsid w:val="694D7A8E"/>
    <w:rsid w:val="69562DE6"/>
    <w:rsid w:val="696012B6"/>
    <w:rsid w:val="69642093"/>
    <w:rsid w:val="6985191D"/>
    <w:rsid w:val="69BD2E65"/>
    <w:rsid w:val="69CA6B08"/>
    <w:rsid w:val="69E95A08"/>
    <w:rsid w:val="6A042666"/>
    <w:rsid w:val="6A9736F0"/>
    <w:rsid w:val="6AB26742"/>
    <w:rsid w:val="6AF97ECD"/>
    <w:rsid w:val="6B680BAF"/>
    <w:rsid w:val="6B6C68F1"/>
    <w:rsid w:val="6B7A5BC1"/>
    <w:rsid w:val="6BA17D14"/>
    <w:rsid w:val="6BCC55E2"/>
    <w:rsid w:val="6BE41292"/>
    <w:rsid w:val="6BF43D6E"/>
    <w:rsid w:val="6C3A781B"/>
    <w:rsid w:val="6C884442"/>
    <w:rsid w:val="6CF25FA0"/>
    <w:rsid w:val="6CF3094C"/>
    <w:rsid w:val="6CF3436B"/>
    <w:rsid w:val="6D257FA0"/>
    <w:rsid w:val="6D5B6316"/>
    <w:rsid w:val="6D77157D"/>
    <w:rsid w:val="6D9143ED"/>
    <w:rsid w:val="6DC40A12"/>
    <w:rsid w:val="6DC74A88"/>
    <w:rsid w:val="6DDD7C5D"/>
    <w:rsid w:val="6DEA2117"/>
    <w:rsid w:val="6E113780"/>
    <w:rsid w:val="6E2178BF"/>
    <w:rsid w:val="6E6C4C84"/>
    <w:rsid w:val="6E8C1058"/>
    <w:rsid w:val="6EBF142E"/>
    <w:rsid w:val="6F0F5F11"/>
    <w:rsid w:val="6F120DB6"/>
    <w:rsid w:val="6F2946DA"/>
    <w:rsid w:val="6F550DE0"/>
    <w:rsid w:val="6F694185"/>
    <w:rsid w:val="6FD1766A"/>
    <w:rsid w:val="70294E19"/>
    <w:rsid w:val="707443AD"/>
    <w:rsid w:val="70990122"/>
    <w:rsid w:val="70C60851"/>
    <w:rsid w:val="70D00980"/>
    <w:rsid w:val="70E51DA8"/>
    <w:rsid w:val="71213150"/>
    <w:rsid w:val="712D267F"/>
    <w:rsid w:val="712F47EA"/>
    <w:rsid w:val="713C6679"/>
    <w:rsid w:val="714802B0"/>
    <w:rsid w:val="71812600"/>
    <w:rsid w:val="71946BA2"/>
    <w:rsid w:val="719C15B2"/>
    <w:rsid w:val="71A843FB"/>
    <w:rsid w:val="71D82792"/>
    <w:rsid w:val="71F94EA8"/>
    <w:rsid w:val="721E450C"/>
    <w:rsid w:val="72514A93"/>
    <w:rsid w:val="7262278F"/>
    <w:rsid w:val="72A745C8"/>
    <w:rsid w:val="730C2768"/>
    <w:rsid w:val="7329331A"/>
    <w:rsid w:val="732A300A"/>
    <w:rsid w:val="73742537"/>
    <w:rsid w:val="73A429A0"/>
    <w:rsid w:val="73BE1CB4"/>
    <w:rsid w:val="73CC7691"/>
    <w:rsid w:val="73D85A6B"/>
    <w:rsid w:val="74AE1D28"/>
    <w:rsid w:val="74C2331D"/>
    <w:rsid w:val="74CF1255"/>
    <w:rsid w:val="74E7523A"/>
    <w:rsid w:val="74FB54A4"/>
    <w:rsid w:val="751610E2"/>
    <w:rsid w:val="751A7B05"/>
    <w:rsid w:val="751C63E4"/>
    <w:rsid w:val="75611CC1"/>
    <w:rsid w:val="759233F8"/>
    <w:rsid w:val="75D25EEA"/>
    <w:rsid w:val="75DD731F"/>
    <w:rsid w:val="75FE283B"/>
    <w:rsid w:val="764B039C"/>
    <w:rsid w:val="764C5C54"/>
    <w:rsid w:val="766641C7"/>
    <w:rsid w:val="766656C3"/>
    <w:rsid w:val="76740D50"/>
    <w:rsid w:val="768014A2"/>
    <w:rsid w:val="768D4B1F"/>
    <w:rsid w:val="76B352F7"/>
    <w:rsid w:val="76B7148E"/>
    <w:rsid w:val="76C22210"/>
    <w:rsid w:val="76CA7E5A"/>
    <w:rsid w:val="76ED3071"/>
    <w:rsid w:val="77120FDD"/>
    <w:rsid w:val="77224D6E"/>
    <w:rsid w:val="77490EAB"/>
    <w:rsid w:val="775C2950"/>
    <w:rsid w:val="77610F13"/>
    <w:rsid w:val="776B3787"/>
    <w:rsid w:val="778C37F8"/>
    <w:rsid w:val="77903967"/>
    <w:rsid w:val="779D7E32"/>
    <w:rsid w:val="77B12E34"/>
    <w:rsid w:val="77B32EDF"/>
    <w:rsid w:val="77BF5FFA"/>
    <w:rsid w:val="77CA451A"/>
    <w:rsid w:val="77D46CD2"/>
    <w:rsid w:val="77D83D50"/>
    <w:rsid w:val="77F50340"/>
    <w:rsid w:val="78056103"/>
    <w:rsid w:val="780F6F82"/>
    <w:rsid w:val="781D0CC1"/>
    <w:rsid w:val="7823193A"/>
    <w:rsid w:val="782E61C7"/>
    <w:rsid w:val="7836235A"/>
    <w:rsid w:val="783B33E4"/>
    <w:rsid w:val="78482494"/>
    <w:rsid w:val="78534B66"/>
    <w:rsid w:val="787B0197"/>
    <w:rsid w:val="787E1A12"/>
    <w:rsid w:val="78A00DCC"/>
    <w:rsid w:val="78BE10F6"/>
    <w:rsid w:val="78BF6934"/>
    <w:rsid w:val="78C25DA2"/>
    <w:rsid w:val="78D43D28"/>
    <w:rsid w:val="78EE56C6"/>
    <w:rsid w:val="78FD502C"/>
    <w:rsid w:val="792275BE"/>
    <w:rsid w:val="794672BF"/>
    <w:rsid w:val="79532E9E"/>
    <w:rsid w:val="79585130"/>
    <w:rsid w:val="79797086"/>
    <w:rsid w:val="797A5F8B"/>
    <w:rsid w:val="79A47B9E"/>
    <w:rsid w:val="7A3C1D44"/>
    <w:rsid w:val="7A8B158A"/>
    <w:rsid w:val="7AB102CB"/>
    <w:rsid w:val="7ADD5362"/>
    <w:rsid w:val="7B1A0118"/>
    <w:rsid w:val="7B62386D"/>
    <w:rsid w:val="7B6E2211"/>
    <w:rsid w:val="7BD217F3"/>
    <w:rsid w:val="7C277454"/>
    <w:rsid w:val="7C594C70"/>
    <w:rsid w:val="7C7C270C"/>
    <w:rsid w:val="7C85264B"/>
    <w:rsid w:val="7CB63E70"/>
    <w:rsid w:val="7CC266CE"/>
    <w:rsid w:val="7CC76395"/>
    <w:rsid w:val="7CD73DE6"/>
    <w:rsid w:val="7CE64029"/>
    <w:rsid w:val="7D00333D"/>
    <w:rsid w:val="7D7A30EF"/>
    <w:rsid w:val="7D906276"/>
    <w:rsid w:val="7D9D293A"/>
    <w:rsid w:val="7DB41364"/>
    <w:rsid w:val="7DE44A0D"/>
    <w:rsid w:val="7DF24EA8"/>
    <w:rsid w:val="7E1E7F1F"/>
    <w:rsid w:val="7E2F667A"/>
    <w:rsid w:val="7E321E60"/>
    <w:rsid w:val="7E493D4F"/>
    <w:rsid w:val="7E5356EF"/>
    <w:rsid w:val="7E916B3D"/>
    <w:rsid w:val="7E9B65C0"/>
    <w:rsid w:val="7EA95725"/>
    <w:rsid w:val="7F1205F3"/>
    <w:rsid w:val="7F69341C"/>
    <w:rsid w:val="7F6B3277"/>
    <w:rsid w:val="7F7C3A97"/>
    <w:rsid w:val="7F8F2756"/>
    <w:rsid w:val="7FFA6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autoSpaceDE w:val="0"/>
      <w:autoSpaceDN w:val="0"/>
      <w:adjustRightInd w:val="0"/>
      <w:jc w:val="left"/>
      <w:outlineLvl w:val="0"/>
    </w:pPr>
    <w:rPr>
      <w:kern w:val="0"/>
      <w:sz w:val="30"/>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4">
    <w:name w:val="heading 4"/>
    <w:basedOn w:val="1"/>
    <w:next w:val="1"/>
    <w:qFormat/>
    <w:uiPriority w:val="0"/>
    <w:pPr>
      <w:keepNext/>
      <w:keepLines/>
      <w:spacing w:line="374" w:lineRule="auto"/>
      <w:outlineLvl w:val="3"/>
    </w:pPr>
    <w:rPr>
      <w:rFonts w:ascii="Arial" w:hAnsi="Arial"/>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annotation text"/>
    <w:basedOn w:val="1"/>
    <w:next w:val="1"/>
    <w:qFormat/>
    <w:uiPriority w:val="0"/>
    <w:pPr>
      <w:adjustRightInd w:val="0"/>
      <w:spacing w:line="360" w:lineRule="atLeast"/>
      <w:jc w:val="left"/>
      <w:textAlignment w:val="baseline"/>
    </w:pPr>
    <w:rPr>
      <w:kern w:val="0"/>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
    <w:next w:val="6"/>
    <w:qFormat/>
    <w:uiPriority w:val="0"/>
    <w:pPr>
      <w:spacing w:line="500" w:lineRule="exact"/>
    </w:pPr>
    <w:rPr>
      <w:rFonts w:ascii="宋体"/>
      <w:sz w:val="24"/>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6"/>
    <w:qFormat/>
    <w:uiPriority w:val="99"/>
    <w:pPr>
      <w:spacing w:line="240" w:lineRule="auto"/>
      <w:ind w:firstLine="420" w:firstLineChars="100"/>
    </w:pPr>
    <w:rPr>
      <w:rFonts w:ascii="Times New Roman" w:cs="Times New Roman"/>
      <w:sz w:val="20"/>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FollowedHyperlink"/>
    <w:basedOn w:val="17"/>
    <w:qFormat/>
    <w:uiPriority w:val="0"/>
    <w:rPr>
      <w:color w:val="333333"/>
      <w:u w:val="none"/>
    </w:rPr>
  </w:style>
  <w:style w:type="character" w:styleId="20">
    <w:name w:val="Emphasis"/>
    <w:basedOn w:val="17"/>
    <w:qFormat/>
    <w:uiPriority w:val="0"/>
    <w:rPr>
      <w:i/>
    </w:rPr>
  </w:style>
  <w:style w:type="character" w:styleId="21">
    <w:name w:val="HTML Variable"/>
    <w:basedOn w:val="17"/>
    <w:qFormat/>
    <w:uiPriority w:val="0"/>
    <w:rPr>
      <w:i/>
    </w:rPr>
  </w:style>
  <w:style w:type="character" w:styleId="22">
    <w:name w:val="Hyperlink"/>
    <w:basedOn w:val="17"/>
    <w:qFormat/>
    <w:uiPriority w:val="0"/>
    <w:rPr>
      <w:color w:val="333333"/>
      <w:u w:val="none"/>
    </w:rPr>
  </w:style>
  <w:style w:type="character" w:styleId="23">
    <w:name w:val="HTML Code"/>
    <w:basedOn w:val="17"/>
    <w:qFormat/>
    <w:uiPriority w:val="0"/>
    <w:rPr>
      <w:rFonts w:ascii="Courier New" w:hAnsi="Courier New"/>
      <w:sz w:val="20"/>
    </w:rPr>
  </w:style>
  <w:style w:type="character" w:styleId="24">
    <w:name w:val="HTML Cite"/>
    <w:basedOn w:val="17"/>
    <w:qFormat/>
    <w:uiPriority w:val="0"/>
    <w:rPr>
      <w:i/>
    </w:rPr>
  </w:style>
  <w:style w:type="paragraph" w:customStyle="1" w:styleId="25">
    <w:name w:val="样式 宋体 行距: 1.5 倍行距"/>
    <w:next w:val="1"/>
    <w:qFormat/>
    <w:uiPriority w:val="99"/>
    <w:pPr>
      <w:widowControl w:val="0"/>
      <w:jc w:val="center"/>
    </w:pPr>
    <w:rPr>
      <w:rFonts w:ascii="Times New Roman" w:hAnsi="Calibri" w:eastAsia="宋体" w:cs="Times New Roman"/>
      <w:b/>
      <w:bCs/>
      <w:kern w:val="2"/>
      <w:sz w:val="21"/>
      <w:szCs w:val="24"/>
      <w:lang w:val="en-US" w:eastAsia="zh-CN" w:bidi="ar-SA"/>
    </w:rPr>
  </w:style>
  <w:style w:type="paragraph" w:customStyle="1" w:styleId="26">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27">
    <w:name w:val="NormalCharacter"/>
    <w:qFormat/>
    <w:uiPriority w:val="99"/>
  </w:style>
  <w:style w:type="paragraph" w:customStyle="1" w:styleId="28">
    <w:name w:val="Table Text"/>
    <w:basedOn w:val="1"/>
    <w:semiHidden/>
    <w:qFormat/>
    <w:uiPriority w:val="0"/>
    <w:rPr>
      <w:rFonts w:ascii="Arial" w:hAnsi="Arial" w:eastAsia="Arial" w:cs="Arial"/>
      <w:sz w:val="21"/>
      <w:szCs w:val="21"/>
      <w:lang w:val="en-US" w:eastAsia="en-US" w:bidi="ar-SA"/>
    </w:rPr>
  </w:style>
  <w:style w:type="paragraph" w:customStyle="1" w:styleId="2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缩进1"/>
    <w:basedOn w:val="1"/>
    <w:qFormat/>
    <w:uiPriority w:val="0"/>
    <w:pPr>
      <w:widowControl/>
      <w:ind w:firstLine="420"/>
      <w:jc w:val="left"/>
    </w:pPr>
    <w:rPr>
      <w:kern w:val="0"/>
    </w:rPr>
  </w:style>
  <w:style w:type="paragraph" w:customStyle="1" w:styleId="31">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2">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3">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5">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6">
    <w:name w:val="Heading2"/>
    <w:basedOn w:val="1"/>
    <w:next w:val="1"/>
    <w:qFormat/>
    <w:uiPriority w:val="99"/>
    <w:pPr>
      <w:jc w:val="left"/>
    </w:pPr>
    <w:rPr>
      <w:kern w:val="0"/>
    </w:rPr>
  </w:style>
  <w:style w:type="paragraph" w:customStyle="1" w:styleId="37">
    <w:name w:val="AnnotationText"/>
    <w:basedOn w:val="1"/>
    <w:qFormat/>
    <w:uiPriority w:val="99"/>
    <w:pPr>
      <w:spacing w:line="360" w:lineRule="atLeast"/>
      <w:jc w:val="left"/>
    </w:pPr>
    <w:rPr>
      <w:kern w:val="0"/>
    </w:rPr>
  </w:style>
  <w:style w:type="paragraph" w:customStyle="1" w:styleId="38">
    <w:name w:val="UserStyle_44"/>
    <w:basedOn w:val="39"/>
    <w:qFormat/>
    <w:uiPriority w:val="99"/>
    <w:rPr>
      <w:sz w:val="24"/>
      <w:szCs w:val="24"/>
    </w:rPr>
  </w:style>
  <w:style w:type="paragraph" w:customStyle="1" w:styleId="39">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40">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1">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42">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43">
    <w:name w:val="BodyText"/>
    <w:basedOn w:val="1"/>
    <w:next w:val="44"/>
    <w:qFormat/>
    <w:uiPriority w:val="99"/>
    <w:pPr>
      <w:spacing w:after="120"/>
    </w:pPr>
  </w:style>
  <w:style w:type="paragraph" w:customStyle="1" w:styleId="44">
    <w:name w:val="BodyText2"/>
    <w:basedOn w:val="1"/>
    <w:qFormat/>
    <w:uiPriority w:val="99"/>
    <w:pPr>
      <w:spacing w:line="500" w:lineRule="exact"/>
    </w:pPr>
  </w:style>
  <w:style w:type="paragraph" w:customStyle="1" w:styleId="45">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6">
    <w:name w:val="正文缩进 New"/>
    <w:basedOn w:val="47"/>
    <w:qFormat/>
    <w:uiPriority w:val="0"/>
    <w:pPr>
      <w:widowControl/>
      <w:ind w:firstLine="420"/>
      <w:jc w:val="left"/>
    </w:pPr>
    <w:rPr>
      <w:kern w:val="0"/>
      <w:sz w:val="20"/>
    </w:rPr>
  </w:style>
  <w:style w:type="paragraph" w:customStyle="1" w:styleId="47">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48">
    <w:name w:val="正文文本 (2) + 间距 0 pt3"/>
    <w:basedOn w:val="17"/>
    <w:qFormat/>
    <w:uiPriority w:val="0"/>
    <w:rPr>
      <w:rFonts w:ascii="MingLiU" w:hAnsi="Times New Roman" w:eastAsia="MingLiU" w:cs="MingLiU"/>
      <w:spacing w:val="0"/>
      <w:sz w:val="22"/>
      <w:szCs w:val="22"/>
      <w:u w:val="none"/>
    </w:rPr>
  </w:style>
  <w:style w:type="character" w:customStyle="1" w:styleId="49">
    <w:name w:val="hover21"/>
    <w:basedOn w:val="17"/>
    <w:qFormat/>
    <w:uiPriority w:val="0"/>
    <w:rPr>
      <w:color w:val="5FB878"/>
    </w:rPr>
  </w:style>
  <w:style w:type="character" w:customStyle="1" w:styleId="50">
    <w:name w:val="hover22"/>
    <w:basedOn w:val="17"/>
    <w:qFormat/>
    <w:uiPriority w:val="0"/>
    <w:rPr>
      <w:color w:val="FFFFFF"/>
    </w:rPr>
  </w:style>
  <w:style w:type="character" w:customStyle="1" w:styleId="51">
    <w:name w:val="hover23"/>
    <w:basedOn w:val="17"/>
    <w:qFormat/>
    <w:uiPriority w:val="0"/>
    <w:rPr>
      <w:color w:val="5FB878"/>
    </w:rPr>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25"/>
    <w:qFormat/>
    <w:uiPriority w:val="0"/>
    <w:pPr>
      <w:widowControl w:val="0"/>
      <w:jc w:val="both"/>
    </w:pPr>
    <w:rPr>
      <w:rFonts w:ascii="Calibri" w:hAnsi="Calibri" w:eastAsia="宋体" w:cs="黑体"/>
      <w:kern w:val="2"/>
      <w:sz w:val="21"/>
      <w:szCs w:val="24"/>
      <w:lang w:val="en-US" w:eastAsia="zh-CN" w:bidi="ar-SA"/>
    </w:rPr>
  </w:style>
  <w:style w:type="paragraph" w:customStyle="1" w:styleId="53">
    <w:name w:val="Default"/>
    <w:qFormat/>
    <w:uiPriority w:val="0"/>
    <w:pPr>
      <w:widowControl w:val="0"/>
      <w:autoSpaceDE w:val="0"/>
      <w:autoSpaceDN w:val="0"/>
      <w:adjustRightInd w:val="0"/>
    </w:pPr>
    <w:rPr>
      <w:rFonts w:hint="eastAsia" w:ascii="仿宋" w:hAnsi="仿宋" w:eastAsia="仿宋" w:cs="Times New Roman"/>
      <w:color w:val="000000"/>
      <w:sz w:val="24"/>
      <w:lang w:val="en-US" w:eastAsia="zh-CN" w:bidi="ar-SA"/>
    </w:rPr>
  </w:style>
  <w:style w:type="table" w:customStyle="1" w:styleId="54">
    <w:name w:val="Table Normal"/>
    <w:semiHidden/>
    <w:unhideWhenUsed/>
    <w:qFormat/>
    <w:uiPriority w:val="0"/>
    <w:rPr>
      <w:rFonts w:ascii="Arial" w:hAnsi="Arial" w:cs="Arial"/>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7" Type="http://schemas.openxmlformats.org/officeDocument/2006/relationships/fontTable" Target="fontTable.xml"/><Relationship Id="rId56" Type="http://schemas.openxmlformats.org/officeDocument/2006/relationships/numbering" Target="numbering.xml"/><Relationship Id="rId55" Type="http://schemas.openxmlformats.org/officeDocument/2006/relationships/customXml" Target="../customXml/item1.xml"/><Relationship Id="rId54" Type="http://schemas.openxmlformats.org/officeDocument/2006/relationships/image" Target="media/image17.png"/><Relationship Id="rId53" Type="http://schemas.openxmlformats.org/officeDocument/2006/relationships/image" Target="media/image16.png"/><Relationship Id="rId52" Type="http://schemas.openxmlformats.org/officeDocument/2006/relationships/image" Target="media/image15.png"/><Relationship Id="rId51" Type="http://schemas.openxmlformats.org/officeDocument/2006/relationships/image" Target="media/image14.wmf"/><Relationship Id="rId50" Type="http://schemas.openxmlformats.org/officeDocument/2006/relationships/oleObject" Target="embeddings/oleObject12.bin"/><Relationship Id="rId5" Type="http://schemas.openxmlformats.org/officeDocument/2006/relationships/footer" Target="footer2.xml"/><Relationship Id="rId49" Type="http://schemas.openxmlformats.org/officeDocument/2006/relationships/image" Target="media/image13.wmf"/><Relationship Id="rId48" Type="http://schemas.openxmlformats.org/officeDocument/2006/relationships/oleObject" Target="embeddings/oleObject11.bin"/><Relationship Id="rId47" Type="http://schemas.openxmlformats.org/officeDocument/2006/relationships/image" Target="media/image12.wmf"/><Relationship Id="rId46" Type="http://schemas.openxmlformats.org/officeDocument/2006/relationships/oleObject" Target="embeddings/oleObject10.bin"/><Relationship Id="rId45" Type="http://schemas.openxmlformats.org/officeDocument/2006/relationships/image" Target="media/image11.wmf"/><Relationship Id="rId44" Type="http://schemas.openxmlformats.org/officeDocument/2006/relationships/oleObject" Target="embeddings/oleObject9.bin"/><Relationship Id="rId43" Type="http://schemas.openxmlformats.org/officeDocument/2006/relationships/image" Target="media/image10.wmf"/><Relationship Id="rId42" Type="http://schemas.openxmlformats.org/officeDocument/2006/relationships/oleObject" Target="embeddings/oleObject8.bin"/><Relationship Id="rId41" Type="http://schemas.openxmlformats.org/officeDocument/2006/relationships/image" Target="media/image9.wmf"/><Relationship Id="rId40" Type="http://schemas.openxmlformats.org/officeDocument/2006/relationships/oleObject" Target="embeddings/oleObject7.bin"/><Relationship Id="rId4" Type="http://schemas.openxmlformats.org/officeDocument/2006/relationships/footer" Target="footer1.xml"/><Relationship Id="rId39" Type="http://schemas.openxmlformats.org/officeDocument/2006/relationships/image" Target="media/image8.wmf"/><Relationship Id="rId38" Type="http://schemas.openxmlformats.org/officeDocument/2006/relationships/oleObject" Target="embeddings/oleObject6.bin"/><Relationship Id="rId37" Type="http://schemas.openxmlformats.org/officeDocument/2006/relationships/image" Target="media/image7.wmf"/><Relationship Id="rId36" Type="http://schemas.openxmlformats.org/officeDocument/2006/relationships/oleObject" Target="embeddings/oleObject5.bin"/><Relationship Id="rId35" Type="http://schemas.openxmlformats.org/officeDocument/2006/relationships/image" Target="media/image6.wmf"/><Relationship Id="rId34" Type="http://schemas.openxmlformats.org/officeDocument/2006/relationships/oleObject" Target="embeddings/oleObject4.bin"/><Relationship Id="rId33" Type="http://schemas.openxmlformats.org/officeDocument/2006/relationships/image" Target="media/image5.wmf"/><Relationship Id="rId32" Type="http://schemas.openxmlformats.org/officeDocument/2006/relationships/oleObject" Target="embeddings/oleObject3.bin"/><Relationship Id="rId31" Type="http://schemas.openxmlformats.org/officeDocument/2006/relationships/image" Target="media/image4.wmf"/><Relationship Id="rId30" Type="http://schemas.openxmlformats.org/officeDocument/2006/relationships/oleObject" Target="embeddings/oleObject2.bin"/><Relationship Id="rId3" Type="http://schemas.openxmlformats.org/officeDocument/2006/relationships/header" Target="header1.xml"/><Relationship Id="rId29" Type="http://schemas.openxmlformats.org/officeDocument/2006/relationships/image" Target="media/image3.wmf"/><Relationship Id="rId28" Type="http://schemas.openxmlformats.org/officeDocument/2006/relationships/oleObject" Target="embeddings/oleObject1.bin"/><Relationship Id="rId27" Type="http://schemas.openxmlformats.org/officeDocument/2006/relationships/image" Target="media/image2.png"/><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21444</Words>
  <Characters>23092</Characters>
  <Lines>0</Lines>
  <Paragraphs>0</Paragraphs>
  <TotalTime>1</TotalTime>
  <ScaleCrop>false</ScaleCrop>
  <LinksUpToDate>false</LinksUpToDate>
  <CharactersWithSpaces>23910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2024-09-28T04:36:00Z</dcterms:created>
  <dc:creator>Administrator</dc:creator>
  <cp:lastModifiedBy>wisvhnoiwnvl</cp:lastModifiedBy>
  <cp:lastPrinted>2024-09-29T01:33:00Z</cp:lastPrinted>
  <dcterms:modified xsi:type="dcterms:W3CDTF">2026-04-28T08:14:08Z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28FD884A523C405DB074BF13B283319A_13</vt:lpwstr>
  </property>
  <property fmtid="{D5CDD505-2E9C-101B-9397-08002B2CF9AE}" pid="4" name="KSOTemplateDocerSaveRecord">
    <vt:lpwstr>eyJoZGlkIjoiMjgzYmU5OThlZjM2MDdhYmRjZTMzNjQ0NzZlYTFhMWQiLCJ1c2VySWQiOiIzMzc1OTIyNzgifQ==</vt:lpwstr>
  </property>
</Properties>
</file>