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C95A8">
      <w:pPr>
        <w:widowControl w:val="0"/>
        <w:wordWrap w:val="0"/>
        <w:adjustRightInd w:val="0"/>
        <w:snapToGrid w:val="0"/>
        <w:spacing w:line="360" w:lineRule="auto"/>
        <w:jc w:val="center"/>
        <w:rPr>
          <w:rFonts w:hint="default" w:ascii="宋体" w:hAnsi="宋体" w:eastAsia="宋体" w:cs="宋体"/>
          <w:b/>
          <w:bCs/>
          <w:snapToGrid w:val="0"/>
          <w:color w:val="auto"/>
          <w:kern w:val="0"/>
          <w:sz w:val="36"/>
          <w:szCs w:val="20"/>
          <w:highlight w:val="none"/>
          <w:u w:val="single"/>
          <w:lang w:val="en-US" w:eastAsia="zh-CN" w:bidi="ar-SA"/>
        </w:rPr>
      </w:pPr>
      <w:r>
        <w:rPr>
          <w:rFonts w:hint="eastAsia" w:ascii="宋体" w:hAnsi="宋体" w:eastAsia="宋体" w:cs="宋体"/>
          <w:b/>
          <w:bCs/>
          <w:color w:val="auto"/>
          <w:kern w:val="2"/>
          <w:sz w:val="52"/>
          <w:szCs w:val="60"/>
          <w:highlight w:val="none"/>
          <w:u w:val="none"/>
          <w:lang w:val="en-US" w:eastAsia="zh-CN" w:bidi="ar-SA"/>
        </w:rPr>
        <w:t>韶关市仁化县丹霞街道乡村绿化景观带提升工程(夏富段)施工</w:t>
      </w:r>
    </w:p>
    <w:p w14:paraId="196D0751">
      <w:pPr>
        <w:widowControl w:val="0"/>
        <w:wordWrap w:val="0"/>
        <w:adjustRightInd w:val="0"/>
        <w:snapToGrid w:val="0"/>
        <w:spacing w:line="360" w:lineRule="auto"/>
        <w:jc w:val="both"/>
        <w:rPr>
          <w:rFonts w:hint="eastAsia" w:ascii="宋体" w:hAnsi="宋体" w:eastAsia="宋体" w:cs="宋体"/>
          <w:snapToGrid w:val="0"/>
          <w:color w:val="auto"/>
          <w:kern w:val="0"/>
          <w:sz w:val="36"/>
          <w:highlight w:val="none"/>
          <w:u w:val="single"/>
          <w:lang w:val="en-US" w:eastAsia="zh-CN" w:bidi="ar-SA"/>
        </w:rPr>
      </w:pPr>
    </w:p>
    <w:p w14:paraId="21E5D5D9">
      <w:pPr>
        <w:widowControl w:val="0"/>
        <w:wordWrap w:val="0"/>
        <w:adjustRightInd w:val="0"/>
        <w:snapToGrid w:val="0"/>
        <w:spacing w:line="360" w:lineRule="auto"/>
        <w:jc w:val="both"/>
        <w:rPr>
          <w:rFonts w:hint="eastAsia" w:ascii="宋体" w:hAnsi="宋体" w:eastAsia="宋体" w:cs="宋体"/>
          <w:snapToGrid w:val="0"/>
          <w:color w:val="auto"/>
          <w:kern w:val="0"/>
          <w:sz w:val="36"/>
          <w:highlight w:val="none"/>
          <w:u w:val="single"/>
          <w:lang w:val="en-US" w:eastAsia="zh-CN" w:bidi="ar-SA"/>
        </w:rPr>
      </w:pPr>
    </w:p>
    <w:p w14:paraId="1641EE66">
      <w:pPr>
        <w:widowControl w:val="0"/>
        <w:wordWrap w:val="0"/>
        <w:adjustRightInd w:val="0"/>
        <w:snapToGrid w:val="0"/>
        <w:spacing w:line="360" w:lineRule="auto"/>
        <w:jc w:val="both"/>
        <w:rPr>
          <w:rFonts w:hint="eastAsia" w:ascii="宋体" w:hAnsi="宋体" w:eastAsia="宋体" w:cs="宋体"/>
          <w:snapToGrid w:val="0"/>
          <w:color w:val="auto"/>
          <w:kern w:val="0"/>
          <w:sz w:val="36"/>
          <w:highlight w:val="none"/>
          <w:u w:val="single"/>
          <w:lang w:val="en-US" w:eastAsia="zh-CN" w:bidi="ar-SA"/>
        </w:rPr>
      </w:pPr>
    </w:p>
    <w:p w14:paraId="66BA82A0">
      <w:pPr>
        <w:widowControl w:val="0"/>
        <w:wordWrap w:val="0"/>
        <w:adjustRightInd w:val="0"/>
        <w:snapToGrid w:val="0"/>
        <w:spacing w:line="360" w:lineRule="auto"/>
        <w:jc w:val="center"/>
        <w:rPr>
          <w:rFonts w:hint="eastAsia" w:ascii="宋体" w:hAnsi="宋体" w:eastAsia="宋体" w:cs="宋体"/>
          <w:b/>
          <w:bCs/>
          <w:snapToGrid w:val="0"/>
          <w:color w:val="auto"/>
          <w:kern w:val="0"/>
          <w:sz w:val="48"/>
          <w:szCs w:val="48"/>
          <w:highlight w:val="none"/>
          <w:lang w:val="en-US" w:eastAsia="zh-CN" w:bidi="ar-SA"/>
        </w:rPr>
      </w:pPr>
      <w:r>
        <w:rPr>
          <w:rFonts w:hint="eastAsia" w:ascii="宋体" w:hAnsi="宋体" w:eastAsia="宋体" w:cs="宋体"/>
          <w:b/>
          <w:bCs/>
          <w:snapToGrid w:val="0"/>
          <w:color w:val="auto"/>
          <w:kern w:val="0"/>
          <w:sz w:val="72"/>
          <w:szCs w:val="72"/>
          <w:highlight w:val="none"/>
          <w:lang w:val="en-US" w:eastAsia="zh-CN" w:bidi="ar-SA"/>
        </w:rPr>
        <w:t xml:space="preserve"> 招标文件</w:t>
      </w:r>
    </w:p>
    <w:p w14:paraId="02BCC727">
      <w:pPr>
        <w:widowControl w:val="0"/>
        <w:adjustRightInd w:val="0"/>
        <w:spacing w:line="360" w:lineRule="atLeast"/>
        <w:jc w:val="left"/>
        <w:textAlignment w:val="baseline"/>
        <w:rPr>
          <w:rFonts w:hint="eastAsia" w:ascii="宋体" w:hAnsi="宋体" w:eastAsia="宋体" w:cs="宋体"/>
          <w:b/>
          <w:bCs/>
          <w:snapToGrid w:val="0"/>
          <w:color w:val="auto"/>
          <w:kern w:val="0"/>
          <w:sz w:val="48"/>
          <w:szCs w:val="48"/>
          <w:highlight w:val="none"/>
          <w:lang w:val="en-US" w:eastAsia="zh-CN" w:bidi="ar-SA"/>
        </w:rPr>
      </w:pPr>
    </w:p>
    <w:p w14:paraId="33A25F17">
      <w:pPr>
        <w:rPr>
          <w:rFonts w:hint="eastAsia" w:ascii="宋体" w:hAnsi="宋体" w:eastAsia="宋体" w:cs="宋体"/>
          <w:color w:val="auto"/>
          <w:highlight w:val="none"/>
        </w:rPr>
      </w:pPr>
    </w:p>
    <w:p w14:paraId="10DAB477">
      <w:pPr>
        <w:widowControl/>
        <w:spacing w:line="360" w:lineRule="auto"/>
        <w:ind w:firstLine="420"/>
        <w:jc w:val="left"/>
        <w:rPr>
          <w:rFonts w:hint="eastAsia" w:ascii="宋体" w:hAnsi="宋体" w:eastAsia="宋体" w:cs="宋体"/>
          <w:color w:val="auto"/>
          <w:kern w:val="0"/>
          <w:sz w:val="20"/>
          <w:szCs w:val="20"/>
          <w:highlight w:val="none"/>
          <w:lang w:val="en-US" w:eastAsia="zh-CN" w:bidi="ar-SA"/>
        </w:rPr>
      </w:pPr>
    </w:p>
    <w:p w14:paraId="17AA7DC0">
      <w:pPr>
        <w:widowControl w:val="0"/>
        <w:adjustRightInd w:val="0"/>
        <w:spacing w:line="360" w:lineRule="atLeast"/>
        <w:jc w:val="left"/>
        <w:textAlignment w:val="baseline"/>
        <w:rPr>
          <w:rFonts w:hint="eastAsia" w:ascii="宋体" w:hAnsi="宋体" w:eastAsia="宋体" w:cs="宋体"/>
          <w:b/>
          <w:bCs/>
          <w:snapToGrid w:val="0"/>
          <w:color w:val="auto"/>
          <w:kern w:val="0"/>
          <w:sz w:val="48"/>
          <w:szCs w:val="48"/>
          <w:highlight w:val="none"/>
          <w:lang w:val="en-US" w:eastAsia="zh-CN" w:bidi="ar-SA"/>
        </w:rPr>
      </w:pPr>
    </w:p>
    <w:tbl>
      <w:tblPr>
        <w:tblStyle w:val="14"/>
        <w:tblW w:w="9639" w:type="dxa"/>
        <w:tblInd w:w="-100" w:type="dxa"/>
        <w:tblLayout w:type="fixed"/>
        <w:tblCellMar>
          <w:top w:w="0" w:type="dxa"/>
          <w:left w:w="0" w:type="dxa"/>
          <w:bottom w:w="0" w:type="dxa"/>
          <w:right w:w="0" w:type="dxa"/>
        </w:tblCellMar>
      </w:tblPr>
      <w:tblGrid>
        <w:gridCol w:w="4864"/>
        <w:gridCol w:w="4775"/>
      </w:tblGrid>
      <w:tr w14:paraId="237D16B5">
        <w:tblPrEx>
          <w:tblCellMar>
            <w:top w:w="0" w:type="dxa"/>
            <w:left w:w="0" w:type="dxa"/>
            <w:bottom w:w="0" w:type="dxa"/>
            <w:right w:w="0" w:type="dxa"/>
          </w:tblCellMar>
        </w:tblPrEx>
        <w:trPr>
          <w:trHeight w:val="803" w:hRule="atLeast"/>
        </w:trPr>
        <w:tc>
          <w:tcPr>
            <w:tcW w:w="4864" w:type="dxa"/>
            <w:noWrap w:val="0"/>
            <w:vAlign w:val="center"/>
          </w:tcPr>
          <w:p w14:paraId="714A2A5B">
            <w:pPr>
              <w:widowControl w:val="0"/>
              <w:wordWrap w:val="0"/>
              <w:adjustRightInd w:val="0"/>
              <w:snapToGrid w:val="0"/>
              <w:spacing w:line="240" w:lineRule="auto"/>
              <w:jc w:val="distribute"/>
              <w:rPr>
                <w:rFonts w:hint="eastAsia" w:ascii="宋体" w:hAnsi="宋体" w:eastAsia="宋体" w:cs="宋体"/>
                <w:snapToGrid w:val="0"/>
                <w:color w:val="auto"/>
                <w:kern w:val="0"/>
                <w:sz w:val="28"/>
                <w:szCs w:val="20"/>
                <w:highlight w:val="none"/>
                <w:lang w:val="en-US" w:eastAsia="zh-CN" w:bidi="ar-SA"/>
              </w:rPr>
            </w:pPr>
            <w:r>
              <w:rPr>
                <w:rFonts w:hint="eastAsia" w:ascii="宋体" w:hAnsi="宋体" w:eastAsia="宋体" w:cs="宋体"/>
                <w:snapToGrid w:val="0"/>
                <w:color w:val="auto"/>
                <w:kern w:val="0"/>
                <w:sz w:val="28"/>
                <w:szCs w:val="20"/>
                <w:highlight w:val="none"/>
                <w:lang w:val="en-US" w:eastAsia="zh-CN" w:bidi="ar-SA"/>
              </w:rPr>
              <w:t xml:space="preserve"> 招     标     人（盖单位章）：</w:t>
            </w:r>
          </w:p>
        </w:tc>
        <w:tc>
          <w:tcPr>
            <w:tcW w:w="4775" w:type="dxa"/>
            <w:noWrap w:val="0"/>
            <w:vAlign w:val="center"/>
          </w:tcPr>
          <w:p w14:paraId="24E2D750">
            <w:pPr>
              <w:widowControl w:val="0"/>
              <w:wordWrap w:val="0"/>
              <w:adjustRightInd w:val="0"/>
              <w:snapToGrid w:val="0"/>
              <w:spacing w:line="240" w:lineRule="auto"/>
              <w:ind w:firstLine="280" w:firstLineChars="100"/>
              <w:jc w:val="both"/>
              <w:rPr>
                <w:rFonts w:hint="eastAsia" w:ascii="宋体" w:hAnsi="宋体" w:eastAsia="宋体" w:cs="宋体"/>
                <w:snapToGrid w:val="0"/>
                <w:color w:val="auto"/>
                <w:kern w:val="0"/>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仁化县丹霞街道办事处</w:t>
            </w:r>
          </w:p>
        </w:tc>
      </w:tr>
      <w:tr w14:paraId="69887AA8">
        <w:tblPrEx>
          <w:tblCellMar>
            <w:top w:w="0" w:type="dxa"/>
            <w:left w:w="0" w:type="dxa"/>
            <w:bottom w:w="0" w:type="dxa"/>
            <w:right w:w="0" w:type="dxa"/>
          </w:tblCellMar>
        </w:tblPrEx>
        <w:trPr>
          <w:trHeight w:val="704" w:hRule="atLeast"/>
        </w:trPr>
        <w:tc>
          <w:tcPr>
            <w:tcW w:w="4864" w:type="dxa"/>
            <w:noWrap w:val="0"/>
            <w:vAlign w:val="center"/>
          </w:tcPr>
          <w:p w14:paraId="6C0EE0AF">
            <w:pPr>
              <w:widowControl w:val="0"/>
              <w:wordWrap w:val="0"/>
              <w:adjustRightInd w:val="0"/>
              <w:snapToGrid w:val="0"/>
              <w:spacing w:line="240" w:lineRule="auto"/>
              <w:jc w:val="distribute"/>
              <w:rPr>
                <w:rFonts w:hint="eastAsia" w:ascii="宋体" w:hAnsi="宋体" w:eastAsia="宋体" w:cs="宋体"/>
                <w:snapToGrid w:val="0"/>
                <w:color w:val="auto"/>
                <w:kern w:val="0"/>
                <w:sz w:val="28"/>
                <w:szCs w:val="20"/>
                <w:highlight w:val="none"/>
                <w:lang w:val="en-US" w:eastAsia="zh-CN" w:bidi="ar-SA"/>
              </w:rPr>
            </w:pPr>
            <w:r>
              <w:rPr>
                <w:rFonts w:hint="eastAsia" w:ascii="宋体" w:hAnsi="宋体" w:eastAsia="宋体" w:cs="宋体"/>
                <w:snapToGrid w:val="0"/>
                <w:color w:val="auto"/>
                <w:kern w:val="0"/>
                <w:sz w:val="28"/>
                <w:szCs w:val="20"/>
                <w:highlight w:val="none"/>
                <w:lang w:val="en-US" w:eastAsia="zh-CN" w:bidi="ar-SA"/>
              </w:rPr>
              <w:t xml:space="preserve"> 招标人工作领导小组负责人（签字）：</w:t>
            </w:r>
          </w:p>
        </w:tc>
        <w:tc>
          <w:tcPr>
            <w:tcW w:w="4775" w:type="dxa"/>
            <w:noWrap w:val="0"/>
            <w:vAlign w:val="center"/>
          </w:tcPr>
          <w:p w14:paraId="259A96CC">
            <w:pPr>
              <w:widowControl w:val="0"/>
              <w:wordWrap w:val="0"/>
              <w:adjustRightInd w:val="0"/>
              <w:snapToGrid w:val="0"/>
              <w:spacing w:line="240" w:lineRule="auto"/>
              <w:jc w:val="both"/>
              <w:rPr>
                <w:rFonts w:hint="eastAsia" w:ascii="宋体" w:hAnsi="宋体" w:eastAsia="宋体" w:cs="宋体"/>
                <w:snapToGrid w:val="0"/>
                <w:color w:val="auto"/>
                <w:kern w:val="0"/>
                <w:sz w:val="28"/>
                <w:szCs w:val="28"/>
                <w:highlight w:val="none"/>
                <w:lang w:val="en-US" w:eastAsia="zh-CN" w:bidi="ar-SA"/>
              </w:rPr>
            </w:pPr>
          </w:p>
        </w:tc>
      </w:tr>
      <w:tr w14:paraId="7C430373">
        <w:tblPrEx>
          <w:tblCellMar>
            <w:top w:w="0" w:type="dxa"/>
            <w:left w:w="0" w:type="dxa"/>
            <w:bottom w:w="0" w:type="dxa"/>
            <w:right w:w="0" w:type="dxa"/>
          </w:tblCellMar>
        </w:tblPrEx>
        <w:trPr>
          <w:trHeight w:val="774" w:hRule="atLeast"/>
        </w:trPr>
        <w:tc>
          <w:tcPr>
            <w:tcW w:w="4864" w:type="dxa"/>
            <w:noWrap w:val="0"/>
            <w:vAlign w:val="center"/>
          </w:tcPr>
          <w:p w14:paraId="4A556DD4">
            <w:pPr>
              <w:widowControl w:val="0"/>
              <w:wordWrap w:val="0"/>
              <w:adjustRightInd w:val="0"/>
              <w:snapToGrid w:val="0"/>
              <w:spacing w:line="240" w:lineRule="auto"/>
              <w:jc w:val="distribute"/>
              <w:rPr>
                <w:rFonts w:hint="eastAsia" w:ascii="宋体" w:hAnsi="宋体" w:eastAsia="宋体" w:cs="宋体"/>
                <w:snapToGrid w:val="0"/>
                <w:color w:val="auto"/>
                <w:kern w:val="0"/>
                <w:sz w:val="28"/>
                <w:szCs w:val="20"/>
                <w:highlight w:val="none"/>
                <w:lang w:val="en-US" w:eastAsia="zh-CN" w:bidi="ar-SA"/>
              </w:rPr>
            </w:pPr>
            <w:r>
              <w:rPr>
                <w:rFonts w:hint="eastAsia" w:ascii="宋体" w:hAnsi="宋体" w:eastAsia="宋体" w:cs="宋体"/>
                <w:snapToGrid w:val="0"/>
                <w:color w:val="auto"/>
                <w:kern w:val="0"/>
                <w:sz w:val="28"/>
                <w:szCs w:val="20"/>
                <w:highlight w:val="none"/>
                <w:lang w:val="en-US" w:eastAsia="zh-CN" w:bidi="ar-SA"/>
              </w:rPr>
              <w:t xml:space="preserve"> 招 标 代 理 机 构 （盖单位章）：</w:t>
            </w:r>
          </w:p>
        </w:tc>
        <w:tc>
          <w:tcPr>
            <w:tcW w:w="4775" w:type="dxa"/>
            <w:noWrap w:val="0"/>
            <w:vAlign w:val="center"/>
          </w:tcPr>
          <w:p w14:paraId="293CA78E">
            <w:pPr>
              <w:widowControl w:val="0"/>
              <w:wordWrap w:val="0"/>
              <w:adjustRightInd w:val="0"/>
              <w:snapToGrid w:val="0"/>
              <w:spacing w:line="240" w:lineRule="auto"/>
              <w:ind w:firstLine="280" w:firstLineChars="100"/>
              <w:jc w:val="both"/>
              <w:rPr>
                <w:rFonts w:hint="eastAsia" w:ascii="宋体" w:hAnsi="宋体" w:eastAsia="宋体" w:cs="宋体"/>
                <w:snapToGrid w:val="0"/>
                <w:color w:val="auto"/>
                <w:kern w:val="0"/>
                <w:sz w:val="28"/>
                <w:szCs w:val="28"/>
                <w:highlight w:val="none"/>
                <w:lang w:val="en-US" w:eastAsia="zh-CN" w:bidi="ar-SA"/>
              </w:rPr>
            </w:pPr>
            <w:r>
              <w:rPr>
                <w:rFonts w:hint="eastAsia" w:ascii="宋体" w:hAnsi="宋体" w:eastAsia="宋体" w:cs="宋体"/>
                <w:snapToGrid w:val="0"/>
                <w:color w:val="auto"/>
                <w:kern w:val="0"/>
                <w:sz w:val="28"/>
                <w:szCs w:val="28"/>
                <w:highlight w:val="none"/>
                <w:lang w:val="en-US" w:eastAsia="zh-CN" w:bidi="ar-SA"/>
              </w:rPr>
              <w:t>韶关众信项目管理有限公司</w:t>
            </w:r>
          </w:p>
        </w:tc>
      </w:tr>
      <w:tr w14:paraId="1F7CC53E">
        <w:tblPrEx>
          <w:tblCellMar>
            <w:top w:w="0" w:type="dxa"/>
            <w:left w:w="0" w:type="dxa"/>
            <w:bottom w:w="0" w:type="dxa"/>
            <w:right w:w="0" w:type="dxa"/>
          </w:tblCellMar>
        </w:tblPrEx>
        <w:trPr>
          <w:trHeight w:val="736" w:hRule="atLeast"/>
        </w:trPr>
        <w:tc>
          <w:tcPr>
            <w:tcW w:w="4864" w:type="dxa"/>
            <w:noWrap w:val="0"/>
            <w:vAlign w:val="center"/>
          </w:tcPr>
          <w:p w14:paraId="0B168479">
            <w:pPr>
              <w:widowControl w:val="0"/>
              <w:wordWrap w:val="0"/>
              <w:adjustRightInd w:val="0"/>
              <w:snapToGrid w:val="0"/>
              <w:spacing w:line="240" w:lineRule="auto"/>
              <w:jc w:val="distribute"/>
              <w:rPr>
                <w:rFonts w:hint="eastAsia" w:ascii="宋体" w:hAnsi="宋体" w:eastAsia="宋体" w:cs="宋体"/>
                <w:snapToGrid w:val="0"/>
                <w:color w:val="auto"/>
                <w:kern w:val="0"/>
                <w:sz w:val="28"/>
                <w:szCs w:val="20"/>
                <w:highlight w:val="none"/>
                <w:lang w:val="en-US" w:eastAsia="zh-CN" w:bidi="ar-SA"/>
              </w:rPr>
            </w:pPr>
            <w:r>
              <w:rPr>
                <w:rFonts w:hint="eastAsia" w:ascii="宋体" w:hAnsi="宋体" w:eastAsia="宋体" w:cs="宋体"/>
                <w:snapToGrid w:val="0"/>
                <w:color w:val="auto"/>
                <w:kern w:val="0"/>
                <w:sz w:val="28"/>
                <w:szCs w:val="20"/>
                <w:highlight w:val="none"/>
                <w:lang w:val="en-US" w:eastAsia="zh-CN" w:bidi="ar-SA"/>
              </w:rPr>
              <w:t xml:space="preserve"> 招标文件编制人（签字）：</w:t>
            </w:r>
          </w:p>
        </w:tc>
        <w:tc>
          <w:tcPr>
            <w:tcW w:w="4775" w:type="dxa"/>
            <w:noWrap w:val="0"/>
            <w:vAlign w:val="center"/>
          </w:tcPr>
          <w:p w14:paraId="20664EAF">
            <w:pPr>
              <w:widowControl w:val="0"/>
              <w:wordWrap w:val="0"/>
              <w:adjustRightInd w:val="0"/>
              <w:snapToGrid w:val="0"/>
              <w:spacing w:line="240" w:lineRule="auto"/>
              <w:jc w:val="both"/>
              <w:rPr>
                <w:rFonts w:hint="eastAsia" w:ascii="宋体" w:hAnsi="宋体" w:eastAsia="宋体" w:cs="宋体"/>
                <w:snapToGrid w:val="0"/>
                <w:color w:val="auto"/>
                <w:kern w:val="0"/>
                <w:sz w:val="28"/>
                <w:szCs w:val="28"/>
                <w:highlight w:val="none"/>
                <w:lang w:val="en-US" w:eastAsia="zh-CN" w:bidi="ar-SA"/>
              </w:rPr>
            </w:pPr>
          </w:p>
        </w:tc>
      </w:tr>
      <w:tr w14:paraId="08A1D4F2">
        <w:tblPrEx>
          <w:tblCellMar>
            <w:top w:w="0" w:type="dxa"/>
            <w:left w:w="0" w:type="dxa"/>
            <w:bottom w:w="0" w:type="dxa"/>
            <w:right w:w="0" w:type="dxa"/>
          </w:tblCellMar>
        </w:tblPrEx>
        <w:trPr>
          <w:trHeight w:val="753" w:hRule="atLeast"/>
        </w:trPr>
        <w:tc>
          <w:tcPr>
            <w:tcW w:w="4864" w:type="dxa"/>
            <w:noWrap w:val="0"/>
            <w:vAlign w:val="center"/>
          </w:tcPr>
          <w:p w14:paraId="103F034D">
            <w:pPr>
              <w:widowControl w:val="0"/>
              <w:wordWrap w:val="0"/>
              <w:adjustRightInd w:val="0"/>
              <w:snapToGrid w:val="0"/>
              <w:spacing w:line="240" w:lineRule="auto"/>
              <w:jc w:val="distribute"/>
              <w:rPr>
                <w:rFonts w:hint="eastAsia" w:ascii="宋体" w:hAnsi="宋体" w:eastAsia="宋体" w:cs="宋体"/>
                <w:snapToGrid w:val="0"/>
                <w:color w:val="auto"/>
                <w:kern w:val="0"/>
                <w:sz w:val="28"/>
                <w:szCs w:val="20"/>
                <w:highlight w:val="none"/>
                <w:lang w:val="en-US" w:eastAsia="zh-CN" w:bidi="ar-SA"/>
              </w:rPr>
            </w:pPr>
            <w:r>
              <w:rPr>
                <w:rFonts w:hint="eastAsia" w:ascii="宋体" w:hAnsi="宋体" w:eastAsia="宋体" w:cs="宋体"/>
                <w:snapToGrid w:val="0"/>
                <w:color w:val="auto"/>
                <w:kern w:val="0"/>
                <w:sz w:val="28"/>
                <w:szCs w:val="20"/>
                <w:highlight w:val="none"/>
                <w:lang w:val="en-US" w:eastAsia="zh-CN" w:bidi="ar-SA"/>
              </w:rPr>
              <w:t xml:space="preserve"> 招标代理机构项目负责人（签字）：</w:t>
            </w:r>
          </w:p>
        </w:tc>
        <w:tc>
          <w:tcPr>
            <w:tcW w:w="4775" w:type="dxa"/>
            <w:noWrap w:val="0"/>
            <w:vAlign w:val="center"/>
          </w:tcPr>
          <w:p w14:paraId="16FAB3F9">
            <w:pPr>
              <w:widowControl w:val="0"/>
              <w:wordWrap w:val="0"/>
              <w:adjustRightInd w:val="0"/>
              <w:snapToGrid w:val="0"/>
              <w:spacing w:line="240" w:lineRule="auto"/>
              <w:jc w:val="both"/>
              <w:rPr>
                <w:rFonts w:hint="eastAsia" w:ascii="宋体" w:hAnsi="宋体" w:eastAsia="宋体" w:cs="宋体"/>
                <w:snapToGrid w:val="0"/>
                <w:color w:val="auto"/>
                <w:kern w:val="0"/>
                <w:sz w:val="28"/>
                <w:szCs w:val="28"/>
                <w:highlight w:val="none"/>
                <w:lang w:val="en-US" w:eastAsia="zh-CN" w:bidi="ar-SA"/>
              </w:rPr>
            </w:pPr>
          </w:p>
        </w:tc>
      </w:tr>
      <w:tr w14:paraId="200E7858">
        <w:tblPrEx>
          <w:tblCellMar>
            <w:top w:w="0" w:type="dxa"/>
            <w:left w:w="0" w:type="dxa"/>
            <w:bottom w:w="0" w:type="dxa"/>
            <w:right w:w="0" w:type="dxa"/>
          </w:tblCellMar>
        </w:tblPrEx>
        <w:trPr>
          <w:trHeight w:val="791" w:hRule="atLeast"/>
        </w:trPr>
        <w:tc>
          <w:tcPr>
            <w:tcW w:w="4864" w:type="dxa"/>
            <w:noWrap w:val="0"/>
            <w:vAlign w:val="center"/>
          </w:tcPr>
          <w:p w14:paraId="3592F3D1">
            <w:pPr>
              <w:widowControl w:val="0"/>
              <w:wordWrap w:val="0"/>
              <w:adjustRightInd w:val="0"/>
              <w:snapToGrid w:val="0"/>
              <w:spacing w:line="240" w:lineRule="auto"/>
              <w:jc w:val="distribute"/>
              <w:rPr>
                <w:rFonts w:hint="eastAsia" w:ascii="宋体" w:hAnsi="宋体" w:eastAsia="宋体" w:cs="宋体"/>
                <w:snapToGrid w:val="0"/>
                <w:color w:val="auto"/>
                <w:kern w:val="0"/>
                <w:sz w:val="28"/>
                <w:szCs w:val="20"/>
                <w:highlight w:val="none"/>
                <w:lang w:val="en-US" w:eastAsia="zh-CN" w:bidi="ar-SA"/>
              </w:rPr>
            </w:pPr>
            <w:r>
              <w:rPr>
                <w:rFonts w:hint="eastAsia" w:ascii="宋体" w:hAnsi="宋体" w:eastAsia="宋体" w:cs="宋体"/>
                <w:snapToGrid w:val="0"/>
                <w:color w:val="auto"/>
                <w:kern w:val="0"/>
                <w:sz w:val="28"/>
                <w:szCs w:val="20"/>
                <w:highlight w:val="none"/>
                <w:lang w:val="en-US" w:eastAsia="zh-CN" w:bidi="ar-SA"/>
              </w:rPr>
              <w:t xml:space="preserve"> 招标文件编制日期：</w:t>
            </w:r>
          </w:p>
        </w:tc>
        <w:tc>
          <w:tcPr>
            <w:tcW w:w="4775" w:type="dxa"/>
            <w:noWrap w:val="0"/>
            <w:vAlign w:val="center"/>
          </w:tcPr>
          <w:p w14:paraId="17CBBB96">
            <w:pPr>
              <w:widowControl w:val="0"/>
              <w:wordWrap w:val="0"/>
              <w:adjustRightInd w:val="0"/>
              <w:snapToGrid w:val="0"/>
              <w:spacing w:line="240" w:lineRule="auto"/>
              <w:jc w:val="both"/>
              <w:rPr>
                <w:rFonts w:hint="eastAsia" w:ascii="宋体" w:hAnsi="宋体" w:eastAsia="宋体" w:cs="宋体"/>
                <w:snapToGrid w:val="0"/>
                <w:color w:val="auto"/>
                <w:kern w:val="0"/>
                <w:sz w:val="28"/>
                <w:szCs w:val="20"/>
                <w:highlight w:val="none"/>
                <w:lang w:val="en-US" w:eastAsia="zh-CN" w:bidi="ar-SA"/>
              </w:rPr>
            </w:pPr>
            <w:r>
              <w:rPr>
                <w:rFonts w:hint="eastAsia" w:ascii="宋体" w:hAnsi="宋体" w:eastAsia="宋体" w:cs="宋体"/>
                <w:snapToGrid w:val="0"/>
                <w:color w:val="auto"/>
                <w:kern w:val="0"/>
                <w:sz w:val="28"/>
                <w:szCs w:val="20"/>
                <w:highlight w:val="none"/>
                <w:lang w:val="en-US" w:eastAsia="zh-CN" w:bidi="ar-SA"/>
              </w:rPr>
              <w:t xml:space="preserve"> 2026年 1月</w:t>
            </w:r>
          </w:p>
        </w:tc>
      </w:tr>
    </w:tbl>
    <w:p w14:paraId="50F62613">
      <w:pPr>
        <w:pStyle w:val="5"/>
        <w:spacing w:line="241" w:lineRule="auto"/>
        <w:rPr>
          <w:rFonts w:hint="eastAsia" w:ascii="宋体" w:hAnsi="宋体" w:eastAsia="宋体" w:cs="宋体"/>
          <w:color w:val="auto"/>
          <w:highlight w:val="none"/>
          <w:lang w:eastAsia="zh-CN"/>
        </w:rPr>
      </w:pPr>
      <w:r>
        <w:rPr>
          <w:rFonts w:hint="eastAsia" w:ascii="宋体" w:hAnsi="宋体" w:eastAsia="宋体" w:cs="宋体"/>
          <w:bCs/>
          <w:snapToGrid w:val="0"/>
          <w:color w:val="auto"/>
          <w:sz w:val="28"/>
          <w:szCs w:val="28"/>
          <w:highlight w:val="none"/>
        </w:rPr>
        <w:br w:type="page"/>
      </w:r>
    </w:p>
    <w:p w14:paraId="1DE133B0">
      <w:pPr>
        <w:pStyle w:val="2"/>
        <w:rPr>
          <w:rFonts w:hint="eastAsia"/>
          <w:color w:val="auto"/>
          <w:highlight w:val="none"/>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60F4F99F">
      <w:pPr>
        <w:rPr>
          <w:rFonts w:hint="eastAsia" w:ascii="宋体" w:hAnsi="宋体" w:eastAsia="宋体" w:cs="宋体"/>
          <w:color w:val="auto"/>
          <w:highlight w:val="none"/>
        </w:rPr>
      </w:pPr>
    </w:p>
    <w:p w14:paraId="2470FC55">
      <w:pPr>
        <w:pStyle w:val="2"/>
        <w:rPr>
          <w:rFonts w:hint="eastAsia" w:ascii="宋体" w:hAnsi="宋体" w:eastAsia="宋体" w:cs="宋体"/>
          <w:color w:val="auto"/>
          <w:highlight w:val="none"/>
        </w:rPr>
      </w:pPr>
    </w:p>
    <w:p w14:paraId="19112D7C">
      <w:pPr>
        <w:rPr>
          <w:rFonts w:hint="eastAsia" w:ascii="宋体" w:hAnsi="宋体" w:eastAsia="宋体" w:cs="宋体"/>
          <w:color w:val="auto"/>
          <w:highlight w:val="none"/>
        </w:rPr>
      </w:pPr>
    </w:p>
    <w:p w14:paraId="0BE37074">
      <w:pPr>
        <w:pStyle w:val="2"/>
        <w:rPr>
          <w:rFonts w:hint="eastAsia" w:ascii="宋体" w:hAnsi="宋体" w:eastAsia="宋体" w:cs="宋体"/>
          <w:color w:val="auto"/>
          <w:highlight w:val="none"/>
        </w:rPr>
      </w:pPr>
    </w:p>
    <w:p w14:paraId="196B7CEE">
      <w:pPr>
        <w:rPr>
          <w:rFonts w:hint="eastAsia" w:ascii="宋体" w:hAnsi="宋体" w:eastAsia="宋体" w:cs="宋体"/>
          <w:color w:val="auto"/>
          <w:highlight w:val="none"/>
        </w:rPr>
      </w:pPr>
    </w:p>
    <w:p w14:paraId="05BC2D39">
      <w:pPr>
        <w:pStyle w:val="2"/>
        <w:rPr>
          <w:rFonts w:hint="eastAsia" w:ascii="宋体" w:hAnsi="宋体" w:eastAsia="宋体" w:cs="宋体"/>
          <w:color w:val="auto"/>
          <w:highlight w:val="none"/>
        </w:rPr>
      </w:pPr>
    </w:p>
    <w:p w14:paraId="4E7FEBEE">
      <w:pPr>
        <w:rPr>
          <w:rFonts w:hint="eastAsia" w:ascii="宋体" w:hAnsi="宋体" w:eastAsia="宋体" w:cs="宋体"/>
          <w:color w:val="auto"/>
          <w:highlight w:val="none"/>
        </w:rPr>
      </w:pPr>
    </w:p>
    <w:p w14:paraId="5FC2818D">
      <w:pPr>
        <w:pStyle w:val="2"/>
        <w:rPr>
          <w:rFonts w:hint="eastAsia" w:ascii="宋体" w:hAnsi="宋体" w:eastAsia="宋体" w:cs="宋体"/>
          <w:color w:val="auto"/>
          <w:highlight w:val="none"/>
        </w:rPr>
      </w:pPr>
    </w:p>
    <w:p w14:paraId="46EAA4D5">
      <w:pPr>
        <w:rPr>
          <w:rFonts w:hint="eastAsia" w:ascii="宋体" w:hAnsi="宋体" w:eastAsia="宋体" w:cs="宋体"/>
          <w:color w:val="auto"/>
          <w:highlight w:val="none"/>
        </w:rPr>
      </w:pPr>
    </w:p>
    <w:p w14:paraId="64E81F14">
      <w:pPr>
        <w:pStyle w:val="2"/>
        <w:rPr>
          <w:rFonts w:hint="eastAsia" w:ascii="宋体" w:hAnsi="宋体" w:eastAsia="宋体" w:cs="宋体"/>
          <w:color w:val="auto"/>
          <w:highlight w:val="none"/>
        </w:rPr>
      </w:pPr>
    </w:p>
    <w:p w14:paraId="27644962">
      <w:pPr>
        <w:rPr>
          <w:rFonts w:hint="eastAsia" w:ascii="宋体" w:hAnsi="宋体" w:eastAsia="宋体" w:cs="宋体"/>
          <w:color w:val="auto"/>
          <w:highlight w:val="none"/>
        </w:rPr>
      </w:pPr>
    </w:p>
    <w:p w14:paraId="00B75C0D">
      <w:pPr>
        <w:pStyle w:val="2"/>
        <w:rPr>
          <w:rFonts w:hint="eastAsia" w:ascii="宋体" w:hAnsi="宋体" w:eastAsia="宋体" w:cs="宋体"/>
          <w:color w:val="auto"/>
          <w:highlight w:val="none"/>
        </w:rPr>
      </w:pPr>
    </w:p>
    <w:p w14:paraId="6CCEEE05">
      <w:pPr>
        <w:rPr>
          <w:rFonts w:hint="eastAsia" w:ascii="宋体" w:hAnsi="宋体" w:eastAsia="宋体" w:cs="宋体"/>
          <w:color w:val="auto"/>
          <w:highlight w:val="none"/>
        </w:rPr>
      </w:pPr>
    </w:p>
    <w:p w14:paraId="623B44C9">
      <w:pPr>
        <w:pStyle w:val="2"/>
        <w:rPr>
          <w:rFonts w:hint="eastAsia" w:ascii="宋体" w:hAnsi="宋体" w:eastAsia="宋体" w:cs="宋体"/>
          <w:color w:val="auto"/>
          <w:highlight w:val="none"/>
        </w:rPr>
      </w:pPr>
    </w:p>
    <w:p w14:paraId="719FF677">
      <w:pPr>
        <w:rPr>
          <w:rFonts w:hint="eastAsia" w:ascii="宋体" w:hAnsi="宋体" w:eastAsia="宋体" w:cs="宋体"/>
          <w:color w:val="auto"/>
          <w:highlight w:val="none"/>
        </w:rPr>
      </w:pPr>
    </w:p>
    <w:p w14:paraId="47F0349F">
      <w:pPr>
        <w:pStyle w:val="2"/>
        <w:rPr>
          <w:rFonts w:hint="eastAsia" w:ascii="宋体" w:hAnsi="宋体" w:eastAsia="宋体" w:cs="宋体"/>
          <w:color w:val="auto"/>
          <w:highlight w:val="none"/>
        </w:rPr>
      </w:pPr>
    </w:p>
    <w:p w14:paraId="56D5CCB0">
      <w:pPr>
        <w:rPr>
          <w:rFonts w:hint="eastAsia" w:ascii="宋体" w:hAnsi="宋体" w:eastAsia="宋体" w:cs="宋体"/>
          <w:color w:val="auto"/>
          <w:highlight w:val="none"/>
        </w:rPr>
      </w:pPr>
    </w:p>
    <w:p w14:paraId="63155B67">
      <w:pPr>
        <w:pStyle w:val="2"/>
        <w:rPr>
          <w:rFonts w:hint="eastAsia" w:ascii="宋体" w:hAnsi="宋体" w:eastAsia="宋体" w:cs="宋体"/>
          <w:color w:val="auto"/>
          <w:highlight w:val="none"/>
        </w:rPr>
      </w:pPr>
    </w:p>
    <w:p w14:paraId="19BF623D">
      <w:pPr>
        <w:rPr>
          <w:rFonts w:hint="eastAsia" w:ascii="宋体" w:hAnsi="宋体" w:eastAsia="宋体" w:cs="宋体"/>
          <w:color w:val="auto"/>
          <w:highlight w:val="none"/>
        </w:rPr>
      </w:pPr>
    </w:p>
    <w:p w14:paraId="48F2CE8B">
      <w:pPr>
        <w:pStyle w:val="2"/>
        <w:rPr>
          <w:rFonts w:hint="eastAsia" w:ascii="宋体" w:hAnsi="宋体" w:eastAsia="宋体" w:cs="宋体"/>
          <w:color w:val="auto"/>
          <w:highlight w:val="none"/>
        </w:rPr>
      </w:pPr>
    </w:p>
    <w:p w14:paraId="7B02C4E4">
      <w:pPr>
        <w:rPr>
          <w:rFonts w:hint="eastAsia" w:ascii="宋体" w:hAnsi="宋体" w:eastAsia="宋体" w:cs="宋体"/>
          <w:color w:val="auto"/>
          <w:highlight w:val="none"/>
        </w:rPr>
      </w:pPr>
    </w:p>
    <w:p w14:paraId="00E0D1C8">
      <w:pPr>
        <w:pStyle w:val="2"/>
        <w:rPr>
          <w:rFonts w:hint="eastAsia" w:ascii="宋体" w:hAnsi="宋体" w:eastAsia="宋体" w:cs="宋体"/>
          <w:color w:val="auto"/>
          <w:highlight w:val="none"/>
        </w:rPr>
      </w:pPr>
    </w:p>
    <w:p w14:paraId="6584F09F">
      <w:pPr>
        <w:rPr>
          <w:rFonts w:hint="eastAsia" w:ascii="宋体" w:hAnsi="宋体" w:eastAsia="宋体" w:cs="宋体"/>
          <w:color w:val="auto"/>
          <w:highlight w:val="none"/>
        </w:rPr>
      </w:pPr>
    </w:p>
    <w:p w14:paraId="17A13DD4">
      <w:pPr>
        <w:pStyle w:val="2"/>
        <w:rPr>
          <w:rFonts w:hint="eastAsia" w:ascii="宋体" w:hAnsi="宋体" w:eastAsia="宋体" w:cs="宋体"/>
          <w:color w:val="auto"/>
          <w:highlight w:val="none"/>
        </w:rPr>
      </w:pPr>
    </w:p>
    <w:p w14:paraId="784E017A">
      <w:pPr>
        <w:rPr>
          <w:rFonts w:hint="eastAsia" w:ascii="宋体" w:hAnsi="宋体" w:eastAsia="宋体" w:cs="宋体"/>
          <w:color w:val="auto"/>
          <w:highlight w:val="none"/>
        </w:rPr>
      </w:pPr>
    </w:p>
    <w:p w14:paraId="7D99B964">
      <w:pPr>
        <w:pStyle w:val="2"/>
        <w:rPr>
          <w:rFonts w:hint="eastAsia" w:ascii="宋体" w:hAnsi="宋体" w:eastAsia="宋体" w:cs="宋体"/>
          <w:color w:val="auto"/>
          <w:highlight w:val="none"/>
        </w:rPr>
      </w:pPr>
    </w:p>
    <w:p w14:paraId="71044F1A">
      <w:pPr>
        <w:rPr>
          <w:rFonts w:hint="eastAsia" w:ascii="宋体" w:hAnsi="宋体" w:eastAsia="宋体" w:cs="宋体"/>
          <w:color w:val="auto"/>
          <w:highlight w:val="none"/>
        </w:rPr>
      </w:pPr>
    </w:p>
    <w:p w14:paraId="4EEC5684">
      <w:pPr>
        <w:pStyle w:val="2"/>
        <w:rPr>
          <w:rFonts w:hint="eastAsia" w:ascii="宋体" w:hAnsi="宋体" w:eastAsia="宋体" w:cs="宋体"/>
          <w:color w:val="auto"/>
          <w:highlight w:val="none"/>
        </w:rPr>
      </w:pPr>
    </w:p>
    <w:p w14:paraId="4C4B01BA">
      <w:pPr>
        <w:rPr>
          <w:rFonts w:hint="eastAsia" w:ascii="宋体" w:hAnsi="宋体" w:eastAsia="宋体" w:cs="宋体"/>
          <w:color w:val="auto"/>
          <w:highlight w:val="none"/>
        </w:rPr>
      </w:pPr>
    </w:p>
    <w:p w14:paraId="7190F9DC">
      <w:pPr>
        <w:pStyle w:val="2"/>
        <w:rPr>
          <w:rFonts w:hint="eastAsia" w:ascii="宋体" w:hAnsi="宋体" w:eastAsia="宋体" w:cs="宋体"/>
          <w:color w:val="auto"/>
          <w:highlight w:val="none"/>
        </w:rPr>
      </w:pPr>
    </w:p>
    <w:p w14:paraId="775551BF">
      <w:pPr>
        <w:rPr>
          <w:rFonts w:hint="eastAsia" w:ascii="宋体" w:hAnsi="宋体" w:eastAsia="宋体" w:cs="宋体"/>
          <w:color w:val="auto"/>
          <w:highlight w:val="none"/>
        </w:rPr>
      </w:pPr>
    </w:p>
    <w:p w14:paraId="014EB5FB">
      <w:pPr>
        <w:pStyle w:val="2"/>
        <w:rPr>
          <w:rFonts w:hint="eastAsia" w:ascii="宋体" w:hAnsi="宋体" w:eastAsia="宋体" w:cs="宋体"/>
          <w:color w:val="auto"/>
          <w:highlight w:val="none"/>
        </w:rPr>
      </w:pPr>
    </w:p>
    <w:p w14:paraId="518DB525">
      <w:pPr>
        <w:rPr>
          <w:rFonts w:hint="eastAsia" w:ascii="宋体" w:hAnsi="宋体" w:eastAsia="宋体" w:cs="宋体"/>
          <w:color w:val="auto"/>
          <w:highlight w:val="none"/>
        </w:rPr>
      </w:pPr>
    </w:p>
    <w:p w14:paraId="6D3A50A0">
      <w:pPr>
        <w:pStyle w:val="2"/>
        <w:rPr>
          <w:rFonts w:hint="eastAsia" w:ascii="宋体" w:hAnsi="宋体" w:eastAsia="宋体" w:cs="宋体"/>
          <w:color w:val="auto"/>
          <w:highlight w:val="none"/>
        </w:rPr>
      </w:pPr>
    </w:p>
    <w:p w14:paraId="6FFA1591">
      <w:pPr>
        <w:rPr>
          <w:rFonts w:hint="eastAsia" w:ascii="宋体" w:hAnsi="宋体" w:eastAsia="宋体" w:cs="宋体"/>
          <w:color w:val="auto"/>
          <w:highlight w:val="none"/>
        </w:rPr>
      </w:pPr>
    </w:p>
    <w:p w14:paraId="7CE83264">
      <w:pPr>
        <w:pStyle w:val="2"/>
        <w:rPr>
          <w:rFonts w:hint="eastAsia" w:ascii="宋体" w:hAnsi="宋体" w:eastAsia="宋体" w:cs="宋体"/>
          <w:color w:val="auto"/>
          <w:highlight w:val="none"/>
        </w:rPr>
      </w:pPr>
    </w:p>
    <w:p w14:paraId="17925002">
      <w:pPr>
        <w:rPr>
          <w:rFonts w:hint="eastAsia" w:ascii="宋体" w:hAnsi="宋体" w:eastAsia="宋体" w:cs="宋体"/>
          <w:color w:val="auto"/>
          <w:highlight w:val="none"/>
        </w:rPr>
      </w:pPr>
    </w:p>
    <w:p w14:paraId="21D0DE70">
      <w:pPr>
        <w:pStyle w:val="2"/>
        <w:rPr>
          <w:rFonts w:hint="eastAsia" w:ascii="宋体" w:hAnsi="宋体" w:eastAsia="宋体" w:cs="宋体"/>
          <w:color w:val="auto"/>
          <w:highlight w:val="none"/>
        </w:rPr>
      </w:pPr>
    </w:p>
    <w:p w14:paraId="1C2365B1">
      <w:pPr>
        <w:rPr>
          <w:rFonts w:hint="eastAsia" w:ascii="宋体" w:hAnsi="宋体" w:eastAsia="宋体" w:cs="宋体"/>
          <w:color w:val="auto"/>
          <w:highlight w:val="none"/>
        </w:rPr>
      </w:pPr>
    </w:p>
    <w:p w14:paraId="06931B24">
      <w:pPr>
        <w:pStyle w:val="2"/>
        <w:rPr>
          <w:rFonts w:hint="eastAsia"/>
        </w:rPr>
      </w:pPr>
    </w:p>
    <w:p w14:paraId="5D066473">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76CAFE31">
      <w:pPr>
        <w:pStyle w:val="10"/>
        <w:tabs>
          <w:tab w:val="right" w:leader="dot" w:pos="9746"/>
        </w:tabs>
        <w:spacing w:line="360" w:lineRule="auto"/>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_Toc28044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第一章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w:t>
      </w:r>
      <w:r>
        <w:rPr>
          <w:color w:val="auto"/>
          <w:highlight w:val="none"/>
        </w:rPr>
        <w:tab/>
      </w:r>
      <w:r>
        <w:rPr>
          <w:color w:val="auto"/>
          <w:highlight w:val="none"/>
        </w:rPr>
        <w:fldChar w:fldCharType="begin"/>
      </w:r>
      <w:r>
        <w:rPr>
          <w:color w:val="auto"/>
          <w:highlight w:val="none"/>
        </w:rPr>
        <w:instrText xml:space="preserve"> PAGEREF _Toc28044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color w:val="auto"/>
          <w:szCs w:val="24"/>
          <w:highlight w:val="none"/>
        </w:rPr>
        <w:fldChar w:fldCharType="end"/>
      </w:r>
    </w:p>
    <w:p w14:paraId="78EB9770">
      <w:pPr>
        <w:pStyle w:val="11"/>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_Toc23469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第一节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_Toc23469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color w:val="auto"/>
          <w:szCs w:val="24"/>
          <w:highlight w:val="none"/>
        </w:rPr>
        <w:fldChar w:fldCharType="end"/>
      </w:r>
    </w:p>
    <w:p w14:paraId="16DA2B37">
      <w:pPr>
        <w:pStyle w:val="11"/>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_Toc5546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_Toc5546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4"/>
          <w:highlight w:val="none"/>
        </w:rPr>
        <w:fldChar w:fldCharType="end"/>
      </w:r>
    </w:p>
    <w:p w14:paraId="0891AB12">
      <w:pPr>
        <w:pStyle w:val="11"/>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_Toc27205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第三节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_Toc27205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24"/>
          <w:highlight w:val="none"/>
        </w:rPr>
        <w:fldChar w:fldCharType="end"/>
      </w:r>
    </w:p>
    <w:p w14:paraId="6252EC77">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_Toc30132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1</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4"/>
          <w:szCs w:val="24"/>
          <w:highlight w:val="none"/>
        </w:rPr>
        <w:t>．项目概况、招标范围和标段划分、投标费用等</w:t>
      </w:r>
      <w:r>
        <w:rPr>
          <w:color w:val="auto"/>
          <w:highlight w:val="none"/>
        </w:rPr>
        <w:tab/>
      </w:r>
      <w:r>
        <w:rPr>
          <w:color w:val="auto"/>
          <w:highlight w:val="none"/>
        </w:rPr>
        <w:fldChar w:fldCharType="begin"/>
      </w:r>
      <w:r>
        <w:rPr>
          <w:color w:val="auto"/>
          <w:highlight w:val="none"/>
        </w:rPr>
        <w:instrText xml:space="preserve"> PAGEREF _Toc30132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24"/>
          <w:highlight w:val="none"/>
        </w:rPr>
        <w:fldChar w:fldCharType="end"/>
      </w:r>
    </w:p>
    <w:p w14:paraId="75ECAB96">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_Toc17618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4"/>
          <w:highlight w:val="none"/>
        </w:rPr>
        <w:t>2．</w:t>
      </w:r>
      <w:r>
        <w:rPr>
          <w:rFonts w:hint="eastAsia" w:ascii="宋体" w:hAnsi="宋体" w:eastAsia="宋体" w:cs="宋体"/>
          <w:bCs/>
          <w:color w:val="auto"/>
          <w:szCs w:val="24"/>
          <w:highlight w:val="none"/>
          <w:lang w:eastAsia="zh-CN"/>
        </w:rPr>
        <w:t>投标人</w:t>
      </w:r>
      <w:r>
        <w:rPr>
          <w:rFonts w:hint="eastAsia" w:ascii="宋体" w:hAnsi="宋体" w:eastAsia="宋体" w:cs="宋体"/>
          <w:bCs/>
          <w:color w:val="auto"/>
          <w:szCs w:val="24"/>
          <w:highlight w:val="none"/>
        </w:rPr>
        <w:t>资质要求</w:t>
      </w:r>
      <w:r>
        <w:rPr>
          <w:color w:val="auto"/>
          <w:highlight w:val="none"/>
        </w:rPr>
        <w:tab/>
      </w:r>
      <w:r>
        <w:rPr>
          <w:color w:val="auto"/>
          <w:highlight w:val="none"/>
        </w:rPr>
        <w:fldChar w:fldCharType="begin"/>
      </w:r>
      <w:r>
        <w:rPr>
          <w:color w:val="auto"/>
          <w:highlight w:val="none"/>
        </w:rPr>
        <w:instrText xml:space="preserve"> PAGEREF _Toc17618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24"/>
          <w:highlight w:val="none"/>
        </w:rPr>
        <w:fldChar w:fldCharType="end"/>
      </w:r>
    </w:p>
    <w:p w14:paraId="0493C2A3">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_Toc7079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3．招标文件的获取</w:t>
      </w:r>
      <w:r>
        <w:rPr>
          <w:color w:val="auto"/>
          <w:highlight w:val="none"/>
        </w:rPr>
        <w:tab/>
      </w:r>
      <w:r>
        <w:rPr>
          <w:color w:val="auto"/>
          <w:highlight w:val="none"/>
        </w:rPr>
        <w:fldChar w:fldCharType="begin"/>
      </w:r>
      <w:r>
        <w:rPr>
          <w:color w:val="auto"/>
          <w:highlight w:val="none"/>
        </w:rPr>
        <w:instrText xml:space="preserve"> PAGEREF _Toc7079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4"/>
          <w:highlight w:val="none"/>
        </w:rPr>
        <w:fldChar w:fldCharType="end"/>
      </w:r>
    </w:p>
    <w:p w14:paraId="1ED70A4B">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_Toc16717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4</w:t>
      </w:r>
      <w:r>
        <w:rPr>
          <w:rFonts w:hint="eastAsia" w:ascii="宋体" w:hAnsi="宋体" w:eastAsia="宋体" w:cs="宋体"/>
          <w:bCs/>
          <w:color w:val="auto"/>
          <w:spacing w:val="-8"/>
          <w:szCs w:val="24"/>
          <w:highlight w:val="none"/>
          <w:lang w:val="en-US" w:eastAsia="zh-CN"/>
        </w:rPr>
        <w:t xml:space="preserve"> </w:t>
      </w:r>
      <w:r>
        <w:rPr>
          <w:rFonts w:hint="eastAsia" w:ascii="宋体" w:hAnsi="宋体" w:eastAsia="宋体" w:cs="宋体"/>
          <w:bCs/>
          <w:color w:val="auto"/>
          <w:spacing w:val="-8"/>
          <w:szCs w:val="24"/>
          <w:highlight w:val="none"/>
        </w:rPr>
        <w:t>．工期要求</w:t>
      </w:r>
      <w:r>
        <w:rPr>
          <w:color w:val="auto"/>
          <w:highlight w:val="none"/>
        </w:rPr>
        <w:tab/>
      </w:r>
      <w:r>
        <w:rPr>
          <w:color w:val="auto"/>
          <w:highlight w:val="none"/>
        </w:rPr>
        <w:fldChar w:fldCharType="begin"/>
      </w:r>
      <w:r>
        <w:rPr>
          <w:color w:val="auto"/>
          <w:highlight w:val="none"/>
        </w:rPr>
        <w:instrText xml:space="preserve"> PAGEREF _Toc16717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4"/>
          <w:highlight w:val="none"/>
        </w:rPr>
        <w:fldChar w:fldCharType="end"/>
      </w:r>
    </w:p>
    <w:p w14:paraId="6687CDDD">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_Toc11737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5</w:t>
      </w:r>
      <w:r>
        <w:rPr>
          <w:rFonts w:hint="eastAsia" w:ascii="宋体" w:hAnsi="宋体" w:eastAsia="宋体" w:cs="宋体"/>
          <w:bCs/>
          <w:color w:val="auto"/>
          <w:spacing w:val="-5"/>
          <w:szCs w:val="24"/>
          <w:highlight w:val="none"/>
          <w:lang w:val="en-US" w:eastAsia="zh-CN"/>
        </w:rPr>
        <w:t xml:space="preserve"> </w:t>
      </w:r>
      <w:r>
        <w:rPr>
          <w:rFonts w:hint="eastAsia" w:ascii="宋体" w:hAnsi="宋体" w:eastAsia="宋体" w:cs="宋体"/>
          <w:bCs/>
          <w:color w:val="auto"/>
          <w:spacing w:val="-5"/>
          <w:szCs w:val="24"/>
          <w:highlight w:val="none"/>
        </w:rPr>
        <w:t>．质量标准和材料、机械要求</w:t>
      </w:r>
      <w:r>
        <w:rPr>
          <w:color w:val="auto"/>
          <w:highlight w:val="none"/>
        </w:rPr>
        <w:tab/>
      </w:r>
      <w:r>
        <w:rPr>
          <w:color w:val="auto"/>
          <w:highlight w:val="none"/>
        </w:rPr>
        <w:fldChar w:fldCharType="begin"/>
      </w:r>
      <w:r>
        <w:rPr>
          <w:color w:val="auto"/>
          <w:highlight w:val="none"/>
        </w:rPr>
        <w:instrText xml:space="preserve"> PAGEREF _Toc11737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4"/>
          <w:highlight w:val="none"/>
        </w:rPr>
        <w:fldChar w:fldCharType="end"/>
      </w:r>
    </w:p>
    <w:p w14:paraId="09A6B1F2">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_Toc31725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6</w:t>
      </w:r>
      <w:r>
        <w:rPr>
          <w:rFonts w:hint="eastAsia" w:ascii="宋体" w:hAnsi="宋体" w:eastAsia="宋体" w:cs="宋体"/>
          <w:bCs/>
          <w:color w:val="auto"/>
          <w:spacing w:val="-20"/>
          <w:szCs w:val="24"/>
          <w:highlight w:val="none"/>
        </w:rPr>
        <w:t xml:space="preserve"> </w:t>
      </w:r>
      <w:r>
        <w:rPr>
          <w:rFonts w:hint="eastAsia" w:ascii="宋体" w:hAnsi="宋体" w:eastAsia="宋体" w:cs="宋体"/>
          <w:bCs/>
          <w:color w:val="auto"/>
          <w:spacing w:val="-6"/>
          <w:szCs w:val="24"/>
          <w:highlight w:val="none"/>
        </w:rPr>
        <w:t>．施工条件及现场踏勘</w:t>
      </w:r>
      <w:r>
        <w:rPr>
          <w:color w:val="auto"/>
          <w:highlight w:val="none"/>
        </w:rPr>
        <w:tab/>
      </w:r>
      <w:r>
        <w:rPr>
          <w:color w:val="auto"/>
          <w:highlight w:val="none"/>
        </w:rPr>
        <w:fldChar w:fldCharType="begin"/>
      </w:r>
      <w:r>
        <w:rPr>
          <w:color w:val="auto"/>
          <w:highlight w:val="none"/>
        </w:rPr>
        <w:instrText xml:space="preserve"> PAGEREF _Toc31725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4"/>
          <w:highlight w:val="none"/>
        </w:rPr>
        <w:fldChar w:fldCharType="end"/>
      </w:r>
    </w:p>
    <w:p w14:paraId="4749C067">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_Toc4600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7</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5"/>
          <w:szCs w:val="24"/>
          <w:highlight w:val="none"/>
        </w:rPr>
        <w:t>．招标文件的提问和答疑</w:t>
      </w:r>
      <w:r>
        <w:rPr>
          <w:color w:val="auto"/>
          <w:highlight w:val="none"/>
        </w:rPr>
        <w:tab/>
      </w:r>
      <w:r>
        <w:rPr>
          <w:color w:val="auto"/>
          <w:highlight w:val="none"/>
        </w:rPr>
        <w:fldChar w:fldCharType="begin"/>
      </w:r>
      <w:r>
        <w:rPr>
          <w:color w:val="auto"/>
          <w:highlight w:val="none"/>
        </w:rPr>
        <w:instrText xml:space="preserve"> PAGEREF _Toc4600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4"/>
          <w:highlight w:val="none"/>
        </w:rPr>
        <w:fldChar w:fldCharType="end"/>
      </w:r>
    </w:p>
    <w:p w14:paraId="76F94EBD">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_Toc23728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8</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5"/>
          <w:szCs w:val="24"/>
          <w:highlight w:val="none"/>
        </w:rPr>
        <w:t>．</w:t>
      </w:r>
      <w:r>
        <w:rPr>
          <w:rFonts w:hint="eastAsia" w:ascii="宋体" w:hAnsi="宋体" w:eastAsia="宋体" w:cs="宋体"/>
          <w:bCs/>
          <w:color w:val="auto"/>
          <w:spacing w:val="-1"/>
          <w:szCs w:val="24"/>
          <w:highlight w:val="none"/>
          <w:lang w:val="en-US" w:eastAsia="zh-CN"/>
        </w:rPr>
        <w:t>最高投标限价</w:t>
      </w:r>
      <w:r>
        <w:rPr>
          <w:color w:val="auto"/>
          <w:highlight w:val="none"/>
        </w:rPr>
        <w:tab/>
      </w:r>
      <w:r>
        <w:rPr>
          <w:color w:val="auto"/>
          <w:highlight w:val="none"/>
        </w:rPr>
        <w:fldChar w:fldCharType="begin"/>
      </w:r>
      <w:r>
        <w:rPr>
          <w:color w:val="auto"/>
          <w:highlight w:val="none"/>
        </w:rPr>
        <w:instrText xml:space="preserve"> PAGEREF _Toc23728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4"/>
          <w:highlight w:val="none"/>
        </w:rPr>
        <w:fldChar w:fldCharType="end"/>
      </w:r>
    </w:p>
    <w:p w14:paraId="679D4ECA">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_Toc27885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9</w:t>
      </w:r>
      <w:r>
        <w:rPr>
          <w:rFonts w:hint="eastAsia" w:ascii="宋体" w:hAnsi="宋体" w:eastAsia="宋体" w:cs="宋体"/>
          <w:bCs/>
          <w:color w:val="auto"/>
          <w:spacing w:val="-29"/>
          <w:szCs w:val="24"/>
          <w:highlight w:val="none"/>
        </w:rPr>
        <w:t xml:space="preserve"> </w:t>
      </w:r>
      <w:r>
        <w:rPr>
          <w:rFonts w:hint="eastAsia" w:ascii="宋体" w:hAnsi="宋体" w:eastAsia="宋体" w:cs="宋体"/>
          <w:bCs/>
          <w:color w:val="auto"/>
          <w:spacing w:val="-8"/>
          <w:szCs w:val="24"/>
          <w:highlight w:val="none"/>
        </w:rPr>
        <w:t>．投标报价</w:t>
      </w:r>
      <w:r>
        <w:rPr>
          <w:color w:val="auto"/>
          <w:highlight w:val="none"/>
        </w:rPr>
        <w:tab/>
      </w:r>
      <w:r>
        <w:rPr>
          <w:color w:val="auto"/>
          <w:highlight w:val="none"/>
        </w:rPr>
        <w:fldChar w:fldCharType="begin"/>
      </w:r>
      <w:r>
        <w:rPr>
          <w:color w:val="auto"/>
          <w:highlight w:val="none"/>
        </w:rPr>
        <w:instrText xml:space="preserve"> PAGEREF _Toc27885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4"/>
          <w:highlight w:val="none"/>
        </w:rPr>
        <w:fldChar w:fldCharType="end"/>
      </w:r>
    </w:p>
    <w:p w14:paraId="770F392A">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_Toc26166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10</w:t>
      </w:r>
      <w:r>
        <w:rPr>
          <w:rFonts w:hint="eastAsia" w:ascii="宋体" w:hAnsi="宋体" w:eastAsia="宋体" w:cs="宋体"/>
          <w:bCs/>
          <w:color w:val="auto"/>
          <w:spacing w:val="-21"/>
          <w:szCs w:val="24"/>
          <w:highlight w:val="none"/>
        </w:rPr>
        <w:t xml:space="preserve"> </w:t>
      </w:r>
      <w:r>
        <w:rPr>
          <w:rFonts w:hint="eastAsia" w:ascii="宋体" w:hAnsi="宋体" w:eastAsia="宋体" w:cs="宋体"/>
          <w:bCs/>
          <w:color w:val="auto"/>
          <w:spacing w:val="-6"/>
          <w:szCs w:val="24"/>
          <w:highlight w:val="none"/>
        </w:rPr>
        <w:t>．投标文件的编制要求</w:t>
      </w:r>
      <w:r>
        <w:rPr>
          <w:color w:val="auto"/>
          <w:highlight w:val="none"/>
        </w:rPr>
        <w:tab/>
      </w:r>
      <w:r>
        <w:rPr>
          <w:color w:val="auto"/>
          <w:highlight w:val="none"/>
        </w:rPr>
        <w:fldChar w:fldCharType="begin"/>
      </w:r>
      <w:r>
        <w:rPr>
          <w:color w:val="auto"/>
          <w:highlight w:val="none"/>
        </w:rPr>
        <w:instrText xml:space="preserve"> PAGEREF _Toc26166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4"/>
          <w:highlight w:val="none"/>
        </w:rPr>
        <w:fldChar w:fldCharType="end"/>
      </w:r>
    </w:p>
    <w:p w14:paraId="42184D4B">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_Toc19146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9"/>
          <w:szCs w:val="24"/>
          <w:highlight w:val="none"/>
        </w:rPr>
        <w:t>11.</w:t>
      </w:r>
      <w:r>
        <w:rPr>
          <w:rFonts w:hint="eastAsia" w:ascii="宋体" w:hAnsi="宋体" w:eastAsia="宋体" w:cs="宋体"/>
          <w:bCs/>
          <w:color w:val="auto"/>
          <w:spacing w:val="20"/>
          <w:szCs w:val="24"/>
          <w:highlight w:val="none"/>
        </w:rPr>
        <w:t xml:space="preserve">  </w:t>
      </w:r>
      <w:r>
        <w:rPr>
          <w:rFonts w:hint="eastAsia" w:ascii="宋体" w:hAnsi="宋体" w:eastAsia="宋体" w:cs="宋体"/>
          <w:color w:val="auto"/>
          <w:spacing w:val="-9"/>
          <w:szCs w:val="24"/>
          <w:highlight w:val="none"/>
        </w:rPr>
        <w:t>电子投标：</w:t>
      </w:r>
      <w:r>
        <w:rPr>
          <w:color w:val="auto"/>
          <w:highlight w:val="none"/>
        </w:rPr>
        <w:tab/>
      </w:r>
      <w:r>
        <w:rPr>
          <w:color w:val="auto"/>
          <w:highlight w:val="none"/>
        </w:rPr>
        <w:fldChar w:fldCharType="begin"/>
      </w:r>
      <w:r>
        <w:rPr>
          <w:color w:val="auto"/>
          <w:highlight w:val="none"/>
        </w:rPr>
        <w:instrText xml:space="preserve"> PAGEREF _Toc19146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4"/>
          <w:highlight w:val="none"/>
        </w:rPr>
        <w:fldChar w:fldCharType="end"/>
      </w:r>
    </w:p>
    <w:p w14:paraId="047B2176">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9"/>
          <w:szCs w:val="24"/>
          <w:highlight w:val="none"/>
          <w:lang w:val="en-US" w:eastAsia="zh-CN"/>
        </w:rPr>
        <w:t>12.</w:t>
      </w:r>
      <w:r>
        <w:rPr>
          <w:rFonts w:hint="eastAsia" w:ascii="宋体" w:hAnsi="宋体" w:eastAsia="宋体" w:cs="宋体"/>
          <w:bCs/>
          <w:color w:val="auto"/>
          <w:spacing w:val="22"/>
          <w:w w:val="101"/>
          <w:szCs w:val="24"/>
          <w:highlight w:val="none"/>
        </w:rPr>
        <w:t xml:space="preserve"> </w:t>
      </w:r>
      <w:r>
        <w:rPr>
          <w:rFonts w:hint="eastAsia" w:ascii="宋体" w:hAnsi="宋体" w:eastAsia="宋体" w:cs="宋体"/>
          <w:bCs/>
          <w:color w:val="auto"/>
          <w:spacing w:val="-4"/>
          <w:szCs w:val="24"/>
          <w:highlight w:val="none"/>
        </w:rPr>
        <w:t>电子投标及投标解密失败及突发情况的补救方案</w:t>
      </w:r>
      <w:r>
        <w:rPr>
          <w:color w:val="auto"/>
          <w:highlight w:val="none"/>
        </w:rPr>
        <w:tab/>
      </w:r>
      <w:r>
        <w:rPr>
          <w:color w:val="auto"/>
          <w:highlight w:val="none"/>
        </w:rPr>
        <w:fldChar w:fldCharType="begin"/>
      </w:r>
      <w:r>
        <w:rPr>
          <w:color w:val="auto"/>
          <w:highlight w:val="none"/>
        </w:rPr>
        <w:instrText xml:space="preserve"> PAGEREF _Toc118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4"/>
          <w:highlight w:val="none"/>
        </w:rPr>
        <w:fldChar w:fldCharType="end"/>
      </w:r>
    </w:p>
    <w:p w14:paraId="193A7D15">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_Toc30506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13</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7"/>
          <w:szCs w:val="24"/>
          <w:highlight w:val="none"/>
        </w:rPr>
        <w:t>．投标文件的提交</w:t>
      </w:r>
      <w:r>
        <w:rPr>
          <w:color w:val="auto"/>
          <w:highlight w:val="none"/>
        </w:rPr>
        <w:tab/>
      </w:r>
      <w:r>
        <w:rPr>
          <w:color w:val="auto"/>
          <w:highlight w:val="none"/>
        </w:rPr>
        <w:fldChar w:fldCharType="begin"/>
      </w:r>
      <w:r>
        <w:rPr>
          <w:color w:val="auto"/>
          <w:highlight w:val="none"/>
        </w:rPr>
        <w:instrText xml:space="preserve"> PAGEREF _Toc30506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4"/>
          <w:highlight w:val="none"/>
        </w:rPr>
        <w:fldChar w:fldCharType="end"/>
      </w:r>
    </w:p>
    <w:p w14:paraId="102848FA">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_Toc17939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1"/>
          <w:szCs w:val="24"/>
          <w:highlight w:val="none"/>
        </w:rPr>
        <w:t>14</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11"/>
          <w:szCs w:val="24"/>
          <w:highlight w:val="none"/>
        </w:rPr>
        <w:t>．开标</w:t>
      </w:r>
      <w:r>
        <w:rPr>
          <w:color w:val="auto"/>
          <w:highlight w:val="none"/>
        </w:rPr>
        <w:tab/>
      </w:r>
      <w:r>
        <w:rPr>
          <w:color w:val="auto"/>
          <w:highlight w:val="none"/>
        </w:rPr>
        <w:fldChar w:fldCharType="begin"/>
      </w:r>
      <w:r>
        <w:rPr>
          <w:color w:val="auto"/>
          <w:highlight w:val="none"/>
        </w:rPr>
        <w:instrText xml:space="preserve"> PAGEREF _Toc17939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zCs w:val="24"/>
          <w:highlight w:val="none"/>
        </w:rPr>
        <w:fldChar w:fldCharType="end"/>
      </w:r>
    </w:p>
    <w:p w14:paraId="724A5FEE">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_Toc4537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1"/>
          <w:szCs w:val="24"/>
          <w:highlight w:val="none"/>
        </w:rPr>
        <w:t>15</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11"/>
          <w:szCs w:val="24"/>
          <w:highlight w:val="none"/>
        </w:rPr>
        <w:t>．评标</w:t>
      </w:r>
      <w:r>
        <w:rPr>
          <w:color w:val="auto"/>
          <w:highlight w:val="none"/>
        </w:rPr>
        <w:tab/>
      </w:r>
      <w:r>
        <w:rPr>
          <w:color w:val="auto"/>
          <w:highlight w:val="none"/>
        </w:rPr>
        <w:fldChar w:fldCharType="begin"/>
      </w:r>
      <w:r>
        <w:rPr>
          <w:color w:val="auto"/>
          <w:highlight w:val="none"/>
        </w:rPr>
        <w:instrText xml:space="preserve"> PAGEREF _Toc4537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zCs w:val="24"/>
          <w:highlight w:val="none"/>
        </w:rPr>
        <w:fldChar w:fldCharType="end"/>
      </w:r>
    </w:p>
    <w:p w14:paraId="7F86B21B">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_Toc20825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16</w:t>
      </w:r>
      <w:r>
        <w:rPr>
          <w:rFonts w:hint="eastAsia" w:ascii="宋体" w:hAnsi="宋体" w:eastAsia="宋体" w:cs="宋体"/>
          <w:bCs/>
          <w:color w:val="auto"/>
          <w:spacing w:val="-20"/>
          <w:szCs w:val="24"/>
          <w:highlight w:val="none"/>
        </w:rPr>
        <w:t xml:space="preserve"> </w:t>
      </w:r>
      <w:r>
        <w:rPr>
          <w:rFonts w:hint="eastAsia" w:ascii="宋体" w:hAnsi="宋体" w:eastAsia="宋体" w:cs="宋体"/>
          <w:bCs/>
          <w:color w:val="auto"/>
          <w:spacing w:val="-7"/>
          <w:szCs w:val="24"/>
          <w:highlight w:val="none"/>
        </w:rPr>
        <w:t>．中标候选人公示</w:t>
      </w:r>
      <w:r>
        <w:rPr>
          <w:color w:val="auto"/>
          <w:highlight w:val="none"/>
        </w:rPr>
        <w:tab/>
      </w:r>
      <w:r>
        <w:rPr>
          <w:color w:val="auto"/>
          <w:highlight w:val="none"/>
        </w:rPr>
        <w:fldChar w:fldCharType="begin"/>
      </w:r>
      <w:r>
        <w:rPr>
          <w:color w:val="auto"/>
          <w:highlight w:val="none"/>
        </w:rPr>
        <w:instrText xml:space="preserve"> PAGEREF _Toc20825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24"/>
          <w:highlight w:val="none"/>
        </w:rPr>
        <w:fldChar w:fldCharType="end"/>
      </w:r>
    </w:p>
    <w:p w14:paraId="353A92A7">
      <w:pPr>
        <w:pStyle w:val="11"/>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_Toc1969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第四节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否决投标条件</w:t>
      </w:r>
      <w:r>
        <w:rPr>
          <w:color w:val="auto"/>
          <w:highlight w:val="none"/>
        </w:rPr>
        <w:tab/>
      </w:r>
      <w:r>
        <w:rPr>
          <w:color w:val="auto"/>
          <w:highlight w:val="none"/>
        </w:rPr>
        <w:fldChar w:fldCharType="begin"/>
      </w:r>
      <w:r>
        <w:rPr>
          <w:color w:val="auto"/>
          <w:highlight w:val="none"/>
        </w:rPr>
        <w:instrText xml:space="preserve"> PAGEREF _Toc1969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szCs w:val="24"/>
          <w:highlight w:val="none"/>
        </w:rPr>
        <w:fldChar w:fldCharType="end"/>
      </w:r>
    </w:p>
    <w:p w14:paraId="6C04A51F">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_Toc11822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1</w:t>
      </w:r>
      <w:r>
        <w:rPr>
          <w:rFonts w:hint="eastAsia" w:ascii="宋体" w:hAnsi="宋体" w:eastAsia="宋体" w:cs="宋体"/>
          <w:bCs/>
          <w:color w:val="auto"/>
          <w:spacing w:val="-26"/>
          <w:szCs w:val="24"/>
          <w:highlight w:val="none"/>
        </w:rPr>
        <w:t xml:space="preserve"> </w:t>
      </w:r>
      <w:r>
        <w:rPr>
          <w:rFonts w:hint="eastAsia" w:ascii="宋体" w:hAnsi="宋体" w:eastAsia="宋体" w:cs="宋体"/>
          <w:bCs/>
          <w:color w:val="auto"/>
          <w:spacing w:val="-8"/>
          <w:szCs w:val="24"/>
          <w:highlight w:val="none"/>
        </w:rPr>
        <w:t>．资格评审环节</w:t>
      </w:r>
      <w:r>
        <w:rPr>
          <w:color w:val="auto"/>
          <w:highlight w:val="none"/>
        </w:rPr>
        <w:tab/>
      </w:r>
      <w:r>
        <w:rPr>
          <w:color w:val="auto"/>
          <w:highlight w:val="none"/>
        </w:rPr>
        <w:fldChar w:fldCharType="begin"/>
      </w:r>
      <w:r>
        <w:rPr>
          <w:color w:val="auto"/>
          <w:highlight w:val="none"/>
        </w:rPr>
        <w:instrText xml:space="preserve"> PAGEREF _Toc11822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szCs w:val="24"/>
          <w:highlight w:val="none"/>
        </w:rPr>
        <w:fldChar w:fldCharType="end"/>
      </w:r>
    </w:p>
    <w:p w14:paraId="7171D939">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_Toc8853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．形式评审环节</w:t>
      </w:r>
      <w:r>
        <w:rPr>
          <w:color w:val="auto"/>
          <w:highlight w:val="none"/>
        </w:rPr>
        <w:tab/>
      </w:r>
      <w:r>
        <w:rPr>
          <w:color w:val="auto"/>
          <w:highlight w:val="none"/>
        </w:rPr>
        <w:fldChar w:fldCharType="begin"/>
      </w:r>
      <w:r>
        <w:rPr>
          <w:color w:val="auto"/>
          <w:highlight w:val="none"/>
        </w:rPr>
        <w:instrText xml:space="preserve"> PAGEREF _Toc8853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szCs w:val="24"/>
          <w:highlight w:val="none"/>
        </w:rPr>
        <w:fldChar w:fldCharType="end"/>
      </w:r>
    </w:p>
    <w:p w14:paraId="7784BC47">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3</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6"/>
          <w:szCs w:val="24"/>
          <w:highlight w:val="none"/>
        </w:rPr>
        <w:t>．响应性评审环节</w:t>
      </w:r>
      <w:r>
        <w:rPr>
          <w:color w:val="auto"/>
          <w:highlight w:val="none"/>
        </w:rPr>
        <w:tab/>
      </w:r>
      <w:r>
        <w:rPr>
          <w:color w:val="auto"/>
          <w:highlight w:val="none"/>
        </w:rPr>
        <w:fldChar w:fldCharType="begin"/>
      </w:r>
      <w:r>
        <w:rPr>
          <w:color w:val="auto"/>
          <w:highlight w:val="none"/>
        </w:rPr>
        <w:instrText xml:space="preserve"> PAGEREF _Toc121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szCs w:val="24"/>
          <w:highlight w:val="none"/>
        </w:rPr>
        <w:fldChar w:fldCharType="end"/>
      </w:r>
    </w:p>
    <w:p w14:paraId="53504768">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_Toc7538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1"/>
          <w:szCs w:val="24"/>
          <w:highlight w:val="none"/>
        </w:rPr>
        <w:t>4</w:t>
      </w:r>
      <w:r>
        <w:rPr>
          <w:rFonts w:hint="eastAsia" w:ascii="宋体" w:hAnsi="宋体" w:eastAsia="宋体" w:cs="宋体"/>
          <w:bCs/>
          <w:color w:val="auto"/>
          <w:spacing w:val="-29"/>
          <w:szCs w:val="24"/>
          <w:highlight w:val="none"/>
        </w:rPr>
        <w:t xml:space="preserve"> </w:t>
      </w:r>
      <w:r>
        <w:rPr>
          <w:rFonts w:hint="eastAsia" w:ascii="宋体" w:hAnsi="宋体" w:eastAsia="宋体" w:cs="宋体"/>
          <w:bCs/>
          <w:color w:val="auto"/>
          <w:spacing w:val="-11"/>
          <w:szCs w:val="24"/>
          <w:highlight w:val="none"/>
        </w:rPr>
        <w:t>．其他</w:t>
      </w:r>
      <w:r>
        <w:rPr>
          <w:color w:val="auto"/>
          <w:highlight w:val="none"/>
        </w:rPr>
        <w:tab/>
      </w:r>
      <w:r>
        <w:rPr>
          <w:color w:val="auto"/>
          <w:highlight w:val="none"/>
        </w:rPr>
        <w:fldChar w:fldCharType="begin"/>
      </w:r>
      <w:r>
        <w:rPr>
          <w:color w:val="auto"/>
          <w:highlight w:val="none"/>
        </w:rPr>
        <w:instrText xml:space="preserve"> PAGEREF _Toc7538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zCs w:val="24"/>
          <w:highlight w:val="none"/>
        </w:rPr>
        <w:fldChar w:fldCharType="end"/>
      </w:r>
    </w:p>
    <w:p w14:paraId="274A570B">
      <w:pPr>
        <w:pStyle w:val="10"/>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_Toc10955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第二章</w:t>
      </w:r>
      <w:r>
        <w:rPr>
          <w:rFonts w:hint="eastAsia" w:ascii="宋体" w:hAnsi="宋体" w:eastAsia="宋体" w:cs="宋体"/>
          <w:color w:val="auto"/>
          <w:spacing w:val="32"/>
          <w:szCs w:val="24"/>
          <w:highlight w:val="none"/>
        </w:rPr>
        <w:t xml:space="preserve"> </w:t>
      </w:r>
      <w:r>
        <w:rPr>
          <w:rFonts w:hint="eastAsia" w:ascii="宋体" w:hAnsi="宋体" w:eastAsia="宋体" w:cs="宋体"/>
          <w:bCs/>
          <w:color w:val="auto"/>
          <w:spacing w:val="-7"/>
          <w:szCs w:val="24"/>
          <w:highlight w:val="none"/>
        </w:rPr>
        <w:t>中标人须知</w:t>
      </w:r>
      <w:r>
        <w:rPr>
          <w:color w:val="auto"/>
          <w:highlight w:val="none"/>
        </w:rPr>
        <w:tab/>
      </w:r>
      <w:r>
        <w:rPr>
          <w:color w:val="auto"/>
          <w:highlight w:val="none"/>
        </w:rPr>
        <w:fldChar w:fldCharType="begin"/>
      </w:r>
      <w:r>
        <w:rPr>
          <w:color w:val="auto"/>
          <w:highlight w:val="none"/>
        </w:rPr>
        <w:instrText xml:space="preserve"> PAGEREF _Toc10955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zCs w:val="24"/>
          <w:highlight w:val="none"/>
        </w:rPr>
        <w:fldChar w:fldCharType="end"/>
      </w:r>
    </w:p>
    <w:p w14:paraId="46026736">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_Toc32102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9"/>
          <w:szCs w:val="24"/>
          <w:highlight w:val="none"/>
        </w:rPr>
        <w:t>1</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9"/>
          <w:szCs w:val="24"/>
          <w:highlight w:val="none"/>
        </w:rPr>
        <w:t>．中标通知书</w:t>
      </w:r>
      <w:r>
        <w:rPr>
          <w:color w:val="auto"/>
          <w:highlight w:val="none"/>
        </w:rPr>
        <w:tab/>
      </w:r>
      <w:r>
        <w:rPr>
          <w:color w:val="auto"/>
          <w:highlight w:val="none"/>
        </w:rPr>
        <w:fldChar w:fldCharType="begin"/>
      </w:r>
      <w:r>
        <w:rPr>
          <w:color w:val="auto"/>
          <w:highlight w:val="none"/>
        </w:rPr>
        <w:instrText xml:space="preserve"> PAGEREF _Toc32102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zCs w:val="24"/>
          <w:highlight w:val="none"/>
        </w:rPr>
        <w:fldChar w:fldCharType="end"/>
      </w:r>
    </w:p>
    <w:p w14:paraId="3AF9E2FF">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_Toc24401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．中标结果公示</w:t>
      </w:r>
      <w:r>
        <w:rPr>
          <w:color w:val="auto"/>
          <w:highlight w:val="none"/>
        </w:rPr>
        <w:tab/>
      </w:r>
      <w:r>
        <w:rPr>
          <w:color w:val="auto"/>
          <w:highlight w:val="none"/>
        </w:rPr>
        <w:fldChar w:fldCharType="begin"/>
      </w:r>
      <w:r>
        <w:rPr>
          <w:color w:val="auto"/>
          <w:highlight w:val="none"/>
        </w:rPr>
        <w:instrText xml:space="preserve"> PAGEREF _Toc24401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zCs w:val="24"/>
          <w:highlight w:val="none"/>
        </w:rPr>
        <w:fldChar w:fldCharType="end"/>
      </w:r>
    </w:p>
    <w:p w14:paraId="67A3A9FF">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_Toc3915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3</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8"/>
          <w:szCs w:val="24"/>
          <w:highlight w:val="none"/>
        </w:rPr>
        <w:t>．履约保证</w:t>
      </w:r>
      <w:r>
        <w:rPr>
          <w:color w:val="auto"/>
          <w:highlight w:val="none"/>
        </w:rPr>
        <w:tab/>
      </w:r>
      <w:r>
        <w:rPr>
          <w:color w:val="auto"/>
          <w:highlight w:val="none"/>
        </w:rPr>
        <w:fldChar w:fldCharType="begin"/>
      </w:r>
      <w:r>
        <w:rPr>
          <w:color w:val="auto"/>
          <w:highlight w:val="none"/>
        </w:rPr>
        <w:instrText xml:space="preserve"> PAGEREF _Toc3915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zCs w:val="24"/>
          <w:highlight w:val="none"/>
        </w:rPr>
        <w:fldChar w:fldCharType="end"/>
      </w:r>
    </w:p>
    <w:p w14:paraId="1E55955F">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_Toc5465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4</w:t>
      </w:r>
      <w:r>
        <w:rPr>
          <w:rFonts w:hint="eastAsia" w:ascii="宋体" w:hAnsi="宋体" w:eastAsia="宋体" w:cs="宋体"/>
          <w:bCs/>
          <w:color w:val="auto"/>
          <w:spacing w:val="-27"/>
          <w:szCs w:val="24"/>
          <w:highlight w:val="none"/>
        </w:rPr>
        <w:t xml:space="preserve"> </w:t>
      </w:r>
      <w:r>
        <w:rPr>
          <w:rFonts w:hint="eastAsia" w:ascii="宋体" w:hAnsi="宋体" w:eastAsia="宋体" w:cs="宋体"/>
          <w:bCs/>
          <w:color w:val="auto"/>
          <w:spacing w:val="-8"/>
          <w:szCs w:val="24"/>
          <w:highlight w:val="none"/>
        </w:rPr>
        <w:t>．合同订立</w:t>
      </w:r>
      <w:r>
        <w:rPr>
          <w:color w:val="auto"/>
          <w:highlight w:val="none"/>
        </w:rPr>
        <w:tab/>
      </w:r>
      <w:r>
        <w:rPr>
          <w:color w:val="auto"/>
          <w:highlight w:val="none"/>
        </w:rPr>
        <w:fldChar w:fldCharType="begin"/>
      </w:r>
      <w:r>
        <w:rPr>
          <w:color w:val="auto"/>
          <w:highlight w:val="none"/>
        </w:rPr>
        <w:instrText xml:space="preserve"> PAGEREF _Toc5465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4"/>
          <w:highlight w:val="none"/>
        </w:rPr>
        <w:fldChar w:fldCharType="end"/>
      </w:r>
    </w:p>
    <w:p w14:paraId="0BA5D47C">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_Toc15277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5</w:t>
      </w:r>
      <w:r>
        <w:rPr>
          <w:rFonts w:hint="eastAsia" w:ascii="宋体" w:hAnsi="宋体" w:eastAsia="宋体" w:cs="宋体"/>
          <w:bCs/>
          <w:color w:val="auto"/>
          <w:spacing w:val="-29"/>
          <w:szCs w:val="24"/>
          <w:highlight w:val="none"/>
        </w:rPr>
        <w:t xml:space="preserve"> </w:t>
      </w:r>
      <w:r>
        <w:rPr>
          <w:rFonts w:hint="eastAsia" w:ascii="宋体" w:hAnsi="宋体" w:eastAsia="宋体" w:cs="宋体"/>
          <w:bCs/>
          <w:color w:val="auto"/>
          <w:spacing w:val="-6"/>
          <w:szCs w:val="24"/>
          <w:highlight w:val="none"/>
        </w:rPr>
        <w:t>．放弃中标的处理</w:t>
      </w:r>
      <w:r>
        <w:rPr>
          <w:color w:val="auto"/>
          <w:highlight w:val="none"/>
        </w:rPr>
        <w:tab/>
      </w:r>
      <w:r>
        <w:rPr>
          <w:color w:val="auto"/>
          <w:highlight w:val="none"/>
        </w:rPr>
        <w:fldChar w:fldCharType="begin"/>
      </w:r>
      <w:r>
        <w:rPr>
          <w:color w:val="auto"/>
          <w:highlight w:val="none"/>
        </w:rPr>
        <w:instrText xml:space="preserve"> PAGEREF _Toc15277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zCs w:val="24"/>
          <w:highlight w:val="none"/>
        </w:rPr>
        <w:fldChar w:fldCharType="end"/>
      </w:r>
    </w:p>
    <w:p w14:paraId="25472AEF">
      <w:pPr>
        <w:pStyle w:val="10"/>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_Toc28650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第三章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拟签订合同的主要条款</w:t>
      </w:r>
      <w:r>
        <w:rPr>
          <w:color w:val="auto"/>
          <w:highlight w:val="none"/>
        </w:rPr>
        <w:tab/>
      </w:r>
      <w:r>
        <w:rPr>
          <w:color w:val="auto"/>
          <w:highlight w:val="none"/>
        </w:rPr>
        <w:fldChar w:fldCharType="begin"/>
      </w:r>
      <w:r>
        <w:rPr>
          <w:color w:val="auto"/>
          <w:highlight w:val="none"/>
        </w:rPr>
        <w:instrText xml:space="preserve"> PAGEREF _Toc28650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zCs w:val="24"/>
          <w:highlight w:val="none"/>
        </w:rPr>
        <w:fldChar w:fldCharType="end"/>
      </w:r>
    </w:p>
    <w:p w14:paraId="62E14F82">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_Toc11124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1</w:t>
      </w:r>
      <w:r>
        <w:rPr>
          <w:rFonts w:hint="eastAsia" w:ascii="宋体" w:hAnsi="宋体" w:eastAsia="宋体" w:cs="宋体"/>
          <w:bCs/>
          <w:color w:val="auto"/>
          <w:spacing w:val="-26"/>
          <w:szCs w:val="24"/>
          <w:highlight w:val="none"/>
        </w:rPr>
        <w:t xml:space="preserve"> </w:t>
      </w:r>
      <w:r>
        <w:rPr>
          <w:rFonts w:hint="eastAsia" w:ascii="宋体" w:hAnsi="宋体" w:eastAsia="宋体" w:cs="宋体"/>
          <w:bCs/>
          <w:color w:val="auto"/>
          <w:spacing w:val="-8"/>
          <w:szCs w:val="24"/>
          <w:highlight w:val="none"/>
        </w:rPr>
        <w:t>．工程承包方式</w:t>
      </w:r>
      <w:r>
        <w:rPr>
          <w:color w:val="auto"/>
          <w:highlight w:val="none"/>
        </w:rPr>
        <w:tab/>
      </w:r>
      <w:r>
        <w:rPr>
          <w:color w:val="auto"/>
          <w:highlight w:val="none"/>
        </w:rPr>
        <w:fldChar w:fldCharType="begin"/>
      </w:r>
      <w:r>
        <w:rPr>
          <w:color w:val="auto"/>
          <w:highlight w:val="none"/>
        </w:rPr>
        <w:instrText xml:space="preserve"> PAGEREF _Toc11124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zCs w:val="24"/>
          <w:highlight w:val="none"/>
        </w:rPr>
        <w:fldChar w:fldCharType="end"/>
      </w:r>
    </w:p>
    <w:p w14:paraId="3D4D4533">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_Toc17990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．工程结算原则</w:t>
      </w:r>
      <w:r>
        <w:rPr>
          <w:color w:val="auto"/>
          <w:highlight w:val="none"/>
        </w:rPr>
        <w:tab/>
      </w:r>
      <w:r>
        <w:rPr>
          <w:color w:val="auto"/>
          <w:highlight w:val="none"/>
        </w:rPr>
        <w:fldChar w:fldCharType="begin"/>
      </w:r>
      <w:r>
        <w:rPr>
          <w:color w:val="auto"/>
          <w:highlight w:val="none"/>
        </w:rPr>
        <w:instrText xml:space="preserve"> PAGEREF _Toc17990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zCs w:val="24"/>
          <w:highlight w:val="none"/>
        </w:rPr>
        <w:fldChar w:fldCharType="end"/>
      </w:r>
    </w:p>
    <w:p w14:paraId="1AFEE074">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_Toc19181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4"/>
          <w:highlight w:val="none"/>
        </w:rPr>
        <w:t>3. 工程付款办法</w:t>
      </w:r>
      <w:r>
        <w:rPr>
          <w:color w:val="auto"/>
          <w:highlight w:val="none"/>
        </w:rPr>
        <w:tab/>
      </w:r>
      <w:r>
        <w:rPr>
          <w:color w:val="auto"/>
          <w:highlight w:val="none"/>
        </w:rPr>
        <w:fldChar w:fldCharType="begin"/>
      </w:r>
      <w:r>
        <w:rPr>
          <w:color w:val="auto"/>
          <w:highlight w:val="none"/>
        </w:rPr>
        <w:instrText xml:space="preserve"> PAGEREF _Toc19181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eastAsia="宋体" w:cs="宋体"/>
          <w:color w:val="auto"/>
          <w:szCs w:val="24"/>
          <w:highlight w:val="none"/>
        </w:rPr>
        <w:fldChar w:fldCharType="end"/>
      </w:r>
    </w:p>
    <w:p w14:paraId="22096E3C">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_Toc17742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4</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7"/>
          <w:szCs w:val="24"/>
          <w:highlight w:val="none"/>
        </w:rPr>
        <w:t>．其他专用合同条款</w:t>
      </w:r>
      <w:r>
        <w:rPr>
          <w:color w:val="auto"/>
          <w:highlight w:val="none"/>
        </w:rPr>
        <w:tab/>
      </w:r>
      <w:r>
        <w:rPr>
          <w:color w:val="auto"/>
          <w:highlight w:val="none"/>
        </w:rPr>
        <w:fldChar w:fldCharType="begin"/>
      </w:r>
      <w:r>
        <w:rPr>
          <w:color w:val="auto"/>
          <w:highlight w:val="none"/>
        </w:rPr>
        <w:instrText xml:space="preserve"> PAGEREF _Toc17742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olor w:val="auto"/>
          <w:szCs w:val="24"/>
          <w:highlight w:val="none"/>
        </w:rPr>
        <w:fldChar w:fldCharType="end"/>
      </w:r>
    </w:p>
    <w:p w14:paraId="25A31447">
      <w:pPr>
        <w:pStyle w:val="10"/>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_Toc26138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第四章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技术要求</w:t>
      </w:r>
      <w:r>
        <w:rPr>
          <w:color w:val="auto"/>
          <w:highlight w:val="none"/>
        </w:rPr>
        <w:tab/>
      </w:r>
      <w:r>
        <w:rPr>
          <w:color w:val="auto"/>
          <w:highlight w:val="none"/>
        </w:rPr>
        <w:fldChar w:fldCharType="begin"/>
      </w:r>
      <w:r>
        <w:rPr>
          <w:color w:val="auto"/>
          <w:highlight w:val="none"/>
        </w:rPr>
        <w:instrText xml:space="preserve"> PAGEREF _Toc26138 \h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eastAsia="宋体" w:cs="宋体"/>
          <w:color w:val="auto"/>
          <w:szCs w:val="24"/>
          <w:highlight w:val="none"/>
        </w:rPr>
        <w:fldChar w:fldCharType="end"/>
      </w:r>
    </w:p>
    <w:p w14:paraId="1007A056">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_Toc6424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1</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6"/>
          <w:szCs w:val="24"/>
          <w:highlight w:val="none"/>
        </w:rPr>
        <w:t>．</w:t>
      </w:r>
      <w:r>
        <w:rPr>
          <w:rFonts w:hint="eastAsia" w:ascii="宋体" w:hAnsi="宋体" w:eastAsia="宋体" w:cs="宋体"/>
          <w:bCs/>
          <w:color w:val="auto"/>
          <w:spacing w:val="-1"/>
          <w:szCs w:val="24"/>
          <w:highlight w:val="none"/>
        </w:rPr>
        <w:t>房屋建筑工程建设项目</w:t>
      </w:r>
      <w:r>
        <w:rPr>
          <w:color w:val="auto"/>
          <w:highlight w:val="none"/>
        </w:rPr>
        <w:tab/>
      </w:r>
      <w:r>
        <w:rPr>
          <w:color w:val="auto"/>
          <w:highlight w:val="none"/>
        </w:rPr>
        <w:fldChar w:fldCharType="begin"/>
      </w:r>
      <w:r>
        <w:rPr>
          <w:color w:val="auto"/>
          <w:highlight w:val="none"/>
        </w:rPr>
        <w:instrText xml:space="preserve"> PAGEREF _Toc6424 \h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eastAsia="宋体" w:cs="宋体"/>
          <w:color w:val="auto"/>
          <w:szCs w:val="24"/>
          <w:highlight w:val="none"/>
        </w:rPr>
        <w:fldChar w:fldCharType="end"/>
      </w:r>
    </w:p>
    <w:p w14:paraId="305F0569">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_Toc12394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2</w:t>
      </w:r>
      <w:r>
        <w:rPr>
          <w:rFonts w:hint="eastAsia" w:ascii="宋体" w:hAnsi="宋体" w:eastAsia="宋体" w:cs="宋体"/>
          <w:bCs/>
          <w:color w:val="auto"/>
          <w:spacing w:val="-18"/>
          <w:szCs w:val="24"/>
          <w:highlight w:val="none"/>
        </w:rPr>
        <w:t xml:space="preserve"> </w:t>
      </w:r>
      <w:r>
        <w:rPr>
          <w:rFonts w:hint="eastAsia" w:ascii="宋体" w:hAnsi="宋体" w:eastAsia="宋体" w:cs="宋体"/>
          <w:bCs/>
          <w:color w:val="auto"/>
          <w:spacing w:val="-5"/>
          <w:szCs w:val="24"/>
          <w:highlight w:val="none"/>
        </w:rPr>
        <w:t>．市政基础设施工程建设项目</w:t>
      </w:r>
      <w:r>
        <w:rPr>
          <w:color w:val="auto"/>
          <w:highlight w:val="none"/>
        </w:rPr>
        <w:tab/>
      </w:r>
      <w:r>
        <w:rPr>
          <w:color w:val="auto"/>
          <w:highlight w:val="none"/>
        </w:rPr>
        <w:fldChar w:fldCharType="begin"/>
      </w:r>
      <w:r>
        <w:rPr>
          <w:color w:val="auto"/>
          <w:highlight w:val="none"/>
        </w:rPr>
        <w:instrText xml:space="preserve"> PAGEREF _Toc12394 \h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eastAsia="宋体" w:cs="宋体"/>
          <w:color w:val="auto"/>
          <w:szCs w:val="24"/>
          <w:highlight w:val="none"/>
        </w:rPr>
        <w:fldChar w:fldCharType="end"/>
      </w:r>
    </w:p>
    <w:p w14:paraId="1334DD5B">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_Toc18496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3</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8"/>
          <w:szCs w:val="24"/>
          <w:highlight w:val="none"/>
        </w:rPr>
        <w:t>．备查要求</w:t>
      </w:r>
      <w:r>
        <w:rPr>
          <w:color w:val="auto"/>
          <w:highlight w:val="none"/>
        </w:rPr>
        <w:tab/>
      </w:r>
      <w:r>
        <w:rPr>
          <w:color w:val="auto"/>
          <w:highlight w:val="none"/>
        </w:rPr>
        <w:fldChar w:fldCharType="begin"/>
      </w:r>
      <w:r>
        <w:rPr>
          <w:color w:val="auto"/>
          <w:highlight w:val="none"/>
        </w:rPr>
        <w:instrText xml:space="preserve"> PAGEREF _Toc18496 \h </w:instrText>
      </w:r>
      <w:r>
        <w:rPr>
          <w:color w:val="auto"/>
          <w:highlight w:val="none"/>
        </w:rPr>
        <w:fldChar w:fldCharType="separate"/>
      </w:r>
      <w:r>
        <w:rPr>
          <w:color w:val="auto"/>
          <w:highlight w:val="none"/>
        </w:rPr>
        <w:t>58</w:t>
      </w:r>
      <w:r>
        <w:rPr>
          <w:color w:val="auto"/>
          <w:highlight w:val="none"/>
        </w:rPr>
        <w:fldChar w:fldCharType="end"/>
      </w:r>
      <w:r>
        <w:rPr>
          <w:rFonts w:hint="eastAsia" w:ascii="宋体" w:hAnsi="宋体" w:eastAsia="宋体" w:cs="宋体"/>
          <w:color w:val="auto"/>
          <w:szCs w:val="24"/>
          <w:highlight w:val="none"/>
        </w:rPr>
        <w:fldChar w:fldCharType="end"/>
      </w:r>
    </w:p>
    <w:p w14:paraId="34B57E7B">
      <w:pPr>
        <w:pStyle w:val="10"/>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_Toc23370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第五章</w:t>
      </w:r>
      <w:r>
        <w:rPr>
          <w:rFonts w:hint="eastAsia" w:ascii="宋体" w:hAnsi="宋体" w:eastAsia="宋体" w:cs="宋体"/>
          <w:color w:val="auto"/>
          <w:spacing w:val="33"/>
          <w:szCs w:val="24"/>
          <w:highlight w:val="none"/>
        </w:rPr>
        <w:t xml:space="preserve"> </w:t>
      </w:r>
      <w:r>
        <w:rPr>
          <w:rFonts w:hint="eastAsia" w:ascii="宋体" w:hAnsi="宋体" w:eastAsia="宋体" w:cs="宋体"/>
          <w:bCs/>
          <w:color w:val="auto"/>
          <w:spacing w:val="-5"/>
          <w:szCs w:val="24"/>
          <w:highlight w:val="none"/>
        </w:rPr>
        <w:t>图纸和招标工程量清单</w:t>
      </w:r>
      <w:r>
        <w:rPr>
          <w:color w:val="auto"/>
          <w:highlight w:val="none"/>
        </w:rPr>
        <w:tab/>
      </w:r>
      <w:r>
        <w:rPr>
          <w:color w:val="auto"/>
          <w:highlight w:val="none"/>
        </w:rPr>
        <w:fldChar w:fldCharType="begin"/>
      </w:r>
      <w:r>
        <w:rPr>
          <w:color w:val="auto"/>
          <w:highlight w:val="none"/>
        </w:rPr>
        <w:instrText xml:space="preserve"> PAGEREF _Toc23370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color w:val="auto"/>
          <w:szCs w:val="24"/>
          <w:highlight w:val="none"/>
        </w:rPr>
        <w:fldChar w:fldCharType="end"/>
      </w:r>
    </w:p>
    <w:p w14:paraId="6F4799BD">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_Toc30394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4"/>
          <w:szCs w:val="24"/>
          <w:highlight w:val="none"/>
        </w:rPr>
        <w:t>1</w:t>
      </w:r>
      <w:r>
        <w:rPr>
          <w:rFonts w:hint="eastAsia" w:ascii="宋体" w:hAnsi="宋体" w:eastAsia="宋体" w:cs="宋体"/>
          <w:bCs/>
          <w:color w:val="auto"/>
          <w:spacing w:val="-27"/>
          <w:szCs w:val="24"/>
          <w:highlight w:val="none"/>
        </w:rPr>
        <w:t xml:space="preserve"> </w:t>
      </w:r>
      <w:r>
        <w:rPr>
          <w:rFonts w:hint="eastAsia" w:ascii="宋体" w:hAnsi="宋体" w:eastAsia="宋体" w:cs="宋体"/>
          <w:bCs/>
          <w:color w:val="auto"/>
          <w:spacing w:val="-14"/>
          <w:szCs w:val="24"/>
          <w:highlight w:val="none"/>
        </w:rPr>
        <w:t>．图纸</w:t>
      </w:r>
      <w:r>
        <w:rPr>
          <w:color w:val="auto"/>
          <w:highlight w:val="none"/>
        </w:rPr>
        <w:tab/>
      </w:r>
      <w:r>
        <w:rPr>
          <w:color w:val="auto"/>
          <w:highlight w:val="none"/>
        </w:rPr>
        <w:fldChar w:fldCharType="begin"/>
      </w:r>
      <w:r>
        <w:rPr>
          <w:color w:val="auto"/>
          <w:highlight w:val="none"/>
        </w:rPr>
        <w:instrText xml:space="preserve"> PAGEREF _Toc30394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color w:val="auto"/>
          <w:szCs w:val="24"/>
          <w:highlight w:val="none"/>
        </w:rPr>
        <w:fldChar w:fldCharType="end"/>
      </w:r>
    </w:p>
    <w:p w14:paraId="14D20800">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_Toc14897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2</w:t>
      </w:r>
      <w:r>
        <w:rPr>
          <w:rFonts w:hint="eastAsia" w:ascii="宋体" w:hAnsi="宋体" w:eastAsia="宋体" w:cs="宋体"/>
          <w:bCs/>
          <w:color w:val="auto"/>
          <w:spacing w:val="-26"/>
          <w:szCs w:val="24"/>
          <w:highlight w:val="none"/>
        </w:rPr>
        <w:t xml:space="preserve"> </w:t>
      </w:r>
      <w:r>
        <w:rPr>
          <w:rFonts w:hint="eastAsia" w:ascii="宋体" w:hAnsi="宋体" w:eastAsia="宋体" w:cs="宋体"/>
          <w:bCs/>
          <w:color w:val="auto"/>
          <w:spacing w:val="-6"/>
          <w:szCs w:val="24"/>
          <w:highlight w:val="none"/>
        </w:rPr>
        <w:t>．招标工程量清单</w:t>
      </w:r>
      <w:r>
        <w:rPr>
          <w:color w:val="auto"/>
          <w:highlight w:val="none"/>
        </w:rPr>
        <w:tab/>
      </w:r>
      <w:r>
        <w:rPr>
          <w:color w:val="auto"/>
          <w:highlight w:val="none"/>
        </w:rPr>
        <w:fldChar w:fldCharType="begin"/>
      </w:r>
      <w:r>
        <w:rPr>
          <w:color w:val="auto"/>
          <w:highlight w:val="none"/>
        </w:rPr>
        <w:instrText xml:space="preserve"> PAGEREF _Toc14897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color w:val="auto"/>
          <w:szCs w:val="24"/>
          <w:highlight w:val="none"/>
        </w:rPr>
        <w:fldChar w:fldCharType="end"/>
      </w:r>
    </w:p>
    <w:p w14:paraId="32FCE9D2">
      <w:pPr>
        <w:pStyle w:val="10"/>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_Toc13354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第六章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投标文件格式</w:t>
      </w:r>
      <w:r>
        <w:rPr>
          <w:color w:val="auto"/>
          <w:highlight w:val="none"/>
        </w:rPr>
        <w:tab/>
      </w:r>
      <w:r>
        <w:rPr>
          <w:color w:val="auto"/>
          <w:highlight w:val="none"/>
        </w:rPr>
        <w:fldChar w:fldCharType="begin"/>
      </w:r>
      <w:r>
        <w:rPr>
          <w:color w:val="auto"/>
          <w:highlight w:val="none"/>
        </w:rPr>
        <w:instrText xml:space="preserve"> PAGEREF _Toc13354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eastAsia="宋体" w:cs="宋体"/>
          <w:color w:val="auto"/>
          <w:szCs w:val="24"/>
          <w:highlight w:val="none"/>
        </w:rPr>
        <w:fldChar w:fldCharType="end"/>
      </w:r>
    </w:p>
    <w:p w14:paraId="5F7D89A3">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_Toc10257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格式一</w:t>
      </w:r>
      <w:r>
        <w:rPr>
          <w:rFonts w:hint="eastAsia" w:ascii="宋体" w:hAnsi="宋体" w:eastAsia="宋体" w:cs="宋体"/>
          <w:color w:val="auto"/>
          <w:spacing w:val="-4"/>
          <w:szCs w:val="24"/>
          <w:highlight w:val="none"/>
        </w:rPr>
        <w:t xml:space="preserve"> </w:t>
      </w:r>
      <w:r>
        <w:rPr>
          <w:rFonts w:hint="eastAsia" w:ascii="宋体" w:hAnsi="宋体" w:eastAsia="宋体" w:cs="宋体"/>
          <w:bCs/>
          <w:color w:val="auto"/>
          <w:spacing w:val="-4"/>
          <w:szCs w:val="24"/>
          <w:highlight w:val="none"/>
        </w:rPr>
        <w:t>封面</w:t>
      </w:r>
      <w:r>
        <w:rPr>
          <w:color w:val="auto"/>
          <w:highlight w:val="none"/>
        </w:rPr>
        <w:tab/>
      </w:r>
      <w:r>
        <w:rPr>
          <w:color w:val="auto"/>
          <w:highlight w:val="none"/>
        </w:rPr>
        <w:fldChar w:fldCharType="begin"/>
      </w:r>
      <w:r>
        <w:rPr>
          <w:color w:val="auto"/>
          <w:highlight w:val="none"/>
        </w:rPr>
        <w:instrText xml:space="preserve"> PAGEREF _Toc10257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eastAsia="宋体" w:cs="宋体"/>
          <w:color w:val="auto"/>
          <w:szCs w:val="24"/>
          <w:highlight w:val="none"/>
        </w:rPr>
        <w:fldChar w:fldCharType="end"/>
      </w:r>
    </w:p>
    <w:p w14:paraId="0583BCD3">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_Toc23059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格式二 投标函</w:t>
      </w:r>
      <w:r>
        <w:rPr>
          <w:color w:val="auto"/>
          <w:highlight w:val="none"/>
        </w:rPr>
        <w:tab/>
      </w:r>
      <w:r>
        <w:rPr>
          <w:color w:val="auto"/>
          <w:highlight w:val="none"/>
        </w:rPr>
        <w:fldChar w:fldCharType="begin"/>
      </w:r>
      <w:r>
        <w:rPr>
          <w:color w:val="auto"/>
          <w:highlight w:val="none"/>
        </w:rPr>
        <w:instrText xml:space="preserve"> PAGEREF _Toc23059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eastAsia="宋体" w:cs="宋体"/>
          <w:color w:val="auto"/>
          <w:szCs w:val="24"/>
          <w:highlight w:val="none"/>
        </w:rPr>
        <w:fldChar w:fldCharType="end"/>
      </w:r>
    </w:p>
    <w:p w14:paraId="21A6ED82">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_Toc16728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_Toc16728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eastAsia="宋体" w:cs="宋体"/>
          <w:color w:val="auto"/>
          <w:szCs w:val="24"/>
          <w:highlight w:val="none"/>
        </w:rPr>
        <w:fldChar w:fldCharType="end"/>
      </w:r>
    </w:p>
    <w:p w14:paraId="1A8A14E4">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_Toc24663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_Toc24663 \h </w:instrText>
      </w:r>
      <w:r>
        <w:rPr>
          <w:color w:val="auto"/>
          <w:highlight w:val="none"/>
        </w:rPr>
        <w:fldChar w:fldCharType="separate"/>
      </w:r>
      <w:r>
        <w:rPr>
          <w:color w:val="auto"/>
          <w:highlight w:val="none"/>
        </w:rPr>
        <w:t>64</w:t>
      </w:r>
      <w:r>
        <w:rPr>
          <w:color w:val="auto"/>
          <w:highlight w:val="none"/>
        </w:rPr>
        <w:fldChar w:fldCharType="end"/>
      </w:r>
      <w:r>
        <w:rPr>
          <w:rFonts w:hint="eastAsia" w:ascii="宋体" w:hAnsi="宋体" w:eastAsia="宋体" w:cs="宋体"/>
          <w:color w:val="auto"/>
          <w:szCs w:val="24"/>
          <w:highlight w:val="none"/>
        </w:rPr>
        <w:fldChar w:fldCharType="end"/>
      </w:r>
    </w:p>
    <w:p w14:paraId="55DEE95F">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_Toc24290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_Toc24290 \h </w:instrText>
      </w:r>
      <w:r>
        <w:rPr>
          <w:color w:val="auto"/>
          <w:highlight w:val="none"/>
        </w:rPr>
        <w:fldChar w:fldCharType="separate"/>
      </w:r>
      <w:r>
        <w:rPr>
          <w:color w:val="auto"/>
          <w:highlight w:val="none"/>
        </w:rPr>
        <w:t>65</w:t>
      </w:r>
      <w:r>
        <w:rPr>
          <w:color w:val="auto"/>
          <w:highlight w:val="none"/>
        </w:rPr>
        <w:fldChar w:fldCharType="end"/>
      </w:r>
      <w:r>
        <w:rPr>
          <w:rFonts w:hint="eastAsia" w:ascii="宋体" w:hAnsi="宋体" w:eastAsia="宋体" w:cs="宋体"/>
          <w:color w:val="auto"/>
          <w:szCs w:val="24"/>
          <w:highlight w:val="none"/>
        </w:rPr>
        <w:fldChar w:fldCharType="end"/>
      </w:r>
    </w:p>
    <w:p w14:paraId="6B79AB9C">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_Toc733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格式六 联合体协议书</w:t>
      </w:r>
      <w:r>
        <w:rPr>
          <w:color w:val="auto"/>
          <w:highlight w:val="none"/>
        </w:rPr>
        <w:tab/>
      </w:r>
      <w:r>
        <w:rPr>
          <w:color w:val="auto"/>
          <w:highlight w:val="none"/>
        </w:rPr>
        <w:fldChar w:fldCharType="begin"/>
      </w:r>
      <w:r>
        <w:rPr>
          <w:color w:val="auto"/>
          <w:highlight w:val="none"/>
        </w:rPr>
        <w:instrText xml:space="preserve"> PAGEREF _Toc733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eastAsia="宋体" w:cs="宋体"/>
          <w:color w:val="auto"/>
          <w:szCs w:val="24"/>
          <w:highlight w:val="none"/>
        </w:rPr>
        <w:fldChar w:fldCharType="end"/>
      </w:r>
    </w:p>
    <w:p w14:paraId="2E223E29">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_Toc24967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格式七 投标人基本情况表</w:t>
      </w:r>
      <w:r>
        <w:rPr>
          <w:color w:val="auto"/>
          <w:highlight w:val="none"/>
        </w:rPr>
        <w:tab/>
      </w:r>
      <w:r>
        <w:rPr>
          <w:color w:val="auto"/>
          <w:highlight w:val="none"/>
        </w:rPr>
        <w:fldChar w:fldCharType="begin"/>
      </w:r>
      <w:r>
        <w:rPr>
          <w:color w:val="auto"/>
          <w:highlight w:val="none"/>
        </w:rPr>
        <w:instrText xml:space="preserve"> PAGEREF _Toc24967 \h </w:instrText>
      </w:r>
      <w:r>
        <w:rPr>
          <w:color w:val="auto"/>
          <w:highlight w:val="none"/>
        </w:rPr>
        <w:fldChar w:fldCharType="separate"/>
      </w:r>
      <w:r>
        <w:rPr>
          <w:color w:val="auto"/>
          <w:highlight w:val="none"/>
        </w:rPr>
        <w:t>67</w:t>
      </w:r>
      <w:r>
        <w:rPr>
          <w:color w:val="auto"/>
          <w:highlight w:val="none"/>
        </w:rPr>
        <w:fldChar w:fldCharType="end"/>
      </w:r>
      <w:r>
        <w:rPr>
          <w:rFonts w:hint="eastAsia" w:ascii="宋体" w:hAnsi="宋体" w:eastAsia="宋体" w:cs="宋体"/>
          <w:color w:val="auto"/>
          <w:szCs w:val="24"/>
          <w:highlight w:val="none"/>
        </w:rPr>
        <w:fldChar w:fldCharType="end"/>
      </w:r>
    </w:p>
    <w:p w14:paraId="2562EFBB">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_Toc10594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格式八 项目经理简历表</w:t>
      </w:r>
      <w:r>
        <w:rPr>
          <w:color w:val="auto"/>
          <w:highlight w:val="none"/>
        </w:rPr>
        <w:tab/>
      </w:r>
      <w:r>
        <w:rPr>
          <w:color w:val="auto"/>
          <w:highlight w:val="none"/>
        </w:rPr>
        <w:fldChar w:fldCharType="begin"/>
      </w:r>
      <w:r>
        <w:rPr>
          <w:color w:val="auto"/>
          <w:highlight w:val="none"/>
        </w:rPr>
        <w:instrText xml:space="preserve"> PAGEREF _Toc10594 \h </w:instrText>
      </w:r>
      <w:r>
        <w:rPr>
          <w:color w:val="auto"/>
          <w:highlight w:val="none"/>
        </w:rPr>
        <w:fldChar w:fldCharType="separate"/>
      </w:r>
      <w:r>
        <w:rPr>
          <w:color w:val="auto"/>
          <w:highlight w:val="none"/>
        </w:rPr>
        <w:t>68</w:t>
      </w:r>
      <w:r>
        <w:rPr>
          <w:color w:val="auto"/>
          <w:highlight w:val="none"/>
        </w:rPr>
        <w:fldChar w:fldCharType="end"/>
      </w:r>
      <w:r>
        <w:rPr>
          <w:rFonts w:hint="eastAsia" w:ascii="宋体" w:hAnsi="宋体" w:eastAsia="宋体" w:cs="宋体"/>
          <w:color w:val="auto"/>
          <w:szCs w:val="24"/>
          <w:highlight w:val="none"/>
        </w:rPr>
        <w:fldChar w:fldCharType="end"/>
      </w:r>
    </w:p>
    <w:p w14:paraId="26EF82AC">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_Toc6967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格式九 项目经理任职声明</w:t>
      </w:r>
      <w:r>
        <w:rPr>
          <w:color w:val="auto"/>
          <w:highlight w:val="none"/>
        </w:rPr>
        <w:tab/>
      </w:r>
      <w:r>
        <w:rPr>
          <w:color w:val="auto"/>
          <w:highlight w:val="none"/>
        </w:rPr>
        <w:fldChar w:fldCharType="begin"/>
      </w:r>
      <w:r>
        <w:rPr>
          <w:color w:val="auto"/>
          <w:highlight w:val="none"/>
        </w:rPr>
        <w:instrText xml:space="preserve"> PAGEREF _Toc6967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szCs w:val="24"/>
          <w:highlight w:val="none"/>
        </w:rPr>
        <w:fldChar w:fldCharType="end"/>
      </w:r>
    </w:p>
    <w:p w14:paraId="0C3EE48F">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_Toc19125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 项目技术负责人简历表</w:t>
      </w:r>
      <w:r>
        <w:rPr>
          <w:color w:val="auto"/>
          <w:highlight w:val="none"/>
        </w:rPr>
        <w:tab/>
      </w:r>
      <w:r>
        <w:rPr>
          <w:color w:val="auto"/>
          <w:highlight w:val="none"/>
        </w:rPr>
        <w:fldChar w:fldCharType="begin"/>
      </w:r>
      <w:r>
        <w:rPr>
          <w:color w:val="auto"/>
          <w:highlight w:val="none"/>
        </w:rPr>
        <w:instrText xml:space="preserve"> PAGEREF _Toc19125 \h </w:instrText>
      </w:r>
      <w:r>
        <w:rPr>
          <w:color w:val="auto"/>
          <w:highlight w:val="none"/>
        </w:rPr>
        <w:fldChar w:fldCharType="separate"/>
      </w:r>
      <w:r>
        <w:rPr>
          <w:color w:val="auto"/>
          <w:highlight w:val="none"/>
        </w:rPr>
        <w:t>70</w:t>
      </w:r>
      <w:r>
        <w:rPr>
          <w:color w:val="auto"/>
          <w:highlight w:val="none"/>
        </w:rPr>
        <w:fldChar w:fldCharType="end"/>
      </w:r>
      <w:r>
        <w:rPr>
          <w:rFonts w:hint="eastAsia" w:ascii="宋体" w:hAnsi="宋体" w:eastAsia="宋体" w:cs="宋体"/>
          <w:color w:val="auto"/>
          <w:szCs w:val="24"/>
          <w:highlight w:val="none"/>
        </w:rPr>
        <w:fldChar w:fldCharType="end"/>
      </w:r>
    </w:p>
    <w:p w14:paraId="2D7F29A4">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_Toc18872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格式十一 项目管理机构组成表</w:t>
      </w:r>
      <w:r>
        <w:rPr>
          <w:color w:val="auto"/>
          <w:highlight w:val="none"/>
        </w:rPr>
        <w:tab/>
      </w:r>
      <w:r>
        <w:rPr>
          <w:color w:val="auto"/>
          <w:highlight w:val="none"/>
        </w:rPr>
        <w:fldChar w:fldCharType="begin"/>
      </w:r>
      <w:r>
        <w:rPr>
          <w:color w:val="auto"/>
          <w:highlight w:val="none"/>
        </w:rPr>
        <w:instrText xml:space="preserve"> PAGEREF _Toc18872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eastAsia="宋体" w:cs="宋体"/>
          <w:color w:val="auto"/>
          <w:szCs w:val="24"/>
          <w:highlight w:val="none"/>
        </w:rPr>
        <w:fldChar w:fldCharType="end"/>
      </w:r>
    </w:p>
    <w:p w14:paraId="4BE4AE6B">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_Toc3823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格式十二 建造师查询页（有效期+建造师签字）</w:t>
      </w:r>
      <w:r>
        <w:rPr>
          <w:color w:val="auto"/>
          <w:highlight w:val="none"/>
        </w:rPr>
        <w:tab/>
      </w:r>
      <w:r>
        <w:rPr>
          <w:color w:val="auto"/>
          <w:highlight w:val="none"/>
        </w:rPr>
        <w:fldChar w:fldCharType="begin"/>
      </w:r>
      <w:r>
        <w:rPr>
          <w:color w:val="auto"/>
          <w:highlight w:val="none"/>
        </w:rPr>
        <w:instrText xml:space="preserve"> PAGEREF _Toc3823 \h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eastAsia="宋体" w:cs="宋体"/>
          <w:color w:val="auto"/>
          <w:szCs w:val="24"/>
          <w:highlight w:val="none"/>
        </w:rPr>
        <w:fldChar w:fldCharType="end"/>
      </w:r>
    </w:p>
    <w:p w14:paraId="7993FFA5">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_Toc30843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格式十三：</w:t>
      </w:r>
      <w:r>
        <w:rPr>
          <w:rFonts w:hint="eastAsia" w:ascii="宋体" w:hAnsi="宋体" w:eastAsia="宋体" w:cs="宋体"/>
          <w:bCs/>
          <w:color w:val="auto"/>
          <w:spacing w:val="7"/>
          <w:szCs w:val="22"/>
          <w:highlight w:val="none"/>
        </w:rPr>
        <w:t>危险性较大的分部分项工程清单及超过一定规模的危险性较大的</w:t>
      </w:r>
      <w:r>
        <w:rPr>
          <w:rFonts w:hint="eastAsia" w:ascii="宋体" w:hAnsi="宋体" w:eastAsia="宋体" w:cs="宋体"/>
          <w:bCs/>
          <w:color w:val="auto"/>
          <w:spacing w:val="5"/>
          <w:szCs w:val="22"/>
          <w:highlight w:val="none"/>
        </w:rPr>
        <w:t>分部分项工程清单</w:t>
      </w:r>
      <w:r>
        <w:rPr>
          <w:color w:val="auto"/>
          <w:highlight w:val="none"/>
        </w:rPr>
        <w:tab/>
      </w:r>
      <w:r>
        <w:rPr>
          <w:color w:val="auto"/>
          <w:highlight w:val="none"/>
        </w:rPr>
        <w:fldChar w:fldCharType="begin"/>
      </w:r>
      <w:r>
        <w:rPr>
          <w:color w:val="auto"/>
          <w:highlight w:val="none"/>
        </w:rPr>
        <w:instrText xml:space="preserve"> PAGEREF _Toc30843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24"/>
          <w:highlight w:val="none"/>
        </w:rPr>
        <w:fldChar w:fldCharType="end"/>
      </w:r>
    </w:p>
    <w:p w14:paraId="2ECC8438">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_Toc2618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格式十四</w:t>
      </w:r>
      <w:r>
        <w:rPr>
          <w:rFonts w:hint="eastAsia" w:ascii="宋体" w:hAnsi="宋体" w:eastAsia="宋体" w:cs="宋体"/>
          <w:bCs/>
          <w:color w:val="auto"/>
          <w:spacing w:val="-4"/>
          <w:szCs w:val="24"/>
          <w:highlight w:val="none"/>
          <w:lang w:val="en-US" w:eastAsia="zh-CN"/>
        </w:rPr>
        <w:t xml:space="preserve">  </w:t>
      </w:r>
      <w:r>
        <w:rPr>
          <w:rFonts w:hint="eastAsia" w:ascii="宋体" w:hAnsi="宋体" w:eastAsia="宋体" w:cs="宋体"/>
          <w:bCs/>
          <w:color w:val="auto"/>
          <w:spacing w:val="4"/>
          <w:position w:val="3"/>
          <w:szCs w:val="21"/>
          <w:highlight w:val="none"/>
        </w:rPr>
        <w:t>投标保证金信用承诺函</w:t>
      </w:r>
      <w:r>
        <w:rPr>
          <w:color w:val="auto"/>
          <w:highlight w:val="none"/>
        </w:rPr>
        <w:tab/>
      </w:r>
      <w:r>
        <w:rPr>
          <w:color w:val="auto"/>
          <w:highlight w:val="none"/>
        </w:rPr>
        <w:fldChar w:fldCharType="begin"/>
      </w:r>
      <w:r>
        <w:rPr>
          <w:color w:val="auto"/>
          <w:highlight w:val="none"/>
        </w:rPr>
        <w:instrText xml:space="preserve"> PAGEREF _Toc2618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24"/>
          <w:highlight w:val="none"/>
        </w:rPr>
        <w:fldChar w:fldCharType="end"/>
      </w:r>
    </w:p>
    <w:p w14:paraId="4E1D5BBE">
      <w:pPr>
        <w:pStyle w:val="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_Toc22936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w:t>
      </w:r>
      <w:r>
        <w:rPr>
          <w:rFonts w:hint="eastAsia" w:ascii="宋体" w:hAnsi="宋体" w:eastAsia="宋体" w:cs="宋体"/>
          <w:bCs/>
          <w:color w:val="auto"/>
          <w:spacing w:val="-4"/>
          <w:szCs w:val="24"/>
          <w:highlight w:val="none"/>
          <w:lang w:eastAsia="zh-CN"/>
        </w:rPr>
        <w:t>五</w:t>
      </w:r>
      <w:r>
        <w:rPr>
          <w:rFonts w:hint="eastAsia" w:ascii="宋体" w:hAnsi="宋体" w:eastAsia="宋体" w:cs="宋体"/>
          <w:bCs/>
          <w:color w:val="auto"/>
          <w:spacing w:val="-4"/>
          <w:szCs w:val="24"/>
          <w:highlight w:val="none"/>
        </w:rPr>
        <w:t xml:space="preserve">  原件一览表</w:t>
      </w:r>
      <w:r>
        <w:rPr>
          <w:color w:val="auto"/>
          <w:highlight w:val="none"/>
        </w:rPr>
        <w:tab/>
      </w:r>
      <w:r>
        <w:rPr>
          <w:color w:val="auto"/>
          <w:highlight w:val="none"/>
        </w:rPr>
        <w:fldChar w:fldCharType="begin"/>
      </w:r>
      <w:r>
        <w:rPr>
          <w:color w:val="auto"/>
          <w:highlight w:val="none"/>
        </w:rPr>
        <w:instrText xml:space="preserve"> PAGEREF _Toc22936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24"/>
          <w:highlight w:val="none"/>
        </w:rPr>
        <w:fldChar w:fldCharType="end"/>
      </w:r>
    </w:p>
    <w:p w14:paraId="7AC13A52">
      <w:pPr>
        <w:pStyle w:val="11"/>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_Toc28712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第七章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建设工程施工合同</w:t>
      </w:r>
      <w:r>
        <w:rPr>
          <w:color w:val="auto"/>
          <w:highlight w:val="none"/>
        </w:rPr>
        <w:tab/>
      </w:r>
      <w:r>
        <w:rPr>
          <w:color w:val="auto"/>
          <w:highlight w:val="none"/>
        </w:rPr>
        <w:fldChar w:fldCharType="begin"/>
      </w:r>
      <w:r>
        <w:rPr>
          <w:color w:val="auto"/>
          <w:highlight w:val="none"/>
        </w:rPr>
        <w:instrText xml:space="preserve"> PAGEREF _Toc28712 \h </w:instrText>
      </w:r>
      <w:r>
        <w:rPr>
          <w:color w:val="auto"/>
          <w:highlight w:val="none"/>
        </w:rPr>
        <w:fldChar w:fldCharType="separate"/>
      </w:r>
      <w:r>
        <w:rPr>
          <w:color w:val="auto"/>
          <w:highlight w:val="none"/>
        </w:rPr>
        <w:t>81</w:t>
      </w:r>
      <w:r>
        <w:rPr>
          <w:color w:val="auto"/>
          <w:highlight w:val="none"/>
        </w:rPr>
        <w:fldChar w:fldCharType="end"/>
      </w:r>
      <w:r>
        <w:rPr>
          <w:rFonts w:hint="eastAsia" w:ascii="宋体" w:hAnsi="宋体" w:eastAsia="宋体" w:cs="宋体"/>
          <w:color w:val="auto"/>
          <w:szCs w:val="24"/>
          <w:highlight w:val="none"/>
        </w:rPr>
        <w:fldChar w:fldCharType="end"/>
      </w:r>
    </w:p>
    <w:p w14:paraId="7D6E28FF">
      <w:pPr>
        <w:spacing w:line="360" w:lineRule="auto"/>
        <w:jc w:val="center"/>
        <w:rPr>
          <w:rFonts w:hint="eastAsia" w:ascii="宋体" w:hAnsi="宋体" w:eastAsia="宋体" w:cs="宋体"/>
          <w:color w:val="auto"/>
          <w:sz w:val="24"/>
          <w:szCs w:val="24"/>
          <w:highlight w:val="none"/>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color w:val="auto"/>
          <w:szCs w:val="24"/>
          <w:highlight w:val="none"/>
        </w:rPr>
        <w:fldChar w:fldCharType="end"/>
      </w:r>
    </w:p>
    <w:p w14:paraId="2490D361">
      <w:pPr>
        <w:pStyle w:val="5"/>
        <w:spacing w:line="272" w:lineRule="auto"/>
        <w:rPr>
          <w:rFonts w:hint="eastAsia" w:ascii="宋体" w:hAnsi="宋体" w:eastAsia="宋体" w:cs="宋体"/>
          <w:color w:val="auto"/>
          <w:highlight w:val="none"/>
        </w:rPr>
      </w:pPr>
    </w:p>
    <w:p w14:paraId="7563EFB3">
      <w:pPr>
        <w:spacing w:before="78" w:line="219" w:lineRule="auto"/>
        <w:ind w:left="3416"/>
        <w:outlineLvl w:val="0"/>
        <w:rPr>
          <w:rFonts w:hint="eastAsia" w:ascii="宋体" w:hAnsi="宋体" w:eastAsia="宋体" w:cs="宋体"/>
          <w:color w:val="auto"/>
          <w:sz w:val="24"/>
          <w:szCs w:val="24"/>
          <w:highlight w:val="none"/>
        </w:rPr>
      </w:pPr>
      <w:bookmarkStart w:id="0" w:name="bookmark1"/>
      <w:bookmarkEnd w:id="0"/>
      <w:bookmarkStart w:id="1" w:name="_Toc28044"/>
      <w:r>
        <w:rPr>
          <w:rFonts w:hint="eastAsia" w:ascii="宋体" w:hAnsi="宋体" w:eastAsia="宋体" w:cs="宋体"/>
          <w:b/>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w:t>
      </w:r>
      <w:bookmarkEnd w:id="1"/>
    </w:p>
    <w:p w14:paraId="77310B88">
      <w:pPr>
        <w:spacing w:before="156" w:line="219" w:lineRule="auto"/>
        <w:ind w:left="17"/>
        <w:outlineLvl w:val="1"/>
        <w:rPr>
          <w:rFonts w:hint="eastAsia" w:ascii="宋体" w:hAnsi="宋体" w:eastAsia="宋体" w:cs="宋体"/>
          <w:color w:val="auto"/>
          <w:sz w:val="24"/>
          <w:szCs w:val="24"/>
          <w:highlight w:val="none"/>
        </w:rPr>
      </w:pPr>
      <w:bookmarkStart w:id="2" w:name="bookmark3"/>
      <w:bookmarkEnd w:id="2"/>
      <w:bookmarkStart w:id="3" w:name="_Toc23469"/>
      <w:r>
        <w:rPr>
          <w:rFonts w:hint="eastAsia" w:ascii="宋体" w:hAnsi="宋体" w:eastAsia="宋体" w:cs="宋体"/>
          <w:b/>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投标人须知前附表</w:t>
      </w:r>
      <w:bookmarkEnd w:id="3"/>
    </w:p>
    <w:p w14:paraId="0D81A58A">
      <w:pPr>
        <w:spacing w:before="25"/>
        <w:rPr>
          <w:rFonts w:hint="eastAsia" w:ascii="宋体" w:hAnsi="宋体" w:eastAsia="宋体" w:cs="宋体"/>
          <w:color w:val="auto"/>
          <w:highlight w:val="none"/>
        </w:rPr>
      </w:pPr>
    </w:p>
    <w:tbl>
      <w:tblPr>
        <w:tblStyle w:val="14"/>
        <w:tblW w:w="100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575"/>
      </w:tblGrid>
      <w:tr w14:paraId="643D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top"/>
          </w:tcPr>
          <w:p w14:paraId="08DF769D">
            <w:pPr>
              <w:spacing w:before="203" w:line="209"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1860" w:type="dxa"/>
            <w:vAlign w:val="center"/>
          </w:tcPr>
          <w:p w14:paraId="25EB3E4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内容</w:t>
            </w:r>
          </w:p>
        </w:tc>
        <w:tc>
          <w:tcPr>
            <w:tcW w:w="7575" w:type="dxa"/>
            <w:vAlign w:val="center"/>
          </w:tcPr>
          <w:p w14:paraId="59712F2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说明与要求</w:t>
            </w:r>
          </w:p>
        </w:tc>
      </w:tr>
      <w:tr w14:paraId="40CB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05AD7A2E">
            <w:pPr>
              <w:spacing w:before="223" w:line="195" w:lineRule="auto"/>
              <w:jc w:val="center"/>
              <w:rPr>
                <w:rFonts w:hint="eastAsia" w:asciiTheme="minorEastAsia" w:hAnsiTheme="minorEastAsia" w:eastAsiaTheme="minorEastAsia" w:cstheme="minorEastAsia"/>
                <w:color w:val="auto"/>
                <w:sz w:val="21"/>
                <w:szCs w:val="21"/>
                <w:highlight w:val="none"/>
              </w:rPr>
            </w:pPr>
            <w:bookmarkStart w:id="4" w:name="OLE_LINK2" w:colFirst="2" w:colLast="2"/>
            <w:r>
              <w:rPr>
                <w:rFonts w:hint="eastAsia" w:asciiTheme="minorEastAsia" w:hAnsiTheme="minorEastAsia" w:eastAsiaTheme="minorEastAsia" w:cstheme="minorEastAsia"/>
                <w:color w:val="auto"/>
                <w:sz w:val="21"/>
                <w:szCs w:val="21"/>
                <w:highlight w:val="none"/>
              </w:rPr>
              <w:t>1</w:t>
            </w:r>
          </w:p>
        </w:tc>
        <w:tc>
          <w:tcPr>
            <w:tcW w:w="1860" w:type="dxa"/>
            <w:vAlign w:val="center"/>
          </w:tcPr>
          <w:p w14:paraId="75A1960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项目名称</w:t>
            </w:r>
          </w:p>
        </w:tc>
        <w:tc>
          <w:tcPr>
            <w:tcW w:w="7575" w:type="dxa"/>
            <w:vAlign w:val="center"/>
          </w:tcPr>
          <w:p w14:paraId="1C1ED9C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韶关市仁化县丹霞街道乡村绿化景观带提升工程(夏富段)施工</w:t>
            </w:r>
          </w:p>
        </w:tc>
      </w:tr>
      <w:tr w14:paraId="0D59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582" w:type="dxa"/>
            <w:vAlign w:val="center"/>
          </w:tcPr>
          <w:p w14:paraId="40051745">
            <w:pPr>
              <w:spacing w:before="22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60" w:type="dxa"/>
            <w:vAlign w:val="center"/>
          </w:tcPr>
          <w:p w14:paraId="1CB6983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项目业主</w:t>
            </w:r>
          </w:p>
        </w:tc>
        <w:tc>
          <w:tcPr>
            <w:tcW w:w="7575" w:type="dxa"/>
            <w:vAlign w:val="center"/>
          </w:tcPr>
          <w:p w14:paraId="71DAC3D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仁化县丹霞街道办事处</w:t>
            </w:r>
          </w:p>
        </w:tc>
      </w:tr>
      <w:tr w14:paraId="7495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582" w:type="dxa"/>
            <w:vAlign w:val="center"/>
          </w:tcPr>
          <w:p w14:paraId="18EB04CF">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860" w:type="dxa"/>
            <w:vAlign w:val="center"/>
          </w:tcPr>
          <w:p w14:paraId="404BB17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项目批准部门及项目批准文号</w:t>
            </w:r>
          </w:p>
        </w:tc>
        <w:tc>
          <w:tcPr>
            <w:tcW w:w="7575" w:type="dxa"/>
            <w:vAlign w:val="center"/>
          </w:tcPr>
          <w:p w14:paraId="0007BDA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仁化县发展改革和政务数据局</w:t>
            </w:r>
          </w:p>
          <w:p w14:paraId="081A015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仁发改和政数投审【2025】99号</w:t>
            </w:r>
          </w:p>
        </w:tc>
      </w:tr>
      <w:tr w14:paraId="57C7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65090686">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w:t>
            </w:r>
          </w:p>
        </w:tc>
        <w:tc>
          <w:tcPr>
            <w:tcW w:w="1860" w:type="dxa"/>
            <w:vAlign w:val="center"/>
          </w:tcPr>
          <w:p w14:paraId="4E47338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建设地点</w:t>
            </w:r>
          </w:p>
        </w:tc>
        <w:tc>
          <w:tcPr>
            <w:tcW w:w="7575" w:type="dxa"/>
            <w:tcMar>
              <w:top w:w="0" w:type="dxa"/>
              <w:left w:w="0" w:type="dxa"/>
              <w:bottom w:w="0" w:type="dxa"/>
              <w:right w:w="0" w:type="dxa"/>
            </w:tcMar>
            <w:vAlign w:val="center"/>
          </w:tcPr>
          <w:p w14:paraId="36F1663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仁化县丹霞街道夏富村</w:t>
            </w:r>
          </w:p>
        </w:tc>
      </w:tr>
      <w:tr w14:paraId="3185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582" w:type="dxa"/>
            <w:vAlign w:val="center"/>
          </w:tcPr>
          <w:p w14:paraId="1826622A">
            <w:pPr>
              <w:spacing w:before="226"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860" w:type="dxa"/>
            <w:vAlign w:val="center"/>
          </w:tcPr>
          <w:p w14:paraId="4447669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项目代码</w:t>
            </w:r>
          </w:p>
        </w:tc>
        <w:tc>
          <w:tcPr>
            <w:tcW w:w="7575" w:type="dxa"/>
            <w:vAlign w:val="center"/>
          </w:tcPr>
          <w:p w14:paraId="4CF02E6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2503-440224-04-01-473182</w:t>
            </w:r>
          </w:p>
        </w:tc>
      </w:tr>
      <w:tr w14:paraId="4553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42BEA9DA">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860" w:type="dxa"/>
            <w:vAlign w:val="center"/>
          </w:tcPr>
          <w:p w14:paraId="51D21B6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资金来源及落实情况</w:t>
            </w:r>
          </w:p>
        </w:tc>
        <w:tc>
          <w:tcPr>
            <w:tcW w:w="7575" w:type="dxa"/>
            <w:vAlign w:val="center"/>
          </w:tcPr>
          <w:p w14:paraId="79FED43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上级资金和县级财政资金安排解决，100%</w:t>
            </w:r>
          </w:p>
        </w:tc>
      </w:tr>
      <w:tr w14:paraId="65F6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582" w:type="dxa"/>
            <w:vAlign w:val="center"/>
          </w:tcPr>
          <w:p w14:paraId="66CCC628">
            <w:pPr>
              <w:spacing w:before="228"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860" w:type="dxa"/>
            <w:vAlign w:val="center"/>
          </w:tcPr>
          <w:p w14:paraId="29642BC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招标人</w:t>
            </w:r>
          </w:p>
        </w:tc>
        <w:tc>
          <w:tcPr>
            <w:tcW w:w="7575" w:type="dxa"/>
            <w:vAlign w:val="center"/>
          </w:tcPr>
          <w:p w14:paraId="7D75E70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仁化县丹霞街道办事处</w:t>
            </w:r>
          </w:p>
        </w:tc>
      </w:tr>
      <w:tr w14:paraId="2CCD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C509C5A">
            <w:pPr>
              <w:spacing w:before="224"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860" w:type="dxa"/>
            <w:vAlign w:val="center"/>
          </w:tcPr>
          <w:p w14:paraId="26CBB0A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招标代理机构</w:t>
            </w:r>
          </w:p>
        </w:tc>
        <w:tc>
          <w:tcPr>
            <w:tcW w:w="7575" w:type="dxa"/>
            <w:vAlign w:val="center"/>
          </w:tcPr>
          <w:p w14:paraId="76CF83E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韶关众信项目管理有限公司</w:t>
            </w:r>
          </w:p>
        </w:tc>
      </w:tr>
      <w:tr w14:paraId="2667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3336267F">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860" w:type="dxa"/>
            <w:vAlign w:val="center"/>
          </w:tcPr>
          <w:p w14:paraId="31DB654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设计单位</w:t>
            </w:r>
          </w:p>
        </w:tc>
        <w:tc>
          <w:tcPr>
            <w:tcW w:w="7575" w:type="dxa"/>
            <w:vAlign w:val="center"/>
          </w:tcPr>
          <w:p w14:paraId="2EFE90C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广州市彩风景观规划设计有限公司</w:t>
            </w:r>
          </w:p>
        </w:tc>
      </w:tr>
      <w:bookmarkEnd w:id="4"/>
      <w:tr w14:paraId="30CC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582" w:type="dxa"/>
            <w:vAlign w:val="center"/>
          </w:tcPr>
          <w:p w14:paraId="059A18CB">
            <w:pPr>
              <w:spacing w:before="24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w:t>
            </w:r>
          </w:p>
        </w:tc>
        <w:tc>
          <w:tcPr>
            <w:tcW w:w="1860" w:type="dxa"/>
            <w:vAlign w:val="center"/>
          </w:tcPr>
          <w:p w14:paraId="2AF3E30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造价咨询单位</w:t>
            </w:r>
          </w:p>
        </w:tc>
        <w:tc>
          <w:tcPr>
            <w:tcW w:w="7575" w:type="dxa"/>
            <w:vAlign w:val="center"/>
          </w:tcPr>
          <w:p w14:paraId="3722E6C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☑非全过程造价咨询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p>
        </w:tc>
      </w:tr>
      <w:tr w14:paraId="7D61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582" w:type="dxa"/>
            <w:vAlign w:val="center"/>
          </w:tcPr>
          <w:p w14:paraId="0C6FE8E0">
            <w:pPr>
              <w:spacing w:before="24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11</w:t>
            </w:r>
          </w:p>
        </w:tc>
        <w:tc>
          <w:tcPr>
            <w:tcW w:w="1860" w:type="dxa"/>
            <w:vAlign w:val="center"/>
          </w:tcPr>
          <w:p w14:paraId="01C311D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监理单位</w:t>
            </w:r>
          </w:p>
        </w:tc>
        <w:tc>
          <w:tcPr>
            <w:tcW w:w="7575" w:type="dxa"/>
            <w:vAlign w:val="center"/>
          </w:tcPr>
          <w:p w14:paraId="7F28878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□已确定监理单位</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☑未确定监理单位</w:t>
            </w:r>
          </w:p>
        </w:tc>
      </w:tr>
      <w:tr w14:paraId="4CB2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0C47F59D">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1</w:t>
            </w:r>
            <w:r>
              <w:rPr>
                <w:rFonts w:hint="eastAsia" w:asciiTheme="minorEastAsia" w:hAnsiTheme="minorEastAsia" w:eastAsiaTheme="minorEastAsia" w:cstheme="minorEastAsia"/>
                <w:color w:val="auto"/>
                <w:spacing w:val="-8"/>
                <w:sz w:val="21"/>
                <w:szCs w:val="21"/>
                <w:highlight w:val="none"/>
              </w:rPr>
              <w:t>2</w:t>
            </w:r>
          </w:p>
        </w:tc>
        <w:tc>
          <w:tcPr>
            <w:tcW w:w="1860" w:type="dxa"/>
            <w:vAlign w:val="center"/>
          </w:tcPr>
          <w:p w14:paraId="11BB031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建设内容和规模</w:t>
            </w:r>
          </w:p>
        </w:tc>
        <w:tc>
          <w:tcPr>
            <w:tcW w:w="7575" w:type="dxa"/>
            <w:vAlign w:val="center"/>
          </w:tcPr>
          <w:p w14:paraId="78E03F2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□建设规模：</w:t>
            </w:r>
            <w:r>
              <w:rPr>
                <w:rFonts w:hint="eastAsia" w:asciiTheme="minorEastAsia" w:hAnsiTheme="minorEastAsia" w:eastAsiaTheme="minorEastAsia" w:cstheme="minorEastAsia"/>
                <w:snapToGrid w:val="0"/>
                <w:color w:val="auto"/>
                <w:kern w:val="0"/>
                <w:sz w:val="21"/>
                <w:szCs w:val="21"/>
                <w:highlight w:val="none"/>
                <w:lang w:val="en-US" w:eastAsia="zh-CN"/>
              </w:rPr>
              <w:t>/</w:t>
            </w:r>
          </w:p>
          <w:p w14:paraId="72B9F46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w:t>
            </w:r>
            <w:r>
              <w:rPr>
                <w:rFonts w:hint="eastAsia" w:asciiTheme="minorEastAsia" w:hAnsiTheme="minorEastAsia" w:eastAsiaTheme="minorEastAsia" w:cstheme="minorEastAsia"/>
                <w:snapToGrid w:val="0"/>
                <w:color w:val="auto"/>
                <w:kern w:val="0"/>
                <w:sz w:val="21"/>
                <w:szCs w:val="21"/>
                <w:highlight w:val="none"/>
                <w:lang w:val="en-US" w:eastAsia="zh-CN"/>
              </w:rPr>
              <w:t>对仁化县丹霞街道夏富村开展绿化示范点建设，共种植乔木、灌木约1889棵、地被植物约22986平方米，配套建设生态路、儿童活动场地、花池以及标识系统等设施。</w:t>
            </w:r>
          </w:p>
        </w:tc>
      </w:tr>
      <w:tr w14:paraId="038D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7" w:hRule="atLeast"/>
        </w:trPr>
        <w:tc>
          <w:tcPr>
            <w:tcW w:w="582" w:type="dxa"/>
            <w:vAlign w:val="center"/>
          </w:tcPr>
          <w:p w14:paraId="5A5A6F18">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13</w:t>
            </w:r>
          </w:p>
        </w:tc>
        <w:tc>
          <w:tcPr>
            <w:tcW w:w="1860" w:type="dxa"/>
            <w:vAlign w:val="center"/>
          </w:tcPr>
          <w:p w14:paraId="4EBA522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项目总投资</w:t>
            </w:r>
          </w:p>
        </w:tc>
        <w:tc>
          <w:tcPr>
            <w:tcW w:w="7575" w:type="dxa"/>
            <w:vAlign w:val="center"/>
          </w:tcPr>
          <w:p w14:paraId="7E75510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项目概算总投资788.72万元，其中工程费用726.63万元、工程建设其他费用46.63万元、预备费用15.46万元。</w:t>
            </w:r>
          </w:p>
        </w:tc>
      </w:tr>
      <w:tr w14:paraId="6A58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582" w:type="dxa"/>
            <w:vAlign w:val="center"/>
          </w:tcPr>
          <w:p w14:paraId="0AB14AD9">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14</w:t>
            </w:r>
          </w:p>
        </w:tc>
        <w:tc>
          <w:tcPr>
            <w:tcW w:w="1860" w:type="dxa"/>
            <w:vAlign w:val="center"/>
          </w:tcPr>
          <w:p w14:paraId="12E0423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招标范围</w:t>
            </w:r>
          </w:p>
        </w:tc>
        <w:tc>
          <w:tcPr>
            <w:tcW w:w="7575" w:type="dxa"/>
            <w:vAlign w:val="center"/>
          </w:tcPr>
          <w:p w14:paraId="77A93A9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按审查合格的施工图纸及工程量清单内容施工</w:t>
            </w:r>
          </w:p>
        </w:tc>
      </w:tr>
      <w:tr w14:paraId="2F85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582" w:type="dxa"/>
            <w:vAlign w:val="center"/>
          </w:tcPr>
          <w:p w14:paraId="6AFCE941">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15</w:t>
            </w:r>
          </w:p>
        </w:tc>
        <w:tc>
          <w:tcPr>
            <w:tcW w:w="1860" w:type="dxa"/>
            <w:vAlign w:val="center"/>
          </w:tcPr>
          <w:p w14:paraId="59C2809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标段划分</w:t>
            </w:r>
          </w:p>
        </w:tc>
        <w:tc>
          <w:tcPr>
            <w:tcW w:w="7575" w:type="dxa"/>
            <w:vAlign w:val="center"/>
          </w:tcPr>
          <w:p w14:paraId="1685DFA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本招标项目不划分标段。 </w:t>
            </w:r>
          </w:p>
        </w:tc>
      </w:tr>
      <w:tr w14:paraId="64AB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9" w:hRule="atLeast"/>
        </w:trPr>
        <w:tc>
          <w:tcPr>
            <w:tcW w:w="582" w:type="dxa"/>
            <w:vAlign w:val="center"/>
          </w:tcPr>
          <w:p w14:paraId="036AC973">
            <w:pPr>
              <w:spacing w:before="57" w:line="195"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16</w:t>
            </w:r>
          </w:p>
        </w:tc>
        <w:tc>
          <w:tcPr>
            <w:tcW w:w="1860" w:type="dxa"/>
            <w:vAlign w:val="center"/>
          </w:tcPr>
          <w:p w14:paraId="08BC6CC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工期</w:t>
            </w:r>
          </w:p>
        </w:tc>
        <w:tc>
          <w:tcPr>
            <w:tcW w:w="7575" w:type="dxa"/>
            <w:vAlign w:val="center"/>
          </w:tcPr>
          <w:p w14:paraId="54B6E2D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kern w:val="0"/>
                <w:sz w:val="21"/>
                <w:szCs w:val="21"/>
                <w:highlight w:val="none"/>
                <w:lang w:val="en-US" w:eastAsia="zh-CN"/>
              </w:rPr>
              <w:t>90个日历天</w:t>
            </w:r>
            <w:r>
              <w:rPr>
                <w:rFonts w:hint="eastAsia" w:asciiTheme="minorEastAsia" w:hAnsiTheme="minorEastAsia" w:eastAsiaTheme="minorEastAsia" w:cstheme="minorEastAsia"/>
                <w:snapToGrid w:val="0"/>
                <w:color w:val="auto"/>
                <w:kern w:val="0"/>
                <w:sz w:val="21"/>
                <w:szCs w:val="21"/>
                <w:highlight w:val="none"/>
                <w:lang w:eastAsia="zh-CN"/>
              </w:rPr>
              <w:t>。具体如下：</w:t>
            </w:r>
          </w:p>
          <w:p w14:paraId="334C407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☑总工期： </w:t>
            </w:r>
            <w:r>
              <w:rPr>
                <w:rFonts w:hint="eastAsia" w:asciiTheme="minorEastAsia" w:hAnsiTheme="minorEastAsia" w:eastAsiaTheme="minorEastAsia" w:cstheme="minorEastAsia"/>
                <w:snapToGrid w:val="0"/>
                <w:color w:val="auto"/>
                <w:kern w:val="0"/>
                <w:sz w:val="21"/>
                <w:szCs w:val="21"/>
                <w:highlight w:val="none"/>
                <w:lang w:val="en-US" w:eastAsia="zh-CN"/>
              </w:rPr>
              <w:t>90</w:t>
            </w:r>
            <w:r>
              <w:rPr>
                <w:rFonts w:hint="eastAsia" w:asciiTheme="minorEastAsia" w:hAnsiTheme="minorEastAsia" w:eastAsiaTheme="minorEastAsia" w:cstheme="minorEastAsia"/>
                <w:snapToGrid w:val="0"/>
                <w:color w:val="auto"/>
                <w:kern w:val="0"/>
                <w:sz w:val="21"/>
                <w:szCs w:val="21"/>
                <w:highlight w:val="none"/>
                <w:lang w:eastAsia="zh-CN"/>
              </w:rPr>
              <w:t>天 （日历天）。</w:t>
            </w:r>
          </w:p>
          <w:p w14:paraId="53FFE73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□计划开工日期：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日（具体开工日期以合同为准）</w:t>
            </w:r>
          </w:p>
          <w:p w14:paraId="6910F40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□计划竣工日期：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w:t>
            </w:r>
          </w:p>
          <w:p w14:paraId="08D2E36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□除上述总工期外，发包人还要求以下阶段工期：        </w:t>
            </w:r>
          </w:p>
        </w:tc>
      </w:tr>
      <w:tr w14:paraId="5261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582" w:type="dxa"/>
            <w:vAlign w:val="center"/>
          </w:tcPr>
          <w:p w14:paraId="573A6916">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17</w:t>
            </w:r>
          </w:p>
        </w:tc>
        <w:tc>
          <w:tcPr>
            <w:tcW w:w="1860" w:type="dxa"/>
            <w:vAlign w:val="center"/>
          </w:tcPr>
          <w:p w14:paraId="175A2BC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质量</w:t>
            </w:r>
            <w:r>
              <w:rPr>
                <w:rFonts w:hint="eastAsia" w:asciiTheme="minorEastAsia" w:hAnsiTheme="minorEastAsia" w:eastAsiaTheme="minorEastAsia" w:cstheme="minorEastAsia"/>
                <w:snapToGrid w:val="0"/>
                <w:color w:val="auto"/>
                <w:kern w:val="0"/>
                <w:sz w:val="21"/>
                <w:szCs w:val="21"/>
                <w:highlight w:val="none"/>
                <w:lang w:val="en-US" w:eastAsia="zh-CN"/>
              </w:rPr>
              <w:t>标准及目标</w:t>
            </w:r>
          </w:p>
        </w:tc>
        <w:tc>
          <w:tcPr>
            <w:tcW w:w="7575" w:type="dxa"/>
            <w:vAlign w:val="center"/>
          </w:tcPr>
          <w:p w14:paraId="2D76A21D">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符合现行国家有关工程施工质量验收规范和标准的要求，达到验收合格标准。</w:t>
            </w:r>
          </w:p>
        </w:tc>
      </w:tr>
      <w:tr w14:paraId="6E88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3" w:hRule="atLeast"/>
        </w:trPr>
        <w:tc>
          <w:tcPr>
            <w:tcW w:w="582" w:type="dxa"/>
            <w:vMerge w:val="restart"/>
            <w:vAlign w:val="center"/>
          </w:tcPr>
          <w:p w14:paraId="06F324FE">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18</w:t>
            </w:r>
          </w:p>
        </w:tc>
        <w:tc>
          <w:tcPr>
            <w:tcW w:w="1860" w:type="dxa"/>
            <w:vMerge w:val="restart"/>
            <w:vAlign w:val="center"/>
          </w:tcPr>
          <w:p w14:paraId="7F9C343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合同类型</w:t>
            </w:r>
          </w:p>
        </w:tc>
        <w:tc>
          <w:tcPr>
            <w:tcW w:w="7575" w:type="dxa"/>
            <w:vAlign w:val="center"/>
          </w:tcPr>
          <w:p w14:paraId="396213E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☑单价合同：发承包双方约定以工程量清单及其综合单价进行合同价款计算、调整和确认的建设工程施工合同。</w:t>
            </w:r>
          </w:p>
          <w:p w14:paraId="46B0D59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 量依据承包人实际完成且应予计量的工程量确定。</w:t>
            </w:r>
          </w:p>
        </w:tc>
      </w:tr>
      <w:tr w14:paraId="38DF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7" w:hRule="atLeast"/>
        </w:trPr>
        <w:tc>
          <w:tcPr>
            <w:tcW w:w="582" w:type="dxa"/>
            <w:vMerge w:val="continue"/>
            <w:vAlign w:val="center"/>
          </w:tcPr>
          <w:p w14:paraId="03F371E0">
            <w:pPr>
              <w:spacing w:before="57" w:line="195" w:lineRule="auto"/>
              <w:jc w:val="center"/>
              <w:rPr>
                <w:rFonts w:hint="eastAsia" w:asciiTheme="minorEastAsia" w:hAnsiTheme="minorEastAsia" w:eastAsiaTheme="minorEastAsia" w:cstheme="minorEastAsia"/>
                <w:color w:val="auto"/>
                <w:spacing w:val="-8"/>
                <w:sz w:val="21"/>
                <w:szCs w:val="21"/>
                <w:highlight w:val="none"/>
              </w:rPr>
            </w:pPr>
          </w:p>
        </w:tc>
        <w:tc>
          <w:tcPr>
            <w:tcW w:w="1860" w:type="dxa"/>
            <w:vMerge w:val="continue"/>
            <w:vAlign w:val="center"/>
          </w:tcPr>
          <w:p w14:paraId="198CA68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p>
        </w:tc>
        <w:tc>
          <w:tcPr>
            <w:tcW w:w="7575" w:type="dxa"/>
            <w:vAlign w:val="center"/>
          </w:tcPr>
          <w:p w14:paraId="04A1F55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□总价合同：发承包双方约定以施工图及其预算和有关条件进行合同价款计算、调整和确认的建设工程施工合同。 </w:t>
            </w:r>
          </w:p>
          <w:p w14:paraId="07E6E25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24F4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1C283AAA">
            <w:pPr>
              <w:spacing w:before="1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19</w:t>
            </w:r>
          </w:p>
        </w:tc>
        <w:tc>
          <w:tcPr>
            <w:tcW w:w="1860" w:type="dxa"/>
            <w:vAlign w:val="center"/>
          </w:tcPr>
          <w:p w14:paraId="0B0E873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房屋建筑工程绿色建筑标准</w:t>
            </w:r>
          </w:p>
        </w:tc>
        <w:tc>
          <w:tcPr>
            <w:tcW w:w="7575" w:type="dxa"/>
            <w:vAlign w:val="center"/>
          </w:tcPr>
          <w:p w14:paraId="5E75CC56">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纳入绿色建设实施范围。</w:t>
            </w:r>
          </w:p>
        </w:tc>
      </w:tr>
      <w:tr w14:paraId="321B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trPr>
        <w:tc>
          <w:tcPr>
            <w:tcW w:w="582" w:type="dxa"/>
            <w:vAlign w:val="center"/>
          </w:tcPr>
          <w:p w14:paraId="48A8505C">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19.</w:t>
            </w:r>
            <w:r>
              <w:rPr>
                <w:rFonts w:hint="eastAsia" w:asciiTheme="minorEastAsia" w:hAnsiTheme="minorEastAsia" w:eastAsiaTheme="minorEastAsia" w:cstheme="minorEastAsia"/>
                <w:color w:val="auto"/>
                <w:spacing w:val="-26"/>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1</w:t>
            </w:r>
          </w:p>
        </w:tc>
        <w:tc>
          <w:tcPr>
            <w:tcW w:w="1860" w:type="dxa"/>
            <w:vAlign w:val="center"/>
          </w:tcPr>
          <w:p w14:paraId="15C7675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装配式建筑标准</w:t>
            </w:r>
          </w:p>
        </w:tc>
        <w:tc>
          <w:tcPr>
            <w:tcW w:w="7575" w:type="dxa"/>
            <w:vAlign w:val="center"/>
          </w:tcPr>
          <w:p w14:paraId="78AA6CA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纳入装配式建造建设实施范围。</w:t>
            </w:r>
          </w:p>
        </w:tc>
      </w:tr>
      <w:tr w14:paraId="1874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6" w:hRule="atLeast"/>
        </w:trPr>
        <w:tc>
          <w:tcPr>
            <w:tcW w:w="582" w:type="dxa"/>
            <w:vAlign w:val="center"/>
          </w:tcPr>
          <w:p w14:paraId="7008A74D">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20</w:t>
            </w:r>
          </w:p>
        </w:tc>
        <w:tc>
          <w:tcPr>
            <w:tcW w:w="1860" w:type="dxa"/>
            <w:vAlign w:val="center"/>
          </w:tcPr>
          <w:p w14:paraId="1D7C91D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w:t>
            </w:r>
          </w:p>
        </w:tc>
        <w:tc>
          <w:tcPr>
            <w:tcW w:w="7575" w:type="dxa"/>
            <w:vAlign w:val="center"/>
          </w:tcPr>
          <w:p w14:paraId="0F2D39D4">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 ☑无     □有：</w:t>
            </w:r>
          </w:p>
        </w:tc>
      </w:tr>
      <w:tr w14:paraId="1ACB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5" w:hRule="atLeast"/>
        </w:trPr>
        <w:tc>
          <w:tcPr>
            <w:tcW w:w="582" w:type="dxa"/>
            <w:vAlign w:val="center"/>
          </w:tcPr>
          <w:p w14:paraId="53631232">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21</w:t>
            </w:r>
          </w:p>
        </w:tc>
        <w:tc>
          <w:tcPr>
            <w:tcW w:w="1860" w:type="dxa"/>
            <w:vAlign w:val="center"/>
          </w:tcPr>
          <w:p w14:paraId="3956381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承包人提供材料和工程设备</w:t>
            </w:r>
          </w:p>
        </w:tc>
        <w:tc>
          <w:tcPr>
            <w:tcW w:w="7575" w:type="dxa"/>
            <w:vAlign w:val="top"/>
          </w:tcPr>
          <w:p w14:paraId="2DE2ED0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除招标文件约定的发包人提供的甲供材料外，合同工程所需的材料和工程设备应由承包人负责采购、运输和保管，并对其采购的材料 和工程设备提供质量证明文件，满足合同约定的质量标准。若承包人提供的材料和工程设备没有合格证明材料或经检测不符合合同约定 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2BA5AC3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□其它说明：鼓励承包人积极采购环保产品进行施工。</w:t>
            </w:r>
          </w:p>
        </w:tc>
      </w:tr>
      <w:tr w14:paraId="6EAC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trPr>
        <w:tc>
          <w:tcPr>
            <w:tcW w:w="582" w:type="dxa"/>
            <w:vAlign w:val="center"/>
          </w:tcPr>
          <w:p w14:paraId="77B65420">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22</w:t>
            </w:r>
          </w:p>
        </w:tc>
        <w:tc>
          <w:tcPr>
            <w:tcW w:w="1860" w:type="dxa"/>
            <w:vAlign w:val="center"/>
          </w:tcPr>
          <w:p w14:paraId="60F8494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最高投标限价</w:t>
            </w:r>
          </w:p>
        </w:tc>
        <w:tc>
          <w:tcPr>
            <w:tcW w:w="7575" w:type="dxa"/>
            <w:vAlign w:val="center"/>
          </w:tcPr>
          <w:p w14:paraId="69663FE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项目最高投标限价、工程量清单、施工图在开标前15天另行发布于全国公共资源交易平台（广东省·韶关市）（https://ygp.gdzwfw.gov.cn/ggzy-portal/#/440200/index）、广东省招标投标监管网（https://www.gdzwfw.gov.cn/ztbjg-portal/#/index）网站，各投标人可在网站上自行下载。</w:t>
            </w:r>
          </w:p>
        </w:tc>
      </w:tr>
      <w:tr w14:paraId="797F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2" w:hRule="atLeast"/>
        </w:trPr>
        <w:tc>
          <w:tcPr>
            <w:tcW w:w="582" w:type="dxa"/>
            <w:vAlign w:val="center"/>
          </w:tcPr>
          <w:p w14:paraId="1612C29A">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23</w:t>
            </w:r>
          </w:p>
        </w:tc>
        <w:tc>
          <w:tcPr>
            <w:tcW w:w="1860" w:type="dxa"/>
            <w:vAlign w:val="center"/>
          </w:tcPr>
          <w:p w14:paraId="7F89B5C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投标人的投标报价</w:t>
            </w:r>
          </w:p>
        </w:tc>
        <w:tc>
          <w:tcPr>
            <w:tcW w:w="7575" w:type="dxa"/>
            <w:vAlign w:val="center"/>
          </w:tcPr>
          <w:p w14:paraId="1E92ABC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w:t>
            </w:r>
            <w:r>
              <w:rPr>
                <w:rFonts w:hint="eastAsia" w:asciiTheme="minorEastAsia" w:hAnsiTheme="minorEastAsia" w:eastAsiaTheme="minorEastAsia" w:cstheme="minorEastAsia"/>
                <w:snapToGrid w:val="0"/>
                <w:color w:val="auto"/>
                <w:kern w:val="0"/>
                <w:sz w:val="21"/>
                <w:szCs w:val="21"/>
                <w:highlight w:val="none"/>
                <w:lang w:val="en-US" w:eastAsia="zh-CN"/>
              </w:rPr>
              <w:t>最高投标限价</w:t>
            </w:r>
            <w:r>
              <w:rPr>
                <w:rFonts w:hint="eastAsia" w:asciiTheme="minorEastAsia" w:hAnsiTheme="minorEastAsia" w:eastAsiaTheme="minorEastAsia" w:cstheme="minorEastAsia"/>
                <w:snapToGrid w:val="0"/>
                <w:color w:val="auto"/>
                <w:kern w:val="0"/>
                <w:sz w:val="21"/>
                <w:szCs w:val="21"/>
                <w:highlight w:val="none"/>
                <w:lang w:eastAsia="zh-CN"/>
              </w:rPr>
              <w:t>。</w:t>
            </w:r>
          </w:p>
          <w:p w14:paraId="69B48BC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投标报价方式： ☑工程量清单</w:t>
            </w:r>
          </w:p>
        </w:tc>
      </w:tr>
      <w:tr w14:paraId="5BEC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280D6012">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24</w:t>
            </w:r>
          </w:p>
        </w:tc>
        <w:tc>
          <w:tcPr>
            <w:tcW w:w="1860" w:type="dxa"/>
            <w:vAlign w:val="center"/>
          </w:tcPr>
          <w:p w14:paraId="5931FCE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投标报价风险</w:t>
            </w:r>
          </w:p>
        </w:tc>
        <w:tc>
          <w:tcPr>
            <w:tcW w:w="7575" w:type="dxa"/>
            <w:vAlign w:val="center"/>
          </w:tcPr>
          <w:p w14:paraId="6EA3741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☑投标人依据招标文件约定自行考虑风险因素，一旦中标，投标报价（合同价）除合同另有约定外将不因市场变化而调整。</w:t>
            </w:r>
          </w:p>
          <w:p w14:paraId="4E0AF0E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15E1124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☑人工费、材料费、机具费、管理费、利润、措施项目费（不含安全生产措施费）投标人漏报或不报，招标人视为有关费用 已包括在工程量清单项目的其它单价及合价中不予另外增加。</w:t>
            </w:r>
          </w:p>
          <w:p w14:paraId="5191623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☑措施项目中的安全生产措施费，必须按国家、省级、市级（即工程所在地）行业建设主管部门的规定计算，不得作为竞争性费用。</w:t>
            </w:r>
          </w:p>
          <w:p w14:paraId="555C2FC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5A1BDAA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广东省建设工程计价依据（2018）》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564F764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74B7175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1053334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6818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4E4BCF81">
            <w:pPr>
              <w:spacing w:before="284"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25</w:t>
            </w:r>
          </w:p>
        </w:tc>
        <w:tc>
          <w:tcPr>
            <w:tcW w:w="1860" w:type="dxa"/>
            <w:vAlign w:val="center"/>
          </w:tcPr>
          <w:p w14:paraId="6B03190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投标费用</w:t>
            </w:r>
          </w:p>
        </w:tc>
        <w:tc>
          <w:tcPr>
            <w:tcW w:w="7575" w:type="dxa"/>
            <w:vAlign w:val="center"/>
          </w:tcPr>
          <w:p w14:paraId="4C0E33E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投标人自行承担编制与递交投标文件的一切费用。</w:t>
            </w:r>
          </w:p>
        </w:tc>
      </w:tr>
      <w:tr w14:paraId="2453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1" w:hRule="atLeast"/>
        </w:trPr>
        <w:tc>
          <w:tcPr>
            <w:tcW w:w="582" w:type="dxa"/>
            <w:vAlign w:val="center"/>
          </w:tcPr>
          <w:p w14:paraId="3C1D1D6E">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26</w:t>
            </w:r>
          </w:p>
        </w:tc>
        <w:tc>
          <w:tcPr>
            <w:tcW w:w="1860" w:type="dxa"/>
            <w:vAlign w:val="center"/>
          </w:tcPr>
          <w:p w14:paraId="57CC5B4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投标人资格要求</w:t>
            </w:r>
          </w:p>
        </w:tc>
        <w:tc>
          <w:tcPr>
            <w:tcW w:w="7575" w:type="dxa"/>
            <w:vAlign w:val="center"/>
          </w:tcPr>
          <w:p w14:paraId="23A31E6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1.本次招标不接受联合体投标。</w:t>
            </w:r>
          </w:p>
          <w:p w14:paraId="53491E6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2．资质要求</w:t>
            </w:r>
          </w:p>
          <w:p w14:paraId="6D320B9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 投标人须具备独立法人资格，按国家法律经营。</w:t>
            </w:r>
          </w:p>
          <w:p w14:paraId="5A5C344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2.2 投标人须持有建设行政主管部门颁发的企业资质证书及安全生产许可证。</w:t>
            </w:r>
          </w:p>
          <w:p w14:paraId="3676BE9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2.3 投标人须具备以下资质：</w:t>
            </w:r>
            <w:r>
              <w:rPr>
                <w:rFonts w:hint="eastAsia" w:asciiTheme="minorEastAsia" w:hAnsiTheme="minorEastAsia" w:eastAsiaTheme="minorEastAsia" w:cstheme="minorEastAsia"/>
                <w:b w:val="0"/>
                <w:bCs w:val="0"/>
                <w:color w:val="auto"/>
                <w:sz w:val="21"/>
                <w:szCs w:val="21"/>
                <w:highlight w:val="none"/>
                <w:u w:val="single"/>
                <w:lang w:val="en-US" w:eastAsia="zh-CN"/>
              </w:rPr>
              <w:t>具有建设行政主管部门颁发的市政公用工程施工总承包叁级以上（含叁级）资质。</w:t>
            </w:r>
          </w:p>
          <w:p w14:paraId="5984BED5">
            <w:pPr>
              <w:pageBreakBefore w:val="0"/>
              <w:widowControl w:val="0"/>
              <w:kinsoku/>
              <w:wordWrap w:val="0"/>
              <w:overflowPunct/>
              <w:topLinePunct w:val="0"/>
              <w:autoSpaceDE/>
              <w:autoSpaceDN/>
              <w:bidi w:val="0"/>
              <w:adjustRightInd w:val="0"/>
              <w:snapToGrid w:val="0"/>
              <w:spacing w:line="400" w:lineRule="exact"/>
              <w:ind w:left="0" w:leftChars="0" w:right="5" w:righ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2.4 </w:t>
            </w:r>
            <w:r>
              <w:rPr>
                <w:rFonts w:hint="eastAsia" w:asciiTheme="minorEastAsia" w:hAnsiTheme="minorEastAsia" w:eastAsiaTheme="minorEastAsia" w:cstheme="minorEastAsia"/>
                <w:snapToGrid w:val="0"/>
                <w:color w:val="auto"/>
                <w:kern w:val="0"/>
                <w:sz w:val="21"/>
                <w:szCs w:val="21"/>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64E9068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3．相关人员要求</w:t>
            </w:r>
          </w:p>
          <w:p w14:paraId="3C92FFB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3.1拟派项目经理为</w:t>
            </w:r>
            <w:r>
              <w:rPr>
                <w:rFonts w:hint="eastAsia" w:asciiTheme="minorEastAsia" w:hAnsiTheme="minorEastAsia" w:eastAsiaTheme="minorEastAsia" w:cstheme="minorEastAsia"/>
                <w:snapToGrid w:val="0"/>
                <w:color w:val="auto"/>
                <w:kern w:val="0"/>
                <w:sz w:val="21"/>
                <w:szCs w:val="21"/>
                <w:highlight w:val="none"/>
                <w:u w:val="single"/>
                <w:lang w:val="en-US" w:eastAsia="zh-CN"/>
              </w:rPr>
              <w:t>市政公用工程</w:t>
            </w:r>
            <w:r>
              <w:rPr>
                <w:rFonts w:hint="eastAsia" w:asciiTheme="minorEastAsia" w:hAnsiTheme="minorEastAsia" w:eastAsiaTheme="minorEastAsia" w:cstheme="minorEastAsia"/>
                <w:snapToGrid w:val="0"/>
                <w:color w:val="auto"/>
                <w:kern w:val="0"/>
                <w:sz w:val="21"/>
                <w:szCs w:val="21"/>
                <w:highlight w:val="none"/>
                <w:lang w:eastAsia="zh-CN"/>
              </w:rPr>
              <w:t>专业一级或二级注册建造师，其中一级注册建造师应持有国家住建部印发的有效注册证书，二级注册建造师应持有考试取得执业资格的省、自治区、直辖市住建部门核准的有效电子注册证书（二级注册建造师应持有住建部门核准的、在使用有效期内的有效电子证书）。同时均须具备有效安全生产考核合格证明（B证，安全生产考核合格证书或“广东省建筑施工企业管理人员安全生产考核信息系统”考核合格信息打印页），且未担任其他在施（包括已中标未开工、已建成未竣工）建设工程项目的项目经理。</w:t>
            </w:r>
          </w:p>
          <w:p w14:paraId="326664A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3.2 拟派项目技术负责人须具备</w:t>
            </w:r>
            <w:r>
              <w:rPr>
                <w:rFonts w:hint="eastAsia" w:asciiTheme="minorEastAsia" w:hAnsiTheme="minorEastAsia" w:eastAsiaTheme="minorEastAsia" w:cstheme="minorEastAsia"/>
                <w:snapToGrid w:val="0"/>
                <w:color w:val="auto"/>
                <w:kern w:val="0"/>
                <w:sz w:val="21"/>
                <w:szCs w:val="21"/>
                <w:highlight w:val="none"/>
                <w:u w:val="single"/>
                <w:lang w:val="en-US" w:eastAsia="zh-CN"/>
              </w:rPr>
              <w:t>中级以上（含中级）技术职称。</w:t>
            </w:r>
          </w:p>
          <w:p w14:paraId="62CB675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3.3 投标人拟派专职安全生产管理人员须具备有效安全生产考核合格证明（C证，安全生产考核合格证书或“广东省建筑施工企业管理人员安全生产考核系统”考核合格信息打印页），且不少于 </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lang w:eastAsia="zh-CN"/>
              </w:rPr>
              <w:t xml:space="preserve"> 人。</w:t>
            </w:r>
          </w:p>
          <w:p w14:paraId="7034537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3.4 投标人（包括组成联合体的所有成员单位）与其拟派往本项目管理机构的所有人员之间必须具备合法、唯一的劳动聘用关系。拟派人员中具备注册执业资格的，其注册单位须与投标人保持一致。</w:t>
            </w:r>
          </w:p>
          <w:p w14:paraId="338D0AC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 ．禁止投标条款：</w:t>
            </w:r>
          </w:p>
          <w:p w14:paraId="46D1E1A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4.1  投标人不得存在下列情形之一：</w:t>
            </w:r>
          </w:p>
          <w:p w14:paraId="3AD797E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（1）为招标人不具有独立法人资格的附属机构（单位）；</w:t>
            </w:r>
          </w:p>
          <w:p w14:paraId="7C4DB8E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（2）为本招标项目前期准备提供设计或咨询服务的；</w:t>
            </w:r>
          </w:p>
          <w:p w14:paraId="1438AA8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（3）与本招标项目的其他投标人为同一个单位负责人；</w:t>
            </w:r>
          </w:p>
          <w:p w14:paraId="6A99D3E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（4）与本招标项目的其他投标人存在控股、管理关系；</w:t>
            </w:r>
          </w:p>
          <w:p w14:paraId="06308EF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（5）为本招标项目的监理人；</w:t>
            </w:r>
          </w:p>
          <w:p w14:paraId="70E7B29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（6）为本招标项目的代建人；</w:t>
            </w:r>
          </w:p>
          <w:p w14:paraId="1D1257C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（7）为本招标项目的招标代理机构；</w:t>
            </w:r>
          </w:p>
          <w:p w14:paraId="544A634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（8）与本招标项目的监理人或代建人或招标代理机构同为一个法定代表人；</w:t>
            </w:r>
          </w:p>
          <w:p w14:paraId="0DC42A5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（9）与本招标项目的监理人或代建人或招标代理机构存在控股或参股关系；</w:t>
            </w:r>
          </w:p>
          <w:p w14:paraId="64543D0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（10）与本招标项目的监理人或代建人或招标代理机构存在相互任职或工作关系；</w:t>
            </w:r>
          </w:p>
          <w:p w14:paraId="1AD9FA0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（11）被依法暂停或者取消投标资格；</w:t>
            </w:r>
          </w:p>
          <w:p w14:paraId="524B33F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（12）被责令停产停业、暂扣或者吊销许可证、暂扣或者吊销执照；</w:t>
            </w:r>
          </w:p>
          <w:p w14:paraId="094E65A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（13）进入清算程序，或被宣告破产，或其他丧失履约能力的情形；</w:t>
            </w:r>
          </w:p>
          <w:p w14:paraId="2B02C1A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（14）在最近三年内发生重大工程质量或安全问题（以相关行业 主管部门的行政处罚决定或司法机关出具的有关法律文书为准）；</w:t>
            </w:r>
          </w:p>
          <w:p w14:paraId="7BF8061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（15）被“信用中国 ”网站（https://www.creditchina.gov.cn）发布的《法人和非法人组织公共信用信息报告》列为严重失信主体名单的。</w:t>
            </w:r>
          </w:p>
          <w:p w14:paraId="0239A75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4.2  招标人拒绝以下名单中的单位参加本次投标：</w:t>
            </w:r>
          </w:p>
          <w:tbl>
            <w:tblPr>
              <w:tblStyle w:val="14"/>
              <w:tblW w:w="7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704"/>
              <w:gridCol w:w="3081"/>
            </w:tblGrid>
            <w:tr w14:paraId="2C4B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74" w:type="dxa"/>
                  <w:vAlign w:val="center"/>
                </w:tcPr>
                <w:p w14:paraId="5628B198">
                  <w:pPr>
                    <w:spacing w:before="118" w:line="293" w:lineRule="auto"/>
                    <w:ind w:right="99" w:rightChars="0"/>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序号</w:t>
                  </w:r>
                </w:p>
              </w:tc>
              <w:tc>
                <w:tcPr>
                  <w:tcW w:w="3704" w:type="dxa"/>
                  <w:vAlign w:val="center"/>
                </w:tcPr>
                <w:p w14:paraId="4C41EDED">
                  <w:pPr>
                    <w:spacing w:before="118" w:line="293" w:lineRule="auto"/>
                    <w:ind w:left="232" w:leftChars="0" w:right="99" w:rightChars="0" w:firstLine="369" w:firstLineChars="0"/>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单位名称</w:t>
                  </w:r>
                </w:p>
              </w:tc>
              <w:tc>
                <w:tcPr>
                  <w:tcW w:w="3081" w:type="dxa"/>
                  <w:vAlign w:val="center"/>
                </w:tcPr>
                <w:p w14:paraId="286CF489">
                  <w:pPr>
                    <w:spacing w:before="118" w:line="293" w:lineRule="auto"/>
                    <w:ind w:left="232" w:leftChars="0" w:right="99" w:rightChars="0" w:firstLine="369" w:firstLineChars="0"/>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拒绝原因</w:t>
                  </w:r>
                </w:p>
              </w:tc>
            </w:tr>
            <w:tr w14:paraId="0D43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4" w:type="dxa"/>
                  <w:vAlign w:val="center"/>
                </w:tcPr>
                <w:p w14:paraId="11E0BDE8">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en-US" w:bidi="ar-SA"/>
                    </w:rPr>
                    <w:t>1</w:t>
                  </w:r>
                </w:p>
              </w:tc>
              <w:tc>
                <w:tcPr>
                  <w:tcW w:w="3704" w:type="dxa"/>
                  <w:vAlign w:val="center"/>
                </w:tcPr>
                <w:p w14:paraId="3770D568">
                  <w:pPr>
                    <w:pStyle w:val="20"/>
                    <w:wordWrap w:val="0"/>
                    <w:adjustRightInd w:val="0"/>
                    <w:snapToGrid w:val="0"/>
                    <w:spacing w:line="340" w:lineRule="exact"/>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仁化县丹霞街道办事处</w:t>
                  </w:r>
                </w:p>
              </w:tc>
              <w:tc>
                <w:tcPr>
                  <w:tcW w:w="3081" w:type="dxa"/>
                  <w:vAlign w:val="center"/>
                </w:tcPr>
                <w:p w14:paraId="57C1B6BA">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en-US" w:bidi="ar-SA"/>
                    </w:rPr>
                    <w:t>为本招标项目的招标人</w:t>
                  </w:r>
                </w:p>
              </w:tc>
            </w:tr>
            <w:tr w14:paraId="71D9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13A66D5D">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en-US" w:bidi="ar-SA"/>
                    </w:rPr>
                    <w:t>2</w:t>
                  </w:r>
                </w:p>
              </w:tc>
              <w:tc>
                <w:tcPr>
                  <w:tcW w:w="3704" w:type="dxa"/>
                  <w:vAlign w:val="center"/>
                </w:tcPr>
                <w:p w14:paraId="38B94930">
                  <w:pPr>
                    <w:pStyle w:val="20"/>
                    <w:wordWrap w:val="0"/>
                    <w:adjustRightInd w:val="0"/>
                    <w:snapToGrid w:val="0"/>
                    <w:spacing w:line="340" w:lineRule="exact"/>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韶关众信项目管理有限公司</w:t>
                  </w:r>
                </w:p>
              </w:tc>
              <w:tc>
                <w:tcPr>
                  <w:tcW w:w="3081" w:type="dxa"/>
                  <w:vAlign w:val="center"/>
                </w:tcPr>
                <w:p w14:paraId="68466362">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en-US" w:bidi="ar-SA"/>
                    </w:rPr>
                    <w:t>为本招标项目的招标代理机构</w:t>
                  </w:r>
                </w:p>
              </w:tc>
            </w:tr>
            <w:tr w14:paraId="68D9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74" w:type="dxa"/>
                  <w:vAlign w:val="center"/>
                </w:tcPr>
                <w:p w14:paraId="5F2C642C">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3</w:t>
                  </w:r>
                </w:p>
              </w:tc>
              <w:tc>
                <w:tcPr>
                  <w:tcW w:w="3704" w:type="dxa"/>
                  <w:vAlign w:val="center"/>
                </w:tcPr>
                <w:p w14:paraId="22524599">
                  <w:pPr>
                    <w:pStyle w:val="20"/>
                    <w:wordWrap w:val="0"/>
                    <w:adjustRightInd w:val="0"/>
                    <w:snapToGrid w:val="0"/>
                    <w:spacing w:line="340" w:lineRule="exact"/>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广州市彩风景观规划设计有限公司</w:t>
                  </w:r>
                </w:p>
              </w:tc>
              <w:tc>
                <w:tcPr>
                  <w:tcW w:w="3081" w:type="dxa"/>
                  <w:vAlign w:val="center"/>
                </w:tcPr>
                <w:p w14:paraId="3DEB551D">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为本招标项目的设计单位</w:t>
                  </w:r>
                </w:p>
              </w:tc>
            </w:tr>
            <w:tr w14:paraId="3BA32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74" w:type="dxa"/>
                  <w:vAlign w:val="center"/>
                </w:tcPr>
                <w:p w14:paraId="0BC7AB10">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4</w:t>
                  </w:r>
                </w:p>
              </w:tc>
              <w:tc>
                <w:tcPr>
                  <w:tcW w:w="3704" w:type="dxa"/>
                  <w:vAlign w:val="center"/>
                </w:tcPr>
                <w:p w14:paraId="1A9C92C9">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仁化县农业农村局</w:t>
                  </w:r>
                </w:p>
              </w:tc>
              <w:tc>
                <w:tcPr>
                  <w:tcW w:w="3081" w:type="dxa"/>
                  <w:vAlign w:val="center"/>
                </w:tcPr>
                <w:p w14:paraId="68951FDF">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为本招标项目的监督单位</w:t>
                  </w:r>
                </w:p>
              </w:tc>
            </w:tr>
            <w:tr w14:paraId="2AE2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74" w:type="dxa"/>
                  <w:vAlign w:val="center"/>
                </w:tcPr>
                <w:p w14:paraId="282FD227">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5</w:t>
                  </w:r>
                </w:p>
              </w:tc>
              <w:tc>
                <w:tcPr>
                  <w:tcW w:w="3704" w:type="dxa"/>
                  <w:vAlign w:val="center"/>
                </w:tcPr>
                <w:p w14:paraId="156C5F43">
                  <w:pPr>
                    <w:wordWrap w:val="0"/>
                    <w:adjustRightInd w:val="0"/>
                    <w:snapToGrid w:val="0"/>
                    <w:spacing w:line="240" w:lineRule="auto"/>
                    <w:jc w:val="left"/>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待定</w:t>
                  </w:r>
                </w:p>
              </w:tc>
              <w:tc>
                <w:tcPr>
                  <w:tcW w:w="3081" w:type="dxa"/>
                  <w:vAlign w:val="center"/>
                </w:tcPr>
                <w:p w14:paraId="65A3D16E">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为本招标项目的监理单位</w:t>
                  </w:r>
                </w:p>
              </w:tc>
            </w:tr>
          </w:tbl>
          <w:p w14:paraId="4F3E25D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 ．其他要求</w:t>
            </w:r>
          </w:p>
          <w:p w14:paraId="786C716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 ﹞52 号）规定在“进粤企业和人员诚信信息登记平台”录入相关信息并通过数据规范检查。</w:t>
            </w:r>
          </w:p>
        </w:tc>
      </w:tr>
      <w:tr w14:paraId="0E64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582" w:type="dxa"/>
            <w:vAlign w:val="center"/>
          </w:tcPr>
          <w:p w14:paraId="1F7DFC3B">
            <w:pPr>
              <w:spacing w:before="1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27</w:t>
            </w:r>
          </w:p>
        </w:tc>
        <w:tc>
          <w:tcPr>
            <w:tcW w:w="1860" w:type="dxa"/>
            <w:vAlign w:val="center"/>
          </w:tcPr>
          <w:p w14:paraId="194566E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投标有效期</w:t>
            </w:r>
          </w:p>
        </w:tc>
        <w:tc>
          <w:tcPr>
            <w:tcW w:w="7575" w:type="dxa"/>
            <w:vAlign w:val="center"/>
          </w:tcPr>
          <w:p w14:paraId="1FEAB18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kern w:val="0"/>
                <w:sz w:val="21"/>
                <w:szCs w:val="21"/>
                <w:highlight w:val="none"/>
                <w:u w:val="single"/>
                <w:lang w:eastAsia="zh-CN"/>
              </w:rPr>
              <w:t>90</w:t>
            </w:r>
            <w:r>
              <w:rPr>
                <w:rFonts w:hint="eastAsia" w:asciiTheme="minorEastAsia" w:hAnsiTheme="minorEastAsia" w:eastAsiaTheme="minorEastAsia" w:cstheme="minorEastAsia"/>
                <w:snapToGrid w:val="0"/>
                <w:color w:val="auto"/>
                <w:kern w:val="0"/>
                <w:sz w:val="21"/>
                <w:szCs w:val="21"/>
                <w:highlight w:val="none"/>
                <w:lang w:eastAsia="zh-CN"/>
              </w:rPr>
              <w:t xml:space="preserve"> 个日历天。</w:t>
            </w:r>
          </w:p>
        </w:tc>
      </w:tr>
      <w:tr w14:paraId="646C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582" w:type="dxa"/>
            <w:vAlign w:val="center"/>
          </w:tcPr>
          <w:p w14:paraId="2981C8C1">
            <w:pPr>
              <w:spacing w:before="69" w:line="188" w:lineRule="auto"/>
              <w:ind w:left="20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28</w:t>
            </w:r>
          </w:p>
        </w:tc>
        <w:tc>
          <w:tcPr>
            <w:tcW w:w="1860" w:type="dxa"/>
            <w:vAlign w:val="center"/>
          </w:tcPr>
          <w:p w14:paraId="44B6C4B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投标文件组成</w:t>
            </w:r>
          </w:p>
        </w:tc>
        <w:tc>
          <w:tcPr>
            <w:tcW w:w="7575" w:type="dxa"/>
            <w:vAlign w:val="center"/>
          </w:tcPr>
          <w:p w14:paraId="45F44AD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投标文件包括商务标书、经济标书、施工组织设计三个分册。</w:t>
            </w:r>
          </w:p>
        </w:tc>
      </w:tr>
      <w:tr w14:paraId="0B0A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44339483">
            <w:pPr>
              <w:spacing w:before="69" w:line="188" w:lineRule="auto"/>
              <w:ind w:left="20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29</w:t>
            </w:r>
          </w:p>
        </w:tc>
        <w:tc>
          <w:tcPr>
            <w:tcW w:w="1860" w:type="dxa"/>
            <w:vAlign w:val="center"/>
          </w:tcPr>
          <w:p w14:paraId="0536983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施工组织设计评审方式</w:t>
            </w:r>
          </w:p>
        </w:tc>
        <w:tc>
          <w:tcPr>
            <w:tcW w:w="7575" w:type="dxa"/>
            <w:vAlign w:val="center"/>
          </w:tcPr>
          <w:p w14:paraId="672EAE1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本次招标施工组织设计 不采用 “暗标 ”方式进行评审。</w:t>
            </w:r>
          </w:p>
        </w:tc>
      </w:tr>
      <w:tr w14:paraId="1821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0C8C1B6D">
            <w:pPr>
              <w:spacing w:before="69" w:line="188" w:lineRule="auto"/>
              <w:ind w:left="209"/>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30</w:t>
            </w:r>
          </w:p>
        </w:tc>
        <w:tc>
          <w:tcPr>
            <w:tcW w:w="1860" w:type="dxa"/>
            <w:vAlign w:val="center"/>
          </w:tcPr>
          <w:p w14:paraId="42379E1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w:t>
            </w:r>
          </w:p>
        </w:tc>
        <w:tc>
          <w:tcPr>
            <w:tcW w:w="7575" w:type="dxa"/>
            <w:vAlign w:val="top"/>
          </w:tcPr>
          <w:p w14:paraId="644EDED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评标委员会由 5 人组成，其中招标人代表 0 人，专家 5 人。专家从广东省综合评标评审专家库（韶关区域）中随机抽取，其中技术类专家 3 人，经济类专家 2 人。</w:t>
            </w:r>
          </w:p>
        </w:tc>
      </w:tr>
      <w:tr w14:paraId="4DE5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6B21B02B">
            <w:pPr>
              <w:spacing w:before="258" w:line="188" w:lineRule="auto"/>
              <w:ind w:left="209"/>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31</w:t>
            </w:r>
          </w:p>
        </w:tc>
        <w:tc>
          <w:tcPr>
            <w:tcW w:w="1860" w:type="dxa"/>
            <w:vAlign w:val="center"/>
          </w:tcPr>
          <w:p w14:paraId="26975DE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评标方法</w:t>
            </w:r>
          </w:p>
        </w:tc>
        <w:tc>
          <w:tcPr>
            <w:tcW w:w="7575" w:type="dxa"/>
            <w:vAlign w:val="center"/>
          </w:tcPr>
          <w:p w14:paraId="04F2D54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A＋B 值评标法  □经评审的最低投标价法   ☑综合评估法</w:t>
            </w:r>
          </w:p>
        </w:tc>
      </w:tr>
      <w:tr w14:paraId="5387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3" w:hRule="atLeast"/>
        </w:trPr>
        <w:tc>
          <w:tcPr>
            <w:tcW w:w="582" w:type="dxa"/>
            <w:vAlign w:val="center"/>
          </w:tcPr>
          <w:p w14:paraId="2A4AE9FD">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w:t>
            </w:r>
          </w:p>
        </w:tc>
        <w:tc>
          <w:tcPr>
            <w:tcW w:w="1860" w:type="dxa"/>
            <w:vAlign w:val="center"/>
          </w:tcPr>
          <w:p w14:paraId="4290501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招标文件要求提交的用于评审的证书、证件、证明原件</w:t>
            </w:r>
          </w:p>
        </w:tc>
        <w:tc>
          <w:tcPr>
            <w:tcW w:w="7575" w:type="dxa"/>
            <w:vAlign w:val="top"/>
          </w:tcPr>
          <w:p w14:paraId="4AE27AA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671C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7" w:hRule="atLeast"/>
        </w:trPr>
        <w:tc>
          <w:tcPr>
            <w:tcW w:w="582" w:type="dxa"/>
            <w:vAlign w:val="center"/>
          </w:tcPr>
          <w:p w14:paraId="6933CA3D">
            <w:pPr>
              <w:spacing w:before="69" w:line="188" w:lineRule="auto"/>
              <w:ind w:left="209"/>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33</w:t>
            </w:r>
          </w:p>
        </w:tc>
        <w:tc>
          <w:tcPr>
            <w:tcW w:w="1860" w:type="dxa"/>
            <w:vAlign w:val="center"/>
          </w:tcPr>
          <w:p w14:paraId="584D2AA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招标代理费</w:t>
            </w:r>
          </w:p>
        </w:tc>
        <w:tc>
          <w:tcPr>
            <w:tcW w:w="7575" w:type="dxa"/>
            <w:vAlign w:val="center"/>
          </w:tcPr>
          <w:p w14:paraId="1DDFBF8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工程的招标代理费由中标人支付，该费用不再另行报价，由投标人在投标报价时综合考虑在内。中标人须向招标代理机构一次性支付（招标代理服务费：根据《关于印发的通知》（计价格[2002]1980号）计算服务费用金额，并以工程中标价来计算服务费用，具体以签订的合同为准。</w:t>
            </w:r>
          </w:p>
        </w:tc>
      </w:tr>
      <w:tr w14:paraId="0BC3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trPr>
        <w:tc>
          <w:tcPr>
            <w:tcW w:w="582" w:type="dxa"/>
            <w:vAlign w:val="center"/>
          </w:tcPr>
          <w:p w14:paraId="726ADCA4">
            <w:pPr>
              <w:spacing w:before="69" w:line="188"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rPr>
              <w:t>34</w:t>
            </w:r>
          </w:p>
        </w:tc>
        <w:tc>
          <w:tcPr>
            <w:tcW w:w="1860" w:type="dxa"/>
            <w:vAlign w:val="center"/>
          </w:tcPr>
          <w:p w14:paraId="46D87F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w:t>
            </w:r>
          </w:p>
          <w:p w14:paraId="3530871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75" w:type="dxa"/>
            <w:vAlign w:val="center"/>
          </w:tcPr>
          <w:p w14:paraId="096514A9">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单位名称：</w:t>
            </w:r>
            <w:r>
              <w:rPr>
                <w:rFonts w:hint="eastAsia" w:asciiTheme="minorEastAsia" w:hAnsiTheme="minorEastAsia" w:eastAsiaTheme="minorEastAsia" w:cstheme="minorEastAsia"/>
                <w:snapToGrid w:val="0"/>
                <w:color w:val="auto"/>
                <w:kern w:val="0"/>
                <w:sz w:val="21"/>
                <w:szCs w:val="21"/>
                <w:highlight w:val="none"/>
                <w:lang w:eastAsia="zh-CN"/>
              </w:rPr>
              <w:t>仁化县丹霞街道办事处</w:t>
            </w:r>
          </w:p>
          <w:p w14:paraId="0058DCC8">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办公地址：</w:t>
            </w:r>
            <w:r>
              <w:rPr>
                <w:rFonts w:hint="eastAsia" w:asciiTheme="minorEastAsia" w:hAnsiTheme="minorEastAsia" w:eastAsiaTheme="minorEastAsia" w:cstheme="minorEastAsia"/>
                <w:snapToGrid w:val="0"/>
                <w:color w:val="auto"/>
                <w:kern w:val="0"/>
                <w:sz w:val="21"/>
                <w:szCs w:val="21"/>
                <w:highlight w:val="none"/>
                <w:lang w:eastAsia="zh-CN"/>
              </w:rPr>
              <w:t>仁化县仁桥东路1号</w:t>
            </w:r>
          </w:p>
          <w:p w14:paraId="7D8CC923">
            <w:pPr>
              <w:wordWrap w:val="0"/>
              <w:adjustRightInd w:val="0"/>
              <w:snapToGrid w:val="0"/>
              <w:spacing w:line="360" w:lineRule="exact"/>
              <w:ind w:firstLine="210" w:firstLineChars="100"/>
              <w:jc w:val="left"/>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联系人（部门）：</w:t>
            </w:r>
            <w:r>
              <w:rPr>
                <w:rFonts w:hint="eastAsia" w:asciiTheme="minorEastAsia" w:hAnsiTheme="minorEastAsia" w:eastAsiaTheme="minorEastAsia" w:cstheme="minorEastAsia"/>
                <w:snapToGrid w:val="0"/>
                <w:color w:val="auto"/>
                <w:kern w:val="0"/>
                <w:sz w:val="21"/>
                <w:szCs w:val="21"/>
                <w:highlight w:val="none"/>
                <w:lang w:val="en-US" w:eastAsia="zh-CN"/>
              </w:rPr>
              <w:t>邓世伟</w:t>
            </w:r>
            <w:bookmarkStart w:id="270" w:name="_GoBack"/>
            <w:bookmarkEnd w:id="270"/>
          </w:p>
          <w:p w14:paraId="6A44C977">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联系电话： 0751-6391106</w:t>
            </w:r>
          </w:p>
        </w:tc>
      </w:tr>
      <w:tr w14:paraId="3365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9" w:hRule="atLeast"/>
        </w:trPr>
        <w:tc>
          <w:tcPr>
            <w:tcW w:w="582" w:type="dxa"/>
            <w:vAlign w:val="center"/>
          </w:tcPr>
          <w:p w14:paraId="3297ABC0">
            <w:pPr>
              <w:spacing w:before="69" w:line="188" w:lineRule="auto"/>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35</w:t>
            </w:r>
          </w:p>
        </w:tc>
        <w:tc>
          <w:tcPr>
            <w:tcW w:w="1860" w:type="dxa"/>
            <w:vAlign w:val="center"/>
          </w:tcPr>
          <w:p w14:paraId="0753FD7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招标代理机构</w:t>
            </w:r>
          </w:p>
          <w:p w14:paraId="2B0DD67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75" w:type="dxa"/>
            <w:vAlign w:val="center"/>
          </w:tcPr>
          <w:p w14:paraId="03254C88">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单位名称：</w:t>
            </w:r>
            <w:r>
              <w:rPr>
                <w:rFonts w:hint="eastAsia" w:asciiTheme="minorEastAsia" w:hAnsiTheme="minorEastAsia" w:eastAsiaTheme="minorEastAsia" w:cstheme="minorEastAsia"/>
                <w:snapToGrid w:val="0"/>
                <w:color w:val="auto"/>
                <w:kern w:val="0"/>
                <w:sz w:val="21"/>
                <w:szCs w:val="21"/>
                <w:highlight w:val="none"/>
                <w:lang w:val="en-US" w:eastAsia="zh-CN"/>
              </w:rPr>
              <w:t>韶关众信项目管理有限公司</w:t>
            </w:r>
          </w:p>
          <w:p w14:paraId="39A02E51">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办公地址：韶关市武江区西联镇老阳山村323线旁新五洲国际汽配用品商贸城A1幢610号</w:t>
            </w:r>
          </w:p>
          <w:p w14:paraId="445A97B4">
            <w:pPr>
              <w:wordWrap w:val="0"/>
              <w:adjustRightInd w:val="0"/>
              <w:snapToGrid w:val="0"/>
              <w:spacing w:line="360" w:lineRule="exact"/>
              <w:ind w:firstLine="210" w:firstLineChars="100"/>
              <w:jc w:val="left"/>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联系人（部门）：杨平平</w:t>
            </w:r>
          </w:p>
          <w:p w14:paraId="170F1673">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联系电话：0751-8821012</w:t>
            </w:r>
          </w:p>
        </w:tc>
      </w:tr>
      <w:tr w14:paraId="708A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25950670">
            <w:pPr>
              <w:spacing w:before="69" w:line="188" w:lineRule="auto"/>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36</w:t>
            </w:r>
          </w:p>
        </w:tc>
        <w:tc>
          <w:tcPr>
            <w:tcW w:w="1860" w:type="dxa"/>
            <w:vAlign w:val="center"/>
          </w:tcPr>
          <w:p w14:paraId="1487EF4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交易场所联系方式</w:t>
            </w:r>
          </w:p>
        </w:tc>
        <w:tc>
          <w:tcPr>
            <w:tcW w:w="7575" w:type="dxa"/>
            <w:vAlign w:val="center"/>
          </w:tcPr>
          <w:p w14:paraId="14CE460D">
            <w:pPr>
              <w:wordWrap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单位名称：韶关市公共资源交易中心</w:t>
            </w:r>
          </w:p>
          <w:p w14:paraId="0490B7B9">
            <w:pPr>
              <w:wordWrap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办公地址：仁化县丹霞大道228号1</w:t>
            </w: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rPr>
              <w:t>楼韶关市公共资源交易中心仁化分中心</w:t>
            </w:r>
          </w:p>
          <w:p w14:paraId="01BA680B">
            <w:pPr>
              <w:wordWrap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联系人（部门）：工程交易部</w:t>
            </w:r>
          </w:p>
          <w:p w14:paraId="5005AEE1">
            <w:pPr>
              <w:wordWrap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联系电话：0751-6354032</w:t>
            </w:r>
          </w:p>
        </w:tc>
      </w:tr>
      <w:tr w14:paraId="7595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77EF92A7">
            <w:pPr>
              <w:spacing w:before="69" w:line="188" w:lineRule="auto"/>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37</w:t>
            </w:r>
          </w:p>
        </w:tc>
        <w:tc>
          <w:tcPr>
            <w:tcW w:w="1860" w:type="dxa"/>
            <w:vAlign w:val="center"/>
          </w:tcPr>
          <w:p w14:paraId="223E3A9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行政监督部</w:t>
            </w:r>
          </w:p>
          <w:p w14:paraId="511D162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门联系方式</w:t>
            </w:r>
          </w:p>
        </w:tc>
        <w:tc>
          <w:tcPr>
            <w:tcW w:w="7575" w:type="dxa"/>
            <w:vAlign w:val="center"/>
          </w:tcPr>
          <w:p w14:paraId="7767F91D">
            <w:pPr>
              <w:wordWrap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单位名称：仁化县农业农村局</w:t>
            </w:r>
          </w:p>
          <w:p w14:paraId="3576688F">
            <w:pPr>
              <w:wordWrap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办公地址：仁化县新城路24号</w:t>
            </w:r>
          </w:p>
          <w:p w14:paraId="7CE097C6">
            <w:pPr>
              <w:wordWrap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联系人（部门）：农村社会事务促进股</w:t>
            </w:r>
          </w:p>
          <w:p w14:paraId="13250639">
            <w:pPr>
              <w:wordWrap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联系电话：0751-6352902</w:t>
            </w:r>
          </w:p>
        </w:tc>
      </w:tr>
    </w:tbl>
    <w:p w14:paraId="11F79D11">
      <w:pPr>
        <w:rPr>
          <w:rFonts w:hint="eastAsia" w:ascii="宋体" w:hAnsi="宋体" w:eastAsia="宋体" w:cs="宋体"/>
          <w:b/>
          <w:bCs/>
          <w:color w:val="auto"/>
          <w:spacing w:val="-3"/>
          <w:sz w:val="24"/>
          <w:szCs w:val="24"/>
          <w:highlight w:val="none"/>
        </w:rPr>
      </w:pPr>
      <w:bookmarkStart w:id="5" w:name="bookmark115"/>
      <w:bookmarkEnd w:id="5"/>
      <w:bookmarkStart w:id="6" w:name="_Toc5546"/>
      <w:r>
        <w:rPr>
          <w:rFonts w:hint="eastAsia" w:ascii="宋体" w:hAnsi="宋体" w:eastAsia="宋体" w:cs="宋体"/>
          <w:b/>
          <w:bCs/>
          <w:color w:val="auto"/>
          <w:spacing w:val="-3"/>
          <w:sz w:val="24"/>
          <w:szCs w:val="24"/>
          <w:highlight w:val="none"/>
        </w:rPr>
        <w:br w:type="page"/>
      </w:r>
    </w:p>
    <w:p w14:paraId="46142BC8">
      <w:pPr>
        <w:spacing w:before="156" w:line="219" w:lineRule="auto"/>
        <w:ind w:left="17"/>
        <w:jc w:val="left"/>
        <w:outlineLvl w:val="1"/>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第二节 重要事项时间地点一览表</w:t>
      </w:r>
      <w:bookmarkEnd w:id="6"/>
    </w:p>
    <w:p w14:paraId="4B314544">
      <w:pPr>
        <w:pStyle w:val="5"/>
        <w:rPr>
          <w:rFonts w:hint="eastAsia" w:ascii="宋体" w:hAnsi="宋体" w:eastAsia="宋体" w:cs="宋体"/>
          <w:color w:val="auto"/>
          <w:highlight w:val="none"/>
        </w:rPr>
      </w:pPr>
    </w:p>
    <w:tbl>
      <w:tblPr>
        <w:tblStyle w:val="14"/>
        <w:tblW w:w="10179" w:type="dxa"/>
        <w:tblInd w:w="-14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57" w:type="dxa"/>
          <w:bottom w:w="0" w:type="dxa"/>
          <w:right w:w="57" w:type="dxa"/>
        </w:tblCellMar>
      </w:tblPr>
      <w:tblGrid>
        <w:gridCol w:w="491"/>
        <w:gridCol w:w="1756"/>
        <w:gridCol w:w="7932"/>
      </w:tblGrid>
      <w:tr w14:paraId="6E5105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40"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7CAFC625">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1756" w:type="dxa"/>
            <w:tcBorders>
              <w:top w:val="single" w:color="080000" w:sz="4" w:space="0"/>
              <w:left w:val="single" w:color="080000" w:sz="4" w:space="0"/>
              <w:bottom w:val="single" w:color="080000" w:sz="4" w:space="0"/>
              <w:right w:val="single" w:color="080000" w:sz="4" w:space="0"/>
            </w:tcBorders>
            <w:vAlign w:val="center"/>
          </w:tcPr>
          <w:p w14:paraId="4AE900D2">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招标公告</w:t>
            </w:r>
          </w:p>
          <w:p w14:paraId="6EA8BD9E">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 xml:space="preserve">发布时间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67CC36F9">
            <w:pPr>
              <w:widowControl/>
              <w:snapToGrid w:val="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SA"/>
              </w:rPr>
              <w:t>2026</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1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14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17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00 </w:t>
            </w:r>
            <w:r>
              <w:rPr>
                <w:rFonts w:hint="eastAsia" w:ascii="宋体" w:hAnsi="宋体" w:eastAsia="宋体" w:cs="宋体"/>
                <w:color w:val="auto"/>
                <w:kern w:val="0"/>
                <w:sz w:val="21"/>
                <w:szCs w:val="21"/>
                <w:highlight w:val="none"/>
                <w:lang w:val="en-US" w:eastAsia="zh-CN" w:bidi="ar-SA"/>
              </w:rPr>
              <w:t>分</w:t>
            </w:r>
          </w:p>
        </w:tc>
      </w:tr>
      <w:tr w14:paraId="49FDD7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52"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0497B4E0">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1756" w:type="dxa"/>
            <w:tcBorders>
              <w:top w:val="single" w:color="080000" w:sz="4" w:space="0"/>
              <w:left w:val="single" w:color="080000" w:sz="4" w:space="0"/>
              <w:bottom w:val="single" w:color="080000" w:sz="4" w:space="0"/>
              <w:right w:val="single" w:color="080000" w:sz="4" w:space="0"/>
            </w:tcBorders>
            <w:vAlign w:val="center"/>
          </w:tcPr>
          <w:p w14:paraId="229DB66F">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 xml:space="preserve">获取招标文件截止时间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365815A8">
            <w:pPr>
              <w:widowControl/>
              <w:snapToGrid w:val="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SA"/>
              </w:rPr>
              <w:t xml:space="preserve">2026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4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10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30 </w:t>
            </w:r>
            <w:r>
              <w:rPr>
                <w:rFonts w:hint="eastAsia" w:ascii="宋体" w:hAnsi="宋体" w:eastAsia="宋体" w:cs="宋体"/>
                <w:color w:val="auto"/>
                <w:kern w:val="0"/>
                <w:sz w:val="21"/>
                <w:szCs w:val="21"/>
                <w:highlight w:val="none"/>
                <w:lang w:val="en-US" w:eastAsia="zh-CN" w:bidi="ar-SA"/>
              </w:rPr>
              <w:t>分</w:t>
            </w:r>
          </w:p>
        </w:tc>
      </w:tr>
      <w:tr w14:paraId="0B66DA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86"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15817195">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1756" w:type="dxa"/>
            <w:tcBorders>
              <w:top w:val="single" w:color="080000" w:sz="4" w:space="0"/>
              <w:left w:val="single" w:color="080000" w:sz="4" w:space="0"/>
              <w:bottom w:val="single" w:color="080000" w:sz="4" w:space="0"/>
              <w:right w:val="single" w:color="080000" w:sz="4" w:space="0"/>
            </w:tcBorders>
            <w:vAlign w:val="center"/>
          </w:tcPr>
          <w:p w14:paraId="03BB2FEC">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网上提问</w:t>
            </w:r>
          </w:p>
          <w:p w14:paraId="6377586D">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 xml:space="preserve">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5B2CA564">
            <w:pPr>
              <w:widowControl w:val="0"/>
              <w:wordWrap w:val="0"/>
              <w:adjustRightInd w:val="0"/>
              <w:snapToGrid w:val="0"/>
              <w:spacing w:line="400" w:lineRule="exact"/>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SA"/>
              </w:rPr>
              <w:t>2026</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25</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16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00 </w:t>
            </w:r>
            <w:r>
              <w:rPr>
                <w:rFonts w:hint="eastAsia" w:ascii="宋体" w:hAnsi="宋体" w:eastAsia="宋体" w:cs="宋体"/>
                <w:color w:val="auto"/>
                <w:kern w:val="0"/>
                <w:sz w:val="21"/>
                <w:szCs w:val="21"/>
                <w:highlight w:val="none"/>
                <w:lang w:val="en-US" w:eastAsia="zh-CN" w:bidi="ar-SA"/>
              </w:rPr>
              <w:t>分</w:t>
            </w:r>
          </w:p>
        </w:tc>
      </w:tr>
      <w:tr w14:paraId="31F55C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51"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67FFD621">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w:t>
            </w:r>
          </w:p>
        </w:tc>
        <w:tc>
          <w:tcPr>
            <w:tcW w:w="1756" w:type="dxa"/>
            <w:tcBorders>
              <w:top w:val="single" w:color="080000" w:sz="4" w:space="0"/>
              <w:left w:val="single" w:color="080000" w:sz="4" w:space="0"/>
              <w:bottom w:val="single" w:color="080000" w:sz="4" w:space="0"/>
              <w:right w:val="single" w:color="080000" w:sz="4" w:space="0"/>
            </w:tcBorders>
            <w:vAlign w:val="center"/>
          </w:tcPr>
          <w:p w14:paraId="109F4963">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网上答疑</w:t>
            </w:r>
          </w:p>
          <w:p w14:paraId="3DC584FC">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1F631E84">
            <w:pPr>
              <w:widowControl/>
              <w:snapToGrid w:val="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SA"/>
              </w:rPr>
              <w:t>2026</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25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16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30 </w:t>
            </w:r>
            <w:r>
              <w:rPr>
                <w:rFonts w:hint="eastAsia" w:ascii="宋体" w:hAnsi="宋体" w:eastAsia="宋体" w:cs="宋体"/>
                <w:color w:val="auto"/>
                <w:kern w:val="0"/>
                <w:sz w:val="21"/>
                <w:szCs w:val="21"/>
                <w:highlight w:val="none"/>
                <w:lang w:val="en-US" w:eastAsia="zh-CN" w:bidi="ar-SA"/>
              </w:rPr>
              <w:t>分至</w:t>
            </w:r>
            <w:r>
              <w:rPr>
                <w:rFonts w:hint="eastAsia" w:ascii="宋体" w:hAnsi="宋体" w:eastAsia="宋体" w:cs="宋体"/>
                <w:color w:val="auto"/>
                <w:kern w:val="0"/>
                <w:sz w:val="21"/>
                <w:szCs w:val="21"/>
                <w:highlight w:val="none"/>
                <w:u w:val="single"/>
                <w:lang w:val="en-US" w:eastAsia="zh-CN" w:bidi="ar-SA"/>
              </w:rPr>
              <w:t>2026</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28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16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00</w:t>
            </w:r>
            <w:r>
              <w:rPr>
                <w:rFonts w:hint="eastAsia" w:ascii="宋体" w:hAnsi="宋体" w:eastAsia="宋体" w:cs="宋体"/>
                <w:color w:val="auto"/>
                <w:kern w:val="0"/>
                <w:sz w:val="21"/>
                <w:szCs w:val="21"/>
                <w:highlight w:val="none"/>
                <w:lang w:val="en-US" w:eastAsia="zh-CN" w:bidi="ar-SA"/>
              </w:rPr>
              <w:t>分</w:t>
            </w:r>
          </w:p>
        </w:tc>
      </w:tr>
      <w:tr w14:paraId="3D2237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638"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4707E725">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w:t>
            </w:r>
          </w:p>
        </w:tc>
        <w:tc>
          <w:tcPr>
            <w:tcW w:w="1756" w:type="dxa"/>
            <w:tcBorders>
              <w:top w:val="single" w:color="080000" w:sz="4" w:space="0"/>
              <w:left w:val="single" w:color="080000" w:sz="4" w:space="0"/>
              <w:bottom w:val="single" w:color="080000" w:sz="4" w:space="0"/>
              <w:right w:val="single" w:color="080000" w:sz="4" w:space="0"/>
            </w:tcBorders>
            <w:vAlign w:val="center"/>
          </w:tcPr>
          <w:p w14:paraId="0EC95A05">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投标保证缴</w:t>
            </w:r>
          </w:p>
          <w:p w14:paraId="437B47E1">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纳截止时间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6D320B7A">
            <w:pPr>
              <w:widowControl/>
              <w:snapToGrid w:val="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投标保证金到账截止时间：</w:t>
            </w:r>
            <w:r>
              <w:rPr>
                <w:rFonts w:hint="eastAsia" w:ascii="宋体" w:hAnsi="宋体" w:eastAsia="宋体" w:cs="宋体"/>
                <w:color w:val="auto"/>
                <w:kern w:val="0"/>
                <w:sz w:val="21"/>
                <w:szCs w:val="21"/>
                <w:highlight w:val="none"/>
                <w:u w:val="single"/>
                <w:lang w:val="en-US" w:eastAsia="zh-CN" w:bidi="ar-SA"/>
              </w:rPr>
              <w:t>2026</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3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10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30 </w:t>
            </w:r>
            <w:r>
              <w:rPr>
                <w:rFonts w:hint="eastAsia" w:ascii="宋体" w:hAnsi="宋体" w:eastAsia="宋体" w:cs="宋体"/>
                <w:color w:val="auto"/>
                <w:kern w:val="0"/>
                <w:sz w:val="21"/>
                <w:szCs w:val="21"/>
                <w:highlight w:val="none"/>
                <w:lang w:val="en-US" w:eastAsia="zh-CN" w:bidi="ar-SA"/>
              </w:rPr>
              <w:t>分；</w:t>
            </w:r>
          </w:p>
          <w:p w14:paraId="6E7C1478">
            <w:pPr>
              <w:widowControl/>
              <w:snapToGrid w:val="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投标保证担保上传截止时间：</w:t>
            </w:r>
            <w:r>
              <w:rPr>
                <w:rFonts w:hint="eastAsia" w:ascii="宋体" w:hAnsi="宋体" w:eastAsia="宋体" w:cs="宋体"/>
                <w:color w:val="auto"/>
                <w:kern w:val="0"/>
                <w:sz w:val="21"/>
                <w:szCs w:val="21"/>
                <w:highlight w:val="none"/>
                <w:u w:val="single"/>
                <w:lang w:val="en-US" w:eastAsia="zh-CN" w:bidi="ar-SA"/>
              </w:rPr>
              <w:t xml:space="preserve">2026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3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10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30 </w:t>
            </w:r>
            <w:r>
              <w:rPr>
                <w:rFonts w:hint="eastAsia" w:ascii="宋体" w:hAnsi="宋体" w:eastAsia="宋体" w:cs="宋体"/>
                <w:color w:val="auto"/>
                <w:kern w:val="0"/>
                <w:sz w:val="21"/>
                <w:szCs w:val="21"/>
                <w:highlight w:val="none"/>
                <w:lang w:val="en-US" w:eastAsia="zh-CN" w:bidi="ar-SA"/>
              </w:rPr>
              <w:t>分；</w:t>
            </w:r>
          </w:p>
          <w:p w14:paraId="5F144C16">
            <w:pPr>
              <w:widowControl/>
              <w:snapToGrid w:val="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投标保证保险投保截止时间：</w:t>
            </w:r>
            <w:r>
              <w:rPr>
                <w:rFonts w:hint="eastAsia" w:ascii="宋体" w:hAnsi="宋体" w:eastAsia="宋体" w:cs="宋体"/>
                <w:color w:val="auto"/>
                <w:kern w:val="0"/>
                <w:sz w:val="21"/>
                <w:szCs w:val="21"/>
                <w:highlight w:val="none"/>
                <w:u w:val="single"/>
                <w:lang w:val="en-US" w:eastAsia="zh-CN" w:bidi="ar-SA"/>
              </w:rPr>
              <w:t xml:space="preserve">2026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3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10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30 </w:t>
            </w:r>
            <w:r>
              <w:rPr>
                <w:rFonts w:hint="eastAsia" w:ascii="宋体" w:hAnsi="宋体" w:eastAsia="宋体" w:cs="宋体"/>
                <w:color w:val="auto"/>
                <w:kern w:val="0"/>
                <w:sz w:val="21"/>
                <w:szCs w:val="21"/>
                <w:highlight w:val="none"/>
                <w:lang w:val="en-US" w:eastAsia="zh-CN" w:bidi="ar-SA"/>
              </w:rPr>
              <w:t>分。</w:t>
            </w:r>
          </w:p>
        </w:tc>
      </w:tr>
      <w:tr w14:paraId="5E56F1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96"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59CB6531">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w:t>
            </w:r>
          </w:p>
        </w:tc>
        <w:tc>
          <w:tcPr>
            <w:tcW w:w="1756" w:type="dxa"/>
            <w:tcBorders>
              <w:top w:val="single" w:color="080000" w:sz="4" w:space="0"/>
              <w:left w:val="single" w:color="080000" w:sz="4" w:space="0"/>
              <w:bottom w:val="single" w:color="080000" w:sz="4" w:space="0"/>
              <w:right w:val="single" w:color="080000" w:sz="4" w:space="0"/>
            </w:tcBorders>
            <w:vAlign w:val="center"/>
          </w:tcPr>
          <w:p w14:paraId="121569B9">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电子投标</w:t>
            </w:r>
          </w:p>
          <w:p w14:paraId="0E2859E2">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 xml:space="preserve">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1C065E36">
            <w:pPr>
              <w:widowControl/>
              <w:snapToGrid w:val="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SA"/>
              </w:rPr>
              <w:t xml:space="preserve">2026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4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10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30 </w:t>
            </w:r>
            <w:r>
              <w:rPr>
                <w:rFonts w:hint="eastAsia" w:ascii="宋体" w:hAnsi="宋体" w:eastAsia="宋体" w:cs="宋体"/>
                <w:color w:val="auto"/>
                <w:kern w:val="0"/>
                <w:sz w:val="21"/>
                <w:szCs w:val="21"/>
                <w:highlight w:val="none"/>
                <w:lang w:val="en-US" w:eastAsia="zh-CN" w:bidi="ar-SA"/>
              </w:rPr>
              <w:t>分</w:t>
            </w:r>
          </w:p>
        </w:tc>
      </w:tr>
      <w:tr w14:paraId="6026DE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297"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6BA26BA6">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w:t>
            </w:r>
          </w:p>
        </w:tc>
        <w:tc>
          <w:tcPr>
            <w:tcW w:w="1756" w:type="dxa"/>
            <w:tcBorders>
              <w:top w:val="single" w:color="080000" w:sz="4" w:space="0"/>
              <w:left w:val="single" w:color="080000" w:sz="4" w:space="0"/>
              <w:bottom w:val="single" w:color="080000" w:sz="4" w:space="0"/>
              <w:right w:val="single" w:color="080000" w:sz="4" w:space="0"/>
            </w:tcBorders>
            <w:vAlign w:val="center"/>
          </w:tcPr>
          <w:p w14:paraId="30E47050">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投标相关资料（如有）</w:t>
            </w:r>
          </w:p>
          <w:p w14:paraId="6A738DF7">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递交时间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6D111AF5">
            <w:pPr>
              <w:widowControl/>
              <w:snapToGrid w:val="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SA"/>
              </w:rPr>
              <w:t xml:space="preserve">2026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4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10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00 </w:t>
            </w:r>
            <w:r>
              <w:rPr>
                <w:rFonts w:hint="eastAsia" w:ascii="宋体" w:hAnsi="宋体" w:eastAsia="宋体" w:cs="宋体"/>
                <w:color w:val="auto"/>
                <w:kern w:val="0"/>
                <w:sz w:val="21"/>
                <w:szCs w:val="21"/>
                <w:highlight w:val="none"/>
                <w:lang w:val="en-US" w:eastAsia="zh-CN" w:bidi="ar-SA"/>
              </w:rPr>
              <w:t>分至</w:t>
            </w:r>
            <w:r>
              <w:rPr>
                <w:rFonts w:hint="eastAsia" w:ascii="宋体" w:hAnsi="宋体" w:eastAsia="宋体" w:cs="宋体"/>
                <w:color w:val="auto"/>
                <w:kern w:val="0"/>
                <w:sz w:val="21"/>
                <w:szCs w:val="21"/>
                <w:highlight w:val="none"/>
                <w:u w:val="single"/>
                <w:lang w:val="en-US" w:eastAsia="zh-CN" w:bidi="ar-SA"/>
              </w:rPr>
              <w:t xml:space="preserve">2026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4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10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30 </w:t>
            </w:r>
            <w:r>
              <w:rPr>
                <w:rFonts w:hint="eastAsia" w:ascii="宋体" w:hAnsi="宋体" w:eastAsia="宋体" w:cs="宋体"/>
                <w:color w:val="auto"/>
                <w:kern w:val="0"/>
                <w:sz w:val="21"/>
                <w:szCs w:val="21"/>
                <w:highlight w:val="none"/>
                <w:lang w:val="en-US" w:eastAsia="zh-CN" w:bidi="ar-SA"/>
              </w:rPr>
              <w:t>分</w:t>
            </w:r>
          </w:p>
        </w:tc>
      </w:tr>
      <w:tr w14:paraId="00385B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297"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4C7D7EF5">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8</w:t>
            </w:r>
          </w:p>
        </w:tc>
        <w:tc>
          <w:tcPr>
            <w:tcW w:w="1756" w:type="dxa"/>
            <w:tcBorders>
              <w:top w:val="single" w:color="080000" w:sz="4" w:space="0"/>
              <w:left w:val="single" w:color="080000" w:sz="4" w:space="0"/>
              <w:bottom w:val="single" w:color="080000" w:sz="4" w:space="0"/>
              <w:right w:val="single" w:color="080000" w:sz="4" w:space="0"/>
            </w:tcBorders>
            <w:vAlign w:val="center"/>
          </w:tcPr>
          <w:p w14:paraId="69CC60D1">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投标相关资料（如有）</w:t>
            </w:r>
          </w:p>
          <w:p w14:paraId="0E367B38">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递交地点</w:t>
            </w:r>
          </w:p>
        </w:tc>
        <w:tc>
          <w:tcPr>
            <w:tcW w:w="7932" w:type="dxa"/>
            <w:tcBorders>
              <w:top w:val="single" w:color="080000" w:sz="4" w:space="0"/>
              <w:left w:val="single" w:color="080000" w:sz="4" w:space="0"/>
              <w:bottom w:val="single" w:color="080000" w:sz="4" w:space="0"/>
              <w:right w:val="single" w:color="080000" w:sz="4" w:space="0"/>
            </w:tcBorders>
            <w:vAlign w:val="center"/>
          </w:tcPr>
          <w:p w14:paraId="4998820A">
            <w:pPr>
              <w:widowControl w:val="0"/>
              <w:wordWrap w:val="0"/>
              <w:adjustRightInd w:val="0"/>
              <w:snapToGrid w:val="0"/>
              <w:spacing w:line="400" w:lineRule="exact"/>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递交场所： 韶关市公共资源交易中心仁化分中心，地址：仁化县丹霞大道228号11楼韶关市公共资源交易中心仁化分中心，具体房间号以当日现场通知为准。</w:t>
            </w:r>
          </w:p>
        </w:tc>
      </w:tr>
      <w:tr w14:paraId="7C96CA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20"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5F48AF19">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9</w:t>
            </w:r>
          </w:p>
        </w:tc>
        <w:tc>
          <w:tcPr>
            <w:tcW w:w="1756" w:type="dxa"/>
            <w:tcBorders>
              <w:top w:val="single" w:color="080000" w:sz="4" w:space="0"/>
              <w:left w:val="single" w:color="080000" w:sz="4" w:space="0"/>
              <w:bottom w:val="single" w:color="080000" w:sz="4" w:space="0"/>
              <w:right w:val="single" w:color="080000" w:sz="4" w:space="0"/>
            </w:tcBorders>
            <w:vAlign w:val="center"/>
          </w:tcPr>
          <w:p w14:paraId="6F456FC7">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 xml:space="preserve">开标时间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736CE679">
            <w:pPr>
              <w:widowControl w:val="0"/>
              <w:wordWrap w:val="0"/>
              <w:adjustRightInd w:val="0"/>
              <w:snapToGrid w:val="0"/>
              <w:spacing w:line="400" w:lineRule="exact"/>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SA"/>
              </w:rPr>
              <w:t xml:space="preserve">2026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4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10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30 </w:t>
            </w:r>
            <w:r>
              <w:rPr>
                <w:rFonts w:hint="eastAsia" w:ascii="宋体" w:hAnsi="宋体" w:eastAsia="宋体" w:cs="宋体"/>
                <w:color w:val="auto"/>
                <w:kern w:val="0"/>
                <w:sz w:val="21"/>
                <w:szCs w:val="21"/>
                <w:highlight w:val="none"/>
                <w:lang w:val="en-US" w:eastAsia="zh-CN" w:bidi="ar-SA"/>
              </w:rPr>
              <w:t>分</w:t>
            </w:r>
          </w:p>
        </w:tc>
      </w:tr>
      <w:tr w14:paraId="7CD122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197"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1F2BC123">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10</w:t>
            </w:r>
          </w:p>
        </w:tc>
        <w:tc>
          <w:tcPr>
            <w:tcW w:w="1756" w:type="dxa"/>
            <w:tcBorders>
              <w:top w:val="single" w:color="080000" w:sz="4" w:space="0"/>
              <w:left w:val="single" w:color="080000" w:sz="4" w:space="0"/>
              <w:bottom w:val="single" w:color="080000" w:sz="4" w:space="0"/>
              <w:right w:val="single" w:color="080000" w:sz="4" w:space="0"/>
            </w:tcBorders>
            <w:vAlign w:val="center"/>
          </w:tcPr>
          <w:p w14:paraId="2436EB83">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 xml:space="preserve">开标地点 </w:t>
            </w:r>
          </w:p>
        </w:tc>
        <w:tc>
          <w:tcPr>
            <w:tcW w:w="7932" w:type="dxa"/>
            <w:tcBorders>
              <w:top w:val="single" w:color="080000" w:sz="4" w:space="0"/>
              <w:left w:val="single" w:color="080000" w:sz="4" w:space="0"/>
              <w:bottom w:val="single" w:color="080000" w:sz="4" w:space="0"/>
              <w:right w:val="single" w:color="080000" w:sz="4" w:space="0"/>
            </w:tcBorders>
            <w:vAlign w:val="center"/>
          </w:tcPr>
          <w:p w14:paraId="0C177554">
            <w:pPr>
              <w:widowControl w:val="0"/>
              <w:wordWrap w:val="0"/>
              <w:adjustRightInd w:val="0"/>
              <w:snapToGrid w:val="0"/>
              <w:spacing w:line="400" w:lineRule="exact"/>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开标地点： 韶关市公共资源交易中心仁化分中心，地址：仁化县丹霞大道228号11楼韶关市公共资源交易中心仁化分中心，具体房间号以当日现场通知为准。</w:t>
            </w:r>
          </w:p>
        </w:tc>
      </w:tr>
      <w:tr w14:paraId="2E9A56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732" w:hRule="atLeast"/>
        </w:trPr>
        <w:tc>
          <w:tcPr>
            <w:tcW w:w="2247" w:type="dxa"/>
            <w:gridSpan w:val="2"/>
            <w:tcBorders>
              <w:top w:val="single" w:color="080000" w:sz="4" w:space="0"/>
              <w:left w:val="single" w:color="080000" w:sz="4" w:space="0"/>
              <w:bottom w:val="single" w:color="080000" w:sz="4" w:space="0"/>
              <w:right w:val="single" w:color="080000" w:sz="4" w:space="0"/>
            </w:tcBorders>
            <w:vAlign w:val="center"/>
          </w:tcPr>
          <w:p w14:paraId="05562A0A">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备注</w:t>
            </w:r>
          </w:p>
        </w:tc>
        <w:tc>
          <w:tcPr>
            <w:tcW w:w="7932" w:type="dxa"/>
            <w:tcBorders>
              <w:top w:val="single" w:color="080000" w:sz="4" w:space="0"/>
              <w:left w:val="single" w:color="080000" w:sz="4" w:space="0"/>
              <w:bottom w:val="single" w:color="080000" w:sz="4" w:space="0"/>
              <w:right w:val="single" w:color="080000" w:sz="4" w:space="0"/>
            </w:tcBorders>
            <w:vAlign w:val="center"/>
          </w:tcPr>
          <w:p w14:paraId="12F75925">
            <w:pPr>
              <w:pStyle w:val="20"/>
              <w:wordWrap w:val="0"/>
              <w:adjustRightInd w:val="0"/>
              <w:snapToGrid w:val="0"/>
              <w:spacing w:line="400" w:lineRule="exact"/>
              <w:ind w:firstLine="210" w:firstLineChars="10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422CE99A">
      <w:pPr>
        <w:tabs>
          <w:tab w:val="left" w:pos="8820"/>
        </w:tabs>
        <w:rPr>
          <w:rFonts w:hint="eastAsia" w:ascii="宋体" w:hAnsi="宋体" w:eastAsia="宋体" w:cs="宋体"/>
          <w:b w:val="0"/>
          <w:bCs w:val="0"/>
          <w:color w:val="auto"/>
          <w:sz w:val="24"/>
          <w:szCs w:val="24"/>
          <w:highlight w:val="none"/>
        </w:rPr>
        <w:sectPr>
          <w:headerReference r:id="rId6" w:type="default"/>
          <w:footerReference r:id="rId7" w:type="default"/>
          <w:pgSz w:w="11906" w:h="16839"/>
          <w:pgMar w:top="1440" w:right="1080" w:bottom="1440" w:left="1080" w:header="0" w:footer="1085" w:gutter="0"/>
          <w:pgBorders>
            <w:top w:val="none" w:sz="0" w:space="0"/>
            <w:left w:val="none" w:sz="0" w:space="0"/>
            <w:bottom w:val="none" w:sz="0" w:space="0"/>
            <w:right w:val="none" w:sz="0" w:space="0"/>
          </w:pgBorders>
          <w:cols w:space="720" w:num="1"/>
        </w:sectPr>
      </w:pPr>
    </w:p>
    <w:p w14:paraId="3057EABB">
      <w:pPr>
        <w:jc w:val="center"/>
        <w:outlineLvl w:val="1"/>
        <w:rPr>
          <w:rFonts w:hint="eastAsia" w:ascii="宋体" w:hAnsi="宋体" w:eastAsia="宋体" w:cs="宋体"/>
          <w:color w:val="auto"/>
          <w:sz w:val="24"/>
          <w:szCs w:val="24"/>
          <w:highlight w:val="none"/>
        </w:rPr>
      </w:pPr>
      <w:bookmarkStart w:id="7" w:name="_Toc27205"/>
      <w:r>
        <w:rPr>
          <w:rFonts w:hint="eastAsia" w:ascii="宋体" w:hAnsi="宋体" w:eastAsia="宋体" w:cs="宋体"/>
          <w:b/>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投标人须知正文</w:t>
      </w:r>
      <w:bookmarkEnd w:id="7"/>
    </w:p>
    <w:p w14:paraId="2F3B78EB">
      <w:pPr>
        <w:pStyle w:val="5"/>
        <w:spacing w:line="256" w:lineRule="auto"/>
        <w:rPr>
          <w:rFonts w:hint="eastAsia" w:ascii="宋体" w:hAnsi="宋体" w:eastAsia="宋体" w:cs="宋体"/>
          <w:color w:val="auto"/>
          <w:highlight w:val="none"/>
        </w:rPr>
      </w:pPr>
    </w:p>
    <w:p w14:paraId="75B58BED">
      <w:pPr>
        <w:pStyle w:val="5"/>
        <w:spacing w:line="257" w:lineRule="auto"/>
        <w:rPr>
          <w:rFonts w:hint="eastAsia" w:ascii="宋体" w:hAnsi="宋体" w:eastAsia="宋体" w:cs="宋体"/>
          <w:color w:val="auto"/>
          <w:highlight w:val="none"/>
        </w:rPr>
      </w:pPr>
    </w:p>
    <w:p w14:paraId="0D93179B">
      <w:pPr>
        <w:keepNext w:val="0"/>
        <w:keepLines w:val="0"/>
        <w:widowControl/>
        <w:suppressLineNumbers w:val="0"/>
        <w:spacing w:line="360" w:lineRule="auto"/>
        <w:ind w:right="-258" w:rightChars="-123"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u w:val="single"/>
          <w:lang w:val="en-US" w:eastAsia="zh-CN"/>
        </w:rPr>
        <w:t>韶关市仁化县丹霞街道乡村绿化景观带提升工程(夏富段)</w:t>
      </w:r>
      <w:r>
        <w:rPr>
          <w:rFonts w:hint="eastAsia" w:asciiTheme="minorEastAsia" w:hAnsiTheme="minorEastAsia" w:eastAsiaTheme="minorEastAsia" w:cstheme="minorEastAsia"/>
          <w:snapToGrid w:val="0"/>
          <w:color w:val="auto"/>
          <w:kern w:val="0"/>
          <w:sz w:val="21"/>
          <w:szCs w:val="21"/>
          <w:highlight w:val="none"/>
        </w:rPr>
        <w:t>业经</w:t>
      </w:r>
      <w:r>
        <w:rPr>
          <w:rFonts w:hint="eastAsia" w:asciiTheme="minorEastAsia" w:hAnsiTheme="minorEastAsia" w:eastAsiaTheme="minorEastAsia" w:cstheme="minorEastAsia"/>
          <w:snapToGrid w:val="0"/>
          <w:color w:val="auto"/>
          <w:kern w:val="0"/>
          <w:sz w:val="21"/>
          <w:szCs w:val="21"/>
          <w:highlight w:val="none"/>
          <w:u w:val="single"/>
          <w:lang w:val="en-US" w:eastAsia="zh-CN"/>
        </w:rPr>
        <w:t>仁化县发展改革和政务数据局</w:t>
      </w:r>
      <w:r>
        <w:rPr>
          <w:rFonts w:hint="eastAsia" w:asciiTheme="minorEastAsia" w:hAnsiTheme="minorEastAsia" w:eastAsiaTheme="minorEastAsia" w:cstheme="minorEastAsia"/>
          <w:snapToGrid w:val="0"/>
          <w:color w:val="auto"/>
          <w:kern w:val="0"/>
          <w:sz w:val="21"/>
          <w:szCs w:val="21"/>
          <w:highlight w:val="none"/>
          <w:u w:val="none"/>
        </w:rPr>
        <w:t>以</w:t>
      </w:r>
      <w:r>
        <w:rPr>
          <w:rFonts w:hint="eastAsia" w:asciiTheme="minorEastAsia" w:hAnsiTheme="minorEastAsia" w:eastAsiaTheme="minorEastAsia" w:cstheme="minorEastAsia"/>
          <w:snapToGrid w:val="0"/>
          <w:color w:val="auto"/>
          <w:kern w:val="0"/>
          <w:sz w:val="21"/>
          <w:szCs w:val="21"/>
          <w:highlight w:val="none"/>
          <w:u w:val="single"/>
        </w:rPr>
        <w:t>《仁化县发展改革和政务数据局关于</w:t>
      </w:r>
      <w:r>
        <w:rPr>
          <w:rFonts w:hint="eastAsia" w:asciiTheme="minorEastAsia" w:hAnsiTheme="minorEastAsia" w:eastAsiaTheme="minorEastAsia" w:cstheme="minorEastAsia"/>
          <w:snapToGrid w:val="0"/>
          <w:color w:val="auto"/>
          <w:kern w:val="0"/>
          <w:sz w:val="21"/>
          <w:szCs w:val="21"/>
          <w:highlight w:val="none"/>
          <w:u w:val="single"/>
          <w:lang w:val="en-US" w:eastAsia="zh-CN"/>
        </w:rPr>
        <w:t>韶关市仁化县丹霞街道乡村绿化景观带提升工程(夏富段)</w:t>
      </w:r>
      <w:r>
        <w:rPr>
          <w:rFonts w:hint="eastAsia" w:asciiTheme="minorEastAsia" w:hAnsiTheme="minorEastAsia" w:eastAsiaTheme="minorEastAsia" w:cstheme="minorEastAsia"/>
          <w:snapToGrid w:val="0"/>
          <w:color w:val="auto"/>
          <w:kern w:val="0"/>
          <w:sz w:val="21"/>
          <w:szCs w:val="21"/>
          <w:highlight w:val="none"/>
          <w:u w:val="single"/>
        </w:rPr>
        <w:t>初步设计概算的批复》</w:t>
      </w:r>
      <w:r>
        <w:rPr>
          <w:rFonts w:hint="eastAsia" w:asciiTheme="minorEastAsia" w:hAnsiTheme="minorEastAsia" w:eastAsiaTheme="minorEastAsia" w:cstheme="minorEastAsia"/>
          <w:snapToGrid w:val="0"/>
          <w:color w:val="auto"/>
          <w:kern w:val="0"/>
          <w:sz w:val="21"/>
          <w:szCs w:val="21"/>
          <w:highlight w:val="none"/>
          <w:u w:val="single"/>
          <w:lang w:eastAsia="zh-CN"/>
        </w:rPr>
        <w:t>（</w:t>
      </w:r>
      <w:r>
        <w:rPr>
          <w:rFonts w:hint="eastAsia" w:asciiTheme="minorEastAsia" w:hAnsiTheme="minorEastAsia" w:eastAsiaTheme="minorEastAsia" w:cstheme="minorEastAsia"/>
          <w:snapToGrid w:val="0"/>
          <w:color w:val="auto"/>
          <w:kern w:val="0"/>
          <w:sz w:val="21"/>
          <w:szCs w:val="21"/>
          <w:highlight w:val="none"/>
          <w:u w:val="single"/>
          <w:lang w:val="en-US" w:eastAsia="zh-CN"/>
        </w:rPr>
        <w:t>仁发改和政数投审【2025】99号</w:t>
      </w:r>
      <w:r>
        <w:rPr>
          <w:rFonts w:hint="eastAsia" w:asciiTheme="minorEastAsia" w:hAnsiTheme="minorEastAsia" w:eastAsiaTheme="minorEastAsia" w:cstheme="minorEastAsia"/>
          <w:snapToGrid w:val="0"/>
          <w:color w:val="auto"/>
          <w:kern w:val="0"/>
          <w:sz w:val="21"/>
          <w:szCs w:val="21"/>
          <w:highlight w:val="none"/>
          <w:u w:val="single"/>
          <w:lang w:eastAsia="zh-CN"/>
        </w:rPr>
        <w:t>）</w:t>
      </w:r>
      <w:r>
        <w:rPr>
          <w:rFonts w:hint="eastAsia" w:asciiTheme="minorEastAsia" w:hAnsiTheme="minorEastAsia" w:eastAsiaTheme="minorEastAsia" w:cstheme="minorEastAsia"/>
          <w:snapToGrid w:val="0"/>
          <w:color w:val="auto"/>
          <w:kern w:val="0"/>
          <w:sz w:val="21"/>
          <w:szCs w:val="21"/>
          <w:highlight w:val="none"/>
        </w:rPr>
        <w:t>批准建设，项目代码为</w:t>
      </w:r>
      <w:r>
        <w:rPr>
          <w:rFonts w:hint="eastAsia" w:asciiTheme="minorEastAsia" w:hAnsiTheme="minorEastAsia" w:eastAsiaTheme="minorEastAsia" w:cstheme="minorEastAsia"/>
          <w:snapToGrid w:val="0"/>
          <w:color w:val="auto"/>
          <w:kern w:val="0"/>
          <w:sz w:val="21"/>
          <w:szCs w:val="21"/>
          <w:highlight w:val="none"/>
          <w:u w:val="single"/>
          <w:lang w:eastAsia="zh-CN"/>
        </w:rPr>
        <w:t>2503-440224-04-01-473182</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rPr>
        <w:t>。项目业主为</w:t>
      </w:r>
      <w:r>
        <w:rPr>
          <w:rFonts w:hint="eastAsia" w:asciiTheme="minorEastAsia" w:hAnsiTheme="minorEastAsia" w:eastAsiaTheme="minorEastAsia" w:cstheme="minorEastAsia"/>
          <w:snapToGrid w:val="0"/>
          <w:color w:val="auto"/>
          <w:kern w:val="0"/>
          <w:sz w:val="21"/>
          <w:szCs w:val="21"/>
          <w:highlight w:val="none"/>
          <w:u w:val="single"/>
          <w:lang w:eastAsia="zh-CN"/>
        </w:rPr>
        <w:t>仁化县丹霞街道办事处</w:t>
      </w:r>
      <w:r>
        <w:rPr>
          <w:rFonts w:hint="eastAsia" w:asciiTheme="minorEastAsia" w:hAnsiTheme="minorEastAsia" w:eastAsiaTheme="minorEastAsia" w:cstheme="minorEastAsia"/>
          <w:snapToGrid w:val="0"/>
          <w:color w:val="auto"/>
          <w:kern w:val="0"/>
          <w:sz w:val="21"/>
          <w:szCs w:val="21"/>
          <w:highlight w:val="none"/>
        </w:rPr>
        <w:t>，建设资金来自</w:t>
      </w:r>
      <w:r>
        <w:rPr>
          <w:rFonts w:hint="eastAsia" w:asciiTheme="minorEastAsia" w:hAnsiTheme="minorEastAsia" w:eastAsiaTheme="minorEastAsia" w:cstheme="minorEastAsia"/>
          <w:snapToGrid w:val="0"/>
          <w:color w:val="auto"/>
          <w:kern w:val="0"/>
          <w:sz w:val="21"/>
          <w:szCs w:val="21"/>
          <w:highlight w:val="none"/>
          <w:u w:val="single"/>
          <w:lang w:eastAsia="zh-CN"/>
        </w:rPr>
        <w:t>上级资金和县级财政资金安排解决</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rPr>
        <w:t>，出资比例</w:t>
      </w:r>
      <w:r>
        <w:rPr>
          <w:rFonts w:hint="eastAsia" w:asciiTheme="minorEastAsia" w:hAnsiTheme="minorEastAsia" w:eastAsiaTheme="minorEastAsia" w:cstheme="minorEastAsia"/>
          <w:snapToGrid w:val="0"/>
          <w:color w:val="auto"/>
          <w:kern w:val="0"/>
          <w:sz w:val="21"/>
          <w:szCs w:val="21"/>
          <w:highlight w:val="none"/>
          <w:u w:val="single"/>
        </w:rPr>
        <w:t>100%</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rPr>
        <w:t>，招标人为</w:t>
      </w:r>
      <w:r>
        <w:rPr>
          <w:rFonts w:hint="eastAsia" w:asciiTheme="minorEastAsia" w:hAnsiTheme="minorEastAsia" w:eastAsiaTheme="minorEastAsia" w:cstheme="minorEastAsia"/>
          <w:snapToGrid w:val="0"/>
          <w:color w:val="auto"/>
          <w:kern w:val="0"/>
          <w:sz w:val="21"/>
          <w:szCs w:val="21"/>
          <w:highlight w:val="none"/>
          <w:u w:val="single"/>
          <w:lang w:eastAsia="zh-CN"/>
        </w:rPr>
        <w:t>仁化县丹霞街道办事处</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rPr>
        <w:t>，招标代理机构为</w:t>
      </w:r>
      <w:r>
        <w:rPr>
          <w:rFonts w:hint="eastAsia" w:asciiTheme="minorEastAsia" w:hAnsiTheme="minorEastAsia" w:eastAsiaTheme="minorEastAsia" w:cstheme="minorEastAsia"/>
          <w:color w:val="auto"/>
          <w:kern w:val="0"/>
          <w:sz w:val="21"/>
          <w:szCs w:val="21"/>
          <w:highlight w:val="none"/>
          <w:u w:val="single"/>
          <w:lang w:eastAsia="zh-CN"/>
        </w:rPr>
        <w:t>韶关众信项目管理有限公司</w:t>
      </w:r>
      <w:r>
        <w:rPr>
          <w:rFonts w:hint="eastAsia" w:asciiTheme="minorEastAsia" w:hAnsiTheme="minorEastAsia" w:eastAsiaTheme="minorEastAsia" w:cstheme="minorEastAsia"/>
          <w:snapToGrid w:val="0"/>
          <w:color w:val="auto"/>
          <w:kern w:val="0"/>
          <w:sz w:val="21"/>
          <w:szCs w:val="21"/>
          <w:highlight w:val="none"/>
        </w:rPr>
        <w:t>。项目已具备招标条件，现对该项目的</w:t>
      </w:r>
      <w:r>
        <w:rPr>
          <w:rFonts w:hint="eastAsia" w:asciiTheme="minorEastAsia" w:hAnsiTheme="minorEastAsia" w:eastAsiaTheme="minorEastAsia" w:cstheme="minorEastAsia"/>
          <w:snapToGrid w:val="0"/>
          <w:color w:val="auto"/>
          <w:kern w:val="0"/>
          <w:sz w:val="21"/>
          <w:szCs w:val="21"/>
          <w:highlight w:val="none"/>
          <w:u w:val="single"/>
          <w:lang w:val="en-US" w:eastAsia="zh-CN"/>
        </w:rPr>
        <w:t>施工</w:t>
      </w:r>
      <w:r>
        <w:rPr>
          <w:rFonts w:hint="eastAsia" w:asciiTheme="minorEastAsia" w:hAnsiTheme="minorEastAsia" w:eastAsiaTheme="minorEastAsia" w:cstheme="minorEastAsia"/>
          <w:snapToGrid w:val="0"/>
          <w:color w:val="auto"/>
          <w:kern w:val="0"/>
          <w:sz w:val="21"/>
          <w:szCs w:val="21"/>
          <w:highlight w:val="none"/>
        </w:rPr>
        <w:t>进行公开招标。</w:t>
      </w:r>
    </w:p>
    <w:p w14:paraId="3E30848D">
      <w:pPr>
        <w:spacing w:before="78" w:line="220" w:lineRule="auto"/>
        <w:ind w:left="496"/>
        <w:outlineLvl w:val="2"/>
        <w:rPr>
          <w:rFonts w:hint="eastAsia" w:asciiTheme="minorEastAsia" w:hAnsiTheme="minorEastAsia" w:eastAsiaTheme="minorEastAsia" w:cstheme="minorEastAsia"/>
          <w:color w:val="auto"/>
          <w:sz w:val="21"/>
          <w:szCs w:val="21"/>
          <w:highlight w:val="none"/>
        </w:rPr>
      </w:pPr>
      <w:bookmarkStart w:id="8" w:name="bookmark73"/>
      <w:bookmarkEnd w:id="8"/>
      <w:bookmarkStart w:id="9" w:name="bookmark52"/>
      <w:bookmarkEnd w:id="9"/>
      <w:bookmarkStart w:id="10" w:name="bookmark59"/>
      <w:bookmarkEnd w:id="10"/>
      <w:bookmarkStart w:id="11" w:name="_Toc15993"/>
      <w:bookmarkStart w:id="12" w:name="_Toc30132"/>
      <w:r>
        <w:rPr>
          <w:rFonts w:hint="eastAsia" w:asciiTheme="minorEastAsia" w:hAnsiTheme="minorEastAsia" w:eastAsiaTheme="minorEastAsia" w:cstheme="minorEastAsia"/>
          <w:b/>
          <w:bCs/>
          <w:color w:val="auto"/>
          <w:spacing w:val="-4"/>
          <w:sz w:val="21"/>
          <w:szCs w:val="21"/>
          <w:highlight w:val="none"/>
        </w:rPr>
        <w:t>1</w:t>
      </w:r>
      <w:r>
        <w:rPr>
          <w:rFonts w:hint="eastAsia" w:asciiTheme="minorEastAsia" w:hAnsiTheme="minorEastAsia" w:eastAsiaTheme="minorEastAsia" w:cstheme="minorEastAsia"/>
          <w:b/>
          <w:bCs/>
          <w:color w:val="auto"/>
          <w:spacing w:val="-23"/>
          <w:sz w:val="21"/>
          <w:szCs w:val="21"/>
          <w:highlight w:val="none"/>
        </w:rPr>
        <w:t xml:space="preserve"> </w:t>
      </w:r>
      <w:r>
        <w:rPr>
          <w:rFonts w:hint="eastAsia" w:asciiTheme="minorEastAsia" w:hAnsiTheme="minorEastAsia" w:eastAsiaTheme="minorEastAsia" w:cstheme="minorEastAsia"/>
          <w:b/>
          <w:bCs/>
          <w:color w:val="auto"/>
          <w:spacing w:val="-4"/>
          <w:sz w:val="21"/>
          <w:szCs w:val="21"/>
          <w:highlight w:val="none"/>
        </w:rPr>
        <w:t>．项目概况、招标范围和标段划分、投标费用等</w:t>
      </w:r>
      <w:bookmarkEnd w:id="11"/>
      <w:bookmarkEnd w:id="12"/>
    </w:p>
    <w:p w14:paraId="069FC4EC">
      <w:pPr>
        <w:spacing w:before="153" w:line="360"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1.1</w:t>
      </w:r>
      <w:r>
        <w:rPr>
          <w:rFonts w:hint="eastAsia" w:asciiTheme="minorEastAsia" w:hAnsiTheme="minorEastAsia" w:eastAsiaTheme="minorEastAsia" w:cstheme="minorEastAsia"/>
          <w:b/>
          <w:bCs/>
          <w:color w:val="auto"/>
          <w:spacing w:val="9"/>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项目概况</w:t>
      </w:r>
    </w:p>
    <w:p w14:paraId="14B27020">
      <w:pPr>
        <w:spacing w:before="151" w:line="360" w:lineRule="auto"/>
        <w:ind w:left="496"/>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b/>
          <w:bCs/>
          <w:color w:val="auto"/>
          <w:spacing w:val="-2"/>
          <w:sz w:val="21"/>
          <w:szCs w:val="21"/>
          <w:highlight w:val="none"/>
        </w:rPr>
        <w:t xml:space="preserve">1.1.1  </w:t>
      </w:r>
      <w:r>
        <w:rPr>
          <w:rFonts w:hint="eastAsia" w:asciiTheme="minorEastAsia" w:hAnsiTheme="minorEastAsia" w:eastAsiaTheme="minorEastAsia" w:cstheme="minorEastAsia"/>
          <w:color w:val="auto"/>
          <w:spacing w:val="-2"/>
          <w:sz w:val="21"/>
          <w:szCs w:val="21"/>
          <w:highlight w:val="none"/>
        </w:rPr>
        <w:t>建设地点：</w:t>
      </w:r>
      <w:r>
        <w:rPr>
          <w:rFonts w:hint="eastAsia" w:asciiTheme="minorEastAsia" w:hAnsiTheme="minorEastAsia" w:eastAsiaTheme="minorEastAsia" w:cstheme="minorEastAsia"/>
          <w:color w:val="auto"/>
          <w:spacing w:val="-2"/>
          <w:sz w:val="21"/>
          <w:szCs w:val="21"/>
          <w:highlight w:val="none"/>
          <w:u w:val="single"/>
          <w:lang w:val="en-US" w:eastAsia="zh-CN"/>
        </w:rPr>
        <w:t>仁化县丹霞街道夏富村</w:t>
      </w:r>
      <w:r>
        <w:rPr>
          <w:rFonts w:hint="eastAsia" w:asciiTheme="minorEastAsia" w:hAnsiTheme="minorEastAsia" w:eastAsiaTheme="minorEastAsia" w:cstheme="minorEastAsia"/>
          <w:color w:val="auto"/>
          <w:sz w:val="21"/>
          <w:szCs w:val="21"/>
          <w:highlight w:val="none"/>
          <w:u w:val="none"/>
          <w:lang w:val="en-US" w:eastAsia="zh-CN"/>
        </w:rPr>
        <w:t>。</w:t>
      </w:r>
    </w:p>
    <w:p w14:paraId="1D5D3C6A">
      <w:pPr>
        <w:spacing w:before="151" w:line="360" w:lineRule="auto"/>
        <w:ind w:left="496"/>
        <w:rPr>
          <w:rFonts w:hint="eastAsia" w:asciiTheme="minorEastAsia" w:hAnsiTheme="minorEastAsia" w:eastAsiaTheme="minorEastAsia" w:cstheme="minorEastAsia"/>
          <w:snapToGrid w:val="0"/>
          <w:color w:val="FF0000"/>
          <w:kern w:val="0"/>
          <w:sz w:val="21"/>
          <w:szCs w:val="21"/>
          <w:highlight w:val="none"/>
          <w:lang w:val="en-US" w:eastAsia="zh-CN"/>
        </w:rPr>
      </w:pPr>
      <w:r>
        <w:rPr>
          <w:rFonts w:hint="eastAsia" w:asciiTheme="minorEastAsia" w:hAnsiTheme="minorEastAsia" w:eastAsiaTheme="minorEastAsia" w:cstheme="minorEastAsia"/>
          <w:b/>
          <w:bCs/>
          <w:color w:val="auto"/>
          <w:spacing w:val="-2"/>
          <w:sz w:val="21"/>
          <w:szCs w:val="21"/>
          <w:highlight w:val="none"/>
        </w:rPr>
        <w:t xml:space="preserve">1.1.2  </w:t>
      </w:r>
      <w:r>
        <w:rPr>
          <w:rFonts w:hint="eastAsia" w:asciiTheme="minorEastAsia" w:hAnsiTheme="minorEastAsia" w:eastAsiaTheme="minorEastAsia" w:cstheme="minorEastAsia"/>
          <w:color w:val="auto"/>
          <w:spacing w:val="-2"/>
          <w:sz w:val="21"/>
          <w:szCs w:val="21"/>
          <w:highlight w:val="none"/>
        </w:rPr>
        <w:t>建设内容和规模：</w:t>
      </w:r>
      <w:r>
        <w:rPr>
          <w:rFonts w:hint="eastAsia" w:asciiTheme="minorEastAsia" w:hAnsiTheme="minorEastAsia" w:eastAsiaTheme="minorEastAsia" w:cstheme="minorEastAsia"/>
          <w:snapToGrid w:val="0"/>
          <w:color w:val="auto"/>
          <w:kern w:val="0"/>
          <w:sz w:val="21"/>
          <w:szCs w:val="21"/>
          <w:highlight w:val="none"/>
          <w:u w:val="single"/>
          <w:lang w:val="en-US" w:eastAsia="zh-CN"/>
        </w:rPr>
        <w:t>对仁化县丹霞街道夏富村开展绿化示范点建设，共种植乔木、灌木约1889棵、地被植物约22986平方米，配套建设生态路、儿童活动场地、花池以及标识系统等设施。</w:t>
      </w:r>
    </w:p>
    <w:p w14:paraId="0C8AE9C2">
      <w:pPr>
        <w:spacing w:before="151" w:line="360" w:lineRule="auto"/>
        <w:ind w:left="496"/>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b/>
          <w:bCs/>
          <w:color w:val="auto"/>
          <w:spacing w:val="-2"/>
          <w:sz w:val="21"/>
          <w:szCs w:val="21"/>
          <w:highlight w:val="none"/>
        </w:rPr>
        <w:t xml:space="preserve">1.1.3  </w:t>
      </w:r>
      <w:r>
        <w:rPr>
          <w:rFonts w:hint="eastAsia" w:asciiTheme="minorEastAsia" w:hAnsiTheme="minorEastAsia" w:eastAsiaTheme="minorEastAsia" w:cstheme="minorEastAsia"/>
          <w:color w:val="auto"/>
          <w:spacing w:val="-2"/>
          <w:sz w:val="21"/>
          <w:szCs w:val="21"/>
          <w:highlight w:val="none"/>
        </w:rPr>
        <w:t>项目总投资</w:t>
      </w:r>
      <w:r>
        <w:rPr>
          <w:rStyle w:val="18"/>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u w:val="single"/>
          <w:lang w:eastAsia="zh-CN"/>
        </w:rPr>
        <w:t>项目概算总投资788.72万元，其中工程费用726.63万元、工程建设其他费用46.63万元、预备费用15.46万元</w:t>
      </w:r>
      <w:r>
        <w:rPr>
          <w:rFonts w:hint="eastAsia" w:asciiTheme="minorEastAsia" w:hAnsiTheme="minorEastAsia" w:eastAsiaTheme="minorEastAsia" w:cstheme="minorEastAsia"/>
          <w:snapToGrid w:val="0"/>
          <w:color w:val="auto"/>
          <w:kern w:val="0"/>
          <w:sz w:val="21"/>
          <w:szCs w:val="21"/>
          <w:highlight w:val="none"/>
          <w:lang w:eastAsia="zh-CN"/>
        </w:rPr>
        <w:t>。</w:t>
      </w:r>
    </w:p>
    <w:p w14:paraId="7B3968A1">
      <w:pPr>
        <w:spacing w:before="151" w:line="360" w:lineRule="auto"/>
        <w:ind w:left="496"/>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b/>
          <w:bCs/>
          <w:color w:val="auto"/>
          <w:sz w:val="21"/>
          <w:szCs w:val="21"/>
          <w:highlight w:val="none"/>
          <w:u w:val="none"/>
          <w:lang w:val="en-US" w:eastAsia="zh-CN"/>
        </w:rPr>
        <w:t>1</w:t>
      </w:r>
      <w:r>
        <w:rPr>
          <w:rFonts w:hint="eastAsia" w:asciiTheme="minorEastAsia" w:hAnsiTheme="minorEastAsia" w:eastAsiaTheme="minorEastAsia" w:cstheme="minorEastAsia"/>
          <w:b/>
          <w:bCs/>
          <w:color w:val="auto"/>
          <w:spacing w:val="-2"/>
          <w:sz w:val="21"/>
          <w:szCs w:val="21"/>
          <w:highlight w:val="none"/>
          <w:u w:val="none"/>
          <w:lang w:val="en-US" w:eastAsia="zh-CN"/>
        </w:rPr>
        <w:t xml:space="preserve">.2 </w:t>
      </w:r>
      <w:r>
        <w:rPr>
          <w:rFonts w:hint="eastAsia" w:asciiTheme="minorEastAsia" w:hAnsiTheme="minorEastAsia" w:eastAsiaTheme="minorEastAsia" w:cstheme="minorEastAsia"/>
          <w:color w:val="auto"/>
          <w:sz w:val="21"/>
          <w:szCs w:val="21"/>
          <w:highlight w:val="none"/>
          <w:u w:val="single"/>
          <w:lang w:val="en-US" w:eastAsia="zh-CN"/>
        </w:rPr>
        <w:t xml:space="preserve"> 招标范围和标段划分</w:t>
      </w:r>
    </w:p>
    <w:p w14:paraId="489DA5D7">
      <w:pPr>
        <w:spacing w:before="152" w:line="360" w:lineRule="auto"/>
        <w:ind w:left="496"/>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pacing w:val="-2"/>
          <w:sz w:val="21"/>
          <w:szCs w:val="21"/>
          <w:highlight w:val="none"/>
        </w:rPr>
        <w:t xml:space="preserve">1.2.1  </w:t>
      </w:r>
      <w:r>
        <w:rPr>
          <w:rFonts w:hint="eastAsia" w:asciiTheme="minorEastAsia" w:hAnsiTheme="minorEastAsia" w:eastAsiaTheme="minorEastAsia" w:cstheme="minorEastAsia"/>
          <w:color w:val="auto"/>
          <w:spacing w:val="-2"/>
          <w:sz w:val="21"/>
          <w:szCs w:val="21"/>
          <w:highlight w:val="none"/>
        </w:rPr>
        <w:t>招标范围：</w:t>
      </w:r>
      <w:r>
        <w:rPr>
          <w:rFonts w:hint="eastAsia" w:asciiTheme="minorEastAsia" w:hAnsiTheme="minorEastAsia" w:eastAsiaTheme="minorEastAsia" w:cstheme="minorEastAsia"/>
          <w:color w:val="auto"/>
          <w:spacing w:val="-1"/>
          <w:sz w:val="21"/>
          <w:szCs w:val="21"/>
          <w:highlight w:val="none"/>
        </w:rPr>
        <w:t>按审查合格的施工图纸及工程量清单内容施工</w:t>
      </w:r>
      <w:r>
        <w:rPr>
          <w:rFonts w:hint="eastAsia" w:asciiTheme="minorEastAsia" w:hAnsiTheme="minorEastAsia" w:eastAsiaTheme="minorEastAsia" w:cstheme="minorEastAsia"/>
          <w:color w:val="auto"/>
          <w:spacing w:val="-1"/>
          <w:sz w:val="21"/>
          <w:szCs w:val="21"/>
          <w:highlight w:val="none"/>
          <w:lang w:eastAsia="zh-CN"/>
        </w:rPr>
        <w:t>。</w:t>
      </w:r>
    </w:p>
    <w:p w14:paraId="579065CC">
      <w:pPr>
        <w:spacing w:before="134" w:line="360" w:lineRule="auto"/>
        <w:ind w:left="496"/>
        <w:outlineLvl w:val="9"/>
        <w:rPr>
          <w:rFonts w:hint="eastAsia" w:asciiTheme="minorEastAsia" w:hAnsiTheme="minorEastAsia" w:eastAsiaTheme="minorEastAsia" w:cstheme="minorEastAsia"/>
          <w:color w:val="auto"/>
          <w:sz w:val="21"/>
          <w:szCs w:val="21"/>
          <w:highlight w:val="none"/>
        </w:rPr>
      </w:pPr>
      <w:bookmarkStart w:id="13" w:name="_Toc14190"/>
      <w:bookmarkStart w:id="14" w:name="_Toc28202"/>
      <w:bookmarkStart w:id="15" w:name="_Toc20855"/>
      <w:bookmarkStart w:id="16" w:name="_Toc24593"/>
      <w:r>
        <w:rPr>
          <w:rFonts w:hint="eastAsia" w:asciiTheme="minorEastAsia" w:hAnsiTheme="minorEastAsia" w:eastAsiaTheme="minorEastAsia" w:cstheme="minorEastAsia"/>
          <w:b/>
          <w:bCs/>
          <w:color w:val="auto"/>
          <w:spacing w:val="-2"/>
          <w:sz w:val="21"/>
          <w:szCs w:val="21"/>
          <w:highlight w:val="none"/>
        </w:rPr>
        <w:t xml:space="preserve">1.2.2  </w:t>
      </w:r>
      <w:r>
        <w:rPr>
          <w:rFonts w:hint="eastAsia" w:asciiTheme="minorEastAsia" w:hAnsiTheme="minorEastAsia" w:eastAsiaTheme="minorEastAsia" w:cstheme="minorEastAsia"/>
          <w:color w:val="auto"/>
          <w:spacing w:val="-2"/>
          <w:sz w:val="21"/>
          <w:szCs w:val="21"/>
          <w:highlight w:val="none"/>
        </w:rPr>
        <w:t>标段划分：本招标项目不划分标段。</w:t>
      </w:r>
      <w:bookmarkEnd w:id="13"/>
      <w:bookmarkEnd w:id="14"/>
      <w:bookmarkEnd w:id="15"/>
      <w:bookmarkEnd w:id="16"/>
    </w:p>
    <w:p w14:paraId="3BD88D08">
      <w:pPr>
        <w:spacing w:before="151" w:line="360" w:lineRule="auto"/>
        <w:ind w:left="13" w:right="65" w:firstLine="53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1.3  </w:t>
      </w:r>
      <w:r>
        <w:rPr>
          <w:rFonts w:hint="eastAsia" w:asciiTheme="minorEastAsia" w:hAnsiTheme="minorEastAsia" w:eastAsiaTheme="minorEastAsia" w:cstheme="minorEastAsia"/>
          <w:color w:val="auto"/>
          <w:spacing w:val="-1"/>
          <w:sz w:val="21"/>
          <w:szCs w:val="21"/>
          <w:highlight w:val="none"/>
        </w:rPr>
        <w:t>投标费用：投标人应承担所有准备和参加投标的相关费用，不</w:t>
      </w:r>
      <w:r>
        <w:rPr>
          <w:rFonts w:hint="eastAsia" w:asciiTheme="minorEastAsia" w:hAnsiTheme="minorEastAsia" w:eastAsiaTheme="minorEastAsia" w:cstheme="minorEastAsia"/>
          <w:color w:val="auto"/>
          <w:spacing w:val="-2"/>
          <w:sz w:val="21"/>
          <w:szCs w:val="21"/>
          <w:highlight w:val="none"/>
        </w:rPr>
        <w:t>论投标结果如</w:t>
      </w:r>
      <w:r>
        <w:rPr>
          <w:rFonts w:hint="eastAsia" w:asciiTheme="minorEastAsia" w:hAnsiTheme="minorEastAsia" w:eastAsiaTheme="minorEastAsia" w:cstheme="minorEastAsia"/>
          <w:color w:val="auto"/>
          <w:spacing w:val="-1"/>
          <w:sz w:val="21"/>
          <w:szCs w:val="21"/>
          <w:highlight w:val="none"/>
        </w:rPr>
        <w:t>何，招标人均无义务和责任承担这些费用。</w:t>
      </w:r>
    </w:p>
    <w:p w14:paraId="70129BE9">
      <w:pPr>
        <w:spacing w:before="22" w:line="360"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6"/>
          <w:sz w:val="21"/>
          <w:szCs w:val="21"/>
          <w:highlight w:val="none"/>
        </w:rPr>
        <w:t xml:space="preserve">1.4  </w:t>
      </w:r>
      <w:r>
        <w:rPr>
          <w:rFonts w:hint="eastAsia" w:asciiTheme="minorEastAsia" w:hAnsiTheme="minorEastAsia" w:eastAsiaTheme="minorEastAsia" w:cstheme="minorEastAsia"/>
          <w:color w:val="auto"/>
          <w:spacing w:val="-6"/>
          <w:sz w:val="21"/>
          <w:szCs w:val="21"/>
          <w:highlight w:val="none"/>
        </w:rPr>
        <w:t>招标代理费用：</w:t>
      </w:r>
      <w:r>
        <w:rPr>
          <w:rFonts w:hint="eastAsia" w:asciiTheme="minorEastAsia" w:hAnsiTheme="minorEastAsia" w:eastAsiaTheme="minorEastAsia" w:cstheme="minorEastAsia"/>
          <w:color w:val="auto"/>
          <w:spacing w:val="17"/>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lang w:eastAsia="zh-CN"/>
        </w:rPr>
        <w:t>□</w:t>
      </w:r>
      <w:r>
        <w:rPr>
          <w:rFonts w:hint="eastAsia" w:asciiTheme="minorEastAsia" w:hAnsiTheme="minorEastAsia" w:eastAsiaTheme="minorEastAsia" w:cstheme="minorEastAsia"/>
          <w:color w:val="auto"/>
          <w:spacing w:val="-82"/>
          <w:sz w:val="21"/>
          <w:szCs w:val="21"/>
          <w:highlight w:val="none"/>
          <w:shd w:val="clear" w:color="auto" w:fill="FFFFFF"/>
        </w:rPr>
        <w:t xml:space="preserve"> </w:t>
      </w:r>
      <w:r>
        <w:rPr>
          <w:rFonts w:hint="eastAsia" w:asciiTheme="minorEastAsia" w:hAnsiTheme="minorEastAsia" w:eastAsiaTheme="minorEastAsia" w:cstheme="minorEastAsia"/>
          <w:color w:val="auto"/>
          <w:spacing w:val="-6"/>
          <w:sz w:val="21"/>
          <w:szCs w:val="21"/>
          <w:highlight w:val="none"/>
          <w:shd w:val="clear" w:color="auto" w:fill="FFFFFF"/>
        </w:rPr>
        <w:t>由</w:t>
      </w:r>
      <w:r>
        <w:rPr>
          <w:rFonts w:hint="eastAsia" w:asciiTheme="minorEastAsia" w:hAnsiTheme="minorEastAsia" w:eastAsiaTheme="minorEastAsia" w:cstheme="minorEastAsia"/>
          <w:color w:val="auto"/>
          <w:spacing w:val="6"/>
          <w:sz w:val="21"/>
          <w:szCs w:val="21"/>
          <w:highlight w:val="none"/>
        </w:rPr>
        <w:t>项目业主</w:t>
      </w:r>
      <w:r>
        <w:rPr>
          <w:rFonts w:hint="eastAsia" w:asciiTheme="minorEastAsia" w:hAnsiTheme="minorEastAsia" w:eastAsiaTheme="minorEastAsia" w:cstheme="minorEastAsia"/>
          <w:color w:val="auto"/>
          <w:spacing w:val="-6"/>
          <w:sz w:val="21"/>
          <w:szCs w:val="21"/>
          <w:highlight w:val="none"/>
          <w:shd w:val="clear" w:color="auto" w:fill="FFFFFF"/>
        </w:rPr>
        <w:t>支</w:t>
      </w:r>
      <w:r>
        <w:rPr>
          <w:rFonts w:hint="eastAsia" w:asciiTheme="minorEastAsia" w:hAnsiTheme="minorEastAsia" w:eastAsiaTheme="minorEastAsia" w:cstheme="minorEastAsia"/>
          <w:color w:val="auto"/>
          <w:spacing w:val="-6"/>
          <w:sz w:val="21"/>
          <w:szCs w:val="21"/>
          <w:highlight w:val="none"/>
        </w:rPr>
        <w:t>付</w:t>
      </w:r>
      <w:r>
        <w:rPr>
          <w:rFonts w:hint="eastAsia" w:asciiTheme="minorEastAsia" w:hAnsiTheme="minorEastAsia" w:eastAsiaTheme="minorEastAsia" w:cstheme="minorEastAsia"/>
          <w:color w:val="auto"/>
          <w:position w:val="-6"/>
          <w:sz w:val="21"/>
          <w:szCs w:val="21"/>
          <w:highlight w:val="none"/>
          <w:shd w:val="clear" w:color="auto" w:fill="FFFFFF"/>
          <w:lang w:eastAsia="zh-CN"/>
        </w:rPr>
        <w:t xml:space="preserve"> </w:t>
      </w:r>
      <w:r>
        <w:rPr>
          <w:rFonts w:hint="eastAsia" w:asciiTheme="minorEastAsia" w:hAnsiTheme="minorEastAsia" w:eastAsiaTheme="minorEastAsia" w:cstheme="minorEastAsia"/>
          <w:color w:val="auto"/>
          <w:spacing w:val="-6"/>
          <w:sz w:val="21"/>
          <w:szCs w:val="21"/>
          <w:highlight w:val="none"/>
          <w:shd w:val="clear" w:color="auto" w:fill="FFFFFF"/>
          <w:lang w:eastAsia="zh-CN"/>
        </w:rPr>
        <w:t>☑</w:t>
      </w:r>
      <w:r>
        <w:rPr>
          <w:rFonts w:hint="eastAsia" w:asciiTheme="minorEastAsia" w:hAnsiTheme="minorEastAsia" w:eastAsiaTheme="minorEastAsia" w:cstheme="minorEastAsia"/>
          <w:color w:val="auto"/>
          <w:spacing w:val="-81"/>
          <w:sz w:val="21"/>
          <w:szCs w:val="21"/>
          <w:highlight w:val="none"/>
          <w:shd w:val="clear" w:color="auto" w:fill="FFFFFF"/>
        </w:rPr>
        <w:t xml:space="preserve"> </w:t>
      </w:r>
      <w:r>
        <w:rPr>
          <w:rFonts w:hint="eastAsia" w:asciiTheme="minorEastAsia" w:hAnsiTheme="minorEastAsia" w:eastAsiaTheme="minorEastAsia" w:cstheme="minorEastAsia"/>
          <w:color w:val="auto"/>
          <w:spacing w:val="-6"/>
          <w:sz w:val="21"/>
          <w:szCs w:val="21"/>
          <w:highlight w:val="none"/>
          <w:shd w:val="clear" w:color="auto" w:fill="FFFFFF"/>
        </w:rPr>
        <w:t>由中标人支付。</w:t>
      </w:r>
    </w:p>
    <w:p w14:paraId="441DC636">
      <w:pPr>
        <w:wordWrap w:val="0"/>
        <w:adjustRightInd w:val="0"/>
        <w:snapToGrid w:val="0"/>
        <w:spacing w:line="360" w:lineRule="auto"/>
        <w:ind w:firstLine="422" w:firstLineChars="200"/>
        <w:jc w:val="left"/>
        <w:outlineLvl w:val="2"/>
        <w:rPr>
          <w:rFonts w:hint="eastAsia" w:asciiTheme="minorEastAsia" w:hAnsiTheme="minorEastAsia" w:eastAsiaTheme="minorEastAsia" w:cstheme="minorEastAsia"/>
          <w:b w:val="0"/>
          <w:bCs w:val="0"/>
          <w:color w:val="auto"/>
          <w:sz w:val="21"/>
          <w:szCs w:val="21"/>
          <w:highlight w:val="none"/>
        </w:rPr>
      </w:pPr>
      <w:bookmarkStart w:id="17" w:name="_Toc17618"/>
      <w:r>
        <w:rPr>
          <w:rFonts w:hint="eastAsia" w:asciiTheme="minorEastAsia" w:hAnsiTheme="minorEastAsia" w:eastAsiaTheme="minorEastAsia" w:cstheme="minorEastAsia"/>
          <w:b/>
          <w:bCs/>
          <w:color w:val="auto"/>
          <w:sz w:val="21"/>
          <w:szCs w:val="21"/>
          <w:highlight w:val="none"/>
        </w:rPr>
        <w:t>2．</w:t>
      </w:r>
      <w:r>
        <w:rPr>
          <w:rFonts w:hint="eastAsia" w:asciiTheme="minorEastAsia" w:hAnsiTheme="minorEastAsia" w:eastAsiaTheme="minorEastAsia" w:cstheme="minorEastAsia"/>
          <w:b w:val="0"/>
          <w:bCs w:val="0"/>
          <w:color w:val="auto"/>
          <w:sz w:val="21"/>
          <w:szCs w:val="21"/>
          <w:highlight w:val="none"/>
          <w:lang w:eastAsia="zh-CN"/>
        </w:rPr>
        <w:t>投标人</w:t>
      </w:r>
      <w:r>
        <w:rPr>
          <w:rFonts w:hint="eastAsia" w:asciiTheme="minorEastAsia" w:hAnsiTheme="minorEastAsia" w:eastAsiaTheme="minorEastAsia" w:cstheme="minorEastAsia"/>
          <w:b w:val="0"/>
          <w:bCs w:val="0"/>
          <w:color w:val="auto"/>
          <w:sz w:val="21"/>
          <w:szCs w:val="21"/>
          <w:highlight w:val="none"/>
        </w:rPr>
        <w:t>资质要求</w:t>
      </w:r>
      <w:bookmarkEnd w:id="17"/>
    </w:p>
    <w:p w14:paraId="5C67F655">
      <w:pPr>
        <w:wordWrap w:val="0"/>
        <w:adjustRightInd w:val="0"/>
        <w:snapToGrid w:val="0"/>
        <w:spacing w:line="360" w:lineRule="auto"/>
        <w:ind w:firstLine="422" w:firstLineChars="200"/>
        <w:rPr>
          <w:rStyle w:val="18"/>
          <w:rFonts w:hint="eastAsia" w:asciiTheme="minorEastAsia" w:hAnsiTheme="minorEastAsia" w:eastAsiaTheme="minorEastAsia" w:cstheme="minorEastAsia"/>
          <w:b/>
          <w:bCs/>
          <w:color w:val="auto"/>
          <w:kern w:val="0"/>
          <w:sz w:val="21"/>
          <w:szCs w:val="21"/>
          <w:highlight w:val="none"/>
          <w:lang w:val="en-US" w:eastAsia="zh-CN"/>
        </w:rPr>
      </w:pPr>
      <w:r>
        <w:rPr>
          <w:rStyle w:val="18"/>
          <w:rFonts w:hint="eastAsia" w:asciiTheme="minorEastAsia" w:hAnsiTheme="minorEastAsia" w:eastAsiaTheme="minorEastAsia" w:cstheme="minorEastAsia"/>
          <w:b/>
          <w:bCs/>
          <w:color w:val="auto"/>
          <w:kern w:val="0"/>
          <w:sz w:val="21"/>
          <w:szCs w:val="21"/>
          <w:highlight w:val="none"/>
          <w:lang w:val="en-US" w:eastAsia="zh-CN"/>
        </w:rPr>
        <w:t>2.1</w:t>
      </w:r>
      <w:r>
        <w:rPr>
          <w:rStyle w:val="18"/>
          <w:rFonts w:hint="eastAsia" w:asciiTheme="minorEastAsia" w:hAnsiTheme="minorEastAsia" w:eastAsiaTheme="minorEastAsia" w:cstheme="minorEastAsia"/>
          <w:b w:val="0"/>
          <w:bCs w:val="0"/>
          <w:color w:val="auto"/>
          <w:kern w:val="0"/>
          <w:sz w:val="21"/>
          <w:szCs w:val="21"/>
          <w:highlight w:val="none"/>
          <w:lang w:val="en-US" w:eastAsia="zh-CN"/>
        </w:rPr>
        <w:t xml:space="preserve"> 本次招标不接受联合体投标。</w:t>
      </w:r>
    </w:p>
    <w:p w14:paraId="51E32D57">
      <w:pPr>
        <w:wordWrap w:val="0"/>
        <w:adjustRightInd w:val="0"/>
        <w:snapToGrid w:val="0"/>
        <w:spacing w:line="360" w:lineRule="auto"/>
        <w:ind w:firstLine="422" w:firstLineChars="200"/>
        <w:rPr>
          <w:rStyle w:val="18"/>
          <w:rFonts w:hint="eastAsia" w:asciiTheme="minorEastAsia" w:hAnsiTheme="minorEastAsia" w:eastAsiaTheme="minorEastAsia" w:cstheme="minorEastAsia"/>
          <w:b w:val="0"/>
          <w:bCs w:val="0"/>
          <w:color w:val="auto"/>
          <w:kern w:val="0"/>
          <w:sz w:val="21"/>
          <w:szCs w:val="21"/>
          <w:highlight w:val="none"/>
          <w:lang w:val="en-US" w:eastAsia="zh-CN"/>
        </w:rPr>
      </w:pPr>
      <w:r>
        <w:rPr>
          <w:rStyle w:val="18"/>
          <w:rFonts w:hint="eastAsia" w:asciiTheme="minorEastAsia" w:hAnsiTheme="minorEastAsia" w:eastAsiaTheme="minorEastAsia" w:cstheme="minorEastAsia"/>
          <w:b/>
          <w:bCs/>
          <w:color w:val="auto"/>
          <w:kern w:val="0"/>
          <w:sz w:val="21"/>
          <w:szCs w:val="21"/>
          <w:highlight w:val="none"/>
          <w:lang w:val="en-US" w:eastAsia="zh-CN"/>
        </w:rPr>
        <w:t xml:space="preserve">2.2 </w:t>
      </w:r>
      <w:r>
        <w:rPr>
          <w:rStyle w:val="18"/>
          <w:rFonts w:hint="eastAsia" w:asciiTheme="minorEastAsia" w:hAnsiTheme="minorEastAsia" w:eastAsiaTheme="minorEastAsia" w:cstheme="minorEastAsia"/>
          <w:b w:val="0"/>
          <w:bCs w:val="0"/>
          <w:color w:val="auto"/>
          <w:kern w:val="0"/>
          <w:sz w:val="21"/>
          <w:szCs w:val="21"/>
          <w:highlight w:val="none"/>
          <w:lang w:val="en-US" w:eastAsia="zh-CN"/>
        </w:rPr>
        <w:t>资格资质要求</w:t>
      </w:r>
    </w:p>
    <w:p w14:paraId="738FEFEE">
      <w:pPr>
        <w:wordWrap w:val="0"/>
        <w:adjustRightInd w:val="0"/>
        <w:snapToGrid w:val="0"/>
        <w:spacing w:line="360" w:lineRule="auto"/>
        <w:ind w:firstLine="422" w:firstLineChars="200"/>
        <w:rPr>
          <w:rFonts w:hint="eastAsia" w:asciiTheme="minorEastAsia" w:hAnsiTheme="minorEastAsia" w:eastAsiaTheme="minorEastAsia" w:cstheme="minorEastAsia"/>
          <w:b w:val="0"/>
          <w:bCs w:val="0"/>
          <w:color w:val="auto"/>
          <w:sz w:val="21"/>
          <w:szCs w:val="21"/>
          <w:highlight w:val="none"/>
          <w:lang w:val="en-US" w:eastAsia="zh-CN"/>
        </w:rPr>
      </w:pPr>
      <w:r>
        <w:rPr>
          <w:rStyle w:val="18"/>
          <w:rFonts w:hint="eastAsia" w:asciiTheme="minorEastAsia" w:hAnsiTheme="minorEastAsia" w:eastAsiaTheme="minorEastAsia" w:cstheme="minorEastAsia"/>
          <w:b/>
          <w:bCs/>
          <w:color w:val="auto"/>
          <w:kern w:val="0"/>
          <w:sz w:val="21"/>
          <w:szCs w:val="21"/>
          <w:highlight w:val="none"/>
          <w:lang w:val="en-US" w:eastAsia="zh-CN"/>
        </w:rPr>
        <w:t xml:space="preserve">2.2.1 </w:t>
      </w:r>
      <w:r>
        <w:rPr>
          <w:rFonts w:hint="eastAsia" w:asciiTheme="minorEastAsia" w:hAnsiTheme="minorEastAsia" w:eastAsiaTheme="minorEastAsia" w:cstheme="minorEastAsia"/>
          <w:b w:val="0"/>
          <w:bCs w:val="0"/>
          <w:color w:val="auto"/>
          <w:sz w:val="21"/>
          <w:szCs w:val="21"/>
          <w:highlight w:val="none"/>
          <w:lang w:val="en-US" w:eastAsia="zh-CN"/>
        </w:rPr>
        <w:t>投标人须具备独立法人资格，按国家法律经营。</w:t>
      </w:r>
    </w:p>
    <w:p w14:paraId="5A9B48F1">
      <w:pPr>
        <w:wordWrap w:val="0"/>
        <w:adjustRightInd w:val="0"/>
        <w:snapToGrid w:val="0"/>
        <w:spacing w:line="360" w:lineRule="auto"/>
        <w:ind w:firstLine="422" w:firstLineChars="200"/>
        <w:rPr>
          <w:rFonts w:hint="eastAsia" w:asciiTheme="minorEastAsia" w:hAnsiTheme="minorEastAsia" w:eastAsiaTheme="minorEastAsia" w:cstheme="minorEastAsia"/>
          <w:b w:val="0"/>
          <w:bCs w:val="0"/>
          <w:color w:val="auto"/>
          <w:sz w:val="21"/>
          <w:szCs w:val="21"/>
          <w:highlight w:val="none"/>
          <w:lang w:val="en-US" w:eastAsia="zh-CN"/>
        </w:rPr>
      </w:pPr>
      <w:r>
        <w:rPr>
          <w:rStyle w:val="18"/>
          <w:rFonts w:hint="eastAsia" w:asciiTheme="minorEastAsia" w:hAnsiTheme="minorEastAsia" w:eastAsiaTheme="minorEastAsia" w:cstheme="minorEastAsia"/>
          <w:b/>
          <w:bCs/>
          <w:color w:val="auto"/>
          <w:kern w:val="0"/>
          <w:sz w:val="21"/>
          <w:szCs w:val="21"/>
          <w:highlight w:val="none"/>
          <w:lang w:val="en-US" w:eastAsia="zh-CN"/>
        </w:rPr>
        <w:t xml:space="preserve">2.2.2 </w:t>
      </w:r>
      <w:r>
        <w:rPr>
          <w:rFonts w:hint="eastAsia" w:asciiTheme="minorEastAsia" w:hAnsiTheme="minorEastAsia" w:eastAsiaTheme="minorEastAsia" w:cstheme="minorEastAsia"/>
          <w:b w:val="0"/>
          <w:bCs w:val="0"/>
          <w:color w:val="auto"/>
          <w:sz w:val="21"/>
          <w:szCs w:val="21"/>
          <w:highlight w:val="none"/>
          <w:lang w:val="en-US" w:eastAsia="zh-CN"/>
        </w:rPr>
        <w:t>投标人须持有建设行政主管部门颁发的企业资质证书及安全生产许可证。</w:t>
      </w:r>
    </w:p>
    <w:p w14:paraId="5F2F2888">
      <w:pPr>
        <w:wordWrap w:val="0"/>
        <w:adjustRightInd w:val="0"/>
        <w:snapToGrid w:val="0"/>
        <w:spacing w:line="360" w:lineRule="auto"/>
        <w:ind w:firstLine="422" w:firstLineChars="200"/>
        <w:rPr>
          <w:rFonts w:hint="eastAsia" w:asciiTheme="minorEastAsia" w:hAnsiTheme="minorEastAsia" w:eastAsiaTheme="minorEastAsia" w:cstheme="minorEastAsia"/>
          <w:b w:val="0"/>
          <w:bCs w:val="0"/>
          <w:color w:val="auto"/>
          <w:sz w:val="21"/>
          <w:szCs w:val="21"/>
          <w:highlight w:val="none"/>
          <w:u w:val="single"/>
          <w:lang w:val="en-US" w:eastAsia="zh-CN"/>
        </w:rPr>
      </w:pPr>
      <w:r>
        <w:rPr>
          <w:rStyle w:val="18"/>
          <w:rFonts w:hint="eastAsia" w:asciiTheme="minorEastAsia" w:hAnsiTheme="minorEastAsia" w:eastAsiaTheme="minorEastAsia" w:cstheme="minorEastAsia"/>
          <w:b/>
          <w:bCs/>
          <w:color w:val="auto"/>
          <w:kern w:val="0"/>
          <w:sz w:val="21"/>
          <w:szCs w:val="21"/>
          <w:highlight w:val="none"/>
          <w:lang w:val="en-US" w:eastAsia="zh-CN"/>
        </w:rPr>
        <w:t xml:space="preserve">2.2.3 </w:t>
      </w:r>
      <w:r>
        <w:rPr>
          <w:rFonts w:hint="eastAsia" w:asciiTheme="minorEastAsia" w:hAnsiTheme="minorEastAsia" w:eastAsiaTheme="minorEastAsia" w:cstheme="minorEastAsia"/>
          <w:b w:val="0"/>
          <w:bCs w:val="0"/>
          <w:color w:val="auto"/>
          <w:sz w:val="21"/>
          <w:szCs w:val="21"/>
          <w:highlight w:val="none"/>
          <w:lang w:val="en-US" w:eastAsia="zh-CN"/>
        </w:rPr>
        <w:t>投标人须具备以下资质：</w:t>
      </w:r>
      <w:r>
        <w:rPr>
          <w:rFonts w:hint="eastAsia" w:asciiTheme="minorEastAsia" w:hAnsiTheme="minorEastAsia" w:eastAsiaTheme="minorEastAsia" w:cstheme="minorEastAsia"/>
          <w:b w:val="0"/>
          <w:bCs w:val="0"/>
          <w:color w:val="auto"/>
          <w:sz w:val="21"/>
          <w:szCs w:val="21"/>
          <w:highlight w:val="none"/>
          <w:u w:val="single"/>
          <w:lang w:val="en-US" w:eastAsia="zh-CN"/>
        </w:rPr>
        <w:t>具有建设行政主管部门颁发的市政公用工程施工总承包叁级以上（含叁级）资质。</w:t>
      </w:r>
    </w:p>
    <w:p w14:paraId="59689971">
      <w:pPr>
        <w:wordWrap w:val="0"/>
        <w:adjustRightInd w:val="0"/>
        <w:snapToGrid w:val="0"/>
        <w:spacing w:line="360" w:lineRule="auto"/>
        <w:ind w:firstLine="422" w:firstLineChars="200"/>
        <w:rPr>
          <w:rFonts w:hint="eastAsia" w:asciiTheme="minorEastAsia" w:hAnsiTheme="minorEastAsia" w:eastAsiaTheme="minorEastAsia" w:cstheme="minorEastAsia"/>
          <w:b w:val="0"/>
          <w:bCs w:val="0"/>
          <w:color w:val="auto"/>
          <w:sz w:val="21"/>
          <w:szCs w:val="21"/>
          <w:highlight w:val="none"/>
          <w:lang w:val="en-US" w:eastAsia="zh-CN"/>
        </w:rPr>
      </w:pPr>
      <w:r>
        <w:rPr>
          <w:rStyle w:val="18"/>
          <w:rFonts w:hint="eastAsia" w:asciiTheme="minorEastAsia" w:hAnsiTheme="minorEastAsia" w:eastAsiaTheme="minorEastAsia" w:cstheme="minorEastAsia"/>
          <w:b/>
          <w:bCs/>
          <w:color w:val="auto"/>
          <w:kern w:val="0"/>
          <w:sz w:val="21"/>
          <w:szCs w:val="21"/>
          <w:highlight w:val="none"/>
          <w:lang w:val="en-US" w:eastAsia="zh-CN"/>
        </w:rPr>
        <w:t xml:space="preserve">2.2.4 </w:t>
      </w:r>
      <w:r>
        <w:rPr>
          <w:rFonts w:hint="eastAsia" w:asciiTheme="minorEastAsia" w:hAnsiTheme="minorEastAsia" w:eastAsiaTheme="minorEastAsia" w:cstheme="minorEastAsia"/>
          <w:b w:val="0"/>
          <w:bCs w:val="0"/>
          <w:color w:val="auto"/>
          <w:sz w:val="21"/>
          <w:szCs w:val="21"/>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1B0879BB">
      <w:pPr>
        <w:wordWrap w:val="0"/>
        <w:adjustRightInd w:val="0"/>
        <w:snapToGrid w:val="0"/>
        <w:spacing w:line="360" w:lineRule="auto"/>
        <w:ind w:firstLine="422" w:firstLineChars="200"/>
        <w:rPr>
          <w:rFonts w:hint="eastAsia" w:asciiTheme="minorEastAsia" w:hAnsiTheme="minorEastAsia" w:eastAsiaTheme="minorEastAsia" w:cstheme="minorEastAsia"/>
          <w:b w:val="0"/>
          <w:bCs w:val="0"/>
          <w:color w:val="auto"/>
          <w:sz w:val="21"/>
          <w:szCs w:val="21"/>
          <w:highlight w:val="none"/>
          <w:lang w:val="en-US" w:eastAsia="zh-CN"/>
        </w:rPr>
      </w:pPr>
      <w:r>
        <w:rPr>
          <w:rStyle w:val="18"/>
          <w:rFonts w:hint="eastAsia" w:asciiTheme="minorEastAsia" w:hAnsiTheme="minorEastAsia" w:eastAsiaTheme="minorEastAsia" w:cstheme="minorEastAsia"/>
          <w:b/>
          <w:bCs/>
          <w:color w:val="auto"/>
          <w:kern w:val="0"/>
          <w:sz w:val="21"/>
          <w:szCs w:val="21"/>
          <w:highlight w:val="none"/>
          <w:lang w:val="en-US" w:eastAsia="zh-CN"/>
        </w:rPr>
        <w:t xml:space="preserve">2.3 </w:t>
      </w:r>
      <w:r>
        <w:rPr>
          <w:rFonts w:hint="eastAsia" w:asciiTheme="minorEastAsia" w:hAnsiTheme="minorEastAsia" w:eastAsiaTheme="minorEastAsia" w:cstheme="minorEastAsia"/>
          <w:b w:val="0"/>
          <w:bCs w:val="0"/>
          <w:color w:val="auto"/>
          <w:sz w:val="21"/>
          <w:szCs w:val="21"/>
          <w:highlight w:val="none"/>
          <w:lang w:val="en-US" w:eastAsia="zh-CN"/>
        </w:rPr>
        <w:t>相关人员要求</w:t>
      </w:r>
    </w:p>
    <w:p w14:paraId="757CB837">
      <w:pPr>
        <w:wordWrap w:val="0"/>
        <w:adjustRightInd w:val="0"/>
        <w:snapToGrid w:val="0"/>
        <w:spacing w:line="360" w:lineRule="auto"/>
        <w:ind w:firstLine="422" w:firstLineChars="200"/>
        <w:rPr>
          <w:rStyle w:val="18"/>
          <w:rFonts w:hint="eastAsia" w:asciiTheme="minorEastAsia" w:hAnsiTheme="minorEastAsia" w:eastAsiaTheme="minorEastAsia" w:cstheme="minorEastAsia"/>
          <w:b/>
          <w:bCs/>
          <w:color w:val="auto"/>
          <w:kern w:val="0"/>
          <w:sz w:val="21"/>
          <w:szCs w:val="21"/>
          <w:highlight w:val="none"/>
          <w:lang w:val="en-US" w:eastAsia="zh-CN"/>
        </w:rPr>
      </w:pPr>
      <w:r>
        <w:rPr>
          <w:rStyle w:val="18"/>
          <w:rFonts w:hint="eastAsia" w:asciiTheme="minorEastAsia" w:hAnsiTheme="minorEastAsia" w:eastAsiaTheme="minorEastAsia" w:cstheme="minorEastAsia"/>
          <w:b/>
          <w:bCs/>
          <w:color w:val="auto"/>
          <w:kern w:val="0"/>
          <w:sz w:val="21"/>
          <w:szCs w:val="21"/>
          <w:highlight w:val="none"/>
          <w:lang w:val="en-US" w:eastAsia="zh-CN"/>
        </w:rPr>
        <w:t xml:space="preserve">2.3.1 </w:t>
      </w:r>
      <w:r>
        <w:rPr>
          <w:rStyle w:val="18"/>
          <w:rFonts w:hint="eastAsia" w:asciiTheme="minorEastAsia" w:hAnsiTheme="minorEastAsia" w:eastAsiaTheme="minorEastAsia" w:cstheme="minorEastAsia"/>
          <w:b w:val="0"/>
          <w:bCs w:val="0"/>
          <w:color w:val="auto"/>
          <w:kern w:val="0"/>
          <w:sz w:val="21"/>
          <w:szCs w:val="21"/>
          <w:highlight w:val="none"/>
          <w:lang w:val="en-US" w:eastAsia="zh-CN"/>
        </w:rPr>
        <w:t>拟派项目经理为</w:t>
      </w:r>
      <w:r>
        <w:rPr>
          <w:rStyle w:val="18"/>
          <w:rFonts w:hint="eastAsia" w:asciiTheme="minorEastAsia" w:hAnsiTheme="minorEastAsia" w:eastAsiaTheme="minorEastAsia" w:cstheme="minorEastAsia"/>
          <w:b w:val="0"/>
          <w:bCs w:val="0"/>
          <w:color w:val="auto"/>
          <w:kern w:val="0"/>
          <w:sz w:val="21"/>
          <w:szCs w:val="21"/>
          <w:highlight w:val="none"/>
          <w:u w:val="single"/>
          <w:lang w:val="en-US" w:eastAsia="zh-CN"/>
        </w:rPr>
        <w:t>市政公用工程</w:t>
      </w:r>
      <w:r>
        <w:rPr>
          <w:rStyle w:val="18"/>
          <w:rFonts w:hint="eastAsia" w:asciiTheme="minorEastAsia" w:hAnsiTheme="minorEastAsia" w:eastAsiaTheme="minorEastAsia" w:cstheme="minorEastAsia"/>
          <w:b w:val="0"/>
          <w:bCs w:val="0"/>
          <w:color w:val="auto"/>
          <w:kern w:val="0"/>
          <w:sz w:val="21"/>
          <w:szCs w:val="21"/>
          <w:highlight w:val="none"/>
          <w:lang w:val="en-US" w:eastAsia="zh-CN"/>
        </w:rPr>
        <w:t>专业一级或二级注册建造师，其中一级注册建造师应持有国家住建部印发的有效注册证书，二级注册建造师应持有考试取得执业资格的省、自治区、直辖市住建部门核准的有效电子注册证书（二级注册建造师应持有住建部门核准的、在使用有效期内的有效电子证书）。同时均须具备有效安全生产考核合格证明（B证，安全生产考核合格证书或“广东省建筑施工企业管理人员安全生产考核信息系统”考核合格信息打印页），且未担任其他在施（包括已中标未开工、已建成未竣工）建设工程项目的项目经理。</w:t>
      </w:r>
    </w:p>
    <w:p w14:paraId="3D34F07E">
      <w:pPr>
        <w:wordWrap w:val="0"/>
        <w:adjustRightInd w:val="0"/>
        <w:snapToGrid w:val="0"/>
        <w:spacing w:line="360" w:lineRule="auto"/>
        <w:ind w:firstLine="422" w:firstLineChars="200"/>
        <w:rPr>
          <w:rFonts w:hint="eastAsia" w:asciiTheme="minorEastAsia" w:hAnsiTheme="minorEastAsia" w:eastAsiaTheme="minorEastAsia" w:cstheme="minorEastAsia"/>
          <w:b w:val="0"/>
          <w:bCs w:val="0"/>
          <w:color w:val="auto"/>
          <w:sz w:val="21"/>
          <w:szCs w:val="21"/>
          <w:highlight w:val="none"/>
          <w:lang w:val="en-US" w:eastAsia="zh-CN"/>
        </w:rPr>
      </w:pPr>
      <w:r>
        <w:rPr>
          <w:rStyle w:val="18"/>
          <w:rFonts w:hint="eastAsia" w:asciiTheme="minorEastAsia" w:hAnsiTheme="minorEastAsia" w:eastAsiaTheme="minorEastAsia" w:cstheme="minorEastAsia"/>
          <w:b/>
          <w:bCs/>
          <w:color w:val="auto"/>
          <w:kern w:val="0"/>
          <w:sz w:val="21"/>
          <w:szCs w:val="21"/>
          <w:highlight w:val="none"/>
          <w:lang w:val="en-US" w:eastAsia="zh-CN"/>
        </w:rPr>
        <w:t xml:space="preserve">2.3.2 </w:t>
      </w:r>
      <w:r>
        <w:rPr>
          <w:rFonts w:hint="eastAsia" w:asciiTheme="minorEastAsia" w:hAnsiTheme="minorEastAsia" w:eastAsiaTheme="minorEastAsia" w:cstheme="minorEastAsia"/>
          <w:b w:val="0"/>
          <w:bCs w:val="0"/>
          <w:color w:val="auto"/>
          <w:sz w:val="21"/>
          <w:szCs w:val="21"/>
          <w:highlight w:val="none"/>
          <w:lang w:val="en-US" w:eastAsia="zh-CN"/>
        </w:rPr>
        <w:t>拟派项目技术负责人须具</w:t>
      </w:r>
      <w:r>
        <w:rPr>
          <w:rFonts w:hint="eastAsia" w:asciiTheme="minorEastAsia" w:hAnsiTheme="minorEastAsia" w:eastAsiaTheme="minorEastAsia" w:cstheme="minorEastAsia"/>
          <w:snapToGrid w:val="0"/>
          <w:color w:val="auto"/>
          <w:kern w:val="0"/>
          <w:sz w:val="21"/>
          <w:szCs w:val="21"/>
          <w:highlight w:val="none"/>
          <w:lang w:eastAsia="zh-CN"/>
        </w:rPr>
        <w:t>备</w:t>
      </w:r>
      <w:r>
        <w:rPr>
          <w:rFonts w:hint="eastAsia" w:asciiTheme="minorEastAsia" w:hAnsiTheme="minorEastAsia" w:eastAsiaTheme="minorEastAsia" w:cstheme="minorEastAsia"/>
          <w:snapToGrid w:val="0"/>
          <w:color w:val="auto"/>
          <w:kern w:val="0"/>
          <w:sz w:val="21"/>
          <w:szCs w:val="21"/>
          <w:highlight w:val="none"/>
          <w:u w:val="single"/>
          <w:lang w:val="en-US" w:eastAsia="zh-CN"/>
        </w:rPr>
        <w:t>中级以上（含中级）技术职称。</w:t>
      </w:r>
    </w:p>
    <w:p w14:paraId="7DD25AE7">
      <w:pPr>
        <w:wordWrap w:val="0"/>
        <w:adjustRightInd w:val="0"/>
        <w:snapToGrid w:val="0"/>
        <w:spacing w:line="360" w:lineRule="auto"/>
        <w:ind w:firstLine="422" w:firstLineChars="200"/>
        <w:rPr>
          <w:rStyle w:val="18"/>
          <w:rFonts w:hint="eastAsia" w:asciiTheme="minorEastAsia" w:hAnsiTheme="minorEastAsia" w:eastAsiaTheme="minorEastAsia" w:cstheme="minorEastAsia"/>
          <w:b/>
          <w:bCs/>
          <w:color w:val="auto"/>
          <w:kern w:val="0"/>
          <w:sz w:val="21"/>
          <w:szCs w:val="21"/>
          <w:highlight w:val="none"/>
          <w:lang w:val="en-US" w:eastAsia="zh-CN"/>
        </w:rPr>
      </w:pPr>
      <w:r>
        <w:rPr>
          <w:rStyle w:val="18"/>
          <w:rFonts w:hint="eastAsia" w:asciiTheme="minorEastAsia" w:hAnsiTheme="minorEastAsia" w:eastAsiaTheme="minorEastAsia" w:cstheme="minorEastAsia"/>
          <w:b/>
          <w:bCs/>
          <w:color w:val="auto"/>
          <w:kern w:val="0"/>
          <w:sz w:val="21"/>
          <w:szCs w:val="21"/>
          <w:highlight w:val="none"/>
          <w:lang w:val="en-US" w:eastAsia="zh-CN"/>
        </w:rPr>
        <w:t xml:space="preserve">2.3.3 </w:t>
      </w:r>
      <w:r>
        <w:rPr>
          <w:rFonts w:hint="eastAsia" w:asciiTheme="minorEastAsia" w:hAnsiTheme="minorEastAsia" w:eastAsiaTheme="minorEastAsia" w:cstheme="minorEastAsia"/>
          <w:b w:val="0"/>
          <w:bCs w:val="0"/>
          <w:color w:val="auto"/>
          <w:sz w:val="21"/>
          <w:szCs w:val="21"/>
          <w:highlight w:val="none"/>
          <w:lang w:val="en-US" w:eastAsia="zh-CN"/>
        </w:rPr>
        <w:t xml:space="preserve">拟派专职安全生产管理人员须具备有效安全生产考核合格证明（C证，安全生产考核合格证书或“广东省建筑施工企业管理人员安全生产考核信息系统”考核合格信息打印页），且不少于1人。 </w:t>
      </w:r>
    </w:p>
    <w:p w14:paraId="08AB9872">
      <w:pPr>
        <w:wordWrap w:val="0"/>
        <w:adjustRightInd w:val="0"/>
        <w:snapToGrid w:val="0"/>
        <w:spacing w:line="360" w:lineRule="auto"/>
        <w:ind w:firstLine="422" w:firstLineChars="200"/>
        <w:rPr>
          <w:rFonts w:hint="eastAsia" w:asciiTheme="minorEastAsia" w:hAnsiTheme="minorEastAsia" w:eastAsiaTheme="minorEastAsia" w:cstheme="minorEastAsia"/>
          <w:b w:val="0"/>
          <w:bCs w:val="0"/>
          <w:color w:val="auto"/>
          <w:sz w:val="21"/>
          <w:szCs w:val="21"/>
          <w:highlight w:val="none"/>
          <w:lang w:val="en-US" w:eastAsia="zh-CN"/>
        </w:rPr>
      </w:pPr>
      <w:r>
        <w:rPr>
          <w:rStyle w:val="18"/>
          <w:rFonts w:hint="eastAsia" w:asciiTheme="minorEastAsia" w:hAnsiTheme="minorEastAsia" w:eastAsiaTheme="minorEastAsia" w:cstheme="minorEastAsia"/>
          <w:b/>
          <w:bCs/>
          <w:color w:val="auto"/>
          <w:kern w:val="0"/>
          <w:sz w:val="21"/>
          <w:szCs w:val="21"/>
          <w:highlight w:val="none"/>
          <w:lang w:val="en-US" w:eastAsia="zh-CN"/>
        </w:rPr>
        <w:t xml:space="preserve">2.3.4 </w:t>
      </w:r>
      <w:r>
        <w:rPr>
          <w:rFonts w:hint="eastAsia" w:asciiTheme="minorEastAsia" w:hAnsiTheme="minorEastAsia" w:eastAsiaTheme="minorEastAsia" w:cstheme="minorEastAsia"/>
          <w:b w:val="0"/>
          <w:bCs w:val="0"/>
          <w:color w:val="auto"/>
          <w:sz w:val="21"/>
          <w:szCs w:val="21"/>
          <w:highlight w:val="none"/>
          <w:lang w:val="en-US" w:eastAsia="zh-CN"/>
        </w:rPr>
        <w:t>投标人（包括组成联合体的所有成员单位）与其拟派往本项目管理机构的所有人员之间必须具备合法、唯一的劳动聘用关系。拟派人员中具备注册执业资格的，其注册单位须与投标人保持一致。</w:t>
      </w:r>
    </w:p>
    <w:p w14:paraId="39B919CE">
      <w:pPr>
        <w:spacing w:before="78" w:line="220" w:lineRule="auto"/>
        <w:ind w:left="48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2.4  </w:t>
      </w:r>
      <w:r>
        <w:rPr>
          <w:rFonts w:hint="eastAsia" w:asciiTheme="minorEastAsia" w:hAnsiTheme="minorEastAsia" w:eastAsiaTheme="minorEastAsia" w:cstheme="minorEastAsia"/>
          <w:color w:val="auto"/>
          <w:spacing w:val="-1"/>
          <w:sz w:val="21"/>
          <w:szCs w:val="21"/>
          <w:highlight w:val="none"/>
        </w:rPr>
        <w:t>禁止投标条款</w:t>
      </w:r>
    </w:p>
    <w:p w14:paraId="44809140">
      <w:pPr>
        <w:spacing w:before="153" w:line="220" w:lineRule="auto"/>
        <w:ind w:left="48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2.4.1  </w:t>
      </w:r>
      <w:r>
        <w:rPr>
          <w:rFonts w:hint="eastAsia" w:asciiTheme="minorEastAsia" w:hAnsiTheme="minorEastAsia" w:eastAsiaTheme="minorEastAsia" w:cstheme="minorEastAsia"/>
          <w:color w:val="auto"/>
          <w:spacing w:val="-1"/>
          <w:sz w:val="21"/>
          <w:szCs w:val="21"/>
          <w:highlight w:val="none"/>
        </w:rPr>
        <w:t>投标人不得存在下列情形之一：</w:t>
      </w:r>
    </w:p>
    <w:p w14:paraId="5B1D4649">
      <w:pPr>
        <w:spacing w:before="153" w:line="219" w:lineRule="auto"/>
        <w:ind w:left="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（1）为招标人不具有独立法人资格的附属机构（单位</w:t>
      </w:r>
      <w:r>
        <w:rPr>
          <w:rFonts w:hint="eastAsia" w:asciiTheme="minorEastAsia" w:hAnsiTheme="minorEastAsia" w:eastAsiaTheme="minorEastAsia" w:cstheme="minorEastAsia"/>
          <w:color w:val="auto"/>
          <w:spacing w:val="1"/>
          <w:sz w:val="21"/>
          <w:szCs w:val="21"/>
          <w:highlight w:val="none"/>
        </w:rPr>
        <w:t>）；</w:t>
      </w:r>
    </w:p>
    <w:p w14:paraId="50CEB03D">
      <w:pPr>
        <w:spacing w:before="157" w:line="219" w:lineRule="auto"/>
        <w:ind w:left="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（2）为本招标项目前期准备提供设计或咨询服务的；</w:t>
      </w:r>
    </w:p>
    <w:p w14:paraId="22F38141">
      <w:pPr>
        <w:spacing w:before="154" w:line="219" w:lineRule="auto"/>
        <w:ind w:left="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（3）与本招标项目的其他投标人为同一个单位负责人；</w:t>
      </w:r>
    </w:p>
    <w:p w14:paraId="59399E10">
      <w:pPr>
        <w:spacing w:before="155" w:line="219" w:lineRule="auto"/>
        <w:ind w:left="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（4）与本招标项目的其他投标人存在控股、管理关系；</w:t>
      </w:r>
    </w:p>
    <w:p w14:paraId="2DC56D0F">
      <w:pPr>
        <w:spacing w:before="157" w:line="219" w:lineRule="auto"/>
        <w:ind w:left="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（5）为本招标项目的监理人；</w:t>
      </w:r>
    </w:p>
    <w:p w14:paraId="6B379C7B">
      <w:pPr>
        <w:spacing w:before="154" w:line="219" w:lineRule="auto"/>
        <w:ind w:left="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（6）为本招标项目的代建人；</w:t>
      </w:r>
    </w:p>
    <w:p w14:paraId="2C0EA4A3">
      <w:pPr>
        <w:spacing w:before="155" w:line="219" w:lineRule="auto"/>
        <w:ind w:left="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（7）为本招标项目的招标代理机构；</w:t>
      </w:r>
    </w:p>
    <w:p w14:paraId="7D7A1AEE">
      <w:pPr>
        <w:spacing w:before="157" w:line="219" w:lineRule="auto"/>
        <w:ind w:left="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（8）与本招标项目的监理人或代建人或招标代理机构同为一个法定代表人；</w:t>
      </w:r>
    </w:p>
    <w:p w14:paraId="14467241">
      <w:pPr>
        <w:spacing w:before="154" w:line="219" w:lineRule="auto"/>
        <w:ind w:left="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（9）与本招标项目的监理人或代建人或招标代理机构存在控股或参股关系；</w:t>
      </w:r>
    </w:p>
    <w:p w14:paraId="4A9FE587">
      <w:pPr>
        <w:spacing w:before="155" w:line="219" w:lineRule="auto"/>
        <w:ind w:firstLine="408"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（10）与本招标项目的监理人或代建人或招标代理机构存在相互</w:t>
      </w:r>
      <w:r>
        <w:rPr>
          <w:rFonts w:hint="eastAsia" w:asciiTheme="minorEastAsia" w:hAnsiTheme="minorEastAsia" w:eastAsiaTheme="minorEastAsia" w:cstheme="minorEastAsia"/>
          <w:color w:val="auto"/>
          <w:spacing w:val="-4"/>
          <w:sz w:val="21"/>
          <w:szCs w:val="21"/>
          <w:highlight w:val="none"/>
        </w:rPr>
        <w:t>任职或工作关系；</w:t>
      </w:r>
    </w:p>
    <w:p w14:paraId="3A145715">
      <w:pPr>
        <w:spacing w:before="157" w:line="219" w:lineRule="auto"/>
        <w:ind w:left="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（11）被依法暂停或者取消投标资格；</w:t>
      </w:r>
    </w:p>
    <w:p w14:paraId="536458F8">
      <w:pPr>
        <w:spacing w:before="154" w:line="219" w:lineRule="auto"/>
        <w:ind w:left="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（12）被责令停产停业、暂扣或者吊销许可证、暂扣或者吊销执照；</w:t>
      </w:r>
    </w:p>
    <w:p w14:paraId="4A7B4852">
      <w:pPr>
        <w:spacing w:before="154" w:line="219" w:lineRule="auto"/>
        <w:ind w:left="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（13）进入清算程序，或被宣告破产，或其他丧失履约能力的情形；</w:t>
      </w:r>
    </w:p>
    <w:p w14:paraId="211BB2F8">
      <w:pPr>
        <w:pStyle w:val="20"/>
        <w:wordWrap w:val="0"/>
        <w:adjustRightInd w:val="0"/>
        <w:snapToGrid w:val="0"/>
        <w:spacing w:line="440" w:lineRule="exact"/>
        <w:ind w:firstLine="480"/>
        <w:jc w:val="left"/>
        <w:rPr>
          <w:rFonts w:hint="eastAsia" w:asciiTheme="minorEastAsia" w:hAnsiTheme="minorEastAsia" w:eastAsiaTheme="minorEastAsia" w:cstheme="minorEastAsia"/>
          <w:color w:val="auto"/>
          <w:sz w:val="21"/>
          <w:szCs w:val="21"/>
          <w:highlight w:val="none"/>
        </w:rPr>
      </w:pPr>
      <w:bookmarkStart w:id="18" w:name="bookmark116"/>
      <w:bookmarkEnd w:id="18"/>
      <w:r>
        <w:rPr>
          <w:rFonts w:hint="eastAsia" w:asciiTheme="minorEastAsia" w:hAnsiTheme="minorEastAsia" w:eastAsiaTheme="minorEastAsia" w:cstheme="minorEastAsia"/>
          <w:snapToGrid w:val="0"/>
          <w:color w:val="auto"/>
          <w:kern w:val="0"/>
          <w:sz w:val="21"/>
          <w:szCs w:val="21"/>
          <w:highlight w:val="none"/>
        </w:rPr>
        <w:t>（14）在最近三年内发生重大工程质量或安全问题（以相关行业主管部门的行政处罚决定或司法机关出具的有关法律文书为准）；</w:t>
      </w:r>
    </w:p>
    <w:p w14:paraId="44E50AC6">
      <w:pPr>
        <w:spacing w:before="118" w:line="293" w:lineRule="auto"/>
        <w:ind w:left="232" w:right="99" w:firstLine="36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（15）被“信用中国</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”网站（https://www.creditchina.gov.cn）发布的《法人和</w:t>
      </w:r>
      <w:r>
        <w:rPr>
          <w:rFonts w:hint="eastAsia" w:asciiTheme="minorEastAsia" w:hAnsiTheme="minorEastAsia" w:eastAsiaTheme="minorEastAsia" w:cstheme="minorEastAsia"/>
          <w:color w:val="auto"/>
          <w:spacing w:val="-3"/>
          <w:sz w:val="21"/>
          <w:szCs w:val="21"/>
          <w:highlight w:val="none"/>
        </w:rPr>
        <w:t>非法</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人组织公共信用信息报告</w:t>
      </w:r>
      <w:r>
        <w:rPr>
          <w:rFonts w:hint="eastAsia" w:asciiTheme="minorEastAsia" w:hAnsiTheme="minorEastAsia" w:eastAsiaTheme="minorEastAsia" w:cstheme="minorEastAsia"/>
          <w:snapToGrid w:val="0"/>
          <w:color w:val="auto"/>
          <w:kern w:val="0"/>
          <w:sz w:val="21"/>
          <w:szCs w:val="21"/>
          <w:highlight w:val="none"/>
          <w:lang w:val="en-US" w:eastAsia="zh-CN" w:bidi="ar-SA"/>
        </w:rPr>
        <w:t>》列为严重失信主体名单的</w:t>
      </w:r>
      <w:r>
        <w:rPr>
          <w:rFonts w:hint="eastAsia" w:asciiTheme="minorEastAsia" w:hAnsiTheme="minorEastAsia" w:eastAsiaTheme="minorEastAsia" w:cstheme="minorEastAsia"/>
          <w:color w:val="auto"/>
          <w:spacing w:val="2"/>
          <w:sz w:val="21"/>
          <w:szCs w:val="21"/>
          <w:highlight w:val="none"/>
        </w:rPr>
        <w:t>。</w:t>
      </w:r>
    </w:p>
    <w:p w14:paraId="6CDEC130">
      <w:pPr>
        <w:spacing w:before="155" w:line="219" w:lineRule="auto"/>
        <w:ind w:left="706"/>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b/>
          <w:bCs/>
          <w:color w:val="auto"/>
          <w:sz w:val="21"/>
          <w:szCs w:val="21"/>
          <w:highlight w:val="none"/>
        </w:rPr>
        <w:t xml:space="preserve">2.4.2  </w:t>
      </w:r>
      <w:r>
        <w:rPr>
          <w:rFonts w:hint="eastAsia" w:asciiTheme="minorEastAsia" w:hAnsiTheme="minorEastAsia" w:eastAsiaTheme="minorEastAsia" w:cstheme="minorEastAsia"/>
          <w:color w:val="auto"/>
          <w:sz w:val="21"/>
          <w:szCs w:val="21"/>
          <w:highlight w:val="none"/>
        </w:rPr>
        <w:t>招标人拒绝以下名单中的单位</w:t>
      </w:r>
      <w:r>
        <w:rPr>
          <w:rFonts w:hint="eastAsia" w:asciiTheme="minorEastAsia" w:hAnsiTheme="minorEastAsia" w:eastAsiaTheme="minorEastAsia" w:cstheme="minorEastAsia"/>
          <w:color w:val="auto"/>
          <w:spacing w:val="-1"/>
          <w:sz w:val="21"/>
          <w:szCs w:val="21"/>
          <w:highlight w:val="none"/>
        </w:rPr>
        <w:t>参加本次投标：</w:t>
      </w:r>
    </w:p>
    <w:p w14:paraId="5FC5EB43">
      <w:pPr>
        <w:pStyle w:val="2"/>
        <w:rPr>
          <w:rFonts w:hint="eastAsia"/>
        </w:rPr>
      </w:pPr>
    </w:p>
    <w:tbl>
      <w:tblPr>
        <w:tblStyle w:val="14"/>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067"/>
        <w:gridCol w:w="3556"/>
      </w:tblGrid>
      <w:tr w14:paraId="15E8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55" w:type="dxa"/>
            <w:vAlign w:val="center"/>
          </w:tcPr>
          <w:p w14:paraId="4BA80C76">
            <w:pPr>
              <w:spacing w:before="118" w:line="293" w:lineRule="auto"/>
              <w:ind w:right="99"/>
              <w:rPr>
                <w:rFonts w:hint="eastAsia" w:asciiTheme="minorEastAsia" w:hAnsiTheme="minorEastAsia" w:eastAsiaTheme="minorEastAsia" w:cstheme="minorEastAsia"/>
                <w:color w:val="auto"/>
                <w:spacing w:val="3"/>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序号</w:t>
            </w:r>
          </w:p>
        </w:tc>
        <w:tc>
          <w:tcPr>
            <w:tcW w:w="5067" w:type="dxa"/>
            <w:vAlign w:val="center"/>
          </w:tcPr>
          <w:p w14:paraId="681C7861">
            <w:pPr>
              <w:spacing w:before="118" w:line="293" w:lineRule="auto"/>
              <w:ind w:left="232" w:right="99" w:firstLine="369"/>
              <w:rPr>
                <w:rFonts w:hint="eastAsia" w:asciiTheme="minorEastAsia" w:hAnsiTheme="minorEastAsia" w:eastAsiaTheme="minorEastAsia" w:cstheme="minorEastAsia"/>
                <w:color w:val="auto"/>
                <w:spacing w:val="3"/>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单位名称</w:t>
            </w:r>
          </w:p>
        </w:tc>
        <w:tc>
          <w:tcPr>
            <w:tcW w:w="3556" w:type="dxa"/>
            <w:vAlign w:val="center"/>
          </w:tcPr>
          <w:p w14:paraId="37672707">
            <w:pPr>
              <w:spacing w:before="118" w:line="293" w:lineRule="auto"/>
              <w:ind w:left="232" w:right="99" w:firstLine="369"/>
              <w:rPr>
                <w:rFonts w:hint="eastAsia" w:asciiTheme="minorEastAsia" w:hAnsiTheme="minorEastAsia" w:eastAsiaTheme="minorEastAsia" w:cstheme="minorEastAsia"/>
                <w:color w:val="auto"/>
                <w:spacing w:val="3"/>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拒绝原因</w:t>
            </w:r>
          </w:p>
        </w:tc>
      </w:tr>
      <w:tr w14:paraId="7D73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55" w:type="dxa"/>
            <w:vAlign w:val="center"/>
          </w:tcPr>
          <w:p w14:paraId="3DC2A2BF">
            <w:pPr>
              <w:spacing w:before="118" w:line="293" w:lineRule="auto"/>
              <w:ind w:right="99" w:rightChars="0"/>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color w:val="auto"/>
                <w:spacing w:val="3"/>
                <w:sz w:val="21"/>
                <w:szCs w:val="21"/>
                <w:highlight w:val="none"/>
              </w:rPr>
              <w:t>序号</w:t>
            </w:r>
          </w:p>
        </w:tc>
        <w:tc>
          <w:tcPr>
            <w:tcW w:w="5067" w:type="dxa"/>
            <w:vAlign w:val="center"/>
          </w:tcPr>
          <w:p w14:paraId="2FAB349C">
            <w:pPr>
              <w:spacing w:before="118" w:line="293" w:lineRule="auto"/>
              <w:ind w:left="232" w:leftChars="0" w:right="99" w:rightChars="0" w:firstLine="369" w:firstLineChars="0"/>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color w:val="auto"/>
                <w:spacing w:val="3"/>
                <w:sz w:val="21"/>
                <w:szCs w:val="21"/>
                <w:highlight w:val="none"/>
              </w:rPr>
              <w:t>单位名称</w:t>
            </w:r>
          </w:p>
        </w:tc>
        <w:tc>
          <w:tcPr>
            <w:tcW w:w="3556" w:type="dxa"/>
            <w:vAlign w:val="center"/>
          </w:tcPr>
          <w:p w14:paraId="394BD154">
            <w:pPr>
              <w:spacing w:before="118" w:line="293" w:lineRule="auto"/>
              <w:ind w:left="232" w:leftChars="0" w:right="99" w:rightChars="0" w:firstLine="369" w:firstLineChars="0"/>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color w:val="auto"/>
                <w:spacing w:val="3"/>
                <w:sz w:val="21"/>
                <w:szCs w:val="21"/>
                <w:highlight w:val="none"/>
              </w:rPr>
              <w:t>拒绝原因</w:t>
            </w:r>
          </w:p>
        </w:tc>
      </w:tr>
      <w:tr w14:paraId="3599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55" w:type="dxa"/>
            <w:vAlign w:val="center"/>
          </w:tcPr>
          <w:p w14:paraId="59659BD4">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en-US" w:bidi="ar-SA"/>
              </w:rPr>
              <w:t>1</w:t>
            </w:r>
          </w:p>
        </w:tc>
        <w:tc>
          <w:tcPr>
            <w:tcW w:w="5067" w:type="dxa"/>
            <w:vAlign w:val="center"/>
          </w:tcPr>
          <w:p w14:paraId="6D3A81EE">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仁化县丹霞街道办事处</w:t>
            </w:r>
          </w:p>
        </w:tc>
        <w:tc>
          <w:tcPr>
            <w:tcW w:w="3556" w:type="dxa"/>
            <w:vAlign w:val="center"/>
          </w:tcPr>
          <w:p w14:paraId="6C8A849A">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en-US" w:bidi="ar-SA"/>
              </w:rPr>
              <w:t>为本招标项目的招标人</w:t>
            </w:r>
          </w:p>
        </w:tc>
      </w:tr>
      <w:tr w14:paraId="7946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55" w:type="dxa"/>
            <w:vAlign w:val="center"/>
          </w:tcPr>
          <w:p w14:paraId="724A7430">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en-US" w:bidi="ar-SA"/>
              </w:rPr>
              <w:t>2</w:t>
            </w:r>
          </w:p>
        </w:tc>
        <w:tc>
          <w:tcPr>
            <w:tcW w:w="5067" w:type="dxa"/>
            <w:vAlign w:val="center"/>
          </w:tcPr>
          <w:p w14:paraId="2C587865">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spacing w:val="3"/>
                <w:kern w:val="0"/>
                <w:sz w:val="21"/>
                <w:szCs w:val="21"/>
                <w:highlight w:val="yellow"/>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韶关众信项目管理有限公司</w:t>
            </w:r>
          </w:p>
        </w:tc>
        <w:tc>
          <w:tcPr>
            <w:tcW w:w="3556" w:type="dxa"/>
            <w:vAlign w:val="center"/>
          </w:tcPr>
          <w:p w14:paraId="1781D595">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spacing w:val="3"/>
                <w:kern w:val="0"/>
                <w:sz w:val="21"/>
                <w:szCs w:val="21"/>
                <w:highlight w:val="yellow"/>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en-US" w:bidi="ar-SA"/>
              </w:rPr>
              <w:t>为本招标项目的招标代理机构</w:t>
            </w:r>
          </w:p>
        </w:tc>
      </w:tr>
      <w:tr w14:paraId="6044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55" w:type="dxa"/>
            <w:vAlign w:val="center"/>
          </w:tcPr>
          <w:p w14:paraId="49B58C9B">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3</w:t>
            </w:r>
          </w:p>
        </w:tc>
        <w:tc>
          <w:tcPr>
            <w:tcW w:w="5067" w:type="dxa"/>
            <w:vAlign w:val="center"/>
          </w:tcPr>
          <w:p w14:paraId="16C6096B">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广州市彩风景观规划设计有限公司</w:t>
            </w:r>
          </w:p>
        </w:tc>
        <w:tc>
          <w:tcPr>
            <w:tcW w:w="3556" w:type="dxa"/>
            <w:vAlign w:val="center"/>
          </w:tcPr>
          <w:p w14:paraId="7550BD60">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为本招标项目的设计单位</w:t>
            </w:r>
          </w:p>
        </w:tc>
      </w:tr>
      <w:tr w14:paraId="7819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55" w:type="dxa"/>
            <w:vAlign w:val="center"/>
          </w:tcPr>
          <w:p w14:paraId="3062B20E">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4</w:t>
            </w:r>
          </w:p>
        </w:tc>
        <w:tc>
          <w:tcPr>
            <w:tcW w:w="5067" w:type="dxa"/>
            <w:vAlign w:val="center"/>
          </w:tcPr>
          <w:p w14:paraId="036B7CE5">
            <w:pPr>
              <w:wordWrap w:val="0"/>
              <w:adjustRightInd w:val="0"/>
              <w:snapToGrid w:val="0"/>
              <w:spacing w:line="240" w:lineRule="auto"/>
              <w:jc w:val="left"/>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rPr>
              <w:t>仁化县农业农村局</w:t>
            </w:r>
          </w:p>
        </w:tc>
        <w:tc>
          <w:tcPr>
            <w:tcW w:w="3556" w:type="dxa"/>
            <w:vAlign w:val="center"/>
          </w:tcPr>
          <w:p w14:paraId="6C0BB742">
            <w:pPr>
              <w:wordWrap w:val="0"/>
              <w:adjustRightInd w:val="0"/>
              <w:snapToGrid w:val="0"/>
              <w:spacing w:line="240" w:lineRule="auto"/>
              <w:jc w:val="left"/>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为本招标项目的监督单位</w:t>
            </w:r>
          </w:p>
        </w:tc>
      </w:tr>
    </w:tbl>
    <w:p w14:paraId="4D7F33C8">
      <w:pPr>
        <w:spacing w:line="93" w:lineRule="auto"/>
        <w:rPr>
          <w:rFonts w:hint="eastAsia" w:asciiTheme="minorEastAsia" w:hAnsiTheme="minorEastAsia" w:eastAsiaTheme="minorEastAsia" w:cstheme="minorEastAsia"/>
          <w:color w:val="auto"/>
          <w:sz w:val="21"/>
          <w:szCs w:val="21"/>
          <w:highlight w:val="none"/>
        </w:rPr>
      </w:pPr>
    </w:p>
    <w:p w14:paraId="74B046CA">
      <w:pPr>
        <w:spacing w:before="153" w:line="221" w:lineRule="auto"/>
        <w:ind w:left="70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2.5  </w:t>
      </w:r>
      <w:r>
        <w:rPr>
          <w:rFonts w:hint="eastAsia" w:asciiTheme="minorEastAsia" w:hAnsiTheme="minorEastAsia" w:eastAsiaTheme="minorEastAsia" w:cstheme="minorEastAsia"/>
          <w:color w:val="auto"/>
          <w:spacing w:val="-1"/>
          <w:sz w:val="21"/>
          <w:szCs w:val="21"/>
          <w:highlight w:val="none"/>
        </w:rPr>
        <w:t>其他要求</w:t>
      </w:r>
    </w:p>
    <w:p w14:paraId="4DD67E5C">
      <w:pPr>
        <w:spacing w:before="150" w:line="334" w:lineRule="auto"/>
        <w:ind w:left="232" w:right="99" w:firstLine="48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省外企业及其拟派往本项目管理机构的所有</w:t>
      </w:r>
      <w:r>
        <w:rPr>
          <w:rFonts w:hint="eastAsia" w:asciiTheme="minorEastAsia" w:hAnsiTheme="minorEastAsia" w:eastAsiaTheme="minorEastAsia" w:cstheme="minorEastAsia"/>
          <w:color w:val="auto"/>
          <w:spacing w:val="-2"/>
          <w:sz w:val="21"/>
          <w:szCs w:val="21"/>
          <w:highlight w:val="none"/>
        </w:rPr>
        <w:t>人员均须按照《广东省住房和城乡建</w:t>
      </w:r>
      <w:r>
        <w:rPr>
          <w:rFonts w:hint="eastAsia" w:asciiTheme="minorEastAsia" w:hAnsiTheme="minorEastAsia" w:eastAsiaTheme="minorEastAsia" w:cstheme="minorEastAsia"/>
          <w:color w:val="auto"/>
          <w:spacing w:val="-1"/>
          <w:sz w:val="21"/>
          <w:szCs w:val="21"/>
          <w:highlight w:val="none"/>
        </w:rPr>
        <w:t>设厅关于取消省外建筑企业和人员进粤信息备案有关工作的通知》</w:t>
      </w:r>
      <w:r>
        <w:rPr>
          <w:rFonts w:hint="eastAsia" w:asciiTheme="minorEastAsia" w:hAnsiTheme="minorEastAsia" w:eastAsiaTheme="minorEastAsia" w:cstheme="minorEastAsia"/>
          <w:color w:val="auto"/>
          <w:spacing w:val="-2"/>
          <w:sz w:val="21"/>
          <w:szCs w:val="21"/>
          <w:highlight w:val="none"/>
        </w:rPr>
        <w:t>（粤建市﹝2015﹞</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52</w:t>
      </w:r>
      <w:r>
        <w:rPr>
          <w:rFonts w:hint="eastAsia" w:asciiTheme="minorEastAsia" w:hAnsiTheme="minorEastAsia" w:eastAsiaTheme="minorEastAsia" w:cstheme="minorEastAsia"/>
          <w:color w:val="auto"/>
          <w:spacing w:val="15"/>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号）规定在“进粤企业和人员诚信信息登记平台</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”录入相关信息并通过数</w:t>
      </w:r>
      <w:r>
        <w:rPr>
          <w:rFonts w:hint="eastAsia" w:asciiTheme="minorEastAsia" w:hAnsiTheme="minorEastAsia" w:eastAsiaTheme="minorEastAsia" w:cstheme="minorEastAsia"/>
          <w:color w:val="auto"/>
          <w:spacing w:val="-5"/>
          <w:sz w:val="21"/>
          <w:szCs w:val="21"/>
          <w:highlight w:val="none"/>
        </w:rPr>
        <w:t>据规范检</w:t>
      </w:r>
      <w:r>
        <w:rPr>
          <w:rFonts w:hint="eastAsia" w:asciiTheme="minorEastAsia" w:hAnsiTheme="minorEastAsia" w:eastAsiaTheme="minorEastAsia" w:cstheme="minorEastAsia"/>
          <w:color w:val="auto"/>
          <w:spacing w:val="-6"/>
          <w:sz w:val="21"/>
          <w:szCs w:val="21"/>
          <w:highlight w:val="none"/>
        </w:rPr>
        <w:t>查。</w:t>
      </w:r>
    </w:p>
    <w:p w14:paraId="5BE51F8B">
      <w:pPr>
        <w:spacing w:before="79" w:line="220" w:lineRule="auto"/>
        <w:ind w:left="715"/>
        <w:outlineLvl w:val="2"/>
        <w:rPr>
          <w:rFonts w:hint="eastAsia" w:asciiTheme="minorEastAsia" w:hAnsiTheme="minorEastAsia" w:eastAsiaTheme="minorEastAsia" w:cstheme="minorEastAsia"/>
          <w:color w:val="auto"/>
          <w:sz w:val="21"/>
          <w:szCs w:val="21"/>
          <w:highlight w:val="none"/>
        </w:rPr>
      </w:pPr>
      <w:bookmarkStart w:id="19" w:name="_Toc7079"/>
      <w:bookmarkStart w:id="20" w:name="_Toc23243"/>
      <w:r>
        <w:rPr>
          <w:rFonts w:hint="eastAsia" w:asciiTheme="minorEastAsia" w:hAnsiTheme="minorEastAsia" w:eastAsiaTheme="minorEastAsia" w:cstheme="minorEastAsia"/>
          <w:b/>
          <w:bCs/>
          <w:color w:val="auto"/>
          <w:spacing w:val="-4"/>
          <w:sz w:val="21"/>
          <w:szCs w:val="21"/>
          <w:highlight w:val="none"/>
        </w:rPr>
        <w:t>3．招标文件的获取</w:t>
      </w:r>
      <w:bookmarkEnd w:id="19"/>
      <w:bookmarkEnd w:id="20"/>
    </w:p>
    <w:p w14:paraId="38EAC027">
      <w:pPr>
        <w:spacing w:before="182" w:line="219" w:lineRule="auto"/>
        <w:ind w:left="7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3.1  </w:t>
      </w:r>
      <w:r>
        <w:rPr>
          <w:rFonts w:hint="eastAsia" w:asciiTheme="minorEastAsia" w:hAnsiTheme="minorEastAsia" w:eastAsiaTheme="minorEastAsia" w:cstheme="minorEastAsia"/>
          <w:color w:val="auto"/>
          <w:spacing w:val="-1"/>
          <w:sz w:val="21"/>
          <w:szCs w:val="21"/>
          <w:highlight w:val="none"/>
        </w:rPr>
        <w:t>本次招标实行电子投标。</w:t>
      </w:r>
    </w:p>
    <w:p w14:paraId="684AD752">
      <w:pPr>
        <w:spacing w:before="178" w:line="355" w:lineRule="auto"/>
        <w:ind w:left="229" w:firstLine="48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本次招标实行电子投标。本项目招标文件随招标公</w:t>
      </w:r>
      <w:r>
        <w:rPr>
          <w:rFonts w:hint="eastAsia" w:asciiTheme="minorEastAsia" w:hAnsiTheme="minorEastAsia" w:eastAsiaTheme="minorEastAsia" w:cstheme="minorEastAsia"/>
          <w:color w:val="auto"/>
          <w:spacing w:val="-2"/>
          <w:sz w:val="21"/>
          <w:szCs w:val="21"/>
          <w:highlight w:val="none"/>
        </w:rPr>
        <w:t>告一并在全国公共资源交易平台（广东省</w:t>
      </w:r>
      <w:r>
        <w:rPr>
          <w:rFonts w:hint="eastAsia" w:asciiTheme="minorEastAsia" w:hAnsiTheme="minorEastAsia" w:eastAsiaTheme="minorEastAsia" w:cstheme="minorEastAsia"/>
          <w:color w:val="auto"/>
          <w:spacing w:val="-28"/>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·韶关市</w:t>
      </w:r>
      <w:r>
        <w:rPr>
          <w:rFonts w:hint="eastAsia" w:asciiTheme="minorEastAsia" w:hAnsiTheme="minorEastAsia" w:eastAsiaTheme="minorEastAsia" w:cstheme="minorEastAsia"/>
          <w:color w:val="auto"/>
          <w:spacing w:val="-56"/>
          <w:sz w:val="21"/>
          <w:szCs w:val="21"/>
          <w:highlight w:val="none"/>
        </w:rPr>
        <w:t>）（</w:t>
      </w:r>
      <w:r>
        <w:rPr>
          <w:rFonts w:hint="eastAsia" w:asciiTheme="minorEastAsia" w:hAnsiTheme="minorEastAsia" w:eastAsiaTheme="minorEastAsia" w:cstheme="minorEastAsia"/>
          <w:color w:val="auto"/>
          <w:spacing w:val="-2"/>
          <w:sz w:val="21"/>
          <w:szCs w:val="21"/>
          <w:highlight w:val="none"/>
        </w:rPr>
        <w:t>https://yg</w:t>
      </w:r>
      <w:r>
        <w:rPr>
          <w:rFonts w:hint="eastAsia" w:asciiTheme="minorEastAsia" w:hAnsiTheme="minorEastAsia" w:eastAsiaTheme="minorEastAsia" w:cstheme="minorEastAsia"/>
          <w:color w:val="auto"/>
          <w:spacing w:val="-3"/>
          <w:sz w:val="21"/>
          <w:szCs w:val="21"/>
          <w:highlight w:val="none"/>
        </w:rPr>
        <w:t>p.gdzwfw.gov.cn/ggzy-portal/#/440200/index）</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网站发布。招标文件一经发布，视为发送投标人，招标文件及相</w:t>
      </w:r>
      <w:r>
        <w:rPr>
          <w:rFonts w:hint="eastAsia" w:asciiTheme="minorEastAsia" w:hAnsiTheme="minorEastAsia" w:eastAsiaTheme="minorEastAsia" w:cstheme="minorEastAsia"/>
          <w:color w:val="auto"/>
          <w:spacing w:val="-2"/>
          <w:sz w:val="21"/>
          <w:szCs w:val="21"/>
          <w:highlight w:val="none"/>
        </w:rPr>
        <w:t>关附件由投标人自行</w:t>
      </w:r>
      <w:r>
        <w:rPr>
          <w:rFonts w:hint="eastAsia" w:asciiTheme="minorEastAsia" w:hAnsiTheme="minorEastAsia" w:eastAsiaTheme="minorEastAsia" w:cstheme="minorEastAsia"/>
          <w:color w:val="auto"/>
          <w:spacing w:val="-7"/>
          <w:sz w:val="21"/>
          <w:szCs w:val="21"/>
          <w:highlight w:val="none"/>
        </w:rPr>
        <w:t>在全国公共资源交易平台（广东省</w:t>
      </w:r>
      <w:r>
        <w:rPr>
          <w:rFonts w:hint="eastAsia" w:asciiTheme="minorEastAsia" w:hAnsiTheme="minorEastAsia" w:eastAsiaTheme="minorEastAsia" w:cstheme="minorEastAsia"/>
          <w:color w:val="auto"/>
          <w:spacing w:val="-22"/>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·韶关市）网站下载。请于招标文件获取期间,（见</w:t>
      </w:r>
      <w:r>
        <w:rPr>
          <w:rFonts w:hint="eastAsia" w:asciiTheme="minorEastAsia" w:hAnsiTheme="minorEastAsia" w:eastAsiaTheme="minorEastAsia" w:cstheme="minorEastAsia"/>
          <w:color w:val="auto"/>
          <w:spacing w:val="-2"/>
          <w:sz w:val="21"/>
          <w:szCs w:val="21"/>
          <w:highlight w:val="none"/>
        </w:rPr>
        <w:t>本章第二节“重要事项时间地点一览表</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”）招标文件获取期间与招标公告发</w:t>
      </w:r>
      <w:r>
        <w:rPr>
          <w:rFonts w:hint="eastAsia" w:asciiTheme="minorEastAsia" w:hAnsiTheme="minorEastAsia" w:eastAsiaTheme="minorEastAsia" w:cstheme="minorEastAsia"/>
          <w:color w:val="auto"/>
          <w:spacing w:val="-3"/>
          <w:sz w:val="21"/>
          <w:szCs w:val="21"/>
          <w:highlight w:val="none"/>
        </w:rPr>
        <w:t>布时间一</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致，投标人须登录全国公共资源交易平台（广东省</w:t>
      </w:r>
      <w:r>
        <w:rPr>
          <w:rFonts w:hint="eastAsia" w:asciiTheme="minorEastAsia" w:hAnsiTheme="minorEastAsia" w:eastAsiaTheme="minorEastAsia" w:cstheme="minorEastAsia"/>
          <w:color w:val="auto"/>
          <w:spacing w:val="-28"/>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·韶关市</w:t>
      </w:r>
      <w:r>
        <w:rPr>
          <w:rFonts w:hint="eastAsia" w:asciiTheme="minorEastAsia" w:hAnsiTheme="minorEastAsia" w:eastAsiaTheme="minorEastAsia" w:cstheme="minorEastAsia"/>
          <w:color w:val="auto"/>
          <w:spacing w:val="-40"/>
          <w:sz w:val="21"/>
          <w:szCs w:val="21"/>
          <w:highlight w:val="none"/>
        </w:rPr>
        <w:t>）（</w:t>
      </w:r>
      <w:r>
        <w:rPr>
          <w:rFonts w:hint="eastAsia" w:asciiTheme="minorEastAsia" w:hAnsiTheme="minorEastAsia" w:eastAsiaTheme="minorEastAsia" w:cstheme="minorEastAsia"/>
          <w:color w:val="auto"/>
          <w:spacing w:val="-4"/>
          <w:sz w:val="21"/>
          <w:szCs w:val="21"/>
          <w:highlight w:val="none"/>
        </w:rPr>
        <w:t>https://ygp.gdzwfw.</w:t>
      </w:r>
      <w:r>
        <w:rPr>
          <w:rFonts w:hint="eastAsia" w:asciiTheme="minorEastAsia" w:hAnsiTheme="minorEastAsia" w:eastAsiaTheme="minorEastAsia" w:cstheme="minorEastAsia"/>
          <w:color w:val="auto"/>
          <w:sz w:val="21"/>
          <w:szCs w:val="21"/>
          <w:highlight w:val="none"/>
        </w:rPr>
        <w:t xml:space="preserve">  gov</w:t>
      </w:r>
      <w:r>
        <w:rPr>
          <w:rFonts w:hint="eastAsia" w:asciiTheme="minorEastAsia" w:hAnsiTheme="minorEastAsia" w:eastAsiaTheme="minorEastAsia" w:cstheme="minorEastAsia"/>
          <w:color w:val="auto"/>
          <w:spacing w:val="2"/>
          <w:sz w:val="21"/>
          <w:szCs w:val="21"/>
          <w:highlight w:val="none"/>
        </w:rPr>
        <w:t>.</w:t>
      </w:r>
      <w:r>
        <w:rPr>
          <w:rFonts w:hint="eastAsia" w:asciiTheme="minorEastAsia" w:hAnsiTheme="minorEastAsia" w:eastAsiaTheme="minorEastAsia" w:cstheme="minorEastAsia"/>
          <w:color w:val="auto"/>
          <w:sz w:val="21"/>
          <w:szCs w:val="21"/>
          <w:highlight w:val="none"/>
        </w:rPr>
        <w:t>cn</w:t>
      </w:r>
      <w:r>
        <w:rPr>
          <w:rFonts w:hint="eastAsia" w:asciiTheme="minorEastAsia" w:hAnsiTheme="minorEastAsia" w:eastAsiaTheme="minorEastAsia" w:cstheme="minorEastAsia"/>
          <w:color w:val="auto"/>
          <w:spacing w:val="2"/>
          <w:sz w:val="21"/>
          <w:szCs w:val="21"/>
          <w:highlight w:val="none"/>
        </w:rPr>
        <w:t>/</w:t>
      </w:r>
      <w:r>
        <w:rPr>
          <w:rFonts w:hint="eastAsia" w:asciiTheme="minorEastAsia" w:hAnsiTheme="minorEastAsia" w:eastAsiaTheme="minorEastAsia" w:cstheme="minorEastAsia"/>
          <w:color w:val="auto"/>
          <w:sz w:val="21"/>
          <w:szCs w:val="21"/>
          <w:highlight w:val="none"/>
        </w:rPr>
        <w:t>ggzy</w:t>
      </w:r>
      <w:r>
        <w:rPr>
          <w:rFonts w:hint="eastAsia" w:asciiTheme="minorEastAsia" w:hAnsiTheme="minorEastAsia" w:eastAsiaTheme="minorEastAsia" w:cstheme="minorEastAsia"/>
          <w:color w:val="auto"/>
          <w:spacing w:val="2"/>
          <w:sz w:val="21"/>
          <w:szCs w:val="21"/>
          <w:highlight w:val="none"/>
        </w:rPr>
        <w:t>-</w:t>
      </w:r>
      <w:r>
        <w:rPr>
          <w:rFonts w:hint="eastAsia" w:asciiTheme="minorEastAsia" w:hAnsiTheme="minorEastAsia" w:eastAsiaTheme="minorEastAsia" w:cstheme="minorEastAsia"/>
          <w:color w:val="auto"/>
          <w:sz w:val="21"/>
          <w:szCs w:val="21"/>
          <w:highlight w:val="none"/>
        </w:rPr>
        <w:t>portal</w:t>
      </w:r>
      <w:r>
        <w:rPr>
          <w:rFonts w:hint="eastAsia" w:asciiTheme="minorEastAsia" w:hAnsiTheme="minorEastAsia" w:eastAsiaTheme="minorEastAsia" w:cstheme="minorEastAsia"/>
          <w:color w:val="auto"/>
          <w:spacing w:val="2"/>
          <w:sz w:val="21"/>
          <w:szCs w:val="21"/>
          <w:highlight w:val="none"/>
        </w:rPr>
        <w:t>/#/440200/</w:t>
      </w:r>
      <w:r>
        <w:rPr>
          <w:rFonts w:hint="eastAsia" w:asciiTheme="minorEastAsia" w:hAnsiTheme="minorEastAsia" w:eastAsiaTheme="minorEastAsia" w:cstheme="minorEastAsia"/>
          <w:color w:val="auto"/>
          <w:sz w:val="21"/>
          <w:szCs w:val="21"/>
          <w:highlight w:val="none"/>
        </w:rPr>
        <w:t>index</w:t>
      </w:r>
      <w:r>
        <w:rPr>
          <w:rFonts w:hint="eastAsia" w:asciiTheme="minorEastAsia" w:hAnsiTheme="minorEastAsia" w:eastAsiaTheme="minorEastAsia" w:cstheme="minorEastAsia"/>
          <w:color w:val="auto"/>
          <w:spacing w:val="7"/>
          <w:sz w:val="21"/>
          <w:szCs w:val="21"/>
          <w:highlight w:val="none"/>
        </w:rPr>
        <w:t>），</w:t>
      </w:r>
      <w:r>
        <w:rPr>
          <w:rFonts w:hint="eastAsia" w:asciiTheme="minorEastAsia" w:hAnsiTheme="minorEastAsia" w:eastAsiaTheme="minorEastAsia" w:cstheme="minorEastAsia"/>
          <w:color w:val="auto"/>
          <w:spacing w:val="2"/>
          <w:sz w:val="21"/>
          <w:szCs w:val="21"/>
          <w:highlight w:val="none"/>
        </w:rPr>
        <w:t>使用新建设工程交易系统进行下载</w:t>
      </w:r>
      <w:r>
        <w:rPr>
          <w:rFonts w:hint="eastAsia" w:asciiTheme="minorEastAsia" w:hAnsiTheme="minorEastAsia" w:eastAsiaTheme="minorEastAsia" w:cstheme="minorEastAsia"/>
          <w:color w:val="auto"/>
          <w:spacing w:val="1"/>
          <w:sz w:val="21"/>
          <w:szCs w:val="21"/>
          <w:highlight w:val="none"/>
        </w:rPr>
        <w:t>招标文</w:t>
      </w:r>
      <w:r>
        <w:rPr>
          <w:rFonts w:hint="eastAsia" w:asciiTheme="minorEastAsia" w:hAnsiTheme="minorEastAsia" w:eastAsiaTheme="minorEastAsia" w:cstheme="minorEastAsia"/>
          <w:color w:val="auto"/>
          <w:spacing w:val="-6"/>
          <w:sz w:val="21"/>
          <w:szCs w:val="21"/>
          <w:highlight w:val="none"/>
        </w:rPr>
        <w:t>件及相关附件，并于电子投标截止时间（见本章第二节“重要事项时间地点一览表</w:t>
      </w:r>
      <w:r>
        <w:rPr>
          <w:rFonts w:hint="eastAsia" w:asciiTheme="minorEastAsia" w:hAnsiTheme="minorEastAsia" w:eastAsiaTheme="minorEastAsia" w:cstheme="minorEastAsia"/>
          <w:color w:val="auto"/>
          <w:spacing w:val="-72"/>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前完成电子投标。投标人可登录全国公共资源交易平</w:t>
      </w:r>
      <w:r>
        <w:rPr>
          <w:rFonts w:hint="eastAsia" w:asciiTheme="minorEastAsia" w:hAnsiTheme="minorEastAsia" w:eastAsiaTheme="minorEastAsia" w:cstheme="minorEastAsia"/>
          <w:color w:val="auto"/>
          <w:spacing w:val="-3"/>
          <w:sz w:val="21"/>
          <w:szCs w:val="21"/>
          <w:highlight w:val="none"/>
        </w:rPr>
        <w:t>台（广东省</w:t>
      </w:r>
      <w:r>
        <w:rPr>
          <w:rFonts w:hint="eastAsia" w:asciiTheme="minorEastAsia" w:hAnsiTheme="minorEastAsia" w:eastAsiaTheme="minorEastAsia" w:cstheme="minorEastAsia"/>
          <w:color w:val="auto"/>
          <w:spacing w:val="-27"/>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·韶关市</w:t>
      </w:r>
      <w:r>
        <w:rPr>
          <w:rFonts w:hint="eastAsia" w:asciiTheme="minorEastAsia" w:hAnsiTheme="minorEastAsia" w:eastAsiaTheme="minorEastAsia" w:cstheme="minorEastAsia"/>
          <w:color w:val="auto"/>
          <w:spacing w:val="-25"/>
          <w:sz w:val="21"/>
          <w:szCs w:val="21"/>
          <w:highlight w:val="none"/>
        </w:rPr>
        <w:t>）（</w:t>
      </w:r>
      <w:r>
        <w:rPr>
          <w:rFonts w:hint="eastAsia" w:asciiTheme="minorEastAsia" w:hAnsiTheme="minorEastAsia" w:eastAsiaTheme="minorEastAsia" w:cstheme="minorEastAsia"/>
          <w:color w:val="auto"/>
          <w:spacing w:val="-3"/>
          <w:sz w:val="21"/>
          <w:szCs w:val="21"/>
          <w:highlight w:val="none"/>
        </w:rPr>
        <w:t>https:</w:t>
      </w:r>
      <w:r>
        <w:rPr>
          <w:rFonts w:hint="eastAsia" w:asciiTheme="minorEastAsia" w:hAnsiTheme="minorEastAsia" w:eastAsiaTheme="minorEastAsia" w:cstheme="minorEastAsia"/>
          <w:color w:val="auto"/>
          <w:sz w:val="21"/>
          <w:szCs w:val="21"/>
          <w:highlight w:val="none"/>
        </w:rPr>
        <w:t xml:space="preserve">  //ygp.gdzwfw.gov.cn/ggz</w:t>
      </w:r>
      <w:r>
        <w:rPr>
          <w:rFonts w:hint="eastAsia" w:asciiTheme="minorEastAsia" w:hAnsiTheme="minorEastAsia" w:eastAsiaTheme="minorEastAsia" w:cstheme="minorEastAsia"/>
          <w:color w:val="auto"/>
          <w:spacing w:val="-1"/>
          <w:sz w:val="21"/>
          <w:szCs w:val="21"/>
          <w:highlight w:val="none"/>
        </w:rPr>
        <w:t>y-portal/#/440200/index</w:t>
      </w:r>
      <w:r>
        <w:rPr>
          <w:rFonts w:hint="eastAsia" w:asciiTheme="minorEastAsia" w:hAnsiTheme="minorEastAsia" w:eastAsiaTheme="minorEastAsia" w:cstheme="minorEastAsia"/>
          <w:color w:val="auto"/>
          <w:spacing w:val="-6"/>
          <w:sz w:val="21"/>
          <w:szCs w:val="21"/>
          <w:highlight w:val="none"/>
        </w:rPr>
        <w:t>），</w:t>
      </w:r>
      <w:r>
        <w:rPr>
          <w:rFonts w:hint="eastAsia" w:asciiTheme="minorEastAsia" w:hAnsiTheme="minorEastAsia" w:eastAsiaTheme="minorEastAsia" w:cstheme="minorEastAsia"/>
          <w:color w:val="auto"/>
          <w:spacing w:val="-1"/>
          <w:sz w:val="21"/>
          <w:szCs w:val="21"/>
          <w:highlight w:val="none"/>
        </w:rPr>
        <w:t>在【服务指南】栏目中建设</w:t>
      </w:r>
      <w:r>
        <w:rPr>
          <w:rFonts w:hint="eastAsia" w:asciiTheme="minorEastAsia" w:hAnsiTheme="minorEastAsia" w:eastAsiaTheme="minorEastAsia" w:cstheme="minorEastAsia"/>
          <w:color w:val="auto"/>
          <w:spacing w:val="-2"/>
          <w:sz w:val="21"/>
          <w:szCs w:val="21"/>
          <w:highlight w:val="none"/>
        </w:rPr>
        <w:t>工程交易中下载《韶关市公共资源建设工程交易系统-投</w:t>
      </w:r>
      <w:r>
        <w:rPr>
          <w:rFonts w:hint="eastAsia" w:asciiTheme="minorEastAsia" w:hAnsiTheme="minorEastAsia" w:eastAsiaTheme="minorEastAsia" w:cstheme="minorEastAsia"/>
          <w:color w:val="auto"/>
          <w:spacing w:val="-1"/>
          <w:sz w:val="21"/>
          <w:szCs w:val="21"/>
          <w:highlight w:val="none"/>
        </w:rPr>
        <w:t>标人操作指南（电子评标）》 （附件 2），了解网上获取招标文件操作流程。技术咨询电话：0751-837</w:t>
      </w:r>
      <w:r>
        <w:rPr>
          <w:rFonts w:hint="eastAsia" w:asciiTheme="minorEastAsia" w:hAnsiTheme="minorEastAsia" w:eastAsiaTheme="minorEastAsia" w:cstheme="minorEastAsia"/>
          <w:color w:val="auto"/>
          <w:spacing w:val="-4"/>
          <w:sz w:val="21"/>
          <w:szCs w:val="21"/>
          <w:highlight w:val="none"/>
        </w:rPr>
        <w:t>9671 伍</w:t>
      </w:r>
      <w:r>
        <w:rPr>
          <w:rFonts w:hint="eastAsia" w:asciiTheme="minorEastAsia" w:hAnsiTheme="minorEastAsia" w:eastAsiaTheme="minorEastAsia" w:cstheme="minorEastAsia"/>
          <w:color w:val="auto"/>
          <w:spacing w:val="-5"/>
          <w:sz w:val="21"/>
          <w:szCs w:val="21"/>
          <w:highlight w:val="none"/>
        </w:rPr>
        <w:t>先生，</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业务咨询电话：0751-8633211、8633071。</w:t>
      </w:r>
    </w:p>
    <w:p w14:paraId="5E41408B">
      <w:pPr>
        <w:spacing w:before="142" w:line="330" w:lineRule="auto"/>
        <w:ind w:left="11" w:right="105" w:firstLine="473"/>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3.2  </w:t>
      </w:r>
      <w:r>
        <w:rPr>
          <w:rFonts w:hint="eastAsia" w:asciiTheme="minorEastAsia" w:hAnsiTheme="minorEastAsia" w:eastAsiaTheme="minorEastAsia" w:cstheme="minorEastAsia"/>
          <w:color w:val="auto"/>
          <w:spacing w:val="-1"/>
          <w:sz w:val="21"/>
          <w:szCs w:val="21"/>
          <w:highlight w:val="none"/>
        </w:rPr>
        <w:t>只有申领了数字证书（CA）、“粤企签</w:t>
      </w:r>
      <w:r>
        <w:rPr>
          <w:rFonts w:hint="eastAsia" w:asciiTheme="minorEastAsia" w:hAnsiTheme="minorEastAsia" w:eastAsiaTheme="minorEastAsia" w:cstheme="minorEastAsia"/>
          <w:color w:val="auto"/>
          <w:spacing w:val="-76"/>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”或</w:t>
      </w:r>
      <w:r>
        <w:rPr>
          <w:rFonts w:hint="eastAsia" w:asciiTheme="minorEastAsia" w:hAnsiTheme="minorEastAsia" w:eastAsiaTheme="minorEastAsia" w:cstheme="minorEastAsia"/>
          <w:color w:val="auto"/>
          <w:spacing w:val="-53"/>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GDCA/SZCA/NETCA</w:t>
      </w:r>
      <w:r>
        <w:rPr>
          <w:rFonts w:hint="eastAsia" w:asciiTheme="minorEastAsia" w:hAnsiTheme="minorEastAsia" w:eastAsiaTheme="minorEastAsia" w:cstheme="minorEastAsia"/>
          <w:color w:val="auto"/>
          <w:spacing w:val="-46"/>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等符合法律法规规定的电子印章，并在交易系统中完成企业信息数据入库</w:t>
      </w:r>
      <w:r>
        <w:rPr>
          <w:rFonts w:hint="eastAsia" w:asciiTheme="minorEastAsia" w:hAnsiTheme="minorEastAsia" w:eastAsiaTheme="minorEastAsia" w:cstheme="minorEastAsia"/>
          <w:color w:val="auto"/>
          <w:spacing w:val="-2"/>
          <w:sz w:val="21"/>
          <w:szCs w:val="21"/>
          <w:highlight w:val="none"/>
        </w:rPr>
        <w:t>的投标人，方可使用建设</w:t>
      </w:r>
      <w:r>
        <w:rPr>
          <w:rFonts w:hint="eastAsia" w:asciiTheme="minorEastAsia" w:hAnsiTheme="minorEastAsia" w:eastAsiaTheme="minorEastAsia" w:cstheme="minorEastAsia"/>
          <w:color w:val="auto"/>
          <w:spacing w:val="-1"/>
          <w:sz w:val="21"/>
          <w:szCs w:val="21"/>
          <w:highlight w:val="none"/>
        </w:rPr>
        <w:t>工程交易系统进行招标文件及附件获取和电子投标。</w:t>
      </w:r>
    </w:p>
    <w:p w14:paraId="6AC4D975">
      <w:pPr>
        <w:spacing w:before="32" w:line="332" w:lineRule="auto"/>
        <w:ind w:left="10" w:right="90" w:firstLine="483"/>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首次在韶关市参与建设工程招标投标活动的</w:t>
      </w:r>
      <w:r>
        <w:rPr>
          <w:rFonts w:hint="eastAsia" w:asciiTheme="minorEastAsia" w:hAnsiTheme="minorEastAsia" w:eastAsiaTheme="minorEastAsia" w:cstheme="minorEastAsia"/>
          <w:color w:val="auto"/>
          <w:spacing w:val="-2"/>
          <w:sz w:val="21"/>
          <w:szCs w:val="21"/>
          <w:highlight w:val="none"/>
        </w:rPr>
        <w:t>投标人，必须在平台系统上传企业相</w:t>
      </w:r>
      <w:r>
        <w:rPr>
          <w:rFonts w:hint="eastAsia" w:asciiTheme="minorEastAsia" w:hAnsiTheme="minorEastAsia" w:eastAsiaTheme="minorEastAsia" w:cstheme="minorEastAsia"/>
          <w:color w:val="auto"/>
          <w:spacing w:val="-3"/>
          <w:sz w:val="21"/>
          <w:szCs w:val="21"/>
          <w:highlight w:val="none"/>
        </w:rPr>
        <w:t>关资料办理企业入库事宜。投标人可登录全国公共资源</w:t>
      </w:r>
      <w:r>
        <w:rPr>
          <w:rFonts w:hint="eastAsia" w:asciiTheme="minorEastAsia" w:hAnsiTheme="minorEastAsia" w:eastAsiaTheme="minorEastAsia" w:cstheme="minorEastAsia"/>
          <w:color w:val="auto"/>
          <w:spacing w:val="-4"/>
          <w:sz w:val="21"/>
          <w:szCs w:val="21"/>
          <w:highlight w:val="none"/>
        </w:rPr>
        <w:t>交易平台（广东省</w:t>
      </w:r>
      <w:r>
        <w:rPr>
          <w:rFonts w:hint="eastAsia" w:asciiTheme="minorEastAsia" w:hAnsiTheme="minorEastAsia" w:eastAsiaTheme="minorEastAsia" w:cstheme="minorEastAsia"/>
          <w:color w:val="auto"/>
          <w:spacing w:val="-28"/>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·韶关市）</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w:t>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"https://ygp.gdzwfw.gov.cn/ggzy-portal/#/440200/index"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pacing w:val="-1"/>
          <w:sz w:val="21"/>
          <w:szCs w:val="21"/>
          <w:highlight w:val="none"/>
        </w:rPr>
        <w:t>https://ygp.gdzwfw.gov.cn/ggzy-portal/#/440200/index</w:t>
      </w:r>
      <w:r>
        <w:rPr>
          <w:rFonts w:hint="eastAsia" w:asciiTheme="minorEastAsia" w:hAnsiTheme="minorEastAsia" w:eastAsiaTheme="minorEastAsia" w:cstheme="minorEastAsia"/>
          <w:color w:val="auto"/>
          <w:spacing w:val="-1"/>
          <w:sz w:val="21"/>
          <w:szCs w:val="21"/>
          <w:highlight w:val="none"/>
        </w:rPr>
        <w:fldChar w:fldCharType="end"/>
      </w:r>
      <w:r>
        <w:rPr>
          <w:rFonts w:hint="eastAsia" w:asciiTheme="minorEastAsia" w:hAnsiTheme="minorEastAsia" w:eastAsiaTheme="minorEastAsia" w:cstheme="minorEastAsia"/>
          <w:color w:val="auto"/>
          <w:spacing w:val="-1"/>
          <w:sz w:val="21"/>
          <w:szCs w:val="21"/>
          <w:highlight w:val="none"/>
        </w:rPr>
        <w:t>）办理企业入库、数字证书及电子印章事宜，具体请在平台查阅相应的交易指引。</w:t>
      </w:r>
    </w:p>
    <w:p w14:paraId="73A02549">
      <w:pPr>
        <w:spacing w:before="37" w:line="329" w:lineRule="auto"/>
        <w:ind w:left="9" w:right="105" w:firstLine="507"/>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已入库企业有关信息（如单位名称、基本账号、资质、人员等）发生变化</w:t>
      </w:r>
      <w:r>
        <w:rPr>
          <w:rFonts w:hint="eastAsia" w:asciiTheme="minorEastAsia" w:hAnsiTheme="minorEastAsia" w:eastAsiaTheme="minorEastAsia" w:cstheme="minorEastAsia"/>
          <w:color w:val="auto"/>
          <w:spacing w:val="-3"/>
          <w:sz w:val="21"/>
          <w:szCs w:val="21"/>
          <w:highlight w:val="none"/>
        </w:rPr>
        <w:t>的，须</w:t>
      </w:r>
      <w:r>
        <w:rPr>
          <w:rFonts w:hint="eastAsia" w:asciiTheme="minorEastAsia" w:hAnsiTheme="minorEastAsia" w:eastAsiaTheme="minorEastAsia" w:cstheme="minorEastAsia"/>
          <w:color w:val="auto"/>
          <w:spacing w:val="-1"/>
          <w:sz w:val="21"/>
          <w:szCs w:val="21"/>
          <w:highlight w:val="none"/>
        </w:rPr>
        <w:t>及时在交易系统进行相应变更。投标人未及时变更信息而造成的</w:t>
      </w:r>
      <w:r>
        <w:rPr>
          <w:rFonts w:hint="eastAsia" w:asciiTheme="minorEastAsia" w:hAnsiTheme="minorEastAsia" w:eastAsiaTheme="minorEastAsia" w:cstheme="minorEastAsia"/>
          <w:color w:val="auto"/>
          <w:spacing w:val="-2"/>
          <w:sz w:val="21"/>
          <w:szCs w:val="21"/>
          <w:highlight w:val="none"/>
        </w:rPr>
        <w:t>损失和后果，由投标</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人自行承担。</w:t>
      </w:r>
    </w:p>
    <w:p w14:paraId="45EB3ACC">
      <w:pPr>
        <w:spacing w:before="33" w:line="335" w:lineRule="auto"/>
        <w:ind w:left="10" w:right="105" w:firstLine="508"/>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电子印章：是指获得国家工业和信息化部颁发的《电子认证服务许可</w:t>
      </w:r>
      <w:r>
        <w:rPr>
          <w:rFonts w:hint="eastAsia" w:asciiTheme="minorEastAsia" w:hAnsiTheme="minorEastAsia" w:eastAsiaTheme="minorEastAsia" w:cstheme="minorEastAsia"/>
          <w:color w:val="auto"/>
          <w:spacing w:val="-3"/>
          <w:sz w:val="21"/>
          <w:szCs w:val="21"/>
          <w:highlight w:val="none"/>
        </w:rPr>
        <w:t>证》、国家</w:t>
      </w:r>
      <w:r>
        <w:rPr>
          <w:rFonts w:hint="eastAsia" w:asciiTheme="minorEastAsia" w:hAnsiTheme="minorEastAsia" w:eastAsiaTheme="minorEastAsia" w:cstheme="minorEastAsia"/>
          <w:color w:val="auto"/>
          <w:spacing w:val="-1"/>
          <w:sz w:val="21"/>
          <w:szCs w:val="21"/>
          <w:highlight w:val="none"/>
        </w:rPr>
        <w:t>密码管理局颁发的《电子认证服务使用密码许可证》等资质，</w:t>
      </w:r>
      <w:r>
        <w:rPr>
          <w:rFonts w:hint="eastAsia" w:asciiTheme="minorEastAsia" w:hAnsiTheme="minorEastAsia" w:eastAsiaTheme="minorEastAsia" w:cstheme="minorEastAsia"/>
          <w:color w:val="auto"/>
          <w:spacing w:val="-2"/>
          <w:sz w:val="21"/>
          <w:szCs w:val="21"/>
          <w:highlight w:val="none"/>
        </w:rPr>
        <w:t>具备承担因数字证书原</w:t>
      </w:r>
      <w:r>
        <w:rPr>
          <w:rFonts w:hint="eastAsia" w:asciiTheme="minorEastAsia" w:hAnsiTheme="minorEastAsia" w:eastAsiaTheme="minorEastAsia" w:cstheme="minorEastAsia"/>
          <w:color w:val="auto"/>
          <w:spacing w:val="-1"/>
          <w:sz w:val="21"/>
          <w:szCs w:val="21"/>
          <w:highlight w:val="none"/>
        </w:rPr>
        <w:t>因产生纠纷的相关责任的能力，且在广东省内具有数量基础和</w:t>
      </w:r>
      <w:r>
        <w:rPr>
          <w:rFonts w:hint="eastAsia" w:asciiTheme="minorEastAsia" w:hAnsiTheme="minorEastAsia" w:eastAsiaTheme="minorEastAsia" w:cstheme="minorEastAsia"/>
          <w:color w:val="auto"/>
          <w:spacing w:val="-2"/>
          <w:sz w:val="21"/>
          <w:szCs w:val="21"/>
          <w:highlight w:val="none"/>
        </w:rPr>
        <w:t>服务能力的依法设立的</w:t>
      </w:r>
      <w:r>
        <w:rPr>
          <w:rFonts w:hint="eastAsia" w:asciiTheme="minorEastAsia" w:hAnsiTheme="minorEastAsia" w:eastAsiaTheme="minorEastAsia" w:cstheme="minorEastAsia"/>
          <w:color w:val="auto"/>
          <w:spacing w:val="3"/>
          <w:sz w:val="21"/>
          <w:szCs w:val="21"/>
          <w:highlight w:val="none"/>
        </w:rPr>
        <w:t>电子认证服务机构签发的电子签章认证证书（即</w:t>
      </w:r>
      <w:r>
        <w:rPr>
          <w:rFonts w:hint="eastAsia" w:asciiTheme="minorEastAsia" w:hAnsiTheme="minorEastAsia" w:eastAsiaTheme="minorEastAsia" w:cstheme="minorEastAsia"/>
          <w:color w:val="auto"/>
          <w:sz w:val="21"/>
          <w:szCs w:val="21"/>
          <w:highlight w:val="none"/>
        </w:rPr>
        <w:t>CA</w:t>
      </w:r>
      <w:r>
        <w:rPr>
          <w:rFonts w:hint="eastAsia" w:asciiTheme="minorEastAsia" w:hAnsiTheme="minorEastAsia" w:eastAsiaTheme="minorEastAsia" w:cstheme="minorEastAsia"/>
          <w:color w:val="auto"/>
          <w:spacing w:val="-32"/>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数字证书）。投标人应当到相关</w:t>
      </w:r>
      <w:r>
        <w:rPr>
          <w:rFonts w:hint="eastAsia" w:asciiTheme="minorEastAsia" w:hAnsiTheme="minorEastAsia" w:eastAsiaTheme="minorEastAsia" w:cstheme="minorEastAsia"/>
          <w:color w:val="auto"/>
          <w:spacing w:val="-1"/>
          <w:sz w:val="21"/>
          <w:szCs w:val="21"/>
          <w:highlight w:val="none"/>
        </w:rPr>
        <w:t>服务机构办理并取得数字证书介质和应用。电子印章包括机构</w:t>
      </w:r>
      <w:r>
        <w:rPr>
          <w:rFonts w:hint="eastAsia" w:asciiTheme="minorEastAsia" w:hAnsiTheme="minorEastAsia" w:eastAsiaTheme="minorEastAsia" w:cstheme="minorEastAsia"/>
          <w:color w:val="auto"/>
          <w:spacing w:val="-2"/>
          <w:sz w:val="21"/>
          <w:szCs w:val="21"/>
          <w:highlight w:val="none"/>
        </w:rPr>
        <w:t>法人电子形式印章，单</w:t>
      </w:r>
      <w:r>
        <w:rPr>
          <w:rFonts w:hint="eastAsia" w:asciiTheme="minorEastAsia" w:hAnsiTheme="minorEastAsia" w:eastAsiaTheme="minorEastAsia" w:cstheme="minorEastAsia"/>
          <w:color w:val="auto"/>
          <w:spacing w:val="-1"/>
          <w:sz w:val="21"/>
          <w:szCs w:val="21"/>
          <w:highlight w:val="none"/>
        </w:rPr>
        <w:t>位法定代表人、被委托人及其他个人的电子形式印章。电子印</w:t>
      </w:r>
      <w:r>
        <w:rPr>
          <w:rFonts w:hint="eastAsia" w:asciiTheme="minorEastAsia" w:hAnsiTheme="minorEastAsia" w:eastAsiaTheme="minorEastAsia" w:cstheme="minorEastAsia"/>
          <w:color w:val="auto"/>
          <w:spacing w:val="-2"/>
          <w:sz w:val="21"/>
          <w:szCs w:val="21"/>
          <w:highlight w:val="none"/>
        </w:rPr>
        <w:t>章与手写签名或者盖章</w:t>
      </w:r>
      <w:r>
        <w:rPr>
          <w:rFonts w:hint="eastAsia" w:asciiTheme="minorEastAsia" w:hAnsiTheme="minorEastAsia" w:eastAsiaTheme="minorEastAsia" w:cstheme="minorEastAsia"/>
          <w:color w:val="auto"/>
          <w:spacing w:val="-1"/>
          <w:sz w:val="21"/>
          <w:szCs w:val="21"/>
          <w:highlight w:val="none"/>
        </w:rPr>
        <w:t>具有同等的法律效力。</w:t>
      </w:r>
    </w:p>
    <w:p w14:paraId="161CEF0F">
      <w:pPr>
        <w:spacing w:before="33" w:line="221" w:lineRule="auto"/>
        <w:ind w:left="48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3.3</w:t>
      </w:r>
      <w:r>
        <w:rPr>
          <w:rFonts w:hint="eastAsia" w:asciiTheme="minorEastAsia" w:hAnsiTheme="minorEastAsia" w:eastAsiaTheme="minorEastAsia" w:cstheme="minorEastAsia"/>
          <w:b/>
          <w:bCs/>
          <w:color w:val="auto"/>
          <w:spacing w:val="8"/>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投标保证</w:t>
      </w:r>
    </w:p>
    <w:p w14:paraId="4F89D04B">
      <w:pPr>
        <w:spacing w:before="152" w:line="280" w:lineRule="auto"/>
        <w:ind w:left="8" w:right="105" w:firstLine="47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3.3.1  </w:t>
      </w:r>
      <w:r>
        <w:rPr>
          <w:rFonts w:hint="eastAsia" w:asciiTheme="minorEastAsia" w:hAnsiTheme="minorEastAsia" w:eastAsiaTheme="minorEastAsia" w:cstheme="minorEastAsia"/>
          <w:color w:val="auto"/>
          <w:spacing w:val="-1"/>
          <w:sz w:val="21"/>
          <w:szCs w:val="21"/>
          <w:highlight w:val="none"/>
        </w:rPr>
        <w:t>投标人须缴纳金额为</w:t>
      </w:r>
      <w:r>
        <w:rPr>
          <w:rFonts w:hint="eastAsia" w:asciiTheme="minorEastAsia" w:hAnsiTheme="minorEastAsia" w:eastAsiaTheme="minorEastAsia" w:cstheme="minorEastAsia"/>
          <w:color w:val="auto"/>
          <w:spacing w:val="-1"/>
          <w:sz w:val="21"/>
          <w:szCs w:val="21"/>
          <w:highlight w:val="none"/>
          <w:u w:val="single"/>
          <w:lang w:val="en-US" w:eastAsia="zh-CN"/>
        </w:rPr>
        <w:t>十万元</w:t>
      </w:r>
      <w:r>
        <w:rPr>
          <w:rFonts w:hint="eastAsia" w:asciiTheme="minorEastAsia" w:hAnsiTheme="minorEastAsia" w:eastAsiaTheme="minorEastAsia" w:cstheme="minorEastAsia"/>
          <w:color w:val="auto"/>
          <w:spacing w:val="-1"/>
          <w:sz w:val="21"/>
          <w:szCs w:val="21"/>
          <w:highlight w:val="none"/>
        </w:rPr>
        <w:t>人民币的投标保证。 联合体投标的，由联合体牵头人</w:t>
      </w:r>
      <w:r>
        <w:rPr>
          <w:rFonts w:hint="eastAsia" w:asciiTheme="minorEastAsia" w:hAnsiTheme="minorEastAsia" w:eastAsiaTheme="minorEastAsia" w:cstheme="minorEastAsia"/>
          <w:color w:val="auto"/>
          <w:spacing w:val="-3"/>
          <w:sz w:val="21"/>
          <w:szCs w:val="21"/>
          <w:highlight w:val="none"/>
        </w:rPr>
        <w:t>缴纳。</w:t>
      </w:r>
    </w:p>
    <w:p w14:paraId="7D57D110">
      <w:pPr>
        <w:spacing w:before="35" w:line="325" w:lineRule="auto"/>
        <w:ind w:left="12" w:right="108" w:firstLine="47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3.3.2  </w:t>
      </w:r>
      <w:r>
        <w:rPr>
          <w:rFonts w:hint="eastAsia" w:asciiTheme="minorEastAsia" w:hAnsiTheme="minorEastAsia" w:eastAsiaTheme="minorEastAsia" w:cstheme="minorEastAsia"/>
          <w:color w:val="auto"/>
          <w:spacing w:val="2"/>
          <w:sz w:val="21"/>
          <w:szCs w:val="21"/>
          <w:highlight w:val="none"/>
        </w:rPr>
        <w:t>投标保证的形式包括投标保证金、投标保证担保、投标保证保险三种</w:t>
      </w:r>
      <w:r>
        <w:rPr>
          <w:rFonts w:hint="eastAsia" w:asciiTheme="minorEastAsia" w:hAnsiTheme="minorEastAsia" w:eastAsiaTheme="minorEastAsia" w:cstheme="minorEastAsia"/>
          <w:color w:val="auto"/>
          <w:spacing w:val="1"/>
          <w:sz w:val="21"/>
          <w:szCs w:val="21"/>
          <w:highlight w:val="none"/>
        </w:rPr>
        <w:t>，由</w:t>
      </w:r>
      <w:r>
        <w:rPr>
          <w:rFonts w:hint="eastAsia" w:asciiTheme="minorEastAsia" w:hAnsiTheme="minorEastAsia" w:eastAsiaTheme="minorEastAsia" w:cstheme="minorEastAsia"/>
          <w:color w:val="auto"/>
          <w:spacing w:val="-2"/>
          <w:sz w:val="21"/>
          <w:szCs w:val="21"/>
          <w:highlight w:val="none"/>
        </w:rPr>
        <w:t>投标人自主选择。</w:t>
      </w:r>
    </w:p>
    <w:p w14:paraId="2741E824">
      <w:pPr>
        <w:spacing w:before="78" w:line="334" w:lineRule="auto"/>
        <w:ind w:left="12" w:right="2" w:firstLine="490"/>
        <w:jc w:val="both"/>
        <w:rPr>
          <w:rFonts w:hint="eastAsia" w:asciiTheme="minorEastAsia" w:hAnsiTheme="minorEastAsia" w:eastAsiaTheme="minorEastAsia" w:cstheme="minorEastAsia"/>
          <w:color w:val="auto"/>
          <w:spacing w:val="-1"/>
          <w:sz w:val="21"/>
          <w:szCs w:val="21"/>
          <w:highlight w:val="none"/>
        </w:rPr>
      </w:pPr>
      <w:bookmarkStart w:id="21" w:name="bookmark117"/>
      <w:bookmarkEnd w:id="21"/>
      <w:r>
        <w:rPr>
          <w:rFonts w:hint="eastAsia" w:asciiTheme="minorEastAsia" w:hAnsiTheme="minorEastAsia" w:eastAsiaTheme="minorEastAsia" w:cstheme="minorEastAsia"/>
          <w:color w:val="auto"/>
          <w:spacing w:val="2"/>
          <w:sz w:val="21"/>
          <w:szCs w:val="21"/>
          <w:highlight w:val="none"/>
        </w:rPr>
        <w:t>（1）采用投标保证金的，投标人在建设工程交易系统获取招</w:t>
      </w:r>
      <w:r>
        <w:rPr>
          <w:rFonts w:hint="eastAsia" w:asciiTheme="minorEastAsia" w:hAnsiTheme="minorEastAsia" w:eastAsiaTheme="minorEastAsia" w:cstheme="minorEastAsia"/>
          <w:color w:val="auto"/>
          <w:spacing w:val="1"/>
          <w:sz w:val="21"/>
          <w:szCs w:val="21"/>
          <w:highlight w:val="none"/>
        </w:rPr>
        <w:t>标文件完毕后，即</w:t>
      </w:r>
      <w:r>
        <w:rPr>
          <w:rFonts w:hint="eastAsia" w:asciiTheme="minorEastAsia" w:hAnsiTheme="minorEastAsia" w:eastAsiaTheme="minorEastAsia" w:cstheme="minorEastAsia"/>
          <w:color w:val="auto"/>
          <w:spacing w:val="-1"/>
          <w:sz w:val="21"/>
          <w:szCs w:val="21"/>
          <w:highlight w:val="none"/>
        </w:rPr>
        <w:t>可在系统申请缴纳投标保证金，获取本次招标投标保证金缴</w:t>
      </w:r>
      <w:r>
        <w:rPr>
          <w:rFonts w:hint="eastAsia" w:asciiTheme="minorEastAsia" w:hAnsiTheme="minorEastAsia" w:eastAsiaTheme="minorEastAsia" w:cstheme="minorEastAsia"/>
          <w:color w:val="auto"/>
          <w:spacing w:val="-2"/>
          <w:sz w:val="21"/>
          <w:szCs w:val="21"/>
          <w:highlight w:val="none"/>
        </w:rPr>
        <w:t>纳账号。投标人必须于投标保证金到账截</w:t>
      </w:r>
      <w:r>
        <w:rPr>
          <w:rFonts w:hint="eastAsia" w:asciiTheme="minorEastAsia" w:hAnsiTheme="minorEastAsia" w:eastAsiaTheme="minorEastAsia" w:cstheme="minorEastAsia"/>
          <w:color w:val="auto"/>
          <w:spacing w:val="-1"/>
          <w:sz w:val="21"/>
          <w:szCs w:val="21"/>
          <w:highlight w:val="none"/>
        </w:rPr>
        <w:t>止时间（见本招标文件“重要事项时间地点一览表 ”）前，从其基本账户将投标保证金转账到指定的缴纳账号。逾期到账的、从非投标人基本账户转出的，其投标无效。</w:t>
      </w:r>
    </w:p>
    <w:p w14:paraId="7B0D4CF5">
      <w:pPr>
        <w:spacing w:before="78" w:line="334" w:lineRule="auto"/>
        <w:ind w:left="12" w:right="2" w:firstLine="490"/>
        <w:jc w:val="both"/>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30F950D0">
      <w:pPr>
        <w:spacing w:before="78" w:line="334" w:lineRule="auto"/>
        <w:ind w:left="12" w:right="2" w:firstLine="490"/>
        <w:jc w:val="both"/>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1"/>
          <w:sz w:val="21"/>
          <w:szCs w:val="21"/>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w:t>
      </w:r>
      <w:r>
        <w:rPr>
          <w:rFonts w:hint="eastAsia" w:asciiTheme="minorEastAsia" w:hAnsiTheme="minorEastAsia" w:eastAsiaTheme="minorEastAsia" w:cstheme="minorEastAsia"/>
          <w:color w:val="auto"/>
          <w:spacing w:val="-2"/>
          <w:sz w:val="21"/>
          <w:szCs w:val="21"/>
          <w:highlight w:val="none"/>
        </w:rPr>
        <w:t>电子保单，电子保单的有</w:t>
      </w:r>
      <w:r>
        <w:rPr>
          <w:rFonts w:hint="eastAsia" w:asciiTheme="minorEastAsia" w:hAnsiTheme="minorEastAsia" w:eastAsiaTheme="minorEastAsia" w:cstheme="minorEastAsia"/>
          <w:color w:val="auto"/>
          <w:spacing w:val="-3"/>
          <w:sz w:val="21"/>
          <w:szCs w:val="21"/>
          <w:highlight w:val="none"/>
        </w:rPr>
        <w:t>效期不得短于投标有效期。投标人可登录全国公共资源交易平台（广东省 ·韶关市） （</w:t>
      </w:r>
      <w:r>
        <w:rPr>
          <w:rFonts w:hint="eastAsia" w:asciiTheme="minorEastAsia" w:hAnsiTheme="minorEastAsia" w:eastAsiaTheme="minorEastAsia" w:cstheme="minorEastAsia"/>
          <w:color w:val="auto"/>
          <w:spacing w:val="-3"/>
          <w:sz w:val="21"/>
          <w:szCs w:val="21"/>
          <w:highlight w:val="none"/>
        </w:rPr>
        <w:fldChar w:fldCharType="begin"/>
      </w:r>
      <w:r>
        <w:rPr>
          <w:rFonts w:hint="eastAsia" w:asciiTheme="minorEastAsia" w:hAnsiTheme="minorEastAsia" w:eastAsiaTheme="minorEastAsia" w:cstheme="minorEastAsia"/>
          <w:color w:val="auto"/>
          <w:spacing w:val="-3"/>
          <w:sz w:val="21"/>
          <w:szCs w:val="21"/>
          <w:highlight w:val="none"/>
        </w:rPr>
        <w:instrText xml:space="preserve"> HYPERLINK "https://ygp.gdzwfw.gov.cn/ggzy-portal/#/440200/index" </w:instrText>
      </w:r>
      <w:r>
        <w:rPr>
          <w:rFonts w:hint="eastAsia" w:asciiTheme="minorEastAsia" w:hAnsiTheme="minorEastAsia" w:eastAsiaTheme="minorEastAsia" w:cstheme="minorEastAsia"/>
          <w:color w:val="auto"/>
          <w:spacing w:val="-3"/>
          <w:sz w:val="21"/>
          <w:szCs w:val="21"/>
          <w:highlight w:val="none"/>
        </w:rPr>
        <w:fldChar w:fldCharType="separate"/>
      </w:r>
      <w:r>
        <w:rPr>
          <w:rFonts w:hint="eastAsia" w:asciiTheme="minorEastAsia" w:hAnsiTheme="minorEastAsia" w:eastAsiaTheme="minorEastAsia" w:cstheme="minorEastAsia"/>
          <w:color w:val="auto"/>
          <w:spacing w:val="-3"/>
          <w:sz w:val="21"/>
          <w:szCs w:val="21"/>
          <w:highlight w:val="none"/>
        </w:rPr>
        <w:t>https://ygp.gdzwfw.gov.cn/ggzy-portal/#/440200/index</w:t>
      </w:r>
      <w:r>
        <w:rPr>
          <w:rFonts w:hint="eastAsia" w:asciiTheme="minorEastAsia" w:hAnsiTheme="minorEastAsia" w:eastAsiaTheme="minorEastAsia" w:cstheme="minorEastAsia"/>
          <w:color w:val="auto"/>
          <w:spacing w:val="-3"/>
          <w:sz w:val="21"/>
          <w:szCs w:val="21"/>
          <w:highlight w:val="none"/>
        </w:rPr>
        <w:fldChar w:fldCharType="end"/>
      </w:r>
      <w:r>
        <w:rPr>
          <w:rFonts w:hint="eastAsia" w:asciiTheme="minorEastAsia" w:hAnsiTheme="minorEastAsia" w:eastAsiaTheme="minorEastAsia" w:cstheme="minorEastAsia"/>
          <w:color w:val="auto"/>
          <w:spacing w:val="-3"/>
          <w:sz w:val="21"/>
          <w:szCs w:val="21"/>
          <w:highlight w:val="none"/>
        </w:rPr>
        <w:t>），在【服务指南】栏 目中下载《建设工程网上交易系统保险保证金缴纳操作指南》，了解网上投保具体操 作流程。逾期投保的，其投标无效。</w:t>
      </w:r>
    </w:p>
    <w:p w14:paraId="5AFD0FC7">
      <w:pPr>
        <w:spacing w:before="78" w:line="334" w:lineRule="auto"/>
        <w:ind w:left="12" w:right="2" w:firstLine="490"/>
        <w:jc w:val="both"/>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7F9132E6">
      <w:pPr>
        <w:spacing w:before="78" w:line="334" w:lineRule="auto"/>
        <w:ind w:left="12" w:right="2" w:firstLine="49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 xml:space="preserve">3.4 </w:t>
      </w:r>
      <w:r>
        <w:rPr>
          <w:rFonts w:hint="eastAsia" w:asciiTheme="minorEastAsia" w:hAnsiTheme="minorEastAsia" w:eastAsiaTheme="minorEastAsia" w:cstheme="minorEastAsia"/>
          <w:color w:val="auto"/>
          <w:spacing w:val="-3"/>
          <w:sz w:val="21"/>
          <w:szCs w:val="21"/>
          <w:highlight w:val="none"/>
        </w:rPr>
        <w:t xml:space="preserve"> 若投标人因自身原因未能正确完成获取招标文件</w:t>
      </w:r>
      <w:r>
        <w:rPr>
          <w:rFonts w:hint="eastAsia" w:asciiTheme="minorEastAsia" w:hAnsiTheme="minorEastAsia" w:eastAsiaTheme="minorEastAsia" w:cstheme="minorEastAsia"/>
          <w:color w:val="auto"/>
          <w:sz w:val="21"/>
          <w:szCs w:val="21"/>
          <w:highlight w:val="none"/>
        </w:rPr>
        <w:t>、电子投标、缴纳投标保证</w:t>
      </w:r>
      <w:r>
        <w:rPr>
          <w:rFonts w:hint="eastAsia" w:asciiTheme="minorEastAsia" w:hAnsiTheme="minorEastAsia" w:eastAsiaTheme="minorEastAsia" w:cstheme="minorEastAsia"/>
          <w:color w:val="auto"/>
          <w:spacing w:val="-4"/>
          <w:sz w:val="21"/>
          <w:szCs w:val="21"/>
          <w:highlight w:val="none"/>
        </w:rPr>
        <w:t>的，其投标无效。</w:t>
      </w:r>
    </w:p>
    <w:p w14:paraId="79948837">
      <w:pPr>
        <w:spacing w:before="79" w:line="221" w:lineRule="auto"/>
        <w:ind w:left="487"/>
        <w:outlineLvl w:val="2"/>
        <w:rPr>
          <w:rFonts w:hint="eastAsia" w:asciiTheme="minorEastAsia" w:hAnsiTheme="minorEastAsia" w:eastAsiaTheme="minorEastAsia" w:cstheme="minorEastAsia"/>
          <w:color w:val="auto"/>
          <w:sz w:val="21"/>
          <w:szCs w:val="21"/>
          <w:highlight w:val="none"/>
        </w:rPr>
      </w:pPr>
      <w:bookmarkStart w:id="22" w:name="bookmark64"/>
      <w:bookmarkEnd w:id="22"/>
      <w:bookmarkStart w:id="23" w:name="bookmark78"/>
      <w:bookmarkEnd w:id="23"/>
      <w:bookmarkStart w:id="24" w:name="_Toc16717"/>
      <w:bookmarkStart w:id="25" w:name="_Toc15498"/>
      <w:r>
        <w:rPr>
          <w:rFonts w:hint="eastAsia" w:asciiTheme="minorEastAsia" w:hAnsiTheme="minorEastAsia" w:eastAsiaTheme="minorEastAsia" w:cstheme="minorEastAsia"/>
          <w:b/>
          <w:bCs/>
          <w:color w:val="auto"/>
          <w:spacing w:val="-8"/>
          <w:sz w:val="21"/>
          <w:szCs w:val="21"/>
          <w:highlight w:val="none"/>
        </w:rPr>
        <w:t>4</w:t>
      </w:r>
      <w:r>
        <w:rPr>
          <w:rFonts w:hint="eastAsia" w:asciiTheme="minorEastAsia" w:hAnsiTheme="minorEastAsia" w:eastAsiaTheme="minorEastAsia" w:cstheme="minorEastAsia"/>
          <w:b/>
          <w:bCs/>
          <w:color w:val="auto"/>
          <w:spacing w:val="-8"/>
          <w:sz w:val="21"/>
          <w:szCs w:val="21"/>
          <w:highlight w:val="none"/>
          <w:lang w:val="en-US" w:eastAsia="zh-CN"/>
        </w:rPr>
        <w:t xml:space="preserve"> </w:t>
      </w:r>
      <w:r>
        <w:rPr>
          <w:rFonts w:hint="eastAsia" w:asciiTheme="minorEastAsia" w:hAnsiTheme="minorEastAsia" w:eastAsiaTheme="minorEastAsia" w:cstheme="minorEastAsia"/>
          <w:b/>
          <w:bCs/>
          <w:color w:val="auto"/>
          <w:spacing w:val="-8"/>
          <w:sz w:val="21"/>
          <w:szCs w:val="21"/>
          <w:highlight w:val="none"/>
        </w:rPr>
        <w:t>．工期要求</w:t>
      </w:r>
      <w:bookmarkEnd w:id="24"/>
      <w:bookmarkEnd w:id="25"/>
    </w:p>
    <w:p w14:paraId="16B8B264">
      <w:pPr>
        <w:spacing w:before="153" w:line="324" w:lineRule="auto"/>
        <w:ind w:left="30" w:right="65" w:firstLine="46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本招标项目招标工期为</w:t>
      </w:r>
      <w:r>
        <w:rPr>
          <w:rFonts w:hint="eastAsia" w:asciiTheme="minorEastAsia" w:hAnsiTheme="minorEastAsia" w:eastAsiaTheme="minorEastAsia" w:cstheme="minorEastAsia"/>
          <w:color w:val="auto"/>
          <w:spacing w:val="-2"/>
          <w:sz w:val="21"/>
          <w:szCs w:val="21"/>
          <w:highlight w:val="none"/>
          <w:u w:val="single"/>
          <w:lang w:val="en-US" w:eastAsia="zh-CN"/>
        </w:rPr>
        <w:t>90个日历天</w:t>
      </w:r>
      <w:r>
        <w:rPr>
          <w:rFonts w:hint="eastAsia" w:asciiTheme="minorEastAsia" w:hAnsiTheme="minorEastAsia" w:eastAsiaTheme="minorEastAsia" w:cstheme="minorEastAsia"/>
          <w:color w:val="auto"/>
          <w:spacing w:val="-2"/>
          <w:sz w:val="21"/>
          <w:szCs w:val="21"/>
          <w:highlight w:val="none"/>
        </w:rPr>
        <w:t>，中标人必须在招标工期内完成招标范围内</w:t>
      </w:r>
      <w:r>
        <w:rPr>
          <w:rFonts w:hint="eastAsia" w:asciiTheme="minorEastAsia" w:hAnsiTheme="minorEastAsia" w:eastAsiaTheme="minorEastAsia" w:cstheme="minorEastAsia"/>
          <w:color w:val="auto"/>
          <w:spacing w:val="-5"/>
          <w:sz w:val="21"/>
          <w:szCs w:val="21"/>
          <w:highlight w:val="none"/>
        </w:rPr>
        <w:t>的全部内容。</w:t>
      </w:r>
    </w:p>
    <w:p w14:paraId="4EA2DCDD">
      <w:pPr>
        <w:spacing w:before="78" w:line="219" w:lineRule="auto"/>
        <w:ind w:left="488"/>
        <w:outlineLvl w:val="2"/>
        <w:rPr>
          <w:rFonts w:hint="eastAsia" w:asciiTheme="minorEastAsia" w:hAnsiTheme="minorEastAsia" w:eastAsiaTheme="minorEastAsia" w:cstheme="minorEastAsia"/>
          <w:color w:val="auto"/>
          <w:sz w:val="21"/>
          <w:szCs w:val="21"/>
          <w:highlight w:val="none"/>
        </w:rPr>
      </w:pPr>
      <w:bookmarkStart w:id="26" w:name="_Toc4154"/>
      <w:bookmarkStart w:id="27" w:name="_Toc11737"/>
      <w:r>
        <w:rPr>
          <w:rFonts w:hint="eastAsia" w:asciiTheme="minorEastAsia" w:hAnsiTheme="minorEastAsia" w:eastAsiaTheme="minorEastAsia" w:cstheme="minorEastAsia"/>
          <w:b/>
          <w:bCs/>
          <w:color w:val="auto"/>
          <w:spacing w:val="-5"/>
          <w:sz w:val="21"/>
          <w:szCs w:val="21"/>
          <w:highlight w:val="none"/>
        </w:rPr>
        <w:t>5</w:t>
      </w:r>
      <w:r>
        <w:rPr>
          <w:rFonts w:hint="eastAsia" w:asciiTheme="minorEastAsia" w:hAnsiTheme="minorEastAsia" w:eastAsiaTheme="minorEastAsia" w:cstheme="minorEastAsia"/>
          <w:b/>
          <w:bCs/>
          <w:color w:val="auto"/>
          <w:spacing w:val="-5"/>
          <w:sz w:val="21"/>
          <w:szCs w:val="21"/>
          <w:highlight w:val="none"/>
          <w:lang w:val="en-US" w:eastAsia="zh-CN"/>
        </w:rPr>
        <w:t xml:space="preserve"> </w:t>
      </w:r>
      <w:r>
        <w:rPr>
          <w:rFonts w:hint="eastAsia" w:asciiTheme="minorEastAsia" w:hAnsiTheme="minorEastAsia" w:eastAsiaTheme="minorEastAsia" w:cstheme="minorEastAsia"/>
          <w:b/>
          <w:bCs/>
          <w:color w:val="auto"/>
          <w:spacing w:val="-5"/>
          <w:sz w:val="21"/>
          <w:szCs w:val="21"/>
          <w:highlight w:val="none"/>
        </w:rPr>
        <w:t>．质量标准和材料、机械要求</w:t>
      </w:r>
      <w:bookmarkEnd w:id="26"/>
      <w:bookmarkEnd w:id="27"/>
    </w:p>
    <w:p w14:paraId="6A0903AB">
      <w:pPr>
        <w:spacing w:before="154" w:line="279" w:lineRule="auto"/>
        <w:ind w:left="11" w:right="99" w:firstLine="4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5.1  </w:t>
      </w:r>
      <w:r>
        <w:rPr>
          <w:rFonts w:hint="eastAsia" w:asciiTheme="minorEastAsia" w:hAnsiTheme="minorEastAsia" w:eastAsiaTheme="minorEastAsia" w:cstheme="minorEastAsia"/>
          <w:color w:val="auto"/>
          <w:sz w:val="21"/>
          <w:szCs w:val="21"/>
          <w:highlight w:val="none"/>
        </w:rPr>
        <w:t>施工工艺严格按照国家和广东省的有关现行施工技术规范及标准执行，工程</w:t>
      </w:r>
      <w:r>
        <w:rPr>
          <w:rFonts w:hint="eastAsia" w:asciiTheme="minorEastAsia" w:hAnsiTheme="minorEastAsia" w:eastAsiaTheme="minorEastAsia" w:cstheme="minorEastAsia"/>
          <w:color w:val="auto"/>
          <w:spacing w:val="-1"/>
          <w:sz w:val="21"/>
          <w:szCs w:val="21"/>
          <w:highlight w:val="none"/>
        </w:rPr>
        <w:t>质量标准</w:t>
      </w:r>
      <w:r>
        <w:rPr>
          <w:rFonts w:hint="eastAsia" w:asciiTheme="minorEastAsia" w:hAnsiTheme="minorEastAsia" w:eastAsiaTheme="minorEastAsia" w:cstheme="minorEastAsia"/>
          <w:color w:val="auto"/>
          <w:spacing w:val="-1"/>
          <w:sz w:val="21"/>
          <w:szCs w:val="21"/>
          <w:highlight w:val="none"/>
          <w:u w:val="single"/>
          <w:lang w:val="en-US" w:eastAsia="zh-CN"/>
        </w:rPr>
        <w:t xml:space="preserve"> 符合现行国家有关工程施工质量验收规范和标准的要求，达到验收合格标准</w:t>
      </w:r>
      <w:r>
        <w:rPr>
          <w:rFonts w:hint="eastAsia" w:asciiTheme="minorEastAsia" w:hAnsiTheme="minorEastAsia" w:eastAsiaTheme="minorEastAsia" w:cstheme="minorEastAsia"/>
          <w:color w:val="auto"/>
          <w:spacing w:val="-1"/>
          <w:sz w:val="21"/>
          <w:szCs w:val="21"/>
          <w:highlight w:val="none"/>
        </w:rPr>
        <w:t>。</w:t>
      </w:r>
    </w:p>
    <w:p w14:paraId="2F4A384A">
      <w:pPr>
        <w:spacing w:before="154" w:line="279" w:lineRule="auto"/>
        <w:ind w:left="10" w:right="99" w:firstLine="55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5.2</w:t>
      </w:r>
      <w:r>
        <w:rPr>
          <w:rFonts w:hint="eastAsia" w:asciiTheme="minorEastAsia" w:hAnsiTheme="minorEastAsia" w:eastAsiaTheme="minorEastAsia" w:cstheme="minorEastAsia"/>
          <w:b/>
          <w:bCs/>
          <w:color w:val="auto"/>
          <w:spacing w:val="21"/>
          <w:w w:val="101"/>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中标人在施工中如果工程质量不符合设计要求和有关规定，招标人或监理单</w:t>
      </w:r>
      <w:r>
        <w:rPr>
          <w:rFonts w:hint="eastAsia" w:asciiTheme="minorEastAsia" w:hAnsiTheme="minorEastAsia" w:eastAsiaTheme="minorEastAsia" w:cstheme="minorEastAsia"/>
          <w:color w:val="auto"/>
          <w:sz w:val="21"/>
          <w:szCs w:val="21"/>
          <w:highlight w:val="none"/>
        </w:rPr>
        <w:t>位要求停工和返工的必须立即执行，并承担由此产生的各</w:t>
      </w:r>
      <w:r>
        <w:rPr>
          <w:rFonts w:hint="eastAsia" w:asciiTheme="minorEastAsia" w:hAnsiTheme="minorEastAsia" w:eastAsiaTheme="minorEastAsia" w:cstheme="minorEastAsia"/>
          <w:color w:val="auto"/>
          <w:spacing w:val="-1"/>
          <w:sz w:val="21"/>
          <w:szCs w:val="21"/>
          <w:highlight w:val="none"/>
        </w:rPr>
        <w:t>种费用，工期不予顺延。</w:t>
      </w:r>
    </w:p>
    <w:p w14:paraId="3DDF0ECB">
      <w:pPr>
        <w:spacing w:before="152" w:line="309" w:lineRule="auto"/>
        <w:ind w:left="9" w:firstLine="568"/>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b/>
          <w:bCs/>
          <w:color w:val="auto"/>
          <w:spacing w:val="-6"/>
          <w:sz w:val="21"/>
          <w:szCs w:val="21"/>
          <w:highlight w:val="none"/>
        </w:rPr>
        <w:t xml:space="preserve">5.3  </w:t>
      </w:r>
      <w:r>
        <w:rPr>
          <w:rFonts w:hint="eastAsia" w:asciiTheme="minorEastAsia" w:hAnsiTheme="minorEastAsia" w:eastAsiaTheme="minorEastAsia" w:cstheme="minorEastAsia"/>
          <w:color w:val="auto"/>
          <w:spacing w:val="-6"/>
          <w:sz w:val="21"/>
          <w:szCs w:val="21"/>
          <w:highlight w:val="none"/>
        </w:rPr>
        <w:t>保修期限按《建设工程质量管理条例》（中华人民共和国国务院令第</w:t>
      </w:r>
      <w:r>
        <w:rPr>
          <w:rFonts w:hint="eastAsia" w:asciiTheme="minorEastAsia" w:hAnsiTheme="minorEastAsia" w:eastAsiaTheme="minorEastAsia" w:cstheme="minorEastAsia"/>
          <w:color w:val="auto"/>
          <w:spacing w:val="-50"/>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279</w:t>
      </w:r>
      <w:r>
        <w:rPr>
          <w:rFonts w:hint="eastAsia" w:asciiTheme="minorEastAsia" w:hAnsiTheme="minorEastAsia" w:eastAsiaTheme="minorEastAsia" w:cstheme="minorEastAsia"/>
          <w:color w:val="auto"/>
          <w:spacing w:val="15"/>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号）</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规定执行，在保修期内因施工质量问题而造成返修，一切费用由中标人负责。中标人 在向招标人提交竣工验收报告时，应当向招标人出具质量保修书。质量保修书中应当明确建设工程的保修范围、保修期限和保修责任等。</w:t>
      </w:r>
    </w:p>
    <w:p w14:paraId="1D0E6EF1">
      <w:pPr>
        <w:spacing w:before="152" w:line="309" w:lineRule="auto"/>
        <w:ind w:left="9" w:firstLine="568"/>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b/>
          <w:bCs/>
          <w:color w:val="auto"/>
          <w:spacing w:val="-1"/>
          <w:sz w:val="21"/>
          <w:szCs w:val="21"/>
          <w:highlight w:val="none"/>
        </w:rPr>
        <w:t>5.4</w:t>
      </w:r>
      <w:r>
        <w:rPr>
          <w:rFonts w:hint="eastAsia" w:asciiTheme="minorEastAsia" w:hAnsiTheme="minorEastAsia" w:eastAsiaTheme="minorEastAsia" w:cstheme="minorEastAsia"/>
          <w:color w:val="auto"/>
          <w:spacing w:val="-1"/>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Theme="minorEastAsia" w:hAnsiTheme="minorEastAsia" w:eastAsiaTheme="minorEastAsia" w:cstheme="minorEastAsia"/>
          <w:color w:val="auto"/>
          <w:spacing w:val="-6"/>
          <w:sz w:val="21"/>
          <w:szCs w:val="21"/>
          <w:highlight w:val="none"/>
        </w:rPr>
        <w:t>本招标项目</w:t>
      </w:r>
      <w:r>
        <w:rPr>
          <w:rFonts w:hint="eastAsia" w:asciiTheme="minorEastAsia" w:hAnsiTheme="minorEastAsia" w:eastAsiaTheme="minorEastAsia" w:cstheme="minorEastAsia"/>
          <w:color w:val="auto"/>
          <w:spacing w:val="-6"/>
          <w:sz w:val="21"/>
          <w:szCs w:val="21"/>
          <w:highlight w:val="none"/>
          <w:lang w:val="en-US" w:eastAsia="zh-CN"/>
        </w:rPr>
        <w:t>不</w:t>
      </w:r>
      <w:r>
        <w:rPr>
          <w:rFonts w:hint="eastAsia" w:asciiTheme="minorEastAsia" w:hAnsiTheme="minorEastAsia" w:eastAsiaTheme="minorEastAsia" w:cstheme="minorEastAsia"/>
          <w:color w:val="auto"/>
          <w:spacing w:val="-6"/>
          <w:sz w:val="21"/>
          <w:szCs w:val="21"/>
          <w:highlight w:val="none"/>
        </w:rPr>
        <w:t>纳入绿色建设实施范围</w:t>
      </w:r>
      <w:r>
        <w:rPr>
          <w:rFonts w:hint="eastAsia" w:asciiTheme="minorEastAsia" w:hAnsiTheme="minorEastAsia" w:eastAsiaTheme="minorEastAsia" w:cstheme="minorEastAsia"/>
          <w:color w:val="auto"/>
          <w:spacing w:val="-6"/>
          <w:sz w:val="21"/>
          <w:szCs w:val="21"/>
          <w:highlight w:val="none"/>
          <w:lang w:eastAsia="zh-CN"/>
        </w:rPr>
        <w:t>。</w:t>
      </w:r>
    </w:p>
    <w:p w14:paraId="307810DB">
      <w:pPr>
        <w:spacing w:before="152" w:line="309" w:lineRule="auto"/>
        <w:ind w:left="9" w:firstLine="568"/>
        <w:rPr>
          <w:rFonts w:hint="eastAsia" w:asciiTheme="minorEastAsia" w:hAnsiTheme="minorEastAsia" w:eastAsiaTheme="minorEastAsia" w:cstheme="minorEastAsia"/>
          <w:color w:val="auto"/>
          <w:spacing w:val="-1"/>
          <w:sz w:val="21"/>
          <w:szCs w:val="21"/>
          <w:highlight w:val="none"/>
          <w:lang w:val="en-US" w:eastAsia="zh-CN"/>
        </w:rPr>
      </w:pPr>
      <w:r>
        <w:rPr>
          <w:rFonts w:hint="eastAsia" w:asciiTheme="minorEastAsia" w:hAnsiTheme="minorEastAsia" w:eastAsiaTheme="minorEastAsia" w:cstheme="minorEastAsia"/>
          <w:b/>
          <w:bCs/>
          <w:color w:val="auto"/>
          <w:spacing w:val="-1"/>
          <w:sz w:val="21"/>
          <w:szCs w:val="21"/>
          <w:highlight w:val="none"/>
        </w:rPr>
        <w:t>5.5</w:t>
      </w:r>
      <w:r>
        <w:rPr>
          <w:rFonts w:hint="eastAsia" w:asciiTheme="minorEastAsia" w:hAnsiTheme="minorEastAsia" w:eastAsiaTheme="minorEastAsia" w:cstheme="minorEastAsia"/>
          <w:color w:val="auto"/>
          <w:spacing w:val="-1"/>
          <w:sz w:val="21"/>
          <w:szCs w:val="21"/>
          <w:highlight w:val="none"/>
        </w:rPr>
        <w:t xml:space="preserve">  其它：</w:t>
      </w:r>
      <w:r>
        <w:rPr>
          <w:rFonts w:hint="eastAsia" w:asciiTheme="minorEastAsia" w:hAnsiTheme="minorEastAsia" w:eastAsiaTheme="minorEastAsia" w:cstheme="minorEastAsia"/>
          <w:color w:val="auto"/>
          <w:spacing w:val="-1"/>
          <w:sz w:val="21"/>
          <w:szCs w:val="21"/>
          <w:highlight w:val="none"/>
          <w:lang w:eastAsia="zh-CN"/>
        </w:rPr>
        <w:t>本招标项目</w:t>
      </w:r>
      <w:r>
        <w:rPr>
          <w:rFonts w:hint="eastAsia" w:asciiTheme="minorEastAsia" w:hAnsiTheme="minorEastAsia" w:eastAsiaTheme="minorEastAsia" w:cstheme="minorEastAsia"/>
          <w:color w:val="auto"/>
          <w:spacing w:val="-1"/>
          <w:sz w:val="21"/>
          <w:szCs w:val="21"/>
          <w:highlight w:val="none"/>
          <w:lang w:val="en-US" w:eastAsia="zh-CN"/>
        </w:rPr>
        <w:t>不</w:t>
      </w:r>
      <w:r>
        <w:rPr>
          <w:rFonts w:hint="eastAsia" w:asciiTheme="minorEastAsia" w:hAnsiTheme="minorEastAsia" w:eastAsiaTheme="minorEastAsia" w:cstheme="minorEastAsia"/>
          <w:color w:val="auto"/>
          <w:spacing w:val="-1"/>
          <w:sz w:val="21"/>
          <w:szCs w:val="21"/>
          <w:highlight w:val="none"/>
          <w:lang w:eastAsia="zh-CN"/>
        </w:rPr>
        <w:t>纳入装配式建造建设实施范围。</w:t>
      </w:r>
    </w:p>
    <w:p w14:paraId="6100AFCB">
      <w:pPr>
        <w:spacing w:before="152" w:line="309" w:lineRule="auto"/>
        <w:ind w:left="9" w:firstLine="568"/>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rPr>
        <w:t>5.6</w:t>
      </w:r>
      <w:r>
        <w:rPr>
          <w:rFonts w:hint="eastAsia" w:asciiTheme="minorEastAsia" w:hAnsiTheme="minorEastAsia" w:eastAsiaTheme="minorEastAsia" w:cstheme="minorEastAsia"/>
          <w:color w:val="auto"/>
          <w:spacing w:val="-1"/>
          <w:sz w:val="21"/>
          <w:szCs w:val="21"/>
          <w:highlight w:val="none"/>
        </w:rPr>
        <w:t xml:space="preserve">  其它：本招标文件（包括答疑纪要、补充及修改文件）中招标人对材料或设 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Theme="minorEastAsia" w:hAnsiTheme="minorEastAsia" w:eastAsiaTheme="minorEastAsia" w:cstheme="minorEastAsia"/>
          <w:color w:val="auto"/>
          <w:spacing w:val="-1"/>
          <w:sz w:val="21"/>
          <w:szCs w:val="21"/>
          <w:highlight w:val="none"/>
          <w:lang w:eastAsia="zh-CN"/>
        </w:rPr>
        <w:t>，</w:t>
      </w:r>
      <w:r>
        <w:rPr>
          <w:rFonts w:hint="eastAsia" w:asciiTheme="minorEastAsia" w:hAnsiTheme="minorEastAsia" w:eastAsiaTheme="minorEastAsia" w:cstheme="minorEastAsia"/>
          <w:color w:val="auto"/>
          <w:spacing w:val="-1"/>
          <w:sz w:val="21"/>
          <w:szCs w:val="21"/>
          <w:highlight w:val="none"/>
        </w:rPr>
        <w:t>则中标人必须使用合格材料或设备。</w:t>
      </w:r>
    </w:p>
    <w:p w14:paraId="1CC3F7DF">
      <w:pPr>
        <w:spacing w:before="152" w:line="309" w:lineRule="auto"/>
        <w:ind w:left="9" w:firstLine="56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5.</w:t>
      </w:r>
      <w:r>
        <w:rPr>
          <w:rFonts w:hint="eastAsia" w:asciiTheme="minorEastAsia" w:hAnsiTheme="minorEastAsia" w:eastAsiaTheme="minorEastAsia" w:cstheme="minorEastAsia"/>
          <w:b/>
          <w:bCs/>
          <w:color w:val="auto"/>
          <w:spacing w:val="-1"/>
          <w:sz w:val="21"/>
          <w:szCs w:val="21"/>
          <w:highlight w:val="none"/>
          <w:lang w:eastAsia="zh-CN"/>
        </w:rPr>
        <w:t>7</w:t>
      </w:r>
      <w:r>
        <w:rPr>
          <w:rFonts w:hint="eastAsia" w:asciiTheme="minorEastAsia" w:hAnsiTheme="minorEastAsia" w:eastAsiaTheme="minorEastAsia" w:cstheme="minorEastAsia"/>
          <w:color w:val="auto"/>
          <w:spacing w:val="-1"/>
          <w:sz w:val="21"/>
          <w:szCs w:val="21"/>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2DC916A8">
      <w:pPr>
        <w:spacing w:before="78" w:line="220" w:lineRule="auto"/>
        <w:ind w:left="489"/>
        <w:outlineLvl w:val="2"/>
        <w:rPr>
          <w:rFonts w:hint="eastAsia" w:asciiTheme="minorEastAsia" w:hAnsiTheme="minorEastAsia" w:eastAsiaTheme="minorEastAsia" w:cstheme="minorEastAsia"/>
          <w:color w:val="auto"/>
          <w:sz w:val="21"/>
          <w:szCs w:val="21"/>
          <w:highlight w:val="none"/>
        </w:rPr>
      </w:pPr>
      <w:bookmarkStart w:id="28" w:name="_Toc7763"/>
      <w:bookmarkStart w:id="29" w:name="_Toc31725"/>
      <w:r>
        <w:rPr>
          <w:rFonts w:hint="eastAsia" w:asciiTheme="minorEastAsia" w:hAnsiTheme="minorEastAsia" w:eastAsiaTheme="minorEastAsia" w:cstheme="minorEastAsia"/>
          <w:b/>
          <w:bCs/>
          <w:color w:val="auto"/>
          <w:spacing w:val="-6"/>
          <w:sz w:val="21"/>
          <w:szCs w:val="21"/>
          <w:highlight w:val="none"/>
        </w:rPr>
        <w:t>6</w:t>
      </w:r>
      <w:r>
        <w:rPr>
          <w:rFonts w:hint="eastAsia" w:asciiTheme="minorEastAsia" w:hAnsiTheme="minorEastAsia" w:eastAsiaTheme="minorEastAsia" w:cstheme="minorEastAsia"/>
          <w:b/>
          <w:bCs/>
          <w:color w:val="auto"/>
          <w:spacing w:val="-20"/>
          <w:sz w:val="21"/>
          <w:szCs w:val="21"/>
          <w:highlight w:val="none"/>
        </w:rPr>
        <w:t xml:space="preserve"> </w:t>
      </w:r>
      <w:r>
        <w:rPr>
          <w:rFonts w:hint="eastAsia" w:asciiTheme="minorEastAsia" w:hAnsiTheme="minorEastAsia" w:eastAsiaTheme="minorEastAsia" w:cstheme="minorEastAsia"/>
          <w:b/>
          <w:bCs/>
          <w:color w:val="auto"/>
          <w:spacing w:val="-6"/>
          <w:sz w:val="21"/>
          <w:szCs w:val="21"/>
          <w:highlight w:val="none"/>
        </w:rPr>
        <w:t>．施工条件及现场踏勘</w:t>
      </w:r>
      <w:bookmarkEnd w:id="28"/>
      <w:bookmarkEnd w:id="29"/>
    </w:p>
    <w:p w14:paraId="668777D8">
      <w:pPr>
        <w:spacing w:before="155" w:line="324" w:lineRule="auto"/>
        <w:ind w:left="12" w:right="99" w:firstLine="556"/>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6.1  </w:t>
      </w:r>
      <w:r>
        <w:rPr>
          <w:rFonts w:hint="eastAsia" w:asciiTheme="minorEastAsia" w:hAnsiTheme="minorEastAsia" w:eastAsiaTheme="minorEastAsia" w:cstheme="minorEastAsia"/>
          <w:color w:val="auto"/>
          <w:spacing w:val="-2"/>
          <w:sz w:val="21"/>
          <w:szCs w:val="21"/>
          <w:highlight w:val="none"/>
        </w:rPr>
        <w:t>招标人仅在本招标项目征地红线范围内提供场地，其他一切场地费用由中标人自行负责（含临时道路）。</w:t>
      </w:r>
    </w:p>
    <w:p w14:paraId="14564B6B">
      <w:pPr>
        <w:spacing w:before="155" w:line="324" w:lineRule="auto"/>
        <w:ind w:left="12" w:right="99" w:firstLine="556"/>
        <w:rPr>
          <w:rFonts w:hint="eastAsia" w:asciiTheme="minorEastAsia" w:hAnsiTheme="minorEastAsia" w:eastAsiaTheme="minorEastAsia" w:cstheme="minorEastAsia"/>
          <w:color w:val="auto"/>
          <w:spacing w:val="-2"/>
          <w:sz w:val="21"/>
          <w:szCs w:val="21"/>
          <w:highlight w:val="none"/>
        </w:rPr>
      </w:pPr>
      <w:bookmarkStart w:id="30" w:name="bookmark118"/>
      <w:bookmarkEnd w:id="30"/>
      <w:r>
        <w:rPr>
          <w:rFonts w:hint="eastAsia" w:asciiTheme="minorEastAsia" w:hAnsiTheme="minorEastAsia" w:eastAsiaTheme="minorEastAsia" w:cstheme="minorEastAsia"/>
          <w:b/>
          <w:bCs/>
          <w:color w:val="auto"/>
          <w:spacing w:val="-2"/>
          <w:sz w:val="21"/>
          <w:szCs w:val="21"/>
          <w:highlight w:val="none"/>
        </w:rPr>
        <w:t>6.2</w:t>
      </w:r>
      <w:r>
        <w:rPr>
          <w:rFonts w:hint="eastAsia" w:asciiTheme="minorEastAsia" w:hAnsiTheme="minorEastAsia" w:eastAsiaTheme="minorEastAsia" w:cstheme="minorEastAsia"/>
          <w:color w:val="auto"/>
          <w:spacing w:val="-2"/>
          <w:sz w:val="21"/>
          <w:szCs w:val="21"/>
          <w:highlight w:val="none"/>
        </w:rPr>
        <w:t xml:space="preserve">  施工用水：</w:t>
      </w:r>
      <w:r>
        <w:rPr>
          <w:rFonts w:hint="eastAsia" w:asciiTheme="minorEastAsia" w:hAnsiTheme="minorEastAsia" w:eastAsiaTheme="minorEastAsia" w:cstheme="minorEastAsia"/>
          <w:color w:val="auto"/>
          <w:spacing w:val="-2"/>
          <w:sz w:val="21"/>
          <w:szCs w:val="21"/>
          <w:highlight w:val="none"/>
          <w:u w:val="single"/>
        </w:rPr>
        <w:t>由中标人自行解决，费用考虑在投标报价中</w:t>
      </w:r>
      <w:r>
        <w:rPr>
          <w:rFonts w:hint="eastAsia" w:asciiTheme="minorEastAsia" w:hAnsiTheme="minorEastAsia" w:eastAsiaTheme="minorEastAsia" w:cstheme="minorEastAsia"/>
          <w:color w:val="auto"/>
          <w:spacing w:val="-2"/>
          <w:sz w:val="21"/>
          <w:szCs w:val="21"/>
          <w:highlight w:val="none"/>
        </w:rPr>
        <w:t>。</w:t>
      </w:r>
    </w:p>
    <w:p w14:paraId="74E8CE2F">
      <w:pPr>
        <w:spacing w:before="155" w:line="324" w:lineRule="auto"/>
        <w:ind w:left="12" w:right="99" w:firstLine="556"/>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6.3</w:t>
      </w:r>
      <w:r>
        <w:rPr>
          <w:rFonts w:hint="eastAsia" w:asciiTheme="minorEastAsia" w:hAnsiTheme="minorEastAsia" w:eastAsiaTheme="minorEastAsia" w:cstheme="minorEastAsia"/>
          <w:color w:val="auto"/>
          <w:spacing w:val="-2"/>
          <w:sz w:val="21"/>
          <w:szCs w:val="21"/>
          <w:highlight w:val="none"/>
        </w:rPr>
        <w:t xml:space="preserve">  施工用电：</w:t>
      </w:r>
      <w:r>
        <w:rPr>
          <w:rFonts w:hint="eastAsia" w:asciiTheme="minorEastAsia" w:hAnsiTheme="minorEastAsia" w:eastAsiaTheme="minorEastAsia" w:cstheme="minorEastAsia"/>
          <w:color w:val="auto"/>
          <w:spacing w:val="-2"/>
          <w:sz w:val="21"/>
          <w:szCs w:val="21"/>
          <w:highlight w:val="none"/>
          <w:u w:val="single"/>
        </w:rPr>
        <w:t>由中标人自行解决，费用考虑在投标报价中</w:t>
      </w:r>
      <w:r>
        <w:rPr>
          <w:rFonts w:hint="eastAsia" w:asciiTheme="minorEastAsia" w:hAnsiTheme="minorEastAsia" w:eastAsiaTheme="minorEastAsia" w:cstheme="minorEastAsia"/>
          <w:color w:val="auto"/>
          <w:spacing w:val="-2"/>
          <w:sz w:val="21"/>
          <w:szCs w:val="21"/>
          <w:highlight w:val="none"/>
        </w:rPr>
        <w:t>。</w:t>
      </w:r>
    </w:p>
    <w:p w14:paraId="4389B090">
      <w:pPr>
        <w:spacing w:before="155" w:line="324" w:lineRule="auto"/>
        <w:ind w:left="12" w:right="99" w:firstLine="55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6.4</w:t>
      </w:r>
      <w:r>
        <w:rPr>
          <w:rFonts w:hint="eastAsia" w:asciiTheme="minorEastAsia" w:hAnsiTheme="minorEastAsia" w:eastAsiaTheme="minorEastAsia" w:cstheme="minorEastAsia"/>
          <w:color w:val="auto"/>
          <w:spacing w:val="-2"/>
          <w:sz w:val="21"/>
          <w:szCs w:val="21"/>
          <w:highlight w:val="none"/>
        </w:rPr>
        <w:t xml:space="preserve">  施工用水、用电各提供一驳接点到现场边缘。要求中标人单独安装水表、电表，其水、电费按项目所在地</w:t>
      </w:r>
      <w:r>
        <w:rPr>
          <w:rFonts w:hint="eastAsia" w:asciiTheme="minorEastAsia" w:hAnsiTheme="minorEastAsia" w:eastAsiaTheme="minorEastAsia" w:cstheme="minorEastAsia"/>
          <w:color w:val="auto"/>
          <w:spacing w:val="-2"/>
          <w:sz w:val="21"/>
          <w:szCs w:val="21"/>
          <w:highlight w:val="none"/>
          <w:lang w:val="en-US" w:eastAsia="zh-CN"/>
        </w:rPr>
        <w:t xml:space="preserve"> </w:t>
      </w:r>
      <w:r>
        <w:rPr>
          <w:rFonts w:hint="eastAsia" w:asciiTheme="minorEastAsia" w:hAnsiTheme="minorEastAsia" w:eastAsiaTheme="minorEastAsia" w:cstheme="minorEastAsia"/>
          <w:color w:val="auto"/>
          <w:spacing w:val="-2"/>
          <w:sz w:val="21"/>
          <w:szCs w:val="21"/>
          <w:highlight w:val="none"/>
          <w:u w:val="single"/>
          <w:lang w:val="en-US" w:eastAsia="zh-CN"/>
        </w:rPr>
        <w:t xml:space="preserve">仁化县 </w:t>
      </w:r>
      <w:r>
        <w:rPr>
          <w:rFonts w:hint="eastAsia" w:asciiTheme="minorEastAsia" w:hAnsiTheme="minorEastAsia" w:eastAsiaTheme="minorEastAsia" w:cstheme="minorEastAsia"/>
          <w:color w:val="auto"/>
          <w:spacing w:val="-2"/>
          <w:sz w:val="21"/>
          <w:szCs w:val="21"/>
          <w:highlight w:val="none"/>
        </w:rPr>
        <w:t>基建工程水、电计费</w:t>
      </w:r>
      <w:r>
        <w:rPr>
          <w:rFonts w:hint="eastAsia" w:asciiTheme="minorEastAsia" w:hAnsiTheme="minorEastAsia" w:eastAsiaTheme="minorEastAsia" w:cstheme="minorEastAsia"/>
          <w:color w:val="auto"/>
          <w:spacing w:val="-3"/>
          <w:sz w:val="21"/>
          <w:szCs w:val="21"/>
          <w:highlight w:val="none"/>
        </w:rPr>
        <w:t>标准计算并由中标人缴纳。</w:t>
      </w:r>
    </w:p>
    <w:p w14:paraId="4010312E">
      <w:pPr>
        <w:spacing w:before="154" w:line="299" w:lineRule="auto"/>
        <w:ind w:left="9" w:right="16" w:firstLine="55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6.5  </w:t>
      </w:r>
      <w:r>
        <w:rPr>
          <w:rFonts w:hint="eastAsia" w:asciiTheme="minorEastAsia" w:hAnsiTheme="minorEastAsia" w:eastAsiaTheme="minorEastAsia" w:cstheme="minorEastAsia"/>
          <w:color w:val="auto"/>
          <w:spacing w:val="-2"/>
          <w:sz w:val="21"/>
          <w:szCs w:val="21"/>
          <w:highlight w:val="none"/>
        </w:rPr>
        <w:t>招标人不组织现场踏勘，但会在招标文件及有关设计文件中明确告知招标项</w:t>
      </w:r>
      <w:r>
        <w:rPr>
          <w:rFonts w:hint="eastAsia" w:asciiTheme="minorEastAsia" w:hAnsiTheme="minorEastAsia" w:eastAsiaTheme="minorEastAsia" w:cstheme="minorEastAsia"/>
          <w:color w:val="auto"/>
          <w:spacing w:val="-1"/>
          <w:sz w:val="21"/>
          <w:szCs w:val="21"/>
          <w:highlight w:val="none"/>
        </w:rPr>
        <w:t>目的具体位置和周边环境，并在现场设置足以识别的标识或提</w:t>
      </w:r>
      <w:r>
        <w:rPr>
          <w:rFonts w:hint="eastAsia" w:asciiTheme="minorEastAsia" w:hAnsiTheme="minorEastAsia" w:eastAsiaTheme="minorEastAsia" w:cstheme="minorEastAsia"/>
          <w:color w:val="auto"/>
          <w:spacing w:val="-2"/>
          <w:sz w:val="21"/>
          <w:szCs w:val="21"/>
          <w:highlight w:val="none"/>
        </w:rPr>
        <w:t>供足以表明招标项目具</w:t>
      </w:r>
      <w:r>
        <w:rPr>
          <w:rFonts w:hint="eastAsia" w:asciiTheme="minorEastAsia" w:hAnsiTheme="minorEastAsia" w:eastAsiaTheme="minorEastAsia" w:cstheme="minorEastAsia"/>
          <w:color w:val="auto"/>
          <w:sz w:val="21"/>
          <w:szCs w:val="21"/>
          <w:highlight w:val="none"/>
        </w:rPr>
        <w:t>体位置的文字或图片。投标人需要了解现场情况的</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pacing w:val="-1"/>
          <w:sz w:val="21"/>
          <w:szCs w:val="21"/>
          <w:highlight w:val="none"/>
        </w:rPr>
        <w:t>可自行进行现场踏勘。</w:t>
      </w:r>
    </w:p>
    <w:p w14:paraId="4637027C">
      <w:pPr>
        <w:spacing w:before="153" w:line="280" w:lineRule="auto"/>
        <w:ind w:left="9" w:right="16" w:firstLine="55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6.6  </w:t>
      </w:r>
      <w:r>
        <w:rPr>
          <w:rFonts w:hint="eastAsia" w:asciiTheme="minorEastAsia" w:hAnsiTheme="minorEastAsia" w:eastAsiaTheme="minorEastAsia" w:cstheme="minorEastAsia"/>
          <w:color w:val="auto"/>
          <w:spacing w:val="-2"/>
          <w:sz w:val="21"/>
          <w:szCs w:val="21"/>
          <w:highlight w:val="none"/>
        </w:rPr>
        <w:t>在现场踏勘过程中，投标人应确保自身安全，投标人如果发生人身伤亡、财</w:t>
      </w:r>
      <w:r>
        <w:rPr>
          <w:rFonts w:hint="eastAsia" w:asciiTheme="minorEastAsia" w:hAnsiTheme="minorEastAsia" w:eastAsiaTheme="minorEastAsia" w:cstheme="minorEastAsia"/>
          <w:color w:val="auto"/>
          <w:spacing w:val="-1"/>
          <w:sz w:val="21"/>
          <w:szCs w:val="21"/>
          <w:highlight w:val="none"/>
        </w:rPr>
        <w:t>物或其他损失，法律法规有规定的按有关规定处理，没有规定</w:t>
      </w:r>
      <w:r>
        <w:rPr>
          <w:rFonts w:hint="eastAsia" w:asciiTheme="minorEastAsia" w:hAnsiTheme="minorEastAsia" w:eastAsiaTheme="minorEastAsia" w:cstheme="minorEastAsia"/>
          <w:color w:val="auto"/>
          <w:spacing w:val="-2"/>
          <w:sz w:val="21"/>
          <w:szCs w:val="21"/>
          <w:highlight w:val="none"/>
        </w:rPr>
        <w:t>的由投标人自行负责。</w:t>
      </w:r>
    </w:p>
    <w:p w14:paraId="59B768FA">
      <w:pPr>
        <w:spacing w:before="153" w:line="220" w:lineRule="auto"/>
        <w:ind w:left="56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6.7  </w:t>
      </w:r>
      <w:r>
        <w:rPr>
          <w:rFonts w:hint="eastAsia" w:asciiTheme="minorEastAsia" w:hAnsiTheme="minorEastAsia" w:eastAsiaTheme="minorEastAsia" w:cstheme="minorEastAsia"/>
          <w:color w:val="auto"/>
          <w:sz w:val="21"/>
          <w:szCs w:val="21"/>
          <w:highlight w:val="none"/>
        </w:rPr>
        <w:t>现场踏勘期间的交通、食宿由投标人</w:t>
      </w:r>
      <w:r>
        <w:rPr>
          <w:rFonts w:hint="eastAsia" w:asciiTheme="minorEastAsia" w:hAnsiTheme="minorEastAsia" w:eastAsiaTheme="minorEastAsia" w:cstheme="minorEastAsia"/>
          <w:color w:val="auto"/>
          <w:spacing w:val="-1"/>
          <w:sz w:val="21"/>
          <w:szCs w:val="21"/>
          <w:highlight w:val="none"/>
        </w:rPr>
        <w:t>自行安排，费用自理。</w:t>
      </w:r>
    </w:p>
    <w:p w14:paraId="5F256CD2">
      <w:pPr>
        <w:spacing w:before="78" w:line="220" w:lineRule="auto"/>
        <w:ind w:left="488"/>
        <w:outlineLvl w:val="2"/>
        <w:rPr>
          <w:rFonts w:hint="eastAsia" w:asciiTheme="minorEastAsia" w:hAnsiTheme="minorEastAsia" w:eastAsiaTheme="minorEastAsia" w:cstheme="minorEastAsia"/>
          <w:color w:val="auto"/>
          <w:sz w:val="21"/>
          <w:szCs w:val="21"/>
          <w:highlight w:val="none"/>
        </w:rPr>
      </w:pPr>
      <w:bookmarkStart w:id="31" w:name="bookmark81"/>
      <w:bookmarkEnd w:id="31"/>
      <w:bookmarkStart w:id="32" w:name="bookmark67"/>
      <w:bookmarkEnd w:id="32"/>
      <w:bookmarkStart w:id="33" w:name="bookmark69"/>
      <w:bookmarkEnd w:id="33"/>
      <w:bookmarkStart w:id="34" w:name="_Toc15543"/>
      <w:bookmarkStart w:id="35" w:name="_Toc4600"/>
      <w:r>
        <w:rPr>
          <w:rFonts w:hint="eastAsia" w:asciiTheme="minorEastAsia" w:hAnsiTheme="minorEastAsia" w:eastAsiaTheme="minorEastAsia" w:cstheme="minorEastAsia"/>
          <w:b/>
          <w:bCs/>
          <w:color w:val="auto"/>
          <w:spacing w:val="-5"/>
          <w:sz w:val="21"/>
          <w:szCs w:val="21"/>
          <w:highlight w:val="none"/>
        </w:rPr>
        <w:t>7</w:t>
      </w:r>
      <w:r>
        <w:rPr>
          <w:rFonts w:hint="eastAsia" w:asciiTheme="minorEastAsia" w:hAnsiTheme="minorEastAsia" w:eastAsiaTheme="minorEastAsia" w:cstheme="minorEastAsia"/>
          <w:b/>
          <w:bCs/>
          <w:color w:val="auto"/>
          <w:spacing w:val="-28"/>
          <w:sz w:val="21"/>
          <w:szCs w:val="21"/>
          <w:highlight w:val="none"/>
        </w:rPr>
        <w:t xml:space="preserve"> </w:t>
      </w:r>
      <w:r>
        <w:rPr>
          <w:rFonts w:hint="eastAsia" w:asciiTheme="minorEastAsia" w:hAnsiTheme="minorEastAsia" w:eastAsiaTheme="minorEastAsia" w:cstheme="minorEastAsia"/>
          <w:b/>
          <w:bCs/>
          <w:color w:val="auto"/>
          <w:spacing w:val="-5"/>
          <w:sz w:val="21"/>
          <w:szCs w:val="21"/>
          <w:highlight w:val="none"/>
        </w:rPr>
        <w:t>．招标文件的提问和答疑</w:t>
      </w:r>
      <w:bookmarkEnd w:id="34"/>
      <w:bookmarkEnd w:id="35"/>
    </w:p>
    <w:p w14:paraId="4E45B880">
      <w:pPr>
        <w:spacing w:before="153" w:line="299" w:lineRule="auto"/>
        <w:ind w:left="9" w:right="16" w:firstLine="47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7.1  </w:t>
      </w:r>
      <w:r>
        <w:rPr>
          <w:rFonts w:hint="eastAsia" w:asciiTheme="minorEastAsia" w:hAnsiTheme="minorEastAsia" w:eastAsiaTheme="minorEastAsia" w:cstheme="minorEastAsia"/>
          <w:color w:val="auto"/>
          <w:sz w:val="21"/>
          <w:szCs w:val="21"/>
          <w:highlight w:val="none"/>
        </w:rPr>
        <w:t>投标人若对招标文件（含施工图、招标工程量清单）有疑问，应在提问截止</w:t>
      </w:r>
      <w:r>
        <w:rPr>
          <w:rFonts w:hint="eastAsia" w:asciiTheme="minorEastAsia" w:hAnsiTheme="minorEastAsia" w:eastAsiaTheme="minorEastAsia" w:cstheme="minorEastAsia"/>
          <w:color w:val="auto"/>
          <w:spacing w:val="-2"/>
          <w:sz w:val="21"/>
          <w:szCs w:val="21"/>
          <w:highlight w:val="none"/>
        </w:rPr>
        <w:t>时间（见本章第二节“重要事项时间地点一览表</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”）前使用建设工程交易</w:t>
      </w:r>
      <w:r>
        <w:rPr>
          <w:rFonts w:hint="eastAsia" w:asciiTheme="minorEastAsia" w:hAnsiTheme="minorEastAsia" w:eastAsiaTheme="minorEastAsia" w:cstheme="minorEastAsia"/>
          <w:color w:val="auto"/>
          <w:spacing w:val="-3"/>
          <w:sz w:val="21"/>
          <w:szCs w:val="21"/>
          <w:highlight w:val="none"/>
        </w:rPr>
        <w:t>系统提出问</w:t>
      </w:r>
      <w:r>
        <w:rPr>
          <w:rFonts w:hint="eastAsia" w:asciiTheme="minorEastAsia" w:hAnsiTheme="minorEastAsia" w:eastAsiaTheme="minorEastAsia" w:cstheme="minorEastAsia"/>
          <w:color w:val="auto"/>
          <w:spacing w:val="-1"/>
          <w:sz w:val="21"/>
          <w:szCs w:val="21"/>
          <w:highlight w:val="none"/>
        </w:rPr>
        <w:t>题。未在指定时间前、未采用指定方式提出的，招标人不予受理。</w:t>
      </w:r>
    </w:p>
    <w:p w14:paraId="3204F7D9">
      <w:pPr>
        <w:spacing w:before="154" w:line="309" w:lineRule="auto"/>
        <w:ind w:left="9" w:right="16" w:firstLine="55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7.2  </w:t>
      </w:r>
      <w:r>
        <w:rPr>
          <w:rFonts w:hint="eastAsia" w:asciiTheme="minorEastAsia" w:hAnsiTheme="minorEastAsia" w:eastAsiaTheme="minorEastAsia" w:cstheme="minorEastAsia"/>
          <w:color w:val="auto"/>
          <w:spacing w:val="-1"/>
          <w:sz w:val="21"/>
          <w:szCs w:val="21"/>
          <w:highlight w:val="none"/>
        </w:rPr>
        <w:t>招标人在提问截止时间（见本章第二节“重要</w:t>
      </w:r>
      <w:r>
        <w:rPr>
          <w:rFonts w:hint="eastAsia" w:asciiTheme="minorEastAsia" w:hAnsiTheme="minorEastAsia" w:eastAsiaTheme="minorEastAsia" w:cstheme="minorEastAsia"/>
          <w:color w:val="auto"/>
          <w:spacing w:val="-2"/>
          <w:sz w:val="21"/>
          <w:szCs w:val="21"/>
          <w:highlight w:val="none"/>
        </w:rPr>
        <w:t>事项时间地点一览表</w:t>
      </w:r>
      <w:r>
        <w:rPr>
          <w:rFonts w:hint="eastAsia" w:asciiTheme="minorEastAsia" w:hAnsiTheme="minorEastAsia" w:eastAsiaTheme="minorEastAsia" w:cstheme="minorEastAsia"/>
          <w:color w:val="auto"/>
          <w:spacing w:val="-89"/>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”）后</w:t>
      </w:r>
      <w:r>
        <w:rPr>
          <w:rFonts w:hint="eastAsia" w:asciiTheme="minorEastAsia" w:hAnsiTheme="minorEastAsia" w:eastAsiaTheme="minorEastAsia" w:cstheme="minorEastAsia"/>
          <w:color w:val="auto"/>
          <w:spacing w:val="-50"/>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3</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日内，一次性对收到的所有问题作出答复，并形成答疑（或修</w:t>
      </w:r>
      <w:r>
        <w:rPr>
          <w:rFonts w:hint="eastAsia" w:asciiTheme="minorEastAsia" w:hAnsiTheme="minorEastAsia" w:eastAsiaTheme="minorEastAsia" w:cstheme="minorEastAsia"/>
          <w:color w:val="auto"/>
          <w:spacing w:val="-2"/>
          <w:sz w:val="21"/>
          <w:szCs w:val="21"/>
          <w:highlight w:val="none"/>
        </w:rPr>
        <w:t>改）公告在发布招标公</w:t>
      </w:r>
      <w:r>
        <w:rPr>
          <w:rFonts w:hint="eastAsia" w:asciiTheme="minorEastAsia" w:hAnsiTheme="minorEastAsia" w:eastAsiaTheme="minorEastAsia" w:cstheme="minorEastAsia"/>
          <w:color w:val="auto"/>
          <w:spacing w:val="-1"/>
          <w:sz w:val="21"/>
          <w:szCs w:val="21"/>
          <w:highlight w:val="none"/>
        </w:rPr>
        <w:t>告的媒介上公开发布。答疑（或修改）公告一旦发布，即视所</w:t>
      </w:r>
      <w:r>
        <w:rPr>
          <w:rFonts w:hint="eastAsia" w:asciiTheme="minorEastAsia" w:hAnsiTheme="minorEastAsia" w:eastAsiaTheme="minorEastAsia" w:cstheme="minorEastAsia"/>
          <w:color w:val="auto"/>
          <w:spacing w:val="-2"/>
          <w:sz w:val="21"/>
          <w:szCs w:val="21"/>
          <w:highlight w:val="none"/>
        </w:rPr>
        <w:t>有潜在投标人已经知悉</w:t>
      </w:r>
      <w:r>
        <w:rPr>
          <w:rFonts w:hint="eastAsia" w:asciiTheme="minorEastAsia" w:hAnsiTheme="minorEastAsia" w:eastAsiaTheme="minorEastAsia" w:cstheme="minorEastAsia"/>
          <w:color w:val="auto"/>
          <w:spacing w:val="-1"/>
          <w:sz w:val="21"/>
          <w:szCs w:val="21"/>
          <w:highlight w:val="none"/>
        </w:rPr>
        <w:t>答疑（或修改）内容，投标人未及时关注而造成的损失和后果</w:t>
      </w:r>
      <w:r>
        <w:rPr>
          <w:rFonts w:hint="eastAsia" w:asciiTheme="minorEastAsia" w:hAnsiTheme="minorEastAsia" w:eastAsiaTheme="minorEastAsia" w:cstheme="minorEastAsia"/>
          <w:color w:val="auto"/>
          <w:spacing w:val="-2"/>
          <w:sz w:val="21"/>
          <w:szCs w:val="21"/>
          <w:highlight w:val="none"/>
        </w:rPr>
        <w:t>，由投标人自行承担。</w:t>
      </w:r>
    </w:p>
    <w:p w14:paraId="136936AE">
      <w:pPr>
        <w:spacing w:before="152" w:line="219" w:lineRule="auto"/>
        <w:ind w:firstLine="418"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7.3  </w:t>
      </w:r>
      <w:r>
        <w:rPr>
          <w:rFonts w:hint="eastAsia" w:asciiTheme="minorEastAsia" w:hAnsiTheme="minorEastAsia" w:eastAsiaTheme="minorEastAsia" w:cstheme="minorEastAsia"/>
          <w:color w:val="auto"/>
          <w:spacing w:val="-1"/>
          <w:sz w:val="21"/>
          <w:szCs w:val="21"/>
          <w:highlight w:val="none"/>
        </w:rPr>
        <w:t>招标人对招标文件所作的答疑（或修改）公告，构成</w:t>
      </w:r>
      <w:r>
        <w:rPr>
          <w:rFonts w:hint="eastAsia" w:asciiTheme="minorEastAsia" w:hAnsiTheme="minorEastAsia" w:eastAsiaTheme="minorEastAsia" w:cstheme="minorEastAsia"/>
          <w:color w:val="auto"/>
          <w:spacing w:val="-2"/>
          <w:sz w:val="21"/>
          <w:szCs w:val="21"/>
          <w:highlight w:val="none"/>
        </w:rPr>
        <w:t>招标文件的组成部分。</w:t>
      </w:r>
    </w:p>
    <w:p w14:paraId="4725051B">
      <w:pPr>
        <w:spacing w:before="79" w:line="219" w:lineRule="auto"/>
        <w:ind w:left="488"/>
        <w:outlineLvl w:val="2"/>
        <w:rPr>
          <w:rFonts w:hint="eastAsia" w:asciiTheme="minorEastAsia" w:hAnsiTheme="minorEastAsia" w:eastAsiaTheme="minorEastAsia" w:cstheme="minorEastAsia"/>
          <w:color w:val="auto"/>
          <w:sz w:val="21"/>
          <w:szCs w:val="21"/>
          <w:highlight w:val="none"/>
          <w:lang w:eastAsia="zh-CN"/>
        </w:rPr>
      </w:pPr>
      <w:bookmarkStart w:id="36" w:name="_Toc6897"/>
      <w:bookmarkStart w:id="37" w:name="_Toc23728"/>
      <w:r>
        <w:rPr>
          <w:rFonts w:hint="eastAsia" w:asciiTheme="minorEastAsia" w:hAnsiTheme="minorEastAsia" w:eastAsiaTheme="minorEastAsia" w:cstheme="minorEastAsia"/>
          <w:b/>
          <w:bCs/>
          <w:color w:val="auto"/>
          <w:spacing w:val="-5"/>
          <w:sz w:val="21"/>
          <w:szCs w:val="21"/>
          <w:highlight w:val="none"/>
        </w:rPr>
        <w:t>8</w:t>
      </w:r>
      <w:r>
        <w:rPr>
          <w:rFonts w:hint="eastAsia" w:asciiTheme="minorEastAsia" w:hAnsiTheme="minorEastAsia" w:eastAsiaTheme="minorEastAsia" w:cstheme="minorEastAsia"/>
          <w:b/>
          <w:bCs/>
          <w:color w:val="auto"/>
          <w:spacing w:val="-23"/>
          <w:sz w:val="21"/>
          <w:szCs w:val="21"/>
          <w:highlight w:val="none"/>
        </w:rPr>
        <w:t xml:space="preserve"> </w:t>
      </w:r>
      <w:r>
        <w:rPr>
          <w:rFonts w:hint="eastAsia" w:asciiTheme="minorEastAsia" w:hAnsiTheme="minorEastAsia" w:eastAsiaTheme="minorEastAsia" w:cstheme="minorEastAsia"/>
          <w:b/>
          <w:bCs/>
          <w:color w:val="auto"/>
          <w:spacing w:val="-5"/>
          <w:sz w:val="21"/>
          <w:szCs w:val="21"/>
          <w:highlight w:val="none"/>
        </w:rPr>
        <w:t>．</w:t>
      </w:r>
      <w:bookmarkEnd w:id="36"/>
      <w:bookmarkEnd w:id="37"/>
      <w:r>
        <w:rPr>
          <w:rFonts w:hint="eastAsia" w:asciiTheme="minorEastAsia" w:hAnsiTheme="minorEastAsia" w:eastAsiaTheme="minorEastAsia" w:cstheme="minorEastAsia"/>
          <w:b/>
          <w:bCs/>
          <w:color w:val="auto"/>
          <w:spacing w:val="-1"/>
          <w:sz w:val="21"/>
          <w:szCs w:val="21"/>
          <w:highlight w:val="none"/>
          <w:lang w:val="en-US" w:eastAsia="zh-CN"/>
        </w:rPr>
        <w:t>最高投标限价</w:t>
      </w:r>
    </w:p>
    <w:p w14:paraId="3E793ED3">
      <w:pPr>
        <w:spacing w:before="155" w:line="219" w:lineRule="auto"/>
        <w:ind w:left="48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8.1  </w:t>
      </w:r>
      <w:r>
        <w:rPr>
          <w:rFonts w:hint="eastAsia" w:asciiTheme="minorEastAsia" w:hAnsiTheme="minorEastAsia" w:eastAsiaTheme="minorEastAsia" w:cstheme="minorEastAsia"/>
          <w:color w:val="auto"/>
          <w:spacing w:val="-1"/>
          <w:sz w:val="21"/>
          <w:szCs w:val="21"/>
          <w:highlight w:val="none"/>
        </w:rPr>
        <w:t>本招标项目按照以下依据编制</w:t>
      </w:r>
      <w:r>
        <w:rPr>
          <w:rFonts w:hint="eastAsia" w:asciiTheme="minorEastAsia" w:hAnsiTheme="minorEastAsia" w:eastAsiaTheme="minorEastAsia" w:cstheme="minorEastAsia"/>
          <w:b/>
          <w:bCs/>
          <w:color w:val="auto"/>
          <w:spacing w:val="-1"/>
          <w:sz w:val="21"/>
          <w:szCs w:val="21"/>
          <w:highlight w:val="none"/>
          <w:lang w:val="en-US" w:eastAsia="zh-CN"/>
        </w:rPr>
        <w:t>最高投标限价</w:t>
      </w:r>
      <w:r>
        <w:rPr>
          <w:rFonts w:hint="eastAsia" w:asciiTheme="minorEastAsia" w:hAnsiTheme="minorEastAsia" w:eastAsiaTheme="minorEastAsia" w:cstheme="minorEastAsia"/>
          <w:color w:val="auto"/>
          <w:spacing w:val="-1"/>
          <w:sz w:val="21"/>
          <w:szCs w:val="21"/>
          <w:highlight w:val="none"/>
        </w:rPr>
        <w:t>：</w:t>
      </w:r>
    </w:p>
    <w:p w14:paraId="334F6B25">
      <w:pPr>
        <w:spacing w:before="157" w:line="219"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w:t>
      </w:r>
      <w:r>
        <w:rPr>
          <w:rFonts w:hint="eastAsia" w:asciiTheme="minorEastAsia" w:hAnsiTheme="minorEastAsia" w:eastAsiaTheme="minorEastAsia" w:cstheme="minorEastAsia"/>
          <w:color w:val="auto"/>
          <w:spacing w:val="-1"/>
          <w:sz w:val="21"/>
          <w:szCs w:val="21"/>
          <w:highlight w:val="none"/>
          <w:lang w:eastAsia="zh-CN"/>
        </w:rPr>
        <w:t>《建设工程工程量清单计价标准》（GB/T50500-2024）</w:t>
      </w:r>
      <w:r>
        <w:rPr>
          <w:rFonts w:hint="eastAsia" w:asciiTheme="minorEastAsia" w:hAnsiTheme="minorEastAsia" w:eastAsiaTheme="minorEastAsia" w:cstheme="minorEastAsia"/>
          <w:color w:val="auto"/>
          <w:spacing w:val="-1"/>
          <w:sz w:val="21"/>
          <w:szCs w:val="21"/>
          <w:highlight w:val="none"/>
        </w:rPr>
        <w:t>；</w:t>
      </w:r>
    </w:p>
    <w:p w14:paraId="3720D240">
      <w:pPr>
        <w:spacing w:before="153" w:line="309" w:lineRule="auto"/>
        <w:ind w:left="9" w:right="16" w:firstLine="49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（2）《广东省建设工程计价依据（2018）》。具体</w:t>
      </w:r>
      <w:r>
        <w:rPr>
          <w:rFonts w:hint="eastAsia" w:asciiTheme="minorEastAsia" w:hAnsiTheme="minorEastAsia" w:eastAsiaTheme="minorEastAsia" w:cstheme="minorEastAsia"/>
          <w:color w:val="auto"/>
          <w:spacing w:val="1"/>
          <w:sz w:val="21"/>
          <w:szCs w:val="21"/>
          <w:highlight w:val="none"/>
        </w:rPr>
        <w:t>包括：《广东省房屋建筑与</w:t>
      </w:r>
      <w:r>
        <w:rPr>
          <w:rFonts w:hint="eastAsia" w:asciiTheme="minorEastAsia" w:hAnsiTheme="minorEastAsia" w:eastAsiaTheme="minorEastAsia" w:cstheme="minorEastAsia"/>
          <w:color w:val="auto"/>
          <w:spacing w:val="-1"/>
          <w:sz w:val="21"/>
          <w:szCs w:val="21"/>
          <w:highlight w:val="none"/>
        </w:rPr>
        <w:t>装饰工程综合定额（2018）》《广东省市政工程综合定额（2018）》《</w:t>
      </w:r>
      <w:r>
        <w:rPr>
          <w:rFonts w:hint="eastAsia" w:asciiTheme="minorEastAsia" w:hAnsiTheme="minorEastAsia" w:eastAsiaTheme="minorEastAsia" w:cstheme="minorEastAsia"/>
          <w:color w:val="auto"/>
          <w:spacing w:val="-2"/>
          <w:sz w:val="21"/>
          <w:szCs w:val="21"/>
          <w:highlight w:val="none"/>
        </w:rPr>
        <w:t>广东省通用安</w:t>
      </w:r>
      <w:r>
        <w:rPr>
          <w:rFonts w:hint="eastAsia" w:asciiTheme="minorEastAsia" w:hAnsiTheme="minorEastAsia" w:eastAsiaTheme="minorEastAsia" w:cstheme="minorEastAsia"/>
          <w:color w:val="auto"/>
          <w:spacing w:val="-1"/>
          <w:sz w:val="21"/>
          <w:szCs w:val="21"/>
          <w:highlight w:val="none"/>
        </w:rPr>
        <w:t>装工程综合定额（2018）》《广东省园林绿化工程综合定额（2018）》</w:t>
      </w:r>
      <w:r>
        <w:rPr>
          <w:rFonts w:hint="eastAsia" w:asciiTheme="minorEastAsia" w:hAnsiTheme="minorEastAsia" w:eastAsiaTheme="minorEastAsia" w:cstheme="minorEastAsia"/>
          <w:color w:val="auto"/>
          <w:spacing w:val="-2"/>
          <w:sz w:val="21"/>
          <w:szCs w:val="21"/>
          <w:highlight w:val="none"/>
        </w:rPr>
        <w:t>《广东省建设</w:t>
      </w:r>
      <w:r>
        <w:rPr>
          <w:rFonts w:hint="eastAsia" w:asciiTheme="minorEastAsia" w:hAnsiTheme="minorEastAsia" w:eastAsiaTheme="minorEastAsia" w:cstheme="minorEastAsia"/>
          <w:color w:val="auto"/>
          <w:spacing w:val="-1"/>
          <w:sz w:val="21"/>
          <w:szCs w:val="21"/>
          <w:highlight w:val="none"/>
        </w:rPr>
        <w:t>工程施工机具台班费用编制规则（2018）》等；</w:t>
      </w:r>
    </w:p>
    <w:p w14:paraId="7EE19701">
      <w:pPr>
        <w:spacing w:before="154" w:line="221"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（3）施工图及相关资料；</w:t>
      </w:r>
    </w:p>
    <w:p w14:paraId="70E3F277">
      <w:pPr>
        <w:spacing w:before="78" w:line="220" w:lineRule="auto"/>
        <w:ind w:left="502"/>
        <w:rPr>
          <w:rFonts w:hint="eastAsia" w:asciiTheme="minorEastAsia" w:hAnsiTheme="minorEastAsia" w:eastAsiaTheme="minorEastAsia" w:cstheme="minorEastAsia"/>
          <w:color w:val="auto"/>
          <w:sz w:val="21"/>
          <w:szCs w:val="21"/>
          <w:highlight w:val="none"/>
        </w:rPr>
      </w:pPr>
      <w:bookmarkStart w:id="38" w:name="bookmark119"/>
      <w:bookmarkEnd w:id="38"/>
      <w:r>
        <w:rPr>
          <w:rFonts w:hint="eastAsia" w:asciiTheme="minorEastAsia" w:hAnsiTheme="minorEastAsia" w:eastAsiaTheme="minorEastAsia" w:cstheme="minorEastAsia"/>
          <w:color w:val="auto"/>
          <w:spacing w:val="-2"/>
          <w:sz w:val="21"/>
          <w:szCs w:val="21"/>
          <w:highlight w:val="none"/>
        </w:rPr>
        <w:t>（4）招标文件及招标工程量清单；</w:t>
      </w:r>
    </w:p>
    <w:p w14:paraId="13195EB8">
      <w:pPr>
        <w:spacing w:before="155" w:line="220" w:lineRule="auto"/>
        <w:ind w:left="50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（5）施工现场情况、工程特点及常规施工方案；</w:t>
      </w:r>
    </w:p>
    <w:p w14:paraId="327F5835">
      <w:pPr>
        <w:spacing w:before="153" w:line="278" w:lineRule="auto"/>
        <w:ind w:left="12" w:right="136" w:firstLine="48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（6）项目所在地工程造价管理机构发布的工程造价信息，工程造</w:t>
      </w:r>
      <w:r>
        <w:rPr>
          <w:rFonts w:hint="eastAsia" w:asciiTheme="minorEastAsia" w:hAnsiTheme="minorEastAsia" w:eastAsiaTheme="minorEastAsia" w:cstheme="minorEastAsia"/>
          <w:color w:val="auto"/>
          <w:spacing w:val="-4"/>
          <w:sz w:val="21"/>
          <w:szCs w:val="21"/>
          <w:highlight w:val="none"/>
        </w:rPr>
        <w:t>价信息缺项的，</w:t>
      </w:r>
      <w:r>
        <w:rPr>
          <w:rFonts w:hint="eastAsia" w:asciiTheme="minorEastAsia" w:hAnsiTheme="minorEastAsia" w:eastAsiaTheme="minorEastAsia" w:cstheme="minorEastAsia"/>
          <w:color w:val="auto"/>
          <w:spacing w:val="-2"/>
          <w:sz w:val="21"/>
          <w:szCs w:val="21"/>
          <w:highlight w:val="none"/>
        </w:rPr>
        <w:t>参照市场价格；</w:t>
      </w:r>
    </w:p>
    <w:p w14:paraId="3B7AF087">
      <w:pPr>
        <w:spacing w:before="157" w:line="220" w:lineRule="auto"/>
        <w:ind w:left="50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（7）与建设项目相关的标准、规范、技术资料。</w:t>
      </w:r>
    </w:p>
    <w:p w14:paraId="63C4F7DF">
      <w:pPr>
        <w:spacing w:before="79" w:line="333" w:lineRule="auto"/>
        <w:ind w:left="11" w:firstLine="479"/>
        <w:jc w:val="both"/>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8.2</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b/>
          <w:bCs/>
          <w:color w:val="auto"/>
          <w:sz w:val="21"/>
          <w:szCs w:val="21"/>
          <w:highlight w:val="none"/>
          <w:lang w:eastAsia="zh-CN"/>
        </w:rPr>
        <w:t>本</w:t>
      </w:r>
      <w:r>
        <w:rPr>
          <w:rFonts w:hint="eastAsia" w:asciiTheme="minorEastAsia" w:hAnsiTheme="minorEastAsia" w:eastAsiaTheme="minorEastAsia" w:cstheme="minorEastAsia"/>
          <w:b/>
          <w:bCs/>
          <w:color w:val="auto"/>
          <w:sz w:val="21"/>
          <w:szCs w:val="21"/>
          <w:highlight w:val="none"/>
          <w:lang w:val="en-US" w:eastAsia="zh-CN"/>
        </w:rPr>
        <w:t>招标项目的最高投标限价、工程量清单、施工图在开标前15天另行发布于全国公共资源交易平台（广东省·韶关市）（https://ygp.gdzwfw.gov.cn/ggzy-portal/#/440200/index）、广东省招标投标监管网（https://www.gdzwfw.gov.cn/ztbjg-portal/#/index）网站，各投标人可在网站上自行下载。</w:t>
      </w:r>
    </w:p>
    <w:p w14:paraId="02C1F223">
      <w:pPr>
        <w:spacing w:before="79" w:line="333" w:lineRule="auto"/>
        <w:ind w:firstLine="422"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8.</w:t>
      </w:r>
      <w:r>
        <w:rPr>
          <w:rFonts w:hint="eastAsia" w:asciiTheme="minorEastAsia" w:hAnsiTheme="minorEastAsia" w:eastAsiaTheme="minorEastAsia" w:cstheme="minorEastAsia"/>
          <w:b/>
          <w:bCs/>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暂估价指招标工程量清单中提供的用于支付必然发生但暂时不能确定价格的</w:t>
      </w:r>
      <w:r>
        <w:rPr>
          <w:rFonts w:hint="eastAsia" w:asciiTheme="minorEastAsia" w:hAnsiTheme="minorEastAsia" w:eastAsiaTheme="minorEastAsia" w:cstheme="minorEastAsia"/>
          <w:color w:val="auto"/>
          <w:spacing w:val="-1"/>
          <w:sz w:val="21"/>
          <w:szCs w:val="21"/>
          <w:highlight w:val="none"/>
        </w:rPr>
        <w:t>材料、工程设备的单价以及专业工程的金额；暂列金额指招标</w:t>
      </w:r>
      <w:r>
        <w:rPr>
          <w:rFonts w:hint="eastAsia" w:asciiTheme="minorEastAsia" w:hAnsiTheme="minorEastAsia" w:eastAsiaTheme="minorEastAsia" w:cstheme="minorEastAsia"/>
          <w:color w:val="auto"/>
          <w:spacing w:val="-2"/>
          <w:sz w:val="21"/>
          <w:szCs w:val="21"/>
          <w:highlight w:val="none"/>
        </w:rPr>
        <w:t>工程量清单中暂定并包括在合同价款中的一笔款项，用于工程合同签订时尚未确定或</w:t>
      </w:r>
      <w:r>
        <w:rPr>
          <w:rFonts w:hint="eastAsia" w:asciiTheme="minorEastAsia" w:hAnsiTheme="minorEastAsia" w:eastAsiaTheme="minorEastAsia" w:cstheme="minorEastAsia"/>
          <w:color w:val="auto"/>
          <w:spacing w:val="-3"/>
          <w:sz w:val="21"/>
          <w:szCs w:val="21"/>
          <w:highlight w:val="none"/>
        </w:rPr>
        <w:t>者不可预见的所需材料、</w:t>
      </w:r>
      <w:r>
        <w:rPr>
          <w:rFonts w:hint="eastAsia" w:asciiTheme="minorEastAsia" w:hAnsiTheme="minorEastAsia" w:eastAsiaTheme="minorEastAsia" w:cstheme="minorEastAsia"/>
          <w:color w:val="auto"/>
          <w:spacing w:val="-1"/>
          <w:sz w:val="21"/>
          <w:szCs w:val="21"/>
          <w:highlight w:val="none"/>
        </w:rPr>
        <w:t>工程设备、服务的采购，施工中可能发生的工程变更、合同约</w:t>
      </w:r>
      <w:r>
        <w:rPr>
          <w:rFonts w:hint="eastAsia" w:asciiTheme="minorEastAsia" w:hAnsiTheme="minorEastAsia" w:eastAsiaTheme="minorEastAsia" w:cstheme="minorEastAsia"/>
          <w:color w:val="auto"/>
          <w:spacing w:val="-2"/>
          <w:sz w:val="21"/>
          <w:szCs w:val="21"/>
          <w:highlight w:val="none"/>
        </w:rPr>
        <w:t>定调整因素出现时的合</w:t>
      </w:r>
      <w:r>
        <w:rPr>
          <w:rFonts w:hint="eastAsia" w:asciiTheme="minorEastAsia" w:hAnsiTheme="minorEastAsia" w:eastAsiaTheme="minorEastAsia" w:cstheme="minorEastAsia"/>
          <w:color w:val="auto"/>
          <w:spacing w:val="-1"/>
          <w:sz w:val="21"/>
          <w:szCs w:val="21"/>
          <w:highlight w:val="none"/>
        </w:rPr>
        <w:t>同价款调整以及发生的索赔、现场签证确认等的费用。</w:t>
      </w:r>
    </w:p>
    <w:p w14:paraId="010AF698">
      <w:pPr>
        <w:spacing w:before="36" w:line="278" w:lineRule="auto"/>
        <w:ind w:left="10" w:right="200"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8.</w:t>
      </w:r>
      <w:r>
        <w:rPr>
          <w:rFonts w:hint="eastAsia" w:asciiTheme="minorEastAsia" w:hAnsiTheme="minorEastAsia" w:eastAsiaTheme="minorEastAsia" w:cstheme="minorEastAsia"/>
          <w:b/>
          <w:bCs/>
          <w:color w:val="auto"/>
          <w:sz w:val="21"/>
          <w:szCs w:val="21"/>
          <w:highlight w:val="none"/>
          <w:lang w:eastAsia="zh-CN"/>
        </w:rPr>
        <w:t>4</w:t>
      </w:r>
      <w:r>
        <w:rPr>
          <w:rFonts w:hint="eastAsia" w:asciiTheme="minorEastAsia" w:hAnsiTheme="minorEastAsia" w:eastAsiaTheme="minorEastAsia" w:cstheme="minorEastAsia"/>
          <w:b/>
          <w:bCs/>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rPr>
        <w:t>本招标项目以暂估价形式列入招标工程量清单中的材料、工程设备、专业工</w:t>
      </w:r>
      <w:r>
        <w:rPr>
          <w:rFonts w:hint="eastAsia" w:asciiTheme="minorEastAsia" w:hAnsiTheme="minorEastAsia" w:eastAsiaTheme="minorEastAsia" w:cstheme="minorEastAsia"/>
          <w:color w:val="auto"/>
          <w:spacing w:val="-2"/>
          <w:sz w:val="21"/>
          <w:szCs w:val="21"/>
          <w:highlight w:val="none"/>
        </w:rPr>
        <w:t>程（以下统称“暂估价项目</w:t>
      </w:r>
      <w:r>
        <w:rPr>
          <w:rFonts w:hint="eastAsia" w:asciiTheme="minorEastAsia" w:hAnsiTheme="minorEastAsia" w:eastAsiaTheme="minorEastAsia" w:cstheme="minorEastAsia"/>
          <w:color w:val="auto"/>
          <w:spacing w:val="-80"/>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”）包括：</w:t>
      </w:r>
      <w:r>
        <w:rPr>
          <w:rFonts w:hint="eastAsia" w:asciiTheme="minorEastAsia" w:hAnsiTheme="minorEastAsia" w:eastAsiaTheme="minorEastAsia" w:cstheme="minorEastAsia"/>
          <w:color w:val="auto"/>
          <w:sz w:val="21"/>
          <w:szCs w:val="21"/>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4CC2F2AC">
      <w:pPr>
        <w:spacing w:before="154" w:line="280" w:lineRule="auto"/>
        <w:ind w:left="12" w:right="200" w:firstLine="4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8.</w:t>
      </w:r>
      <w:r>
        <w:rPr>
          <w:rFonts w:hint="eastAsia" w:asciiTheme="minorEastAsia" w:hAnsiTheme="minorEastAsia" w:eastAsiaTheme="minorEastAsia" w:cstheme="minorEastAsia"/>
          <w:b/>
          <w:bCs/>
          <w:color w:val="auto"/>
          <w:sz w:val="21"/>
          <w:szCs w:val="21"/>
          <w:highlight w:val="none"/>
          <w:lang w:eastAsia="zh-CN"/>
        </w:rPr>
        <w:t>5</w:t>
      </w:r>
      <w:r>
        <w:rPr>
          <w:rFonts w:hint="eastAsia" w:asciiTheme="minorEastAsia" w:hAnsiTheme="minorEastAsia" w:eastAsiaTheme="minorEastAsia" w:cstheme="minorEastAsia"/>
          <w:b/>
          <w:bCs/>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rPr>
        <w:t>当暂估价项目的内容、标准、要求在项目实施过程中得以深化、明确、固定</w:t>
      </w:r>
      <w:r>
        <w:rPr>
          <w:rFonts w:hint="eastAsia" w:asciiTheme="minorEastAsia" w:hAnsiTheme="minorEastAsia" w:eastAsiaTheme="minorEastAsia" w:cstheme="minorEastAsia"/>
          <w:color w:val="auto"/>
          <w:spacing w:val="-2"/>
          <w:sz w:val="21"/>
          <w:szCs w:val="21"/>
          <w:highlight w:val="none"/>
        </w:rPr>
        <w:t>后，按以下原则发包：</w:t>
      </w:r>
    </w:p>
    <w:p w14:paraId="71CA269F">
      <w:pPr>
        <w:spacing w:before="153" w:line="219" w:lineRule="auto"/>
        <w:ind w:left="-3" w:leftChars="0" w:firstLine="428"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（1）暂估价项目按工程、货物（指材料或工程设备，下同）的类别分类汇总的金额，达到必须</w:t>
      </w:r>
      <w:r>
        <w:rPr>
          <w:rFonts w:hint="eastAsia" w:asciiTheme="minorEastAsia" w:hAnsiTheme="minorEastAsia" w:eastAsiaTheme="minorEastAsia" w:cstheme="minorEastAsia"/>
          <w:color w:val="auto"/>
          <w:spacing w:val="-3"/>
          <w:sz w:val="21"/>
          <w:szCs w:val="21"/>
          <w:highlight w:val="none"/>
        </w:rPr>
        <w:t>招标规模标准的，由</w:t>
      </w:r>
      <w:r>
        <w:rPr>
          <w:rFonts w:hint="eastAsia" w:asciiTheme="minorEastAsia" w:hAnsiTheme="minorEastAsia" w:eastAsiaTheme="minorEastAsia" w:cstheme="minorEastAsia"/>
          <w:bCs/>
          <w:color w:val="auto"/>
          <w:spacing w:val="-1"/>
          <w:sz w:val="21"/>
          <w:szCs w:val="21"/>
          <w:highlight w:val="none"/>
          <w:u w:val="single"/>
        </w:rPr>
        <w:t xml:space="preserve">中标人招标，招标人参与管理 </w:t>
      </w:r>
      <w:r>
        <w:rPr>
          <w:rFonts w:hint="eastAsia" w:asciiTheme="minorEastAsia" w:hAnsiTheme="minorEastAsia" w:eastAsiaTheme="minorEastAsia" w:cstheme="minorEastAsia"/>
          <w:bCs/>
          <w:color w:val="auto"/>
          <w:spacing w:val="-1"/>
          <w:sz w:val="21"/>
          <w:szCs w:val="21"/>
          <w:highlight w:val="none"/>
        </w:rPr>
        <w:t>，</w:t>
      </w:r>
      <w:r>
        <w:rPr>
          <w:rFonts w:hint="eastAsia" w:asciiTheme="minorEastAsia" w:hAnsiTheme="minorEastAsia" w:eastAsiaTheme="minorEastAsia" w:cstheme="minorEastAsia"/>
          <w:color w:val="auto"/>
          <w:spacing w:val="-1"/>
          <w:sz w:val="21"/>
          <w:szCs w:val="21"/>
          <w:highlight w:val="none"/>
        </w:rPr>
        <w:t>确定专业工程承包人（或材料、工程</w:t>
      </w:r>
      <w:r>
        <w:rPr>
          <w:rFonts w:hint="eastAsia" w:asciiTheme="minorEastAsia" w:hAnsiTheme="minorEastAsia" w:eastAsiaTheme="minorEastAsia" w:cstheme="minorEastAsia"/>
          <w:color w:val="auto"/>
          <w:spacing w:val="1"/>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设备供应商）和合同价格。</w:t>
      </w:r>
    </w:p>
    <w:p w14:paraId="5E0AA01E">
      <w:pPr>
        <w:spacing w:before="30" w:line="299" w:lineRule="auto"/>
        <w:ind w:left="11" w:right="65" w:firstLine="48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（2）暂估价项目按工程、货物的类别分类汇总的金额，未</w:t>
      </w:r>
      <w:r>
        <w:rPr>
          <w:rFonts w:hint="eastAsia" w:asciiTheme="minorEastAsia" w:hAnsiTheme="minorEastAsia" w:eastAsiaTheme="minorEastAsia" w:cstheme="minorEastAsia"/>
          <w:color w:val="auto"/>
          <w:spacing w:val="1"/>
          <w:sz w:val="21"/>
          <w:szCs w:val="21"/>
          <w:highlight w:val="none"/>
        </w:rPr>
        <w:t>达到必须招标规模标</w:t>
      </w:r>
      <w:r>
        <w:rPr>
          <w:rFonts w:hint="eastAsia" w:asciiTheme="minorEastAsia" w:hAnsiTheme="minorEastAsia" w:eastAsiaTheme="minorEastAsia" w:cstheme="minorEastAsia"/>
          <w:color w:val="auto"/>
          <w:spacing w:val="-1"/>
          <w:sz w:val="21"/>
          <w:szCs w:val="21"/>
          <w:highlight w:val="none"/>
        </w:rPr>
        <w:t>准但适用政府采购规定的，按照政府采购规定确定专业工</w:t>
      </w:r>
      <w:r>
        <w:rPr>
          <w:rFonts w:hint="eastAsia" w:asciiTheme="minorEastAsia" w:hAnsiTheme="minorEastAsia" w:eastAsiaTheme="minorEastAsia" w:cstheme="minorEastAsia"/>
          <w:color w:val="auto"/>
          <w:spacing w:val="-2"/>
          <w:sz w:val="21"/>
          <w:szCs w:val="21"/>
          <w:highlight w:val="none"/>
        </w:rPr>
        <w:t>程承包人（或材料、工程设备供应商）和合同价格。</w:t>
      </w:r>
    </w:p>
    <w:p w14:paraId="4262B90A">
      <w:pPr>
        <w:spacing w:before="154" w:line="309" w:lineRule="auto"/>
        <w:ind w:left="11" w:right="65" w:firstLine="48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（3）暂估价项目按工程、货物的类别分类汇总的金额，未</w:t>
      </w:r>
      <w:r>
        <w:rPr>
          <w:rFonts w:hint="eastAsia" w:asciiTheme="minorEastAsia" w:hAnsiTheme="minorEastAsia" w:eastAsiaTheme="minorEastAsia" w:cstheme="minorEastAsia"/>
          <w:color w:val="auto"/>
          <w:spacing w:val="1"/>
          <w:sz w:val="21"/>
          <w:szCs w:val="21"/>
          <w:highlight w:val="none"/>
        </w:rPr>
        <w:t>达到必须招标规模标</w:t>
      </w:r>
      <w:r>
        <w:rPr>
          <w:rFonts w:hint="eastAsia" w:asciiTheme="minorEastAsia" w:hAnsiTheme="minorEastAsia" w:eastAsiaTheme="minorEastAsia" w:cstheme="minorEastAsia"/>
          <w:color w:val="auto"/>
          <w:spacing w:val="-1"/>
          <w:sz w:val="21"/>
          <w:szCs w:val="21"/>
          <w:highlight w:val="none"/>
        </w:rPr>
        <w:t>准也不适用政府采购规定，中标人具备相应资格条件的，</w:t>
      </w:r>
      <w:r>
        <w:rPr>
          <w:rFonts w:hint="eastAsia" w:asciiTheme="minorEastAsia" w:hAnsiTheme="minorEastAsia" w:eastAsiaTheme="minorEastAsia" w:cstheme="minorEastAsia"/>
          <w:color w:val="auto"/>
          <w:spacing w:val="-2"/>
          <w:sz w:val="21"/>
          <w:szCs w:val="21"/>
          <w:highlight w:val="none"/>
        </w:rPr>
        <w:t>由中标人承包；中标人不具</w:t>
      </w:r>
      <w:r>
        <w:rPr>
          <w:rFonts w:hint="eastAsia" w:asciiTheme="minorEastAsia" w:hAnsiTheme="minorEastAsia" w:eastAsiaTheme="minorEastAsia" w:cstheme="minorEastAsia"/>
          <w:color w:val="auto"/>
          <w:spacing w:val="-1"/>
          <w:sz w:val="21"/>
          <w:szCs w:val="21"/>
          <w:highlight w:val="none"/>
        </w:rPr>
        <w:t>备相应资格条件但具备分包权的，由中标人分包，招标人</w:t>
      </w:r>
      <w:r>
        <w:rPr>
          <w:rFonts w:hint="eastAsia" w:asciiTheme="minorEastAsia" w:hAnsiTheme="minorEastAsia" w:eastAsiaTheme="minorEastAsia" w:cstheme="minorEastAsia"/>
          <w:color w:val="auto"/>
          <w:spacing w:val="-2"/>
          <w:sz w:val="21"/>
          <w:szCs w:val="21"/>
          <w:highlight w:val="none"/>
        </w:rPr>
        <w:t>同中标人结算原则按本招标</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文件相关条款执行。</w:t>
      </w:r>
    </w:p>
    <w:p w14:paraId="49D7FC70">
      <w:pPr>
        <w:spacing w:before="154" w:line="299" w:lineRule="auto"/>
        <w:ind w:left="11" w:right="65" w:firstLine="48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（4）暂估价项目按工程、货物的类别分类汇总的金额，未</w:t>
      </w:r>
      <w:r>
        <w:rPr>
          <w:rFonts w:hint="eastAsia" w:asciiTheme="minorEastAsia" w:hAnsiTheme="minorEastAsia" w:eastAsiaTheme="minorEastAsia" w:cstheme="minorEastAsia"/>
          <w:color w:val="auto"/>
          <w:spacing w:val="1"/>
          <w:sz w:val="21"/>
          <w:szCs w:val="21"/>
          <w:highlight w:val="none"/>
        </w:rPr>
        <w:t>达到必须招标规模标</w:t>
      </w:r>
      <w:r>
        <w:rPr>
          <w:rFonts w:hint="eastAsia" w:asciiTheme="minorEastAsia" w:hAnsiTheme="minorEastAsia" w:eastAsiaTheme="minorEastAsia" w:cstheme="minorEastAsia"/>
          <w:color w:val="auto"/>
          <w:spacing w:val="-1"/>
          <w:sz w:val="21"/>
          <w:szCs w:val="21"/>
          <w:highlight w:val="none"/>
        </w:rPr>
        <w:t>准也不适用政府采购规定，中标人既不具备相应资格条件</w:t>
      </w:r>
      <w:r>
        <w:rPr>
          <w:rFonts w:hint="eastAsia" w:asciiTheme="minorEastAsia" w:hAnsiTheme="minorEastAsia" w:eastAsiaTheme="minorEastAsia" w:cstheme="minorEastAsia"/>
          <w:color w:val="auto"/>
          <w:spacing w:val="-2"/>
          <w:sz w:val="21"/>
          <w:szCs w:val="21"/>
          <w:highlight w:val="none"/>
        </w:rPr>
        <w:t>又不具备分包权的，由招标人另行发包。</w:t>
      </w:r>
    </w:p>
    <w:p w14:paraId="5A7E362B">
      <w:pPr>
        <w:spacing w:before="155" w:line="279" w:lineRule="auto"/>
        <w:ind w:left="9" w:right="66" w:firstLine="49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（5）暂估价项目由其他承包人承包的，纳入中标人的管理</w:t>
      </w:r>
      <w:r>
        <w:rPr>
          <w:rFonts w:hint="eastAsia" w:asciiTheme="minorEastAsia" w:hAnsiTheme="minorEastAsia" w:eastAsiaTheme="minorEastAsia" w:cstheme="minorEastAsia"/>
          <w:color w:val="auto"/>
          <w:spacing w:val="1"/>
          <w:sz w:val="21"/>
          <w:szCs w:val="21"/>
          <w:highlight w:val="none"/>
        </w:rPr>
        <w:t>和协调范围，由其他</w:t>
      </w:r>
      <w:r>
        <w:rPr>
          <w:rFonts w:hint="eastAsia" w:asciiTheme="minorEastAsia" w:hAnsiTheme="minorEastAsia" w:eastAsiaTheme="minorEastAsia" w:cstheme="minorEastAsia"/>
          <w:color w:val="auto"/>
          <w:spacing w:val="-1"/>
          <w:sz w:val="21"/>
          <w:szCs w:val="21"/>
          <w:highlight w:val="none"/>
        </w:rPr>
        <w:t>承包人向中标人承担质量、安全、文明施工、工期责任，中标</w:t>
      </w:r>
      <w:r>
        <w:rPr>
          <w:rFonts w:hint="eastAsia" w:asciiTheme="minorEastAsia" w:hAnsiTheme="minorEastAsia" w:eastAsiaTheme="minorEastAsia" w:cstheme="minorEastAsia"/>
          <w:color w:val="auto"/>
          <w:spacing w:val="-2"/>
          <w:sz w:val="21"/>
          <w:szCs w:val="21"/>
          <w:highlight w:val="none"/>
        </w:rPr>
        <w:t>人向招标人承担责任。</w:t>
      </w:r>
    </w:p>
    <w:p w14:paraId="69CAEB7B">
      <w:pPr>
        <w:spacing w:before="155" w:line="333" w:lineRule="auto"/>
        <w:ind w:left="10" w:right="65" w:firstLine="478"/>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8</w:t>
      </w:r>
      <w:r>
        <w:rPr>
          <w:rFonts w:hint="eastAsia" w:asciiTheme="minorEastAsia" w:hAnsiTheme="minorEastAsia" w:eastAsiaTheme="minorEastAsia" w:cstheme="minorEastAsia"/>
          <w:b/>
          <w:bCs/>
          <w:color w:val="auto"/>
          <w:sz w:val="21"/>
          <w:szCs w:val="21"/>
          <w:highlight w:val="none"/>
          <w:lang w:val="en-US" w:eastAsia="zh-CN"/>
        </w:rPr>
        <w:t>.6</w:t>
      </w:r>
      <w:r>
        <w:rPr>
          <w:rFonts w:hint="eastAsia" w:asciiTheme="minorEastAsia" w:hAnsiTheme="minorEastAsia" w:eastAsiaTheme="minorEastAsia" w:cstheme="minorEastAsia"/>
          <w:b/>
          <w:bCs/>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rPr>
        <w:t>本招标项目以暂列金额形式列入招标工程量清单中的所需货物和服务的采购</w:t>
      </w:r>
      <w:r>
        <w:rPr>
          <w:rFonts w:hint="eastAsia" w:asciiTheme="minorEastAsia" w:hAnsiTheme="minorEastAsia" w:eastAsiaTheme="minorEastAsia" w:cstheme="minorEastAsia"/>
          <w:color w:val="auto"/>
          <w:spacing w:val="-1"/>
          <w:sz w:val="21"/>
          <w:szCs w:val="21"/>
          <w:highlight w:val="none"/>
        </w:rPr>
        <w:t>（以下统称“暂列金额项目</w:t>
      </w:r>
      <w:r>
        <w:rPr>
          <w:rFonts w:hint="eastAsia" w:asciiTheme="minorEastAsia" w:hAnsiTheme="minorEastAsia" w:eastAsiaTheme="minorEastAsia" w:cstheme="minorEastAsia"/>
          <w:color w:val="auto"/>
          <w:spacing w:val="-77"/>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”）若有发生，按照本节第</w:t>
      </w:r>
      <w:r>
        <w:rPr>
          <w:rFonts w:hint="eastAsia" w:asciiTheme="minorEastAsia" w:hAnsiTheme="minorEastAsia" w:eastAsiaTheme="minorEastAsia" w:cstheme="minorEastAsia"/>
          <w:color w:val="auto"/>
          <w:spacing w:val="-52"/>
          <w:sz w:val="21"/>
          <w:szCs w:val="21"/>
          <w:highlight w:val="none"/>
        </w:rPr>
        <w:t xml:space="preserve"> </w:t>
      </w:r>
      <w:r>
        <w:rPr>
          <w:rFonts w:hint="eastAsia" w:asciiTheme="minorEastAsia" w:hAnsiTheme="minorEastAsia" w:eastAsiaTheme="minorEastAsia" w:cstheme="minorEastAsia"/>
          <w:b/>
          <w:bCs/>
          <w:color w:val="auto"/>
          <w:spacing w:val="-1"/>
          <w:sz w:val="21"/>
          <w:szCs w:val="21"/>
          <w:highlight w:val="none"/>
        </w:rPr>
        <w:t xml:space="preserve">8.5 </w:t>
      </w:r>
      <w:r>
        <w:rPr>
          <w:rFonts w:hint="eastAsia" w:asciiTheme="minorEastAsia" w:hAnsiTheme="minorEastAsia" w:eastAsiaTheme="minorEastAsia" w:cstheme="minorEastAsia"/>
          <w:color w:val="auto"/>
          <w:spacing w:val="-1"/>
          <w:sz w:val="21"/>
          <w:szCs w:val="21"/>
          <w:highlight w:val="none"/>
        </w:rPr>
        <w:t>条的规定确定货物（或服务）供应商和合同价格。暂列金额项目由其他承包人承包的</w:t>
      </w:r>
      <w:r>
        <w:rPr>
          <w:rFonts w:hint="eastAsia" w:asciiTheme="minorEastAsia" w:hAnsiTheme="minorEastAsia" w:eastAsiaTheme="minorEastAsia" w:cstheme="minorEastAsia"/>
          <w:color w:val="auto"/>
          <w:spacing w:val="-2"/>
          <w:sz w:val="21"/>
          <w:szCs w:val="21"/>
          <w:highlight w:val="none"/>
        </w:rPr>
        <w:t>，纳入中标人的管理和协</w:t>
      </w:r>
      <w:r>
        <w:rPr>
          <w:rFonts w:hint="eastAsia" w:asciiTheme="minorEastAsia" w:hAnsiTheme="minorEastAsia" w:eastAsiaTheme="minorEastAsia" w:cstheme="minorEastAsia"/>
          <w:color w:val="auto"/>
          <w:spacing w:val="-1"/>
          <w:sz w:val="21"/>
          <w:szCs w:val="21"/>
          <w:highlight w:val="none"/>
        </w:rPr>
        <w:t>调范围</w:t>
      </w:r>
      <w:r>
        <w:rPr>
          <w:rFonts w:hint="eastAsia" w:asciiTheme="minorEastAsia" w:hAnsiTheme="minorEastAsia" w:eastAsiaTheme="minorEastAsia" w:cstheme="minorEastAsia"/>
          <w:color w:val="auto"/>
          <w:spacing w:val="-1"/>
          <w:sz w:val="21"/>
          <w:szCs w:val="21"/>
          <w:highlight w:val="none"/>
          <w:lang w:eastAsia="zh-CN"/>
        </w:rPr>
        <w:t>，</w:t>
      </w:r>
      <w:r>
        <w:rPr>
          <w:rFonts w:hint="eastAsia" w:asciiTheme="minorEastAsia" w:hAnsiTheme="minorEastAsia" w:eastAsiaTheme="minorEastAsia" w:cstheme="minorEastAsia"/>
          <w:color w:val="auto"/>
          <w:spacing w:val="-1"/>
          <w:sz w:val="21"/>
          <w:szCs w:val="21"/>
          <w:highlight w:val="none"/>
        </w:rPr>
        <w:t>由其他承包人向中标人承担质量、安全、文明</w:t>
      </w:r>
      <w:r>
        <w:rPr>
          <w:rFonts w:hint="eastAsia" w:asciiTheme="minorEastAsia" w:hAnsiTheme="minorEastAsia" w:eastAsiaTheme="minorEastAsia" w:cstheme="minorEastAsia"/>
          <w:color w:val="auto"/>
          <w:spacing w:val="-2"/>
          <w:sz w:val="21"/>
          <w:szCs w:val="21"/>
          <w:highlight w:val="none"/>
        </w:rPr>
        <w:t>施工、工期责任，中标人向招标人承担责任。</w:t>
      </w:r>
    </w:p>
    <w:p w14:paraId="73BC1D3C">
      <w:pPr>
        <w:spacing w:before="79" w:line="219" w:lineRule="auto"/>
        <w:ind w:left="487"/>
        <w:outlineLvl w:val="2"/>
        <w:rPr>
          <w:rFonts w:hint="eastAsia" w:asciiTheme="minorEastAsia" w:hAnsiTheme="minorEastAsia" w:eastAsiaTheme="minorEastAsia" w:cstheme="minorEastAsia"/>
          <w:color w:val="auto"/>
          <w:sz w:val="21"/>
          <w:szCs w:val="21"/>
          <w:highlight w:val="none"/>
        </w:rPr>
      </w:pPr>
      <w:bookmarkStart w:id="39" w:name="_Toc27885"/>
      <w:bookmarkStart w:id="40" w:name="_Toc22978"/>
      <w:r>
        <w:rPr>
          <w:rFonts w:hint="eastAsia" w:asciiTheme="minorEastAsia" w:hAnsiTheme="minorEastAsia" w:eastAsiaTheme="minorEastAsia" w:cstheme="minorEastAsia"/>
          <w:b/>
          <w:bCs/>
          <w:color w:val="auto"/>
          <w:spacing w:val="-8"/>
          <w:sz w:val="21"/>
          <w:szCs w:val="21"/>
          <w:highlight w:val="none"/>
        </w:rPr>
        <w:t>9</w:t>
      </w:r>
      <w:r>
        <w:rPr>
          <w:rFonts w:hint="eastAsia" w:asciiTheme="minorEastAsia" w:hAnsiTheme="minorEastAsia" w:eastAsiaTheme="minorEastAsia" w:cstheme="minorEastAsia"/>
          <w:b/>
          <w:bCs/>
          <w:color w:val="auto"/>
          <w:spacing w:val="-29"/>
          <w:sz w:val="21"/>
          <w:szCs w:val="21"/>
          <w:highlight w:val="none"/>
        </w:rPr>
        <w:t xml:space="preserve"> </w:t>
      </w:r>
      <w:r>
        <w:rPr>
          <w:rFonts w:hint="eastAsia" w:asciiTheme="minorEastAsia" w:hAnsiTheme="minorEastAsia" w:eastAsiaTheme="minorEastAsia" w:cstheme="minorEastAsia"/>
          <w:b/>
          <w:bCs/>
          <w:color w:val="auto"/>
          <w:spacing w:val="-8"/>
          <w:sz w:val="21"/>
          <w:szCs w:val="21"/>
          <w:highlight w:val="none"/>
        </w:rPr>
        <w:t>．投标报价</w:t>
      </w:r>
      <w:bookmarkEnd w:id="39"/>
      <w:bookmarkEnd w:id="40"/>
    </w:p>
    <w:p w14:paraId="51EEBFF5">
      <w:pPr>
        <w:spacing w:before="157" w:line="219" w:lineRule="auto"/>
        <w:ind w:left="48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9.1  </w:t>
      </w:r>
      <w:r>
        <w:rPr>
          <w:rFonts w:hint="eastAsia" w:asciiTheme="minorEastAsia" w:hAnsiTheme="minorEastAsia" w:eastAsiaTheme="minorEastAsia" w:cstheme="minorEastAsia"/>
          <w:color w:val="auto"/>
          <w:spacing w:val="-1"/>
          <w:sz w:val="21"/>
          <w:szCs w:val="21"/>
          <w:highlight w:val="none"/>
        </w:rPr>
        <w:t>投标人应按照以下依据编制投标报价：</w:t>
      </w:r>
    </w:p>
    <w:p w14:paraId="16462440">
      <w:pPr>
        <w:spacing w:before="155" w:line="219"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w:t>
      </w:r>
      <w:r>
        <w:rPr>
          <w:rFonts w:hint="eastAsia" w:asciiTheme="minorEastAsia" w:hAnsiTheme="minorEastAsia" w:eastAsiaTheme="minorEastAsia" w:cstheme="minorEastAsia"/>
          <w:color w:val="auto"/>
          <w:spacing w:val="-1"/>
          <w:sz w:val="21"/>
          <w:szCs w:val="21"/>
          <w:highlight w:val="none"/>
          <w:lang w:eastAsia="zh-CN"/>
        </w:rPr>
        <w:t>《建设工程工程量清单计价标准》（GB/T50500-2024）</w:t>
      </w:r>
      <w:r>
        <w:rPr>
          <w:rFonts w:hint="eastAsia" w:asciiTheme="minorEastAsia" w:hAnsiTheme="minorEastAsia" w:eastAsiaTheme="minorEastAsia" w:cstheme="minorEastAsia"/>
          <w:color w:val="auto"/>
          <w:spacing w:val="4"/>
          <w:sz w:val="21"/>
          <w:szCs w:val="21"/>
          <w:highlight w:val="none"/>
        </w:rPr>
        <w:t>；</w:t>
      </w:r>
    </w:p>
    <w:p w14:paraId="6E95B4FD">
      <w:pPr>
        <w:spacing w:before="153" w:line="309" w:lineRule="auto"/>
        <w:ind w:left="9" w:right="65" w:firstLine="49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（2）《广东省建设工程计价依据（2018）》。具体</w:t>
      </w:r>
      <w:r>
        <w:rPr>
          <w:rFonts w:hint="eastAsia" w:asciiTheme="minorEastAsia" w:hAnsiTheme="minorEastAsia" w:eastAsiaTheme="minorEastAsia" w:cstheme="minorEastAsia"/>
          <w:color w:val="auto"/>
          <w:spacing w:val="1"/>
          <w:sz w:val="21"/>
          <w:szCs w:val="21"/>
          <w:highlight w:val="none"/>
        </w:rPr>
        <w:t>包括：《广东省房屋建筑与</w:t>
      </w:r>
      <w:r>
        <w:rPr>
          <w:rFonts w:hint="eastAsia" w:asciiTheme="minorEastAsia" w:hAnsiTheme="minorEastAsia" w:eastAsiaTheme="minorEastAsia" w:cstheme="minorEastAsia"/>
          <w:color w:val="auto"/>
          <w:spacing w:val="-1"/>
          <w:sz w:val="21"/>
          <w:szCs w:val="21"/>
          <w:highlight w:val="none"/>
        </w:rPr>
        <w:t>装饰工程综合定额（2018）》《广东省市政工程综合定额（2018）》《</w:t>
      </w:r>
      <w:r>
        <w:rPr>
          <w:rFonts w:hint="eastAsia" w:asciiTheme="minorEastAsia" w:hAnsiTheme="minorEastAsia" w:eastAsiaTheme="minorEastAsia" w:cstheme="minorEastAsia"/>
          <w:color w:val="auto"/>
          <w:spacing w:val="-2"/>
          <w:sz w:val="21"/>
          <w:szCs w:val="21"/>
          <w:highlight w:val="none"/>
        </w:rPr>
        <w:t>广东省通用安</w:t>
      </w:r>
      <w:r>
        <w:rPr>
          <w:rFonts w:hint="eastAsia" w:asciiTheme="minorEastAsia" w:hAnsiTheme="minorEastAsia" w:eastAsiaTheme="minorEastAsia" w:cstheme="minorEastAsia"/>
          <w:color w:val="auto"/>
          <w:spacing w:val="-1"/>
          <w:sz w:val="21"/>
          <w:szCs w:val="21"/>
          <w:highlight w:val="none"/>
        </w:rPr>
        <w:t>装工程综合定额（2018）》《广东省园林绿化工程综合定额（2018）》</w:t>
      </w:r>
      <w:r>
        <w:rPr>
          <w:rFonts w:hint="eastAsia" w:asciiTheme="minorEastAsia" w:hAnsiTheme="minorEastAsia" w:eastAsiaTheme="minorEastAsia" w:cstheme="minorEastAsia"/>
          <w:color w:val="auto"/>
          <w:spacing w:val="-2"/>
          <w:sz w:val="21"/>
          <w:szCs w:val="21"/>
          <w:highlight w:val="none"/>
        </w:rPr>
        <w:t>《广东省建设</w:t>
      </w:r>
      <w:r>
        <w:rPr>
          <w:rFonts w:hint="eastAsia" w:asciiTheme="minorEastAsia" w:hAnsiTheme="minorEastAsia" w:eastAsiaTheme="minorEastAsia" w:cstheme="minorEastAsia"/>
          <w:color w:val="auto"/>
          <w:spacing w:val="-1"/>
          <w:sz w:val="21"/>
          <w:szCs w:val="21"/>
          <w:highlight w:val="none"/>
        </w:rPr>
        <w:t>工程施工机具台班费用编制规则（2018）》等；</w:t>
      </w:r>
    </w:p>
    <w:p w14:paraId="44AD0889">
      <w:pPr>
        <w:spacing w:before="78" w:line="220" w:lineRule="auto"/>
        <w:ind w:left="501"/>
        <w:rPr>
          <w:rFonts w:hint="eastAsia" w:asciiTheme="minorEastAsia" w:hAnsiTheme="minorEastAsia" w:eastAsiaTheme="minorEastAsia" w:cstheme="minorEastAsia"/>
          <w:color w:val="auto"/>
          <w:sz w:val="21"/>
          <w:szCs w:val="21"/>
          <w:highlight w:val="none"/>
        </w:rPr>
      </w:pPr>
      <w:bookmarkStart w:id="41" w:name="bookmark120"/>
      <w:bookmarkEnd w:id="41"/>
      <w:r>
        <w:rPr>
          <w:rFonts w:hint="eastAsia" w:asciiTheme="minorEastAsia" w:hAnsiTheme="minorEastAsia" w:eastAsiaTheme="minorEastAsia" w:cstheme="minorEastAsia"/>
          <w:color w:val="auto"/>
          <w:spacing w:val="-3"/>
          <w:sz w:val="21"/>
          <w:szCs w:val="21"/>
          <w:highlight w:val="none"/>
        </w:rPr>
        <w:t>（3）企业定额；</w:t>
      </w:r>
    </w:p>
    <w:p w14:paraId="75B1C33B">
      <w:pPr>
        <w:spacing w:before="155" w:line="219"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（4）招标文件及其答疑（或修改）公告、招标工程量清单；</w:t>
      </w:r>
    </w:p>
    <w:p w14:paraId="76B00310">
      <w:pPr>
        <w:spacing w:before="154" w:line="221"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（5）施工图及相关资料；</w:t>
      </w:r>
    </w:p>
    <w:p w14:paraId="3FC3E957">
      <w:pPr>
        <w:spacing w:before="152" w:line="219"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（6）施工现场情况、工程特点及投标时拟定的施工组织设计或施工方案；</w:t>
      </w:r>
    </w:p>
    <w:p w14:paraId="1825BCFE">
      <w:pPr>
        <w:spacing w:before="156" w:line="219"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（7）市场价格信息或项目所在地工程造价管理机构发布的工程造价信息；</w:t>
      </w:r>
    </w:p>
    <w:p w14:paraId="303ECC50">
      <w:pPr>
        <w:spacing w:before="155" w:line="220"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（8）与建设项目相关的标准、规范、技术资料。</w:t>
      </w:r>
    </w:p>
    <w:p w14:paraId="0BAD4FBD">
      <w:pPr>
        <w:spacing w:before="153" w:line="309" w:lineRule="auto"/>
        <w:ind w:left="8" w:right="150" w:firstLine="55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9.2  </w:t>
      </w:r>
      <w:r>
        <w:rPr>
          <w:rFonts w:hint="eastAsia" w:asciiTheme="minorEastAsia" w:hAnsiTheme="minorEastAsia" w:eastAsiaTheme="minorEastAsia" w:cstheme="minorEastAsia"/>
          <w:color w:val="auto"/>
          <w:spacing w:val="-2"/>
          <w:sz w:val="21"/>
          <w:szCs w:val="21"/>
          <w:highlight w:val="none"/>
        </w:rPr>
        <w:t>投标人应根据招标工程量清单、工程量清单计价规范中的工作内容、设计文</w:t>
      </w:r>
      <w:r>
        <w:rPr>
          <w:rFonts w:hint="eastAsia" w:asciiTheme="minorEastAsia" w:hAnsiTheme="minorEastAsia" w:eastAsiaTheme="minorEastAsia" w:cstheme="minorEastAsia"/>
          <w:color w:val="auto"/>
          <w:spacing w:val="-1"/>
          <w:sz w:val="21"/>
          <w:szCs w:val="21"/>
          <w:highlight w:val="none"/>
        </w:rPr>
        <w:t>件和有关要求、施工现场实际情况、投标人拟定的施工组织设计</w:t>
      </w:r>
      <w:r>
        <w:rPr>
          <w:rFonts w:hint="eastAsia" w:asciiTheme="minorEastAsia" w:hAnsiTheme="minorEastAsia" w:eastAsiaTheme="minorEastAsia" w:cstheme="minorEastAsia"/>
          <w:color w:val="auto"/>
          <w:spacing w:val="-2"/>
          <w:sz w:val="21"/>
          <w:szCs w:val="21"/>
          <w:highlight w:val="none"/>
        </w:rPr>
        <w:t>、本单位的企业定额</w:t>
      </w:r>
      <w:r>
        <w:rPr>
          <w:rFonts w:hint="eastAsia" w:asciiTheme="minorEastAsia" w:hAnsiTheme="minorEastAsia" w:eastAsiaTheme="minorEastAsia" w:cstheme="minorEastAsia"/>
          <w:color w:val="auto"/>
          <w:spacing w:val="-1"/>
          <w:sz w:val="21"/>
          <w:szCs w:val="21"/>
          <w:highlight w:val="none"/>
        </w:rPr>
        <w:t>和市场价格进行编制，自行报价，并承担一定范围内的风险费用</w:t>
      </w:r>
      <w:r>
        <w:rPr>
          <w:rFonts w:hint="eastAsia" w:asciiTheme="minorEastAsia" w:hAnsiTheme="minorEastAsia" w:eastAsiaTheme="minorEastAsia" w:cstheme="minorEastAsia"/>
          <w:color w:val="auto"/>
          <w:spacing w:val="-2"/>
          <w:sz w:val="21"/>
          <w:szCs w:val="21"/>
          <w:highlight w:val="none"/>
        </w:rPr>
        <w:t>。所谓“一定范围内</w:t>
      </w:r>
      <w:r>
        <w:rPr>
          <w:rFonts w:hint="eastAsia" w:asciiTheme="minorEastAsia" w:hAnsiTheme="minorEastAsia" w:eastAsiaTheme="minorEastAsia" w:cstheme="minorEastAsia"/>
          <w:color w:val="auto"/>
          <w:spacing w:val="-3"/>
          <w:sz w:val="21"/>
          <w:szCs w:val="21"/>
          <w:highlight w:val="none"/>
        </w:rPr>
        <w:t>的风险</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”是指合同约定的风险。</w:t>
      </w:r>
    </w:p>
    <w:p w14:paraId="038AF921">
      <w:pPr>
        <w:spacing w:before="152" w:line="309" w:lineRule="auto"/>
        <w:ind w:left="9" w:right="150" w:firstLine="55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9.3  </w:t>
      </w:r>
      <w:r>
        <w:rPr>
          <w:rFonts w:hint="eastAsia" w:asciiTheme="minorEastAsia" w:hAnsiTheme="minorEastAsia" w:eastAsiaTheme="minorEastAsia" w:cstheme="minorEastAsia"/>
          <w:color w:val="auto"/>
          <w:spacing w:val="-2"/>
          <w:sz w:val="21"/>
          <w:szCs w:val="21"/>
          <w:highlight w:val="none"/>
        </w:rPr>
        <w:t>招标人及招标代理机构不集中组织现场踏勘，投标人需要了解现场情况的，</w:t>
      </w:r>
      <w:r>
        <w:rPr>
          <w:rFonts w:hint="eastAsia" w:asciiTheme="minorEastAsia" w:hAnsiTheme="minorEastAsia" w:eastAsiaTheme="minorEastAsia" w:cstheme="minorEastAsia"/>
          <w:color w:val="auto"/>
          <w:spacing w:val="-1"/>
          <w:sz w:val="21"/>
          <w:szCs w:val="21"/>
          <w:highlight w:val="none"/>
        </w:rPr>
        <w:t>可自行进行现场踏勘。各投标人应勘察施工现场及周围环</w:t>
      </w:r>
      <w:r>
        <w:rPr>
          <w:rFonts w:hint="eastAsia" w:asciiTheme="minorEastAsia" w:hAnsiTheme="minorEastAsia" w:eastAsiaTheme="minorEastAsia" w:cstheme="minorEastAsia"/>
          <w:color w:val="auto"/>
          <w:spacing w:val="-2"/>
          <w:sz w:val="21"/>
          <w:szCs w:val="21"/>
          <w:highlight w:val="none"/>
        </w:rPr>
        <w:t>境、地形、地貌、水文、交</w:t>
      </w:r>
      <w:r>
        <w:rPr>
          <w:rFonts w:hint="eastAsia" w:asciiTheme="minorEastAsia" w:hAnsiTheme="minorEastAsia" w:eastAsiaTheme="minorEastAsia" w:cstheme="minorEastAsia"/>
          <w:color w:val="auto"/>
          <w:spacing w:val="-1"/>
          <w:sz w:val="21"/>
          <w:szCs w:val="21"/>
          <w:highlight w:val="none"/>
        </w:rPr>
        <w:t>通等情况，以获得一切可能影响到投标的直接资料。投标人应</w:t>
      </w:r>
      <w:r>
        <w:rPr>
          <w:rFonts w:hint="eastAsia" w:asciiTheme="minorEastAsia" w:hAnsiTheme="minorEastAsia" w:eastAsiaTheme="minorEastAsia" w:cstheme="minorEastAsia"/>
          <w:color w:val="auto"/>
          <w:spacing w:val="-2"/>
          <w:sz w:val="21"/>
          <w:szCs w:val="21"/>
          <w:highlight w:val="none"/>
        </w:rPr>
        <w:t>针对现场情况编制施工</w:t>
      </w:r>
      <w:r>
        <w:rPr>
          <w:rFonts w:hint="eastAsia" w:asciiTheme="minorEastAsia" w:hAnsiTheme="minorEastAsia" w:eastAsiaTheme="minorEastAsia" w:cstheme="minorEastAsia"/>
          <w:color w:val="auto"/>
          <w:spacing w:val="-1"/>
          <w:sz w:val="21"/>
          <w:szCs w:val="21"/>
          <w:highlight w:val="none"/>
        </w:rPr>
        <w:t>组织设计，并在编制投标报价时考虑现场情况的影响。</w:t>
      </w:r>
    </w:p>
    <w:p w14:paraId="1AD76F80">
      <w:pPr>
        <w:spacing w:before="155" w:line="279" w:lineRule="auto"/>
        <w:ind w:left="10" w:right="150" w:firstLine="55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9.4  </w:t>
      </w:r>
      <w:r>
        <w:rPr>
          <w:rFonts w:hint="eastAsia" w:asciiTheme="minorEastAsia" w:hAnsiTheme="minorEastAsia" w:eastAsiaTheme="minorEastAsia" w:cstheme="minorEastAsia"/>
          <w:color w:val="auto"/>
          <w:spacing w:val="-2"/>
          <w:sz w:val="21"/>
          <w:szCs w:val="21"/>
          <w:highlight w:val="none"/>
        </w:rPr>
        <w:t>招标人向投标人提供的有关现场的数据和资料，是招标人现有的能被投标人</w:t>
      </w:r>
      <w:r>
        <w:rPr>
          <w:rFonts w:hint="eastAsia" w:asciiTheme="minorEastAsia" w:hAnsiTheme="minorEastAsia" w:eastAsiaTheme="minorEastAsia" w:cstheme="minorEastAsia"/>
          <w:color w:val="auto"/>
          <w:sz w:val="21"/>
          <w:szCs w:val="21"/>
          <w:highlight w:val="none"/>
        </w:rPr>
        <w:t>利用的资料，招标人对投标人做出的任何推论</w:t>
      </w:r>
      <w:r>
        <w:rPr>
          <w:rFonts w:hint="eastAsia" w:asciiTheme="minorEastAsia" w:hAnsiTheme="minorEastAsia" w:eastAsiaTheme="minorEastAsia" w:cstheme="minorEastAsia"/>
          <w:color w:val="auto"/>
          <w:spacing w:val="-1"/>
          <w:sz w:val="21"/>
          <w:szCs w:val="21"/>
          <w:highlight w:val="none"/>
        </w:rPr>
        <w:t>、理解和结论均不负责任。</w:t>
      </w:r>
    </w:p>
    <w:p w14:paraId="01D6876C">
      <w:pPr>
        <w:spacing w:before="154" w:line="299" w:lineRule="auto"/>
        <w:ind w:left="12" w:firstLine="55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9.5  </w:t>
      </w:r>
      <w:r>
        <w:rPr>
          <w:rFonts w:hint="eastAsia" w:asciiTheme="minorEastAsia" w:hAnsiTheme="minorEastAsia" w:eastAsiaTheme="minorEastAsia" w:cstheme="minorEastAsia"/>
          <w:color w:val="auto"/>
          <w:spacing w:val="-2"/>
          <w:sz w:val="21"/>
          <w:szCs w:val="21"/>
          <w:highlight w:val="none"/>
        </w:rPr>
        <w:t>投标人必须按照招标工程量清单及表格填报价格。项目编码、项目名称、项</w:t>
      </w:r>
      <w:r>
        <w:rPr>
          <w:rFonts w:hint="eastAsia" w:asciiTheme="minorEastAsia" w:hAnsiTheme="minorEastAsia" w:eastAsiaTheme="minorEastAsia" w:cstheme="minorEastAsia"/>
          <w:color w:val="auto"/>
          <w:spacing w:val="2"/>
          <w:sz w:val="21"/>
          <w:szCs w:val="21"/>
          <w:highlight w:val="none"/>
        </w:rPr>
        <w:t>目特征、计量单位、工程量必须与招标工程量清单一致。所有报价均以人</w:t>
      </w:r>
      <w:r>
        <w:rPr>
          <w:rFonts w:hint="eastAsia" w:asciiTheme="minorEastAsia" w:hAnsiTheme="minorEastAsia" w:eastAsiaTheme="minorEastAsia" w:cstheme="minorEastAsia"/>
          <w:color w:val="auto"/>
          <w:spacing w:val="1"/>
          <w:sz w:val="21"/>
          <w:szCs w:val="21"/>
          <w:highlight w:val="none"/>
        </w:rPr>
        <w:t>民币“元</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w:t>
      </w:r>
      <w:r>
        <w:rPr>
          <w:rFonts w:hint="eastAsia" w:asciiTheme="minorEastAsia" w:hAnsiTheme="minorEastAsia" w:eastAsiaTheme="minorEastAsia" w:cstheme="minorEastAsia"/>
          <w:color w:val="auto"/>
          <w:spacing w:val="-1"/>
          <w:sz w:val="21"/>
          <w:szCs w:val="21"/>
          <w:highlight w:val="none"/>
        </w:rPr>
        <w:t>为单位，并保留小数点后两位。</w:t>
      </w:r>
    </w:p>
    <w:p w14:paraId="64FFAA77">
      <w:pPr>
        <w:spacing w:before="158" w:line="314" w:lineRule="auto"/>
        <w:ind w:left="9" w:right="150" w:firstLine="55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9.6  </w:t>
      </w:r>
      <w:r>
        <w:rPr>
          <w:rFonts w:hint="eastAsia" w:asciiTheme="minorEastAsia" w:hAnsiTheme="minorEastAsia" w:eastAsiaTheme="minorEastAsia" w:cstheme="minorEastAsia"/>
          <w:color w:val="auto"/>
          <w:spacing w:val="-2"/>
          <w:sz w:val="21"/>
          <w:szCs w:val="21"/>
          <w:highlight w:val="none"/>
        </w:rPr>
        <w:t>投标人只允许有一个投标总价。投标总价必须同时用大、小写表示，大、小</w:t>
      </w:r>
      <w:r>
        <w:rPr>
          <w:rFonts w:hint="eastAsia" w:asciiTheme="minorEastAsia" w:hAnsiTheme="minorEastAsia" w:eastAsiaTheme="minorEastAsia" w:cstheme="minorEastAsia"/>
          <w:color w:val="auto"/>
          <w:spacing w:val="-1"/>
          <w:sz w:val="21"/>
          <w:szCs w:val="21"/>
          <w:highlight w:val="none"/>
        </w:rPr>
        <w:t>写报价应保持一致，若不一致，以大写报价为准。招标工程量</w:t>
      </w:r>
      <w:r>
        <w:rPr>
          <w:rFonts w:hint="eastAsia" w:asciiTheme="minorEastAsia" w:hAnsiTheme="minorEastAsia" w:eastAsiaTheme="minorEastAsia" w:cstheme="minorEastAsia"/>
          <w:color w:val="auto"/>
          <w:spacing w:val="-2"/>
          <w:sz w:val="21"/>
          <w:szCs w:val="21"/>
          <w:highlight w:val="none"/>
        </w:rPr>
        <w:t>清单与计价表中列明的</w:t>
      </w:r>
      <w:r>
        <w:rPr>
          <w:rFonts w:hint="eastAsia" w:asciiTheme="minorEastAsia" w:hAnsiTheme="minorEastAsia" w:eastAsiaTheme="minorEastAsia" w:cstheme="minorEastAsia"/>
          <w:color w:val="auto"/>
          <w:spacing w:val="-1"/>
          <w:sz w:val="21"/>
          <w:szCs w:val="21"/>
          <w:highlight w:val="none"/>
        </w:rPr>
        <w:t>所有需要填写单价和合价的项目，投标人均应填写且只允许有</w:t>
      </w:r>
      <w:r>
        <w:rPr>
          <w:rFonts w:hint="eastAsia" w:asciiTheme="minorEastAsia" w:hAnsiTheme="minorEastAsia" w:eastAsiaTheme="minorEastAsia" w:cstheme="minorEastAsia"/>
          <w:color w:val="auto"/>
          <w:spacing w:val="-2"/>
          <w:sz w:val="21"/>
          <w:szCs w:val="21"/>
          <w:highlight w:val="none"/>
        </w:rPr>
        <w:t>一个报价。未填写单价</w:t>
      </w:r>
      <w:r>
        <w:rPr>
          <w:rFonts w:hint="eastAsia" w:asciiTheme="minorEastAsia" w:hAnsiTheme="minorEastAsia" w:eastAsiaTheme="minorEastAsia" w:cstheme="minorEastAsia"/>
          <w:color w:val="auto"/>
          <w:spacing w:val="-1"/>
          <w:sz w:val="21"/>
          <w:szCs w:val="21"/>
          <w:highlight w:val="none"/>
        </w:rPr>
        <w:t>和合价的项目，视为此项费用已包含在已标价工程量清单其他</w:t>
      </w:r>
      <w:r>
        <w:rPr>
          <w:rFonts w:hint="eastAsia" w:asciiTheme="minorEastAsia" w:hAnsiTheme="minorEastAsia" w:eastAsiaTheme="minorEastAsia" w:cstheme="minorEastAsia"/>
          <w:color w:val="auto"/>
          <w:spacing w:val="-2"/>
          <w:sz w:val="21"/>
          <w:szCs w:val="21"/>
          <w:highlight w:val="none"/>
        </w:rPr>
        <w:t>项目的单价和合价中，</w:t>
      </w:r>
      <w:r>
        <w:rPr>
          <w:rFonts w:hint="eastAsia" w:asciiTheme="minorEastAsia" w:hAnsiTheme="minorEastAsia" w:eastAsiaTheme="minorEastAsia" w:cstheme="minorEastAsia"/>
          <w:color w:val="auto"/>
          <w:spacing w:val="-1"/>
          <w:sz w:val="21"/>
          <w:szCs w:val="21"/>
          <w:highlight w:val="none"/>
        </w:rPr>
        <w:t>竣工结算时不得重新组价和调整。</w:t>
      </w:r>
    </w:p>
    <w:p w14:paraId="286443E8">
      <w:pPr>
        <w:spacing w:before="152" w:line="309" w:lineRule="auto"/>
        <w:ind w:left="7" w:right="120" w:firstLine="480"/>
        <w:rPr>
          <w:rFonts w:hint="eastAsia" w:asciiTheme="minorEastAsia" w:hAnsiTheme="minorEastAsia" w:eastAsiaTheme="minorEastAsia" w:cstheme="minorEastAsia"/>
          <w:b/>
          <w:bCs/>
          <w:color w:val="auto"/>
          <w:spacing w:val="-3"/>
          <w:sz w:val="21"/>
          <w:szCs w:val="21"/>
          <w:highlight w:val="none"/>
        </w:rPr>
      </w:pPr>
      <w:r>
        <w:rPr>
          <w:rFonts w:hint="eastAsia" w:asciiTheme="minorEastAsia" w:hAnsiTheme="minorEastAsia" w:eastAsiaTheme="minorEastAsia" w:cstheme="minorEastAsia"/>
          <w:b/>
          <w:bCs/>
          <w:color w:val="auto"/>
          <w:sz w:val="21"/>
          <w:szCs w:val="21"/>
          <w:highlight w:val="none"/>
        </w:rPr>
        <w:t xml:space="preserve">9.7  </w:t>
      </w:r>
      <w:r>
        <w:rPr>
          <w:rFonts w:hint="eastAsia" w:asciiTheme="minorEastAsia" w:hAnsiTheme="minorEastAsia" w:eastAsiaTheme="minorEastAsia" w:cstheme="minorEastAsia"/>
          <w:color w:val="auto"/>
          <w:sz w:val="21"/>
          <w:szCs w:val="21"/>
          <w:highlight w:val="none"/>
        </w:rPr>
        <w:t>投标人的投标总价不得高于</w:t>
      </w:r>
      <w:r>
        <w:rPr>
          <w:rFonts w:hint="eastAsia" w:asciiTheme="minorEastAsia" w:hAnsiTheme="minorEastAsia" w:eastAsiaTheme="minorEastAsia" w:cstheme="minorEastAsia"/>
          <w:b/>
          <w:bCs/>
          <w:color w:val="auto"/>
          <w:sz w:val="21"/>
          <w:szCs w:val="21"/>
          <w:highlight w:val="none"/>
          <w:lang w:val="en-US" w:eastAsia="zh-CN"/>
        </w:rPr>
        <w:t>最高投标限价</w:t>
      </w:r>
      <w:r>
        <w:rPr>
          <w:rFonts w:hint="eastAsia" w:asciiTheme="minorEastAsia" w:hAnsiTheme="minorEastAsia" w:eastAsiaTheme="minorEastAsia" w:cstheme="minorEastAsia"/>
          <w:color w:val="auto"/>
          <w:sz w:val="21"/>
          <w:szCs w:val="21"/>
          <w:highlight w:val="none"/>
        </w:rPr>
        <w:t>，也不得低于工程成本。投标人对</w:t>
      </w:r>
      <w:r>
        <w:rPr>
          <w:rFonts w:hint="eastAsia" w:asciiTheme="minorEastAsia" w:hAnsiTheme="minorEastAsia" w:eastAsiaTheme="minorEastAsia" w:cstheme="minorEastAsia"/>
          <w:color w:val="auto"/>
          <w:spacing w:val="-1"/>
          <w:sz w:val="21"/>
          <w:szCs w:val="21"/>
          <w:highlight w:val="none"/>
        </w:rPr>
        <w:t>投标总价的所有优惠（降价、让利等</w:t>
      </w:r>
      <w:r>
        <w:rPr>
          <w:rFonts w:hint="eastAsia" w:asciiTheme="minorEastAsia" w:hAnsiTheme="minorEastAsia" w:eastAsiaTheme="minorEastAsia" w:cstheme="minorEastAsia"/>
          <w:color w:val="auto"/>
          <w:spacing w:val="-4"/>
          <w:sz w:val="21"/>
          <w:szCs w:val="21"/>
          <w:highlight w:val="none"/>
        </w:rPr>
        <w:t>），</w:t>
      </w:r>
      <w:r>
        <w:rPr>
          <w:rFonts w:hint="eastAsia" w:asciiTheme="minorEastAsia" w:hAnsiTheme="minorEastAsia" w:eastAsiaTheme="minorEastAsia" w:cstheme="minorEastAsia"/>
          <w:color w:val="auto"/>
          <w:spacing w:val="-1"/>
          <w:sz w:val="21"/>
          <w:szCs w:val="21"/>
          <w:highlight w:val="none"/>
        </w:rPr>
        <w:t>均应当反映在具体清单项目或其综合</w:t>
      </w:r>
      <w:r>
        <w:rPr>
          <w:rFonts w:hint="eastAsia" w:asciiTheme="minorEastAsia" w:hAnsiTheme="minorEastAsia" w:eastAsiaTheme="minorEastAsia" w:cstheme="minorEastAsia"/>
          <w:color w:val="auto"/>
          <w:spacing w:val="-2"/>
          <w:sz w:val="21"/>
          <w:szCs w:val="21"/>
          <w:highlight w:val="none"/>
        </w:rPr>
        <w:t>单价的</w:t>
      </w:r>
      <w:r>
        <w:rPr>
          <w:rFonts w:hint="eastAsia" w:asciiTheme="minorEastAsia" w:hAnsiTheme="minorEastAsia" w:eastAsiaTheme="minorEastAsia" w:cstheme="minorEastAsia"/>
          <w:color w:val="auto"/>
          <w:spacing w:val="1"/>
          <w:sz w:val="21"/>
          <w:szCs w:val="21"/>
          <w:highlight w:val="none"/>
        </w:rPr>
        <w:t>报价上。</w:t>
      </w:r>
      <w:r>
        <w:rPr>
          <w:rFonts w:hint="eastAsia" w:asciiTheme="minorEastAsia" w:hAnsiTheme="minorEastAsia" w:eastAsiaTheme="minorEastAsia" w:cstheme="minorEastAsia"/>
          <w:b/>
          <w:bCs/>
          <w:color w:val="auto"/>
          <w:spacing w:val="1"/>
          <w:sz w:val="21"/>
          <w:szCs w:val="21"/>
          <w:highlight w:val="none"/>
        </w:rPr>
        <w:t>如果投标人的投标总价下浮率高于</w:t>
      </w:r>
      <w:r>
        <w:rPr>
          <w:rFonts w:hint="eastAsia" w:asciiTheme="minorEastAsia" w:hAnsiTheme="minorEastAsia" w:eastAsiaTheme="minorEastAsia" w:cstheme="minorEastAsia"/>
          <w:color w:val="auto"/>
          <w:spacing w:val="-40"/>
          <w:sz w:val="21"/>
          <w:szCs w:val="21"/>
          <w:highlight w:val="none"/>
        </w:rPr>
        <w:t xml:space="preserve"> </w:t>
      </w:r>
      <w:r>
        <w:rPr>
          <w:rFonts w:hint="eastAsia" w:asciiTheme="minorEastAsia" w:hAnsiTheme="minorEastAsia" w:eastAsiaTheme="minorEastAsia" w:cstheme="minorEastAsia"/>
          <w:b/>
          <w:bCs/>
          <w:color w:val="auto"/>
          <w:spacing w:val="1"/>
          <w:sz w:val="21"/>
          <w:szCs w:val="21"/>
          <w:highlight w:val="none"/>
        </w:rPr>
        <w:t>15%时，投标人必须在投标文件中专项</w:t>
      </w:r>
      <w:r>
        <w:rPr>
          <w:rFonts w:hint="eastAsia" w:asciiTheme="minorEastAsia" w:hAnsiTheme="minorEastAsia" w:eastAsiaTheme="minorEastAsia" w:cstheme="minorEastAsia"/>
          <w:b/>
          <w:bCs/>
          <w:color w:val="auto"/>
          <w:spacing w:val="-3"/>
          <w:sz w:val="21"/>
          <w:szCs w:val="21"/>
          <w:highlight w:val="none"/>
        </w:rPr>
        <w:t>作出详细合理的书面说明并提供以往类似工程详细成本分析报告供评标委员会审查。</w:t>
      </w:r>
    </w:p>
    <w:p w14:paraId="39E8A203">
      <w:pPr>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pacing w:val="-3"/>
          <w:sz w:val="21"/>
          <w:szCs w:val="21"/>
          <w:highlight w:val="none"/>
          <w:lang w:eastAsia="zh-CN"/>
        </w:rPr>
        <w:t>投标总价下浮率=（1-投标总价</w:t>
      </w:r>
      <w:r>
        <w:rPr>
          <w:rFonts w:hint="eastAsia" w:asciiTheme="minorEastAsia" w:hAnsiTheme="minorEastAsia" w:eastAsiaTheme="minorEastAsia" w:cstheme="minorEastAsia"/>
          <w:b/>
          <w:bCs/>
          <w:color w:val="auto"/>
          <w:spacing w:val="-1"/>
          <w:sz w:val="21"/>
          <w:szCs w:val="21"/>
          <w:highlight w:val="none"/>
        </w:rPr>
        <w:t>÷</w:t>
      </w:r>
      <w:r>
        <w:rPr>
          <w:rFonts w:hint="eastAsia" w:asciiTheme="minorEastAsia" w:hAnsiTheme="minorEastAsia" w:eastAsiaTheme="minorEastAsia" w:cstheme="minorEastAsia"/>
          <w:b/>
          <w:bCs/>
          <w:color w:val="auto"/>
          <w:spacing w:val="-1"/>
          <w:sz w:val="21"/>
          <w:szCs w:val="21"/>
          <w:highlight w:val="none"/>
          <w:lang w:val="en-US" w:eastAsia="zh-CN"/>
        </w:rPr>
        <w:t>最高投标限价</w:t>
      </w:r>
      <w:r>
        <w:rPr>
          <w:rFonts w:hint="eastAsia" w:asciiTheme="minorEastAsia" w:hAnsiTheme="minorEastAsia" w:eastAsiaTheme="minorEastAsia" w:cstheme="minorEastAsia"/>
          <w:b/>
          <w:bCs/>
          <w:color w:val="auto"/>
          <w:spacing w:val="-1"/>
          <w:sz w:val="21"/>
          <w:szCs w:val="21"/>
          <w:highlight w:val="none"/>
          <w:lang w:eastAsia="zh-CN"/>
        </w:rPr>
        <w:t>）</w:t>
      </w:r>
      <w:r>
        <w:rPr>
          <w:rFonts w:hint="eastAsia" w:asciiTheme="minorEastAsia" w:hAnsiTheme="minorEastAsia" w:eastAsiaTheme="minorEastAsia" w:cstheme="minorEastAsia"/>
          <w:b/>
          <w:bCs/>
          <w:color w:val="auto"/>
          <w:spacing w:val="-1"/>
          <w:sz w:val="21"/>
          <w:szCs w:val="21"/>
          <w:highlight w:val="none"/>
        </w:rPr>
        <w:t>×</w:t>
      </w:r>
      <w:r>
        <w:rPr>
          <w:rFonts w:hint="eastAsia" w:asciiTheme="minorEastAsia" w:hAnsiTheme="minorEastAsia" w:eastAsiaTheme="minorEastAsia" w:cstheme="minorEastAsia"/>
          <w:b/>
          <w:bCs/>
          <w:color w:val="auto"/>
          <w:spacing w:val="-1"/>
          <w:sz w:val="21"/>
          <w:szCs w:val="21"/>
          <w:highlight w:val="none"/>
          <w:lang w:eastAsia="zh-CN"/>
        </w:rPr>
        <w:t>100%</w:t>
      </w:r>
    </w:p>
    <w:p w14:paraId="4EC37E35">
      <w:pPr>
        <w:spacing w:before="146" w:line="325" w:lineRule="auto"/>
        <w:ind w:left="29" w:right="153" w:firstLine="45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9.8  </w:t>
      </w:r>
      <w:r>
        <w:rPr>
          <w:rFonts w:hint="eastAsia" w:asciiTheme="minorEastAsia" w:hAnsiTheme="minorEastAsia" w:eastAsiaTheme="minorEastAsia" w:cstheme="minorEastAsia"/>
          <w:color w:val="auto"/>
          <w:sz w:val="21"/>
          <w:szCs w:val="21"/>
          <w:highlight w:val="none"/>
        </w:rPr>
        <w:t>投标人的</w:t>
      </w:r>
      <w:r>
        <w:rPr>
          <w:rFonts w:hint="eastAsia" w:asciiTheme="minorEastAsia" w:hAnsiTheme="minorEastAsia" w:eastAsiaTheme="minorEastAsia" w:cstheme="minorEastAsia"/>
          <w:color w:val="auto"/>
          <w:sz w:val="21"/>
          <w:szCs w:val="21"/>
          <w:highlight w:val="none"/>
          <w:lang w:eastAsia="zh-CN"/>
        </w:rPr>
        <w:t>安全生产措施费</w:t>
      </w:r>
      <w:r>
        <w:rPr>
          <w:rFonts w:hint="eastAsia" w:asciiTheme="minorEastAsia" w:hAnsiTheme="minorEastAsia" w:eastAsiaTheme="minorEastAsia" w:cstheme="minorEastAsia"/>
          <w:color w:val="auto"/>
          <w:sz w:val="21"/>
          <w:szCs w:val="21"/>
          <w:highlight w:val="none"/>
        </w:rPr>
        <w:t>报价必须达到或超过</w:t>
      </w:r>
      <w:r>
        <w:rPr>
          <w:rFonts w:hint="eastAsia" w:asciiTheme="minorEastAsia" w:hAnsiTheme="minorEastAsia" w:eastAsiaTheme="minorEastAsia" w:cstheme="minorEastAsia"/>
          <w:b/>
          <w:bCs/>
          <w:color w:val="auto"/>
          <w:sz w:val="21"/>
          <w:szCs w:val="21"/>
          <w:highlight w:val="none"/>
          <w:lang w:val="en-US" w:eastAsia="zh-CN"/>
        </w:rPr>
        <w:t>最高投标限价</w:t>
      </w:r>
      <w:r>
        <w:rPr>
          <w:rFonts w:hint="eastAsia" w:asciiTheme="minorEastAsia" w:hAnsiTheme="minorEastAsia" w:eastAsiaTheme="minorEastAsia" w:cstheme="minorEastAsia"/>
          <w:color w:val="auto"/>
          <w:sz w:val="21"/>
          <w:szCs w:val="21"/>
          <w:highlight w:val="none"/>
        </w:rPr>
        <w:t>中</w:t>
      </w:r>
      <w:r>
        <w:rPr>
          <w:rFonts w:hint="eastAsia" w:asciiTheme="minorEastAsia" w:hAnsiTheme="minorEastAsia" w:eastAsiaTheme="minorEastAsia" w:cstheme="minorEastAsia"/>
          <w:color w:val="auto"/>
          <w:spacing w:val="-1"/>
          <w:sz w:val="21"/>
          <w:szCs w:val="21"/>
          <w:highlight w:val="none"/>
        </w:rPr>
        <w:t>提供</w:t>
      </w:r>
      <w:r>
        <w:rPr>
          <w:rFonts w:hint="eastAsia" w:asciiTheme="minorEastAsia" w:hAnsiTheme="minorEastAsia" w:eastAsiaTheme="minorEastAsia" w:cstheme="minorEastAsia"/>
          <w:color w:val="auto"/>
          <w:spacing w:val="-3"/>
          <w:sz w:val="21"/>
          <w:szCs w:val="21"/>
          <w:highlight w:val="none"/>
        </w:rPr>
        <w:t>的</w:t>
      </w:r>
      <w:r>
        <w:rPr>
          <w:rFonts w:hint="eastAsia" w:asciiTheme="minorEastAsia" w:hAnsiTheme="minorEastAsia" w:eastAsiaTheme="minorEastAsia" w:cstheme="minorEastAsia"/>
          <w:color w:val="auto"/>
          <w:spacing w:val="-3"/>
          <w:sz w:val="21"/>
          <w:szCs w:val="21"/>
          <w:highlight w:val="none"/>
          <w:lang w:eastAsia="zh-CN"/>
        </w:rPr>
        <w:t>安全生产措施费</w:t>
      </w:r>
      <w:r>
        <w:rPr>
          <w:rFonts w:hint="eastAsia" w:asciiTheme="minorEastAsia" w:hAnsiTheme="minorEastAsia" w:eastAsiaTheme="minorEastAsia" w:cstheme="minorEastAsia"/>
          <w:color w:val="auto"/>
          <w:spacing w:val="-3"/>
          <w:sz w:val="21"/>
          <w:szCs w:val="21"/>
          <w:highlight w:val="none"/>
        </w:rPr>
        <w:t>。</w:t>
      </w:r>
    </w:p>
    <w:p w14:paraId="7B7FD531">
      <w:pPr>
        <w:spacing w:before="78" w:line="309" w:lineRule="auto"/>
        <w:ind w:right="99" w:firstLine="42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9.9  </w:t>
      </w:r>
      <w:r>
        <w:rPr>
          <w:rFonts w:hint="eastAsia" w:asciiTheme="minorEastAsia" w:hAnsiTheme="minorEastAsia" w:eastAsiaTheme="minorEastAsia" w:cstheme="minorEastAsia"/>
          <w:color w:val="auto"/>
          <w:sz w:val="21"/>
          <w:szCs w:val="21"/>
          <w:highlight w:val="none"/>
        </w:rPr>
        <w:t>投标人必须按照招标工程量清单中提供的暂列金额和暂估价统一报价。投标</w:t>
      </w:r>
      <w:r>
        <w:rPr>
          <w:rFonts w:hint="eastAsia" w:asciiTheme="minorEastAsia" w:hAnsiTheme="minorEastAsia" w:eastAsiaTheme="minorEastAsia" w:cstheme="minorEastAsia"/>
          <w:color w:val="auto"/>
          <w:spacing w:val="-1"/>
          <w:sz w:val="21"/>
          <w:szCs w:val="21"/>
          <w:highlight w:val="none"/>
        </w:rPr>
        <w:t>人应充分考虑暂估价项目（或暂列金额项目）的管理和协调所发</w:t>
      </w:r>
      <w:r>
        <w:rPr>
          <w:rFonts w:hint="eastAsia" w:asciiTheme="minorEastAsia" w:hAnsiTheme="minorEastAsia" w:eastAsiaTheme="minorEastAsia" w:cstheme="minorEastAsia"/>
          <w:color w:val="auto"/>
          <w:spacing w:val="-2"/>
          <w:sz w:val="21"/>
          <w:szCs w:val="21"/>
          <w:highlight w:val="none"/>
        </w:rPr>
        <w:t>生的费用，并将其纳</w:t>
      </w:r>
      <w:r>
        <w:rPr>
          <w:rFonts w:hint="eastAsia" w:asciiTheme="minorEastAsia" w:hAnsiTheme="minorEastAsia" w:eastAsiaTheme="minorEastAsia" w:cstheme="minorEastAsia"/>
          <w:color w:val="auto"/>
          <w:spacing w:val="-1"/>
          <w:sz w:val="21"/>
          <w:szCs w:val="21"/>
          <w:highlight w:val="none"/>
        </w:rPr>
        <w:t>入已标价工程量清单中的适当项目。招标人视该项管理和协调所</w:t>
      </w:r>
      <w:r>
        <w:rPr>
          <w:rFonts w:hint="eastAsia" w:asciiTheme="minorEastAsia" w:hAnsiTheme="minorEastAsia" w:eastAsiaTheme="minorEastAsia" w:cstheme="minorEastAsia"/>
          <w:color w:val="auto"/>
          <w:spacing w:val="-2"/>
          <w:sz w:val="21"/>
          <w:szCs w:val="21"/>
          <w:highlight w:val="none"/>
        </w:rPr>
        <w:t>发生的费用已包含在</w:t>
      </w:r>
      <w:r>
        <w:rPr>
          <w:rFonts w:hint="eastAsia" w:asciiTheme="minorEastAsia" w:hAnsiTheme="minorEastAsia" w:eastAsiaTheme="minorEastAsia" w:cstheme="minorEastAsia"/>
          <w:color w:val="auto"/>
          <w:spacing w:val="-1"/>
          <w:sz w:val="21"/>
          <w:szCs w:val="21"/>
          <w:highlight w:val="none"/>
        </w:rPr>
        <w:t>其它有价款的竞争性报价内，不再另行支付。</w:t>
      </w:r>
    </w:p>
    <w:p w14:paraId="22C61512">
      <w:pPr>
        <w:pStyle w:val="5"/>
        <w:spacing w:line="253" w:lineRule="auto"/>
        <w:ind w:firstLine="422" w:firstLineChars="200"/>
        <w:rPr>
          <w:rFonts w:hint="eastAsia" w:asciiTheme="minorEastAsia" w:hAnsiTheme="minorEastAsia" w:eastAsiaTheme="minorEastAsia" w:cstheme="minorEastAsia"/>
          <w:snapToGrid w:val="0"/>
          <w:color w:val="auto"/>
          <w:sz w:val="21"/>
          <w:szCs w:val="21"/>
          <w:highlight w:val="none"/>
          <w:lang w:val="en-US" w:eastAsia="en-US" w:bidi="ar-SA"/>
        </w:rPr>
      </w:pPr>
      <w:r>
        <w:rPr>
          <w:rFonts w:hint="eastAsia" w:asciiTheme="minorEastAsia" w:hAnsiTheme="minorEastAsia" w:eastAsiaTheme="minorEastAsia" w:cstheme="minorEastAsia"/>
          <w:b/>
          <w:bCs/>
          <w:color w:val="auto"/>
          <w:sz w:val="21"/>
          <w:szCs w:val="21"/>
          <w:highlight w:val="none"/>
        </w:rPr>
        <w:t xml:space="preserve">9.10 </w:t>
      </w:r>
      <w:r>
        <w:rPr>
          <w:rFonts w:hint="eastAsia" w:asciiTheme="minorEastAsia" w:hAnsiTheme="minorEastAsia" w:eastAsiaTheme="minorEastAsia" w:cstheme="minorEastAsia"/>
          <w:snapToGrid w:val="0"/>
          <w:color w:val="auto"/>
          <w:sz w:val="21"/>
          <w:szCs w:val="21"/>
          <w:highlight w:val="none"/>
          <w:lang w:val="en-US" w:eastAsia="en-US" w:bidi="ar-SA"/>
        </w:rPr>
        <w:t>预算包干内容一般包括施工雨（污）水的排除、因地形影响造成的场内料具二次运输、20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等。投标报价时，应按《广东省建设工程计价依据（2018）》规定的费率报价，若招标工程量清单明确说明不计算预算包干费或另外确定预算包干费费率的，则按招标工程量清单报价。</w:t>
      </w:r>
    </w:p>
    <w:p w14:paraId="77B34C8C">
      <w:pPr>
        <w:spacing w:before="78" w:line="220" w:lineRule="auto"/>
        <w:ind w:left="496"/>
        <w:outlineLvl w:val="2"/>
        <w:rPr>
          <w:rFonts w:hint="eastAsia" w:asciiTheme="minorEastAsia" w:hAnsiTheme="minorEastAsia" w:eastAsiaTheme="minorEastAsia" w:cstheme="minorEastAsia"/>
          <w:color w:val="auto"/>
          <w:sz w:val="21"/>
          <w:szCs w:val="21"/>
          <w:highlight w:val="none"/>
        </w:rPr>
      </w:pPr>
      <w:bookmarkStart w:id="42" w:name="_Toc16322"/>
      <w:bookmarkStart w:id="43" w:name="_Toc26166"/>
      <w:r>
        <w:rPr>
          <w:rFonts w:hint="eastAsia" w:asciiTheme="minorEastAsia" w:hAnsiTheme="minorEastAsia" w:eastAsiaTheme="minorEastAsia" w:cstheme="minorEastAsia"/>
          <w:b/>
          <w:bCs/>
          <w:color w:val="auto"/>
          <w:spacing w:val="-6"/>
          <w:sz w:val="21"/>
          <w:szCs w:val="21"/>
          <w:highlight w:val="none"/>
        </w:rPr>
        <w:t>10</w:t>
      </w:r>
      <w:r>
        <w:rPr>
          <w:rFonts w:hint="eastAsia" w:asciiTheme="minorEastAsia" w:hAnsiTheme="minorEastAsia" w:eastAsiaTheme="minorEastAsia" w:cstheme="minorEastAsia"/>
          <w:b/>
          <w:bCs/>
          <w:color w:val="auto"/>
          <w:spacing w:val="-21"/>
          <w:sz w:val="21"/>
          <w:szCs w:val="21"/>
          <w:highlight w:val="none"/>
        </w:rPr>
        <w:t xml:space="preserve"> </w:t>
      </w:r>
      <w:r>
        <w:rPr>
          <w:rFonts w:hint="eastAsia" w:asciiTheme="minorEastAsia" w:hAnsiTheme="minorEastAsia" w:eastAsiaTheme="minorEastAsia" w:cstheme="minorEastAsia"/>
          <w:b/>
          <w:bCs/>
          <w:color w:val="auto"/>
          <w:spacing w:val="-6"/>
          <w:sz w:val="21"/>
          <w:szCs w:val="21"/>
          <w:highlight w:val="none"/>
        </w:rPr>
        <w:t>．投标文件的编制要求</w:t>
      </w:r>
      <w:bookmarkEnd w:id="42"/>
      <w:bookmarkEnd w:id="43"/>
    </w:p>
    <w:p w14:paraId="575619DC">
      <w:pPr>
        <w:spacing w:before="152" w:line="222" w:lineRule="auto"/>
        <w:ind w:left="496"/>
        <w:outlineLvl w:val="9"/>
        <w:rPr>
          <w:rFonts w:hint="eastAsia" w:asciiTheme="minorEastAsia" w:hAnsiTheme="minorEastAsia" w:eastAsiaTheme="minorEastAsia" w:cstheme="minorEastAsia"/>
          <w:color w:val="auto"/>
          <w:sz w:val="21"/>
          <w:szCs w:val="21"/>
          <w:highlight w:val="none"/>
        </w:rPr>
      </w:pPr>
      <w:bookmarkStart w:id="44" w:name="_Toc20590"/>
      <w:bookmarkStart w:id="45" w:name="_Toc22937"/>
      <w:r>
        <w:rPr>
          <w:rFonts w:hint="eastAsia" w:asciiTheme="minorEastAsia" w:hAnsiTheme="minorEastAsia" w:eastAsiaTheme="minorEastAsia" w:cstheme="minorEastAsia"/>
          <w:b/>
          <w:bCs/>
          <w:color w:val="auto"/>
          <w:spacing w:val="-4"/>
          <w:sz w:val="21"/>
          <w:szCs w:val="21"/>
          <w:highlight w:val="none"/>
        </w:rPr>
        <w:t>10.1</w:t>
      </w:r>
      <w:r>
        <w:rPr>
          <w:rFonts w:hint="eastAsia" w:asciiTheme="minorEastAsia" w:hAnsiTheme="minorEastAsia" w:eastAsiaTheme="minorEastAsia" w:cstheme="minorEastAsia"/>
          <w:b/>
          <w:bCs/>
          <w:color w:val="auto"/>
          <w:spacing w:val="7"/>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一般要求</w:t>
      </w:r>
      <w:bookmarkEnd w:id="44"/>
      <w:bookmarkEnd w:id="45"/>
    </w:p>
    <w:p w14:paraId="7E1F8A53">
      <w:pPr>
        <w:spacing w:before="118" w:line="295" w:lineRule="auto"/>
        <w:ind w:left="11" w:right="99"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投标文件应按第六章投标文件格式规定的内容，投标人提交的投标文件应当使</w:t>
      </w:r>
      <w:r>
        <w:rPr>
          <w:rFonts w:hint="eastAsia" w:asciiTheme="minorEastAsia" w:hAnsiTheme="minorEastAsia" w:eastAsiaTheme="minorEastAsia" w:cstheme="minorEastAsia"/>
          <w:color w:val="auto"/>
          <w:spacing w:val="-1"/>
          <w:sz w:val="21"/>
          <w:szCs w:val="21"/>
          <w:highlight w:val="none"/>
        </w:rPr>
        <w:t>用招标文件所提供的投标文件全部格式。</w:t>
      </w:r>
    </w:p>
    <w:p w14:paraId="0147A67F">
      <w:pPr>
        <w:spacing w:before="68" w:line="299" w:lineRule="auto"/>
        <w:ind w:left="11" w:right="99" w:firstLine="5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 xml:space="preserve">10.1.1  </w:t>
      </w:r>
      <w:r>
        <w:rPr>
          <w:rFonts w:hint="eastAsia" w:asciiTheme="minorEastAsia" w:hAnsiTheme="minorEastAsia" w:eastAsiaTheme="minorEastAsia" w:cstheme="minorEastAsia"/>
          <w:color w:val="auto"/>
          <w:spacing w:val="-3"/>
          <w:sz w:val="21"/>
          <w:szCs w:val="21"/>
          <w:highlight w:val="none"/>
        </w:rPr>
        <w:t>投标人必须响应招标文件，并在充分理解招</w:t>
      </w:r>
      <w:r>
        <w:rPr>
          <w:rFonts w:hint="eastAsia" w:asciiTheme="minorEastAsia" w:hAnsiTheme="minorEastAsia" w:eastAsiaTheme="minorEastAsia" w:cstheme="minorEastAsia"/>
          <w:color w:val="auto"/>
          <w:spacing w:val="-4"/>
          <w:sz w:val="21"/>
          <w:szCs w:val="21"/>
          <w:highlight w:val="none"/>
        </w:rPr>
        <w:t>标人提供的全部文件、设计图</w:t>
      </w:r>
      <w:r>
        <w:rPr>
          <w:rFonts w:hint="eastAsia" w:asciiTheme="minorEastAsia" w:hAnsiTheme="minorEastAsia" w:eastAsiaTheme="minorEastAsia" w:cstheme="minorEastAsia"/>
          <w:color w:val="auto"/>
          <w:spacing w:val="-1"/>
          <w:sz w:val="21"/>
          <w:szCs w:val="21"/>
          <w:highlight w:val="none"/>
        </w:rPr>
        <w:t>纸、资料及现场条件的基础上编制投标文件。因投标文件</w:t>
      </w:r>
      <w:r>
        <w:rPr>
          <w:rFonts w:hint="eastAsia" w:asciiTheme="minorEastAsia" w:hAnsiTheme="minorEastAsia" w:eastAsiaTheme="minorEastAsia" w:cstheme="minorEastAsia"/>
          <w:color w:val="auto"/>
          <w:spacing w:val="-2"/>
          <w:sz w:val="21"/>
          <w:szCs w:val="21"/>
          <w:highlight w:val="none"/>
        </w:rPr>
        <w:t>不符合招标文件的要求而造</w:t>
      </w:r>
      <w:r>
        <w:rPr>
          <w:rFonts w:hint="eastAsia" w:asciiTheme="minorEastAsia" w:hAnsiTheme="minorEastAsia" w:eastAsiaTheme="minorEastAsia" w:cstheme="minorEastAsia"/>
          <w:color w:val="auto"/>
          <w:spacing w:val="-1"/>
          <w:sz w:val="21"/>
          <w:szCs w:val="21"/>
          <w:highlight w:val="none"/>
        </w:rPr>
        <w:t>成的损失和后果，由投标人自行承担。</w:t>
      </w:r>
    </w:p>
    <w:p w14:paraId="6A115A7F">
      <w:pPr>
        <w:spacing w:before="123" w:line="290" w:lineRule="auto"/>
        <w:ind w:left="8" w:firstLine="56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 xml:space="preserve">10.1.2  </w:t>
      </w:r>
      <w:r>
        <w:rPr>
          <w:rFonts w:hint="eastAsia" w:asciiTheme="minorEastAsia" w:hAnsiTheme="minorEastAsia" w:eastAsiaTheme="minorEastAsia" w:cstheme="minorEastAsia"/>
          <w:color w:val="auto"/>
          <w:spacing w:val="-3"/>
          <w:sz w:val="21"/>
          <w:szCs w:val="21"/>
          <w:highlight w:val="none"/>
        </w:rPr>
        <w:t>投标文件全部采用电子文档，投标文件所附</w:t>
      </w:r>
      <w:r>
        <w:rPr>
          <w:rFonts w:hint="eastAsia" w:asciiTheme="minorEastAsia" w:hAnsiTheme="minorEastAsia" w:eastAsiaTheme="minorEastAsia" w:cstheme="minorEastAsia"/>
          <w:color w:val="auto"/>
          <w:spacing w:val="-4"/>
          <w:sz w:val="21"/>
          <w:szCs w:val="21"/>
          <w:highlight w:val="none"/>
        </w:rPr>
        <w:t>证书证件均为原件扫描件，并</w:t>
      </w:r>
      <w:r>
        <w:rPr>
          <w:rFonts w:hint="eastAsia" w:asciiTheme="minorEastAsia" w:hAnsiTheme="minorEastAsia" w:eastAsiaTheme="minorEastAsia" w:cstheme="minorEastAsia"/>
          <w:color w:val="auto"/>
          <w:spacing w:val="-1"/>
          <w:sz w:val="21"/>
          <w:szCs w:val="21"/>
          <w:highlight w:val="none"/>
        </w:rPr>
        <w:t>采用单位数字证书，按招标文件要求在相应位置加盖电子印章。</w:t>
      </w:r>
      <w:r>
        <w:rPr>
          <w:rFonts w:hint="eastAsia" w:asciiTheme="minorEastAsia" w:hAnsiTheme="minorEastAsia" w:eastAsiaTheme="minorEastAsia" w:cstheme="minorEastAsia"/>
          <w:color w:val="auto"/>
          <w:spacing w:val="-2"/>
          <w:sz w:val="21"/>
          <w:szCs w:val="21"/>
          <w:highlight w:val="none"/>
        </w:rPr>
        <w:t>投标文件中需个人签</w:t>
      </w:r>
      <w:r>
        <w:rPr>
          <w:rFonts w:hint="eastAsia" w:asciiTheme="minorEastAsia" w:hAnsiTheme="minorEastAsia" w:eastAsiaTheme="minorEastAsia" w:cstheme="minorEastAsia"/>
          <w:color w:val="auto"/>
          <w:spacing w:val="-1"/>
          <w:sz w:val="21"/>
          <w:szCs w:val="21"/>
          <w:highlight w:val="none"/>
        </w:rPr>
        <w:t>字或盖章的，应加盖个人电子印章或在线下完成后扫描上传。按</w:t>
      </w:r>
      <w:r>
        <w:rPr>
          <w:rFonts w:hint="eastAsia" w:asciiTheme="minorEastAsia" w:hAnsiTheme="minorEastAsia" w:eastAsiaTheme="minorEastAsia" w:cstheme="minorEastAsia"/>
          <w:color w:val="auto"/>
          <w:spacing w:val="-2"/>
          <w:sz w:val="21"/>
          <w:szCs w:val="21"/>
          <w:highlight w:val="none"/>
        </w:rPr>
        <w:t>照交易平台关于全流</w:t>
      </w:r>
      <w:r>
        <w:rPr>
          <w:rFonts w:hint="eastAsia" w:asciiTheme="minorEastAsia" w:hAnsiTheme="minorEastAsia" w:eastAsiaTheme="minorEastAsia" w:cstheme="minorEastAsia"/>
          <w:color w:val="auto"/>
          <w:spacing w:val="-7"/>
          <w:sz w:val="21"/>
          <w:szCs w:val="21"/>
          <w:highlight w:val="none"/>
        </w:rPr>
        <w:t>程电子化项目的相关指南进行操作。详见：全国公共资源</w:t>
      </w:r>
      <w:r>
        <w:rPr>
          <w:rFonts w:hint="eastAsia" w:asciiTheme="minorEastAsia" w:hAnsiTheme="minorEastAsia" w:eastAsiaTheme="minorEastAsia" w:cstheme="minorEastAsia"/>
          <w:color w:val="auto"/>
          <w:spacing w:val="-8"/>
          <w:sz w:val="21"/>
          <w:szCs w:val="21"/>
          <w:highlight w:val="none"/>
        </w:rPr>
        <w:t>交易平台（广东省</w:t>
      </w:r>
      <w:r>
        <w:rPr>
          <w:rFonts w:hint="eastAsia" w:asciiTheme="minorEastAsia" w:hAnsiTheme="minorEastAsia" w:eastAsiaTheme="minorEastAsia" w:cstheme="minorEastAsia"/>
          <w:color w:val="auto"/>
          <w:spacing w:val="-28"/>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·韶关市）</w:t>
      </w:r>
      <w:r>
        <w:rPr>
          <w:rFonts w:hint="eastAsia" w:asciiTheme="minorEastAsia" w:hAnsiTheme="minorEastAsia" w:eastAsiaTheme="minorEastAsia" w:cstheme="minorEastAsia"/>
          <w:color w:val="auto"/>
          <w:spacing w:val="-2"/>
          <w:sz w:val="21"/>
          <w:szCs w:val="21"/>
          <w:highlight w:val="none"/>
        </w:rPr>
        <w:t>交易指引。</w:t>
      </w:r>
    </w:p>
    <w:p w14:paraId="41B0A100">
      <w:pPr>
        <w:spacing w:before="1" w:line="219" w:lineRule="auto"/>
        <w:ind w:left="57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10.1.3  </w:t>
      </w:r>
      <w:r>
        <w:rPr>
          <w:rFonts w:hint="eastAsia" w:asciiTheme="minorEastAsia" w:hAnsiTheme="minorEastAsia" w:eastAsiaTheme="minorEastAsia" w:cstheme="minorEastAsia"/>
          <w:color w:val="auto"/>
          <w:spacing w:val="-1"/>
          <w:sz w:val="21"/>
          <w:szCs w:val="21"/>
          <w:highlight w:val="none"/>
        </w:rPr>
        <w:t>投标文件需按以下要求签字、盖章：电子投标文件：</w:t>
      </w:r>
    </w:p>
    <w:p w14:paraId="0BD913B7">
      <w:pPr>
        <w:spacing w:before="111" w:line="279" w:lineRule="auto"/>
        <w:ind w:right="133" w:firstLine="57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"10.1.3.1"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b/>
          <w:bCs/>
          <w:color w:val="auto"/>
          <w:spacing w:val="-2"/>
          <w:sz w:val="21"/>
          <w:szCs w:val="21"/>
          <w:highlight w:val="none"/>
        </w:rPr>
        <w:t>10.1.3.1</w:t>
      </w:r>
      <w:r>
        <w:rPr>
          <w:rFonts w:hint="eastAsia" w:asciiTheme="minorEastAsia" w:hAnsiTheme="minorEastAsia" w:eastAsiaTheme="minorEastAsia" w:cstheme="minorEastAsia"/>
          <w:b/>
          <w:bCs/>
          <w:color w:val="auto"/>
          <w:spacing w:val="-2"/>
          <w:sz w:val="21"/>
          <w:szCs w:val="21"/>
          <w:highlight w:val="none"/>
        </w:rPr>
        <w:fldChar w:fldCharType="end"/>
      </w:r>
      <w:r>
        <w:rPr>
          <w:rFonts w:hint="eastAsia" w:asciiTheme="minorEastAsia" w:hAnsiTheme="minorEastAsia" w:eastAsiaTheme="minorEastAsia" w:cstheme="minorEastAsia"/>
          <w:b/>
          <w:bCs/>
          <w:color w:val="auto"/>
          <w:spacing w:val="-2"/>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投标文件封面、组成</w:t>
      </w:r>
      <w:r>
        <w:rPr>
          <w:rFonts w:hint="eastAsia" w:asciiTheme="minorEastAsia" w:hAnsiTheme="minorEastAsia" w:eastAsiaTheme="minorEastAsia" w:cstheme="minorEastAsia"/>
          <w:color w:val="auto"/>
          <w:spacing w:val="-3"/>
          <w:sz w:val="21"/>
          <w:szCs w:val="21"/>
          <w:highlight w:val="none"/>
        </w:rPr>
        <w:t>内容中凡注明“签字</w:t>
      </w:r>
      <w:r>
        <w:rPr>
          <w:rFonts w:hint="eastAsia" w:asciiTheme="minorEastAsia" w:hAnsiTheme="minorEastAsia" w:eastAsiaTheme="minorEastAsia" w:cstheme="minorEastAsia"/>
          <w:color w:val="auto"/>
          <w:spacing w:val="-89"/>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”处由要求的人员签字或电子</w:t>
      </w:r>
      <w:r>
        <w:rPr>
          <w:rFonts w:hint="eastAsia" w:asciiTheme="minorEastAsia" w:hAnsiTheme="minorEastAsia" w:eastAsiaTheme="minorEastAsia" w:cstheme="minorEastAsia"/>
          <w:color w:val="auto"/>
          <w:spacing w:val="-2"/>
          <w:sz w:val="21"/>
          <w:szCs w:val="21"/>
          <w:highlight w:val="none"/>
        </w:rPr>
        <w:t>签章；凡注明“签字或盖章</w:t>
      </w:r>
      <w:r>
        <w:rPr>
          <w:rFonts w:hint="eastAsia" w:asciiTheme="minorEastAsia" w:hAnsiTheme="minorEastAsia" w:eastAsiaTheme="minorEastAsia" w:cstheme="minorEastAsia"/>
          <w:color w:val="auto"/>
          <w:spacing w:val="-87"/>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”处由要求的人员签字或盖其私章（电子印章</w:t>
      </w:r>
      <w:r>
        <w:rPr>
          <w:rFonts w:hint="eastAsia" w:asciiTheme="minorEastAsia" w:hAnsiTheme="minorEastAsia" w:eastAsiaTheme="minorEastAsia" w:cstheme="minorEastAsia"/>
          <w:color w:val="auto"/>
          <w:spacing w:val="2"/>
          <w:sz w:val="21"/>
          <w:szCs w:val="21"/>
          <w:highlight w:val="none"/>
        </w:rPr>
        <w:t>）；</w:t>
      </w:r>
      <w:r>
        <w:rPr>
          <w:rFonts w:hint="eastAsia" w:asciiTheme="minorEastAsia" w:hAnsiTheme="minorEastAsia" w:eastAsiaTheme="minorEastAsia" w:cstheme="minorEastAsia"/>
          <w:color w:val="auto"/>
          <w:spacing w:val="-2"/>
          <w:sz w:val="21"/>
          <w:szCs w:val="21"/>
          <w:highlight w:val="none"/>
        </w:rPr>
        <w:t>凡注明</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“签字并盖执业印章</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”处由要求的人员签字并盖其执业印</w:t>
      </w:r>
      <w:r>
        <w:rPr>
          <w:rFonts w:hint="eastAsia" w:asciiTheme="minorEastAsia" w:hAnsiTheme="minorEastAsia" w:eastAsiaTheme="minorEastAsia" w:cstheme="minorEastAsia"/>
          <w:color w:val="auto"/>
          <w:spacing w:val="-2"/>
          <w:sz w:val="21"/>
          <w:szCs w:val="21"/>
          <w:highlight w:val="none"/>
        </w:rPr>
        <w:t>章。</w:t>
      </w:r>
    </w:p>
    <w:p w14:paraId="51B9C0B0">
      <w:pPr>
        <w:spacing w:before="112" w:line="264" w:lineRule="auto"/>
        <w:ind w:left="13" w:right="133" w:firstLine="56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"10.1.3.2"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b/>
          <w:bCs/>
          <w:color w:val="auto"/>
          <w:spacing w:val="-2"/>
          <w:sz w:val="21"/>
          <w:szCs w:val="21"/>
          <w:highlight w:val="none"/>
        </w:rPr>
        <w:t>10.1.3.2</w:t>
      </w:r>
      <w:r>
        <w:rPr>
          <w:rFonts w:hint="eastAsia" w:asciiTheme="minorEastAsia" w:hAnsiTheme="minorEastAsia" w:eastAsiaTheme="minorEastAsia" w:cstheme="minorEastAsia"/>
          <w:b/>
          <w:bCs/>
          <w:color w:val="auto"/>
          <w:spacing w:val="-2"/>
          <w:sz w:val="21"/>
          <w:szCs w:val="21"/>
          <w:highlight w:val="none"/>
        </w:rPr>
        <w:fldChar w:fldCharType="end"/>
      </w:r>
      <w:r>
        <w:rPr>
          <w:rFonts w:hint="eastAsia" w:asciiTheme="minorEastAsia" w:hAnsiTheme="minorEastAsia" w:eastAsiaTheme="minorEastAsia" w:cstheme="minorEastAsia"/>
          <w:b/>
          <w:bCs/>
          <w:color w:val="auto"/>
          <w:spacing w:val="-2"/>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投标文件封套、封面、组成内容中凡要求录入投标人名称且注明“盖单</w:t>
      </w:r>
      <w:r>
        <w:rPr>
          <w:rFonts w:hint="eastAsia" w:asciiTheme="minorEastAsia" w:hAnsiTheme="minorEastAsia" w:eastAsiaTheme="minorEastAsia" w:cstheme="minorEastAsia"/>
          <w:color w:val="auto"/>
          <w:spacing w:val="-3"/>
          <w:sz w:val="21"/>
          <w:szCs w:val="21"/>
          <w:highlight w:val="none"/>
        </w:rPr>
        <w:t>位章</w:t>
      </w:r>
      <w:r>
        <w:rPr>
          <w:rFonts w:hint="eastAsia" w:asciiTheme="minorEastAsia" w:hAnsiTheme="minorEastAsia" w:eastAsiaTheme="minorEastAsia" w:cstheme="minorEastAsia"/>
          <w:color w:val="auto"/>
          <w:spacing w:val="-77"/>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”处盖单位法人公章（电子印章）。</w:t>
      </w:r>
    </w:p>
    <w:p w14:paraId="653B44B4">
      <w:pPr>
        <w:spacing w:before="146" w:line="279" w:lineRule="auto"/>
        <w:ind w:left="16" w:right="135" w:firstLine="56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"10.1.3.3"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b/>
          <w:bCs/>
          <w:color w:val="auto"/>
          <w:spacing w:val="-1"/>
          <w:sz w:val="21"/>
          <w:szCs w:val="21"/>
          <w:highlight w:val="none"/>
        </w:rPr>
        <w:t>10.1.3.3</w:t>
      </w:r>
      <w:r>
        <w:rPr>
          <w:rFonts w:hint="eastAsia" w:asciiTheme="minorEastAsia" w:hAnsiTheme="minorEastAsia" w:eastAsiaTheme="minorEastAsia" w:cstheme="minorEastAsia"/>
          <w:b/>
          <w:bCs/>
          <w:color w:val="auto"/>
          <w:spacing w:val="-1"/>
          <w:sz w:val="21"/>
          <w:szCs w:val="21"/>
          <w:highlight w:val="none"/>
        </w:rPr>
        <w:fldChar w:fldCharType="end"/>
      </w:r>
      <w:r>
        <w:rPr>
          <w:rFonts w:hint="eastAsia" w:asciiTheme="minorEastAsia" w:hAnsiTheme="minorEastAsia" w:eastAsiaTheme="minorEastAsia" w:cstheme="minorEastAsia"/>
          <w:b/>
          <w:bCs/>
          <w:color w:val="auto"/>
          <w:spacing w:val="-1"/>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投标文件的签字均为签字人本人亲笔署名或签章</w:t>
      </w:r>
      <w:r>
        <w:rPr>
          <w:rFonts w:hint="eastAsia" w:asciiTheme="minorEastAsia" w:hAnsiTheme="minorEastAsia" w:eastAsiaTheme="minorEastAsia" w:cstheme="minorEastAsia"/>
          <w:color w:val="auto"/>
          <w:spacing w:val="-2"/>
          <w:sz w:val="21"/>
          <w:szCs w:val="21"/>
          <w:highlight w:val="none"/>
        </w:rPr>
        <w:t>（电子印章</w:t>
      </w:r>
      <w:r>
        <w:rPr>
          <w:rFonts w:hint="eastAsia" w:asciiTheme="minorEastAsia" w:hAnsiTheme="minorEastAsia" w:eastAsiaTheme="minorEastAsia" w:cstheme="minorEastAsia"/>
          <w:color w:val="auto"/>
          <w:spacing w:val="-14"/>
          <w:sz w:val="21"/>
          <w:szCs w:val="21"/>
          <w:highlight w:val="none"/>
        </w:rPr>
        <w:t>），</w:t>
      </w:r>
      <w:r>
        <w:rPr>
          <w:rFonts w:hint="eastAsia" w:asciiTheme="minorEastAsia" w:hAnsiTheme="minorEastAsia" w:eastAsiaTheme="minorEastAsia" w:cstheme="minorEastAsia"/>
          <w:color w:val="auto"/>
          <w:spacing w:val="-2"/>
          <w:sz w:val="21"/>
          <w:szCs w:val="21"/>
          <w:highlight w:val="none"/>
        </w:rPr>
        <w:t>其余部</w:t>
      </w:r>
      <w:r>
        <w:rPr>
          <w:rFonts w:hint="eastAsia" w:asciiTheme="minorEastAsia" w:hAnsiTheme="minorEastAsia" w:eastAsiaTheme="minorEastAsia" w:cstheme="minorEastAsia"/>
          <w:color w:val="auto"/>
          <w:spacing w:val="-1"/>
          <w:sz w:val="21"/>
          <w:szCs w:val="21"/>
          <w:highlight w:val="none"/>
        </w:rPr>
        <w:t>分的复印件无须另行签字、盖章。</w:t>
      </w:r>
    </w:p>
    <w:p w14:paraId="69752A12">
      <w:pPr>
        <w:spacing w:before="155" w:line="219" w:lineRule="auto"/>
        <w:ind w:left="0" w:leftChars="0" w:firstLine="414" w:firstLineChars="200"/>
        <w:outlineLvl w:val="9"/>
        <w:rPr>
          <w:rFonts w:hint="eastAsia" w:asciiTheme="minorEastAsia" w:hAnsiTheme="minorEastAsia" w:eastAsiaTheme="minorEastAsia" w:cstheme="minorEastAsia"/>
          <w:b w:val="0"/>
          <w:bCs w:val="0"/>
          <w:color w:val="auto"/>
          <w:spacing w:val="-2"/>
          <w:sz w:val="21"/>
          <w:szCs w:val="21"/>
          <w:highlight w:val="none"/>
        </w:rPr>
      </w:pPr>
      <w:bookmarkStart w:id="46" w:name="_Toc20223"/>
      <w:bookmarkStart w:id="47" w:name="_Toc21271"/>
      <w:r>
        <w:rPr>
          <w:rFonts w:hint="eastAsia" w:asciiTheme="minorEastAsia" w:hAnsiTheme="minorEastAsia" w:eastAsiaTheme="minorEastAsia" w:cstheme="minorEastAsia"/>
          <w:b/>
          <w:bCs/>
          <w:color w:val="auto"/>
          <w:spacing w:val="-2"/>
          <w:sz w:val="21"/>
          <w:szCs w:val="21"/>
          <w:highlight w:val="none"/>
        </w:rPr>
        <w:t xml:space="preserve">10.1.3.4 </w:t>
      </w:r>
      <w:r>
        <w:rPr>
          <w:rFonts w:hint="eastAsia" w:asciiTheme="minorEastAsia" w:hAnsiTheme="minorEastAsia" w:eastAsiaTheme="minorEastAsia" w:cstheme="minorEastAsia"/>
          <w:color w:val="auto"/>
          <w:spacing w:val="-3"/>
          <w:sz w:val="21"/>
          <w:szCs w:val="21"/>
          <w:highlight w:val="none"/>
        </w:rPr>
        <w:t>联合体投标的，除《联合体协议书》外，由联合体牵头人按以上要求签亲笔署名或签章（电子印章）即可。</w:t>
      </w:r>
    </w:p>
    <w:p w14:paraId="18862F47">
      <w:pPr>
        <w:spacing w:before="155" w:line="219" w:lineRule="auto"/>
        <w:ind w:left="5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10.2  </w:t>
      </w:r>
      <w:r>
        <w:rPr>
          <w:rFonts w:hint="eastAsia" w:asciiTheme="minorEastAsia" w:hAnsiTheme="minorEastAsia" w:eastAsiaTheme="minorEastAsia" w:cstheme="minorEastAsia"/>
          <w:color w:val="auto"/>
          <w:spacing w:val="-2"/>
          <w:sz w:val="21"/>
          <w:szCs w:val="21"/>
          <w:highlight w:val="none"/>
        </w:rPr>
        <w:t>商务标书的编制要求</w:t>
      </w:r>
      <w:bookmarkEnd w:id="46"/>
      <w:bookmarkEnd w:id="47"/>
    </w:p>
    <w:p w14:paraId="135F4B09">
      <w:pPr>
        <w:spacing w:before="157" w:line="219" w:lineRule="auto"/>
        <w:ind w:left="58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10.2.1 </w:t>
      </w:r>
      <w:r>
        <w:rPr>
          <w:rFonts w:hint="eastAsia" w:asciiTheme="minorEastAsia" w:hAnsiTheme="minorEastAsia" w:eastAsiaTheme="minorEastAsia" w:cstheme="minorEastAsia"/>
          <w:color w:val="auto"/>
          <w:spacing w:val="-1"/>
          <w:sz w:val="21"/>
          <w:szCs w:val="21"/>
          <w:highlight w:val="none"/>
        </w:rPr>
        <w:t>商务标书包括但不限于以下内容：</w:t>
      </w:r>
    </w:p>
    <w:p w14:paraId="164DC2CC">
      <w:pPr>
        <w:spacing w:before="154" w:line="220"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（1）封面（格式一</w:t>
      </w:r>
      <w:r>
        <w:rPr>
          <w:rFonts w:hint="eastAsia" w:asciiTheme="minorEastAsia" w:hAnsiTheme="minorEastAsia" w:eastAsiaTheme="minorEastAsia" w:cstheme="minorEastAsia"/>
          <w:color w:val="auto"/>
          <w:spacing w:val="2"/>
          <w:sz w:val="21"/>
          <w:szCs w:val="21"/>
          <w:highlight w:val="none"/>
        </w:rPr>
        <w:t>）；</w:t>
      </w:r>
    </w:p>
    <w:p w14:paraId="3F04C210">
      <w:pPr>
        <w:spacing w:before="153" w:line="222"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3"/>
          <w:sz w:val="21"/>
          <w:szCs w:val="21"/>
          <w:highlight w:val="none"/>
        </w:rPr>
        <w:t>（2）</w:t>
      </w:r>
      <w:r>
        <w:rPr>
          <w:rFonts w:hint="eastAsia" w:asciiTheme="minorEastAsia" w:hAnsiTheme="minorEastAsia" w:eastAsiaTheme="minorEastAsia" w:cstheme="minorEastAsia"/>
          <w:color w:val="auto"/>
          <w:spacing w:val="-64"/>
          <w:sz w:val="21"/>
          <w:szCs w:val="21"/>
          <w:highlight w:val="none"/>
        </w:rPr>
        <w:t xml:space="preserve"> </w:t>
      </w:r>
      <w:r>
        <w:rPr>
          <w:rFonts w:hint="eastAsia" w:asciiTheme="minorEastAsia" w:hAnsiTheme="minorEastAsia" w:eastAsiaTheme="minorEastAsia" w:cstheme="minorEastAsia"/>
          <w:color w:val="auto"/>
          <w:spacing w:val="-13"/>
          <w:sz w:val="21"/>
          <w:szCs w:val="21"/>
          <w:highlight w:val="none"/>
        </w:rPr>
        <w:t>目录；</w:t>
      </w:r>
    </w:p>
    <w:p w14:paraId="3509FF3A">
      <w:pPr>
        <w:spacing w:before="153" w:line="220"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（3）《投标函》（格式二</w:t>
      </w:r>
      <w:r>
        <w:rPr>
          <w:rFonts w:hint="eastAsia" w:asciiTheme="minorEastAsia" w:hAnsiTheme="minorEastAsia" w:eastAsiaTheme="minorEastAsia" w:cstheme="minorEastAsia"/>
          <w:color w:val="auto"/>
          <w:spacing w:val="1"/>
          <w:sz w:val="21"/>
          <w:szCs w:val="21"/>
          <w:highlight w:val="none"/>
        </w:rPr>
        <w:t>）；</w:t>
      </w:r>
    </w:p>
    <w:p w14:paraId="496A3DBF">
      <w:pPr>
        <w:spacing w:before="153" w:line="220"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（4）《各项承诺一览表》（格式三</w:t>
      </w:r>
      <w:r>
        <w:rPr>
          <w:rFonts w:hint="eastAsia" w:asciiTheme="minorEastAsia" w:hAnsiTheme="minorEastAsia" w:eastAsiaTheme="minorEastAsia" w:cstheme="minorEastAsia"/>
          <w:color w:val="auto"/>
          <w:spacing w:val="5"/>
          <w:sz w:val="21"/>
          <w:szCs w:val="21"/>
          <w:highlight w:val="none"/>
        </w:rPr>
        <w:t>）；</w:t>
      </w:r>
    </w:p>
    <w:p w14:paraId="0B34FC28">
      <w:pPr>
        <w:spacing w:before="154" w:line="219"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（5）《授权委托书》（格式四</w:t>
      </w:r>
      <w:r>
        <w:rPr>
          <w:rFonts w:hint="eastAsia" w:asciiTheme="minorEastAsia" w:hAnsiTheme="minorEastAsia" w:eastAsiaTheme="minorEastAsia" w:cstheme="minorEastAsia"/>
          <w:color w:val="auto"/>
          <w:spacing w:val="3"/>
          <w:sz w:val="21"/>
          <w:szCs w:val="21"/>
          <w:highlight w:val="none"/>
        </w:rPr>
        <w:t>）；</w:t>
      </w:r>
    </w:p>
    <w:p w14:paraId="37E3359C">
      <w:pPr>
        <w:spacing w:before="156" w:line="220"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（6）《法定代表人身份证明》（格式五</w:t>
      </w:r>
      <w:r>
        <w:rPr>
          <w:rFonts w:hint="eastAsia" w:asciiTheme="minorEastAsia" w:hAnsiTheme="minorEastAsia" w:eastAsiaTheme="minorEastAsia" w:cstheme="minorEastAsia"/>
          <w:color w:val="auto"/>
          <w:spacing w:val="7"/>
          <w:sz w:val="21"/>
          <w:szCs w:val="21"/>
          <w:highlight w:val="none"/>
        </w:rPr>
        <w:t>）；</w:t>
      </w:r>
    </w:p>
    <w:p w14:paraId="3B4C71FC">
      <w:pPr>
        <w:spacing w:before="154" w:line="219"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（7）《联合体协议书》（格式六）及所附资料；</w:t>
      </w:r>
    </w:p>
    <w:p w14:paraId="6A401CCC">
      <w:pPr>
        <w:spacing w:before="153" w:line="309" w:lineRule="auto"/>
        <w:ind w:left="13" w:right="133" w:firstLine="49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（8）投标保证缴纳证明（投标人采用投标保证金的，附建</w:t>
      </w:r>
      <w:r>
        <w:rPr>
          <w:rFonts w:hint="eastAsia" w:asciiTheme="minorEastAsia" w:hAnsiTheme="minorEastAsia" w:eastAsiaTheme="minorEastAsia" w:cstheme="minorEastAsia"/>
          <w:color w:val="auto"/>
          <w:spacing w:val="1"/>
          <w:sz w:val="21"/>
          <w:szCs w:val="21"/>
          <w:highlight w:val="none"/>
        </w:rPr>
        <w:t>设工程交易系统《缴</w:t>
      </w:r>
      <w:r>
        <w:rPr>
          <w:rFonts w:hint="eastAsia" w:asciiTheme="minorEastAsia" w:hAnsiTheme="minorEastAsia" w:eastAsiaTheme="minorEastAsia" w:cstheme="minorEastAsia"/>
          <w:color w:val="auto"/>
          <w:spacing w:val="-1"/>
          <w:sz w:val="21"/>
          <w:szCs w:val="21"/>
          <w:highlight w:val="none"/>
        </w:rPr>
        <w:t>纳投标保证金通知书》页面截图和银行转账单彩色扫描件；采</w:t>
      </w:r>
      <w:r>
        <w:rPr>
          <w:rFonts w:hint="eastAsia" w:asciiTheme="minorEastAsia" w:hAnsiTheme="minorEastAsia" w:eastAsiaTheme="minorEastAsia" w:cstheme="minorEastAsia"/>
          <w:color w:val="auto"/>
          <w:spacing w:val="-2"/>
          <w:sz w:val="21"/>
          <w:szCs w:val="21"/>
          <w:highlight w:val="none"/>
        </w:rPr>
        <w:t>用投标保证担保的，附银行保函彩色扫描件；采用投标保证保险的，附电子保单和</w:t>
      </w:r>
      <w:r>
        <w:rPr>
          <w:rFonts w:hint="eastAsia" w:asciiTheme="minorEastAsia" w:hAnsiTheme="minorEastAsia" w:eastAsiaTheme="minorEastAsia" w:cstheme="minorEastAsia"/>
          <w:b/>
          <w:bCs/>
          <w:color w:val="auto"/>
          <w:spacing w:val="-2"/>
          <w:sz w:val="21"/>
          <w:szCs w:val="21"/>
          <w:highlight w:val="none"/>
        </w:rPr>
        <w:t>《韶关市公共资源交易一</w:t>
      </w:r>
      <w:r>
        <w:rPr>
          <w:rFonts w:hint="eastAsia" w:asciiTheme="minorEastAsia" w:hAnsiTheme="minorEastAsia" w:eastAsiaTheme="minorEastAsia" w:cstheme="minorEastAsia"/>
          <w:b/>
          <w:bCs/>
          <w:color w:val="auto"/>
          <w:spacing w:val="-3"/>
          <w:sz w:val="21"/>
          <w:szCs w:val="21"/>
          <w:highlight w:val="none"/>
        </w:rPr>
        <w:t>体化平台保证金缴纳信息》页面截图</w:t>
      </w:r>
      <w:r>
        <w:rPr>
          <w:rFonts w:hint="eastAsia" w:asciiTheme="minorEastAsia" w:hAnsiTheme="minorEastAsia" w:eastAsiaTheme="minorEastAsia" w:cstheme="minorEastAsia"/>
          <w:color w:val="auto"/>
          <w:spacing w:val="4"/>
          <w:sz w:val="21"/>
          <w:szCs w:val="21"/>
          <w:highlight w:val="none"/>
        </w:rPr>
        <w:t>）；</w:t>
      </w:r>
    </w:p>
    <w:p w14:paraId="6B68AB45">
      <w:pPr>
        <w:spacing w:before="156" w:line="219"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（9）《投标人基本情况表》（格式七）及所附资料；</w:t>
      </w:r>
    </w:p>
    <w:p w14:paraId="00898720">
      <w:pPr>
        <w:spacing w:before="155" w:line="219"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（10）《项目经理简历表》（格式八）及所附资料；</w:t>
      </w:r>
    </w:p>
    <w:p w14:paraId="13D4B6DB">
      <w:pPr>
        <w:spacing w:before="154" w:line="220"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（11）《项目经理任职声明》（格式九</w:t>
      </w:r>
      <w:r>
        <w:rPr>
          <w:rFonts w:hint="eastAsia" w:asciiTheme="minorEastAsia" w:hAnsiTheme="minorEastAsia" w:eastAsiaTheme="minorEastAsia" w:cstheme="minorEastAsia"/>
          <w:color w:val="auto"/>
          <w:spacing w:val="7"/>
          <w:sz w:val="21"/>
          <w:szCs w:val="21"/>
          <w:highlight w:val="none"/>
        </w:rPr>
        <w:t>）；</w:t>
      </w:r>
    </w:p>
    <w:p w14:paraId="72F673E2">
      <w:pPr>
        <w:spacing w:before="156" w:line="219"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（12）《项目技术负责人简历表》（格式十）及所附资料；</w:t>
      </w:r>
    </w:p>
    <w:p w14:paraId="6268013A">
      <w:pPr>
        <w:spacing w:before="154" w:line="219"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（13）《项</w:t>
      </w:r>
      <w:bookmarkStart w:id="48" w:name="OLE_LINK7"/>
      <w:r>
        <w:rPr>
          <w:rFonts w:hint="eastAsia" w:asciiTheme="minorEastAsia" w:hAnsiTheme="minorEastAsia" w:eastAsiaTheme="minorEastAsia" w:cstheme="minorEastAsia"/>
          <w:color w:val="auto"/>
          <w:spacing w:val="-1"/>
          <w:sz w:val="21"/>
          <w:szCs w:val="21"/>
          <w:highlight w:val="none"/>
        </w:rPr>
        <w:t>目管理机构组成表》（格式十一）及</w:t>
      </w:r>
      <w:bookmarkEnd w:id="48"/>
      <w:r>
        <w:rPr>
          <w:rFonts w:hint="eastAsia" w:asciiTheme="minorEastAsia" w:hAnsiTheme="minorEastAsia" w:eastAsiaTheme="minorEastAsia" w:cstheme="minorEastAsia"/>
          <w:color w:val="auto"/>
          <w:spacing w:val="-1"/>
          <w:sz w:val="21"/>
          <w:szCs w:val="21"/>
          <w:highlight w:val="none"/>
        </w:rPr>
        <w:t>所附资料；</w:t>
      </w:r>
    </w:p>
    <w:p w14:paraId="409A7613">
      <w:pPr>
        <w:spacing w:before="155" w:line="219"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（14）本节第</w:t>
      </w:r>
      <w:r>
        <w:rPr>
          <w:rFonts w:hint="eastAsia" w:asciiTheme="minorEastAsia" w:hAnsiTheme="minorEastAsia" w:eastAsiaTheme="minorEastAsia" w:cstheme="minorEastAsia"/>
          <w:color w:val="auto"/>
          <w:spacing w:val="-44"/>
          <w:sz w:val="21"/>
          <w:szCs w:val="21"/>
          <w:highlight w:val="none"/>
        </w:rPr>
        <w:t xml:space="preserve"> </w:t>
      </w:r>
      <w:r>
        <w:rPr>
          <w:rFonts w:hint="eastAsia" w:asciiTheme="minorEastAsia" w:hAnsiTheme="minorEastAsia" w:eastAsiaTheme="minorEastAsia" w:cstheme="minorEastAsia"/>
          <w:b/>
          <w:bCs/>
          <w:color w:val="auto"/>
          <w:spacing w:val="-4"/>
          <w:sz w:val="21"/>
          <w:szCs w:val="21"/>
          <w:highlight w:val="none"/>
        </w:rPr>
        <w:t>15.5.1</w:t>
      </w:r>
      <w:r>
        <w:rPr>
          <w:rFonts w:hint="eastAsia" w:asciiTheme="minorEastAsia" w:hAnsiTheme="minorEastAsia" w:eastAsiaTheme="minorEastAsia" w:cstheme="minorEastAsia"/>
          <w:b/>
          <w:bCs/>
          <w:color w:val="auto"/>
          <w:spacing w:val="55"/>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目“评标方法</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”要求提供的</w:t>
      </w:r>
      <w:r>
        <w:rPr>
          <w:rFonts w:hint="eastAsia" w:asciiTheme="minorEastAsia" w:hAnsiTheme="minorEastAsia" w:eastAsiaTheme="minorEastAsia" w:cstheme="minorEastAsia"/>
          <w:color w:val="auto"/>
          <w:spacing w:val="-5"/>
          <w:sz w:val="21"/>
          <w:szCs w:val="21"/>
          <w:highlight w:val="none"/>
        </w:rPr>
        <w:t>评审资料；</w:t>
      </w:r>
    </w:p>
    <w:p w14:paraId="2D6526C8">
      <w:pPr>
        <w:spacing w:before="78" w:line="299" w:lineRule="auto"/>
        <w:ind w:left="8" w:right="61" w:firstLine="49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（15）投标人认为有必要补充的其他资料。（例如投标人已经工商变更，但其企</w:t>
      </w:r>
      <w:r>
        <w:rPr>
          <w:rFonts w:hint="eastAsia" w:asciiTheme="minorEastAsia" w:hAnsiTheme="minorEastAsia" w:eastAsiaTheme="minorEastAsia" w:cstheme="minorEastAsia"/>
          <w:color w:val="auto"/>
          <w:spacing w:val="-1"/>
          <w:sz w:val="21"/>
          <w:szCs w:val="21"/>
          <w:highlight w:val="none"/>
        </w:rPr>
        <w:t>业资质证书、安全生产许可证或其员工执业资格注册证书上的企</w:t>
      </w:r>
      <w:r>
        <w:rPr>
          <w:rFonts w:hint="eastAsia" w:asciiTheme="minorEastAsia" w:hAnsiTheme="minorEastAsia" w:eastAsiaTheme="minorEastAsia" w:cstheme="minorEastAsia"/>
          <w:color w:val="auto"/>
          <w:spacing w:val="-2"/>
          <w:sz w:val="21"/>
          <w:szCs w:val="21"/>
          <w:highlight w:val="none"/>
        </w:rPr>
        <w:t>业名称未能在投标期</w:t>
      </w:r>
      <w:r>
        <w:rPr>
          <w:rFonts w:hint="eastAsia" w:asciiTheme="minorEastAsia" w:hAnsiTheme="minorEastAsia" w:eastAsiaTheme="minorEastAsia" w:cstheme="minorEastAsia"/>
          <w:color w:val="auto"/>
          <w:spacing w:val="-1"/>
          <w:sz w:val="21"/>
          <w:szCs w:val="21"/>
          <w:highlight w:val="none"/>
        </w:rPr>
        <w:t>间完成变更的书面说明和佐证材料等）</w:t>
      </w:r>
    </w:p>
    <w:p w14:paraId="6EA404CD">
      <w:pPr>
        <w:spacing w:before="155" w:line="262" w:lineRule="auto"/>
        <w:ind w:left="9" w:right="61" w:firstLine="48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10.2.2  </w:t>
      </w:r>
      <w:r>
        <w:rPr>
          <w:rFonts w:hint="eastAsia" w:asciiTheme="minorEastAsia" w:hAnsiTheme="minorEastAsia" w:eastAsiaTheme="minorEastAsia" w:cstheme="minorEastAsia"/>
          <w:color w:val="auto"/>
          <w:sz w:val="21"/>
          <w:szCs w:val="21"/>
          <w:highlight w:val="none"/>
        </w:rPr>
        <w:t>本节第</w:t>
      </w:r>
      <w:r>
        <w:rPr>
          <w:rFonts w:hint="eastAsia" w:asciiTheme="minorEastAsia" w:hAnsiTheme="minorEastAsia" w:eastAsiaTheme="minorEastAsia" w:cstheme="minorEastAsia"/>
          <w:color w:val="auto"/>
          <w:spacing w:val="-44"/>
          <w:sz w:val="21"/>
          <w:szCs w:val="21"/>
          <w:highlight w:val="none"/>
        </w:rPr>
        <w:t xml:space="preserve"> </w:t>
      </w:r>
      <w:r>
        <w:rPr>
          <w:rFonts w:hint="eastAsia" w:asciiTheme="minorEastAsia" w:hAnsiTheme="minorEastAsia" w:eastAsiaTheme="minorEastAsia" w:cstheme="minorEastAsia"/>
          <w:b/>
          <w:bCs/>
          <w:color w:val="auto"/>
          <w:sz w:val="21"/>
          <w:szCs w:val="21"/>
          <w:highlight w:val="none"/>
        </w:rPr>
        <w:t xml:space="preserve">10.2.1  </w:t>
      </w:r>
      <w:r>
        <w:rPr>
          <w:rFonts w:hint="eastAsia" w:asciiTheme="minorEastAsia" w:hAnsiTheme="minorEastAsia" w:eastAsiaTheme="minorEastAsia" w:cstheme="minorEastAsia"/>
          <w:color w:val="auto"/>
          <w:sz w:val="21"/>
          <w:szCs w:val="21"/>
          <w:highlight w:val="none"/>
        </w:rPr>
        <w:t>目中所列出的商务标书组成内容中，第（</w:t>
      </w:r>
      <w:r>
        <w:rPr>
          <w:rFonts w:hint="eastAsia" w:asciiTheme="minorEastAsia" w:hAnsiTheme="minorEastAsia" w:eastAsiaTheme="minorEastAsia" w:cstheme="minorEastAsia"/>
          <w:color w:val="auto"/>
          <w:spacing w:val="-1"/>
          <w:sz w:val="21"/>
          <w:szCs w:val="21"/>
          <w:highlight w:val="none"/>
        </w:rPr>
        <w:t>1）至第（13）项</w:t>
      </w:r>
      <w:r>
        <w:rPr>
          <w:rFonts w:hint="eastAsia" w:asciiTheme="minorEastAsia" w:hAnsiTheme="minorEastAsia" w:eastAsiaTheme="minorEastAsia" w:cstheme="minorEastAsia"/>
          <w:color w:val="auto"/>
          <w:sz w:val="21"/>
          <w:szCs w:val="21"/>
          <w:highlight w:val="none"/>
        </w:rPr>
        <w:t>所有投标人均应提供，</w:t>
      </w:r>
      <w:r>
        <w:rPr>
          <w:rFonts w:hint="eastAsia" w:asciiTheme="minorEastAsia" w:hAnsiTheme="minorEastAsia" w:eastAsiaTheme="minorEastAsia" w:cstheme="minorEastAsia"/>
          <w:b/>
          <w:bCs/>
          <w:color w:val="auto"/>
          <w:sz w:val="21"/>
          <w:szCs w:val="21"/>
          <w:highlight w:val="none"/>
        </w:rPr>
        <w:t>但非联合体投标的，</w:t>
      </w:r>
      <w:r>
        <w:rPr>
          <w:rFonts w:hint="eastAsia" w:asciiTheme="minorEastAsia" w:hAnsiTheme="minorEastAsia" w:eastAsiaTheme="minorEastAsia" w:cstheme="minorEastAsia"/>
          <w:b/>
          <w:bCs/>
          <w:color w:val="auto"/>
          <w:spacing w:val="-1"/>
          <w:sz w:val="21"/>
          <w:szCs w:val="21"/>
          <w:highlight w:val="none"/>
        </w:rPr>
        <w:t>无需提供第（7）项内容。</w:t>
      </w:r>
    </w:p>
    <w:p w14:paraId="5DBF1B48">
      <w:pPr>
        <w:spacing w:before="199" w:line="279" w:lineRule="auto"/>
        <w:ind w:right="61" w:firstLine="42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10.2.3 </w:t>
      </w:r>
      <w:r>
        <w:rPr>
          <w:rFonts w:hint="eastAsia" w:asciiTheme="minorEastAsia" w:hAnsiTheme="minorEastAsia" w:eastAsiaTheme="minorEastAsia" w:cstheme="minorEastAsia"/>
          <w:color w:val="auto"/>
          <w:spacing w:val="-8"/>
          <w:sz w:val="21"/>
          <w:szCs w:val="21"/>
          <w:highlight w:val="none"/>
        </w:rPr>
        <w:t>商务标书的组成内容按本节第 10.2.1 目规定的顺序整理、编排后，逐页（页</w:t>
      </w:r>
      <w:r>
        <w:rPr>
          <w:rFonts w:hint="eastAsia" w:asciiTheme="minorEastAsia" w:hAnsiTheme="minorEastAsia" w:eastAsiaTheme="minorEastAsia" w:cstheme="minorEastAsia"/>
          <w:color w:val="auto"/>
          <w:spacing w:val="-1"/>
          <w:sz w:val="21"/>
          <w:szCs w:val="21"/>
          <w:highlight w:val="none"/>
        </w:rPr>
        <w:t>码起始从封面开始）连续标记页码。</w:t>
      </w:r>
    </w:p>
    <w:p w14:paraId="4A6B8A4E">
      <w:pPr>
        <w:pStyle w:val="5"/>
        <w:spacing w:line="257" w:lineRule="auto"/>
        <w:rPr>
          <w:rFonts w:hint="eastAsia" w:asciiTheme="minorEastAsia" w:hAnsiTheme="minorEastAsia" w:eastAsiaTheme="minorEastAsia" w:cstheme="minorEastAsia"/>
          <w:color w:val="auto"/>
          <w:sz w:val="21"/>
          <w:szCs w:val="21"/>
          <w:highlight w:val="none"/>
        </w:rPr>
      </w:pPr>
    </w:p>
    <w:p w14:paraId="31ADF8D6">
      <w:pPr>
        <w:spacing w:before="78" w:line="219" w:lineRule="auto"/>
        <w:ind w:left="496"/>
        <w:outlineLvl w:val="9"/>
        <w:rPr>
          <w:rFonts w:hint="eastAsia" w:asciiTheme="minorEastAsia" w:hAnsiTheme="minorEastAsia" w:eastAsiaTheme="minorEastAsia" w:cstheme="minorEastAsia"/>
          <w:color w:val="auto"/>
          <w:sz w:val="21"/>
          <w:szCs w:val="21"/>
          <w:highlight w:val="none"/>
        </w:rPr>
      </w:pPr>
      <w:bookmarkStart w:id="49" w:name="_Toc10602"/>
      <w:bookmarkStart w:id="50" w:name="_Toc29370"/>
      <w:r>
        <w:rPr>
          <w:rFonts w:hint="eastAsia" w:asciiTheme="minorEastAsia" w:hAnsiTheme="minorEastAsia" w:eastAsiaTheme="minorEastAsia" w:cstheme="minorEastAsia"/>
          <w:b/>
          <w:bCs/>
          <w:color w:val="auto"/>
          <w:spacing w:val="-2"/>
          <w:sz w:val="21"/>
          <w:szCs w:val="21"/>
          <w:highlight w:val="none"/>
        </w:rPr>
        <w:t xml:space="preserve">10.3  </w:t>
      </w:r>
      <w:r>
        <w:rPr>
          <w:rFonts w:hint="eastAsia" w:asciiTheme="minorEastAsia" w:hAnsiTheme="minorEastAsia" w:eastAsiaTheme="minorEastAsia" w:cstheme="minorEastAsia"/>
          <w:color w:val="auto"/>
          <w:spacing w:val="-2"/>
          <w:sz w:val="21"/>
          <w:szCs w:val="21"/>
          <w:highlight w:val="none"/>
        </w:rPr>
        <w:t>经济标书的编制要求</w:t>
      </w:r>
      <w:bookmarkEnd w:id="49"/>
      <w:bookmarkEnd w:id="50"/>
    </w:p>
    <w:p w14:paraId="4208AA6F">
      <w:pPr>
        <w:spacing w:before="154" w:line="219"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10.3.1  </w:t>
      </w:r>
      <w:r>
        <w:rPr>
          <w:rFonts w:hint="eastAsia" w:asciiTheme="minorEastAsia" w:hAnsiTheme="minorEastAsia" w:eastAsiaTheme="minorEastAsia" w:cstheme="minorEastAsia"/>
          <w:color w:val="auto"/>
          <w:spacing w:val="-1"/>
          <w:sz w:val="21"/>
          <w:szCs w:val="21"/>
          <w:highlight w:val="none"/>
        </w:rPr>
        <w:t>经济标书包括以下内容：</w:t>
      </w:r>
    </w:p>
    <w:p w14:paraId="2829FA27">
      <w:pPr>
        <w:spacing w:before="156" w:line="220"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（1）封面（格式一</w:t>
      </w:r>
      <w:r>
        <w:rPr>
          <w:rFonts w:hint="eastAsia" w:asciiTheme="minorEastAsia" w:hAnsiTheme="minorEastAsia" w:eastAsiaTheme="minorEastAsia" w:cstheme="minorEastAsia"/>
          <w:color w:val="auto"/>
          <w:spacing w:val="2"/>
          <w:sz w:val="21"/>
          <w:szCs w:val="21"/>
          <w:highlight w:val="none"/>
        </w:rPr>
        <w:t>）；</w:t>
      </w:r>
    </w:p>
    <w:p w14:paraId="629DC64F">
      <w:pPr>
        <w:spacing w:before="153" w:line="222"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3"/>
          <w:sz w:val="21"/>
          <w:szCs w:val="21"/>
          <w:highlight w:val="none"/>
        </w:rPr>
        <w:t>（2）</w:t>
      </w:r>
      <w:r>
        <w:rPr>
          <w:rFonts w:hint="eastAsia" w:asciiTheme="minorEastAsia" w:hAnsiTheme="minorEastAsia" w:eastAsiaTheme="minorEastAsia" w:cstheme="minorEastAsia"/>
          <w:color w:val="auto"/>
          <w:spacing w:val="-64"/>
          <w:sz w:val="21"/>
          <w:szCs w:val="21"/>
          <w:highlight w:val="none"/>
        </w:rPr>
        <w:t xml:space="preserve"> </w:t>
      </w:r>
      <w:r>
        <w:rPr>
          <w:rFonts w:hint="eastAsia" w:asciiTheme="minorEastAsia" w:hAnsiTheme="minorEastAsia" w:eastAsiaTheme="minorEastAsia" w:cstheme="minorEastAsia"/>
          <w:color w:val="auto"/>
          <w:spacing w:val="-13"/>
          <w:sz w:val="21"/>
          <w:szCs w:val="21"/>
          <w:highlight w:val="none"/>
        </w:rPr>
        <w:t>目录；</w:t>
      </w:r>
    </w:p>
    <w:p w14:paraId="293976DD">
      <w:pPr>
        <w:spacing w:before="150" w:line="219"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（3）《投标总价》；</w:t>
      </w:r>
    </w:p>
    <w:p w14:paraId="3A0C8D62">
      <w:pPr>
        <w:spacing w:before="155" w:line="360" w:lineRule="auto"/>
        <w:ind w:left="5"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说明：《投标总价》的格式按照</w:t>
      </w:r>
      <w:r>
        <w:rPr>
          <w:rFonts w:hint="eastAsia" w:asciiTheme="minorEastAsia" w:hAnsiTheme="minorEastAsia" w:eastAsiaTheme="minorEastAsia" w:cstheme="minorEastAsia"/>
          <w:color w:val="auto"/>
          <w:spacing w:val="0"/>
          <w:sz w:val="21"/>
          <w:szCs w:val="21"/>
          <w:highlight w:val="none"/>
        </w:rPr>
        <w:t>《</w:t>
      </w:r>
      <w:r>
        <w:rPr>
          <w:rFonts w:hint="eastAsia" w:asciiTheme="minorEastAsia" w:hAnsiTheme="minorEastAsia" w:eastAsiaTheme="minorEastAsia" w:cstheme="minorEastAsia"/>
          <w:color w:val="auto"/>
          <w:spacing w:val="0"/>
          <w:sz w:val="21"/>
          <w:szCs w:val="21"/>
          <w:highlight w:val="none"/>
          <w:lang w:eastAsia="zh-CN"/>
        </w:rPr>
        <w:t>建设工程工程量清单计价标准</w:t>
      </w:r>
      <w:r>
        <w:rPr>
          <w:rFonts w:hint="eastAsia" w:asciiTheme="minorEastAsia" w:hAnsiTheme="minorEastAsia" w:eastAsiaTheme="minorEastAsia" w:cstheme="minorEastAsia"/>
          <w:color w:val="auto"/>
          <w:spacing w:val="0"/>
          <w:sz w:val="21"/>
          <w:szCs w:val="21"/>
          <w:highlight w:val="none"/>
        </w:rPr>
        <w:t>》（GB/T50500-2024）</w:t>
      </w:r>
      <w:r>
        <w:rPr>
          <w:rFonts w:hint="eastAsia" w:asciiTheme="minorEastAsia" w:hAnsiTheme="minorEastAsia" w:eastAsiaTheme="minorEastAsia" w:cstheme="minorEastAsia"/>
          <w:color w:val="auto"/>
          <w:spacing w:val="-1"/>
          <w:sz w:val="21"/>
          <w:szCs w:val="21"/>
          <w:highlight w:val="none"/>
        </w:rPr>
        <w:t>执行，并应满足以下要求：</w:t>
      </w:r>
    </w:p>
    <w:p w14:paraId="55A2647A">
      <w:pPr>
        <w:spacing w:before="150" w:line="309" w:lineRule="auto"/>
        <w:ind w:left="8" w:firstLine="48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a</w:t>
      </w:r>
      <w:r>
        <w:rPr>
          <w:rFonts w:hint="eastAsia" w:asciiTheme="minorEastAsia" w:hAnsiTheme="minorEastAsia" w:eastAsiaTheme="minorEastAsia" w:cstheme="minorEastAsia"/>
          <w:b/>
          <w:bCs/>
          <w:color w:val="auto"/>
          <w:spacing w:val="-28"/>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．《投标总价扉页》（即扉—3）后应附编制人的造价工程师注册证书彩色扫描件（须扫描至变更注册栏，</w:t>
      </w:r>
      <w:r>
        <w:rPr>
          <w:rFonts w:hint="eastAsia" w:asciiTheme="minorEastAsia" w:hAnsiTheme="minorEastAsia" w:eastAsiaTheme="minorEastAsia" w:cstheme="minorEastAsia"/>
          <w:b/>
          <w:bCs/>
          <w:color w:val="auto"/>
          <w:spacing w:val="-2"/>
          <w:sz w:val="21"/>
          <w:szCs w:val="21"/>
          <w:highlight w:val="none"/>
        </w:rPr>
        <w:t>一级造价师或二级造价师均可提供电子证书</w:t>
      </w:r>
      <w:r>
        <w:rPr>
          <w:rFonts w:hint="eastAsia" w:asciiTheme="minorEastAsia" w:hAnsiTheme="minorEastAsia" w:eastAsiaTheme="minorEastAsia" w:cstheme="minorEastAsia"/>
          <w:color w:val="auto"/>
          <w:spacing w:val="-2"/>
          <w:sz w:val="21"/>
          <w:szCs w:val="21"/>
          <w:highlight w:val="none"/>
        </w:rPr>
        <w:t>）；投标人委托造价咨询单位编制《投标总价》的，在该扉页“投标人 ”栏目加盖造价</w:t>
      </w:r>
      <w:r>
        <w:rPr>
          <w:rFonts w:hint="eastAsia" w:asciiTheme="minorEastAsia" w:hAnsiTheme="minorEastAsia" w:eastAsiaTheme="minorEastAsia" w:cstheme="minorEastAsia"/>
          <w:color w:val="auto"/>
          <w:spacing w:val="-7"/>
          <w:sz w:val="21"/>
          <w:szCs w:val="21"/>
          <w:highlight w:val="none"/>
        </w:rPr>
        <w:t>咨询人公章，</w:t>
      </w:r>
      <w:r>
        <w:rPr>
          <w:rFonts w:hint="eastAsia" w:asciiTheme="minorEastAsia" w:hAnsiTheme="minorEastAsia" w:eastAsiaTheme="minorEastAsia" w:cstheme="minorEastAsia"/>
          <w:color w:val="auto"/>
          <w:spacing w:val="-1"/>
          <w:sz w:val="21"/>
          <w:szCs w:val="21"/>
          <w:highlight w:val="none"/>
        </w:rPr>
        <w:t>并在该扉页后附造价咨询人的营业执照副本彩色扫描件。</w:t>
      </w:r>
    </w:p>
    <w:p w14:paraId="341548D6">
      <w:pPr>
        <w:spacing w:before="119" w:line="314" w:lineRule="auto"/>
        <w:ind w:left="10" w:right="61" w:firstLine="47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b.  </w:t>
      </w:r>
      <w:r>
        <w:rPr>
          <w:rFonts w:hint="eastAsia" w:asciiTheme="minorEastAsia" w:hAnsiTheme="minorEastAsia" w:eastAsiaTheme="minorEastAsia" w:cstheme="minorEastAsia"/>
          <w:color w:val="auto"/>
          <w:spacing w:val="2"/>
          <w:sz w:val="21"/>
          <w:szCs w:val="21"/>
          <w:highlight w:val="none"/>
        </w:rPr>
        <w:t>投标人认为有必要补充的其他资料（例如关于投标总价下浮率超过</w:t>
      </w:r>
      <w:r>
        <w:rPr>
          <w:rFonts w:hint="eastAsia" w:asciiTheme="minorEastAsia" w:hAnsiTheme="minorEastAsia" w:eastAsiaTheme="minorEastAsia" w:cstheme="minorEastAsia"/>
          <w:color w:val="auto"/>
          <w:spacing w:val="-27"/>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15%的书</w:t>
      </w:r>
      <w:r>
        <w:rPr>
          <w:rFonts w:hint="eastAsia" w:asciiTheme="minorEastAsia" w:hAnsiTheme="minorEastAsia" w:eastAsiaTheme="minorEastAsia" w:cstheme="minorEastAsia"/>
          <w:color w:val="auto"/>
          <w:spacing w:val="-2"/>
          <w:sz w:val="21"/>
          <w:szCs w:val="21"/>
          <w:highlight w:val="none"/>
        </w:rPr>
        <w:t>面说明和佐证材料）。</w:t>
      </w:r>
    </w:p>
    <w:p w14:paraId="2D357D68">
      <w:pPr>
        <w:spacing w:before="99" w:line="280" w:lineRule="auto"/>
        <w:ind w:left="10" w:right="63" w:firstLine="48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 xml:space="preserve">10.3.2  </w:t>
      </w:r>
      <w:r>
        <w:rPr>
          <w:rFonts w:hint="eastAsia" w:asciiTheme="minorEastAsia" w:hAnsiTheme="minorEastAsia" w:eastAsiaTheme="minorEastAsia" w:cstheme="minorEastAsia"/>
          <w:color w:val="auto"/>
          <w:spacing w:val="-3"/>
          <w:sz w:val="21"/>
          <w:szCs w:val="21"/>
          <w:highlight w:val="none"/>
        </w:rPr>
        <w:t>本节第</w:t>
      </w:r>
      <w:r>
        <w:rPr>
          <w:rFonts w:hint="eastAsia" w:asciiTheme="minorEastAsia" w:hAnsiTheme="minorEastAsia" w:eastAsiaTheme="minorEastAsia" w:cstheme="minorEastAsia"/>
          <w:color w:val="auto"/>
          <w:spacing w:val="-38"/>
          <w:sz w:val="21"/>
          <w:szCs w:val="21"/>
          <w:highlight w:val="none"/>
        </w:rPr>
        <w:t xml:space="preserve"> </w:t>
      </w:r>
      <w:r>
        <w:rPr>
          <w:rFonts w:hint="eastAsia" w:asciiTheme="minorEastAsia" w:hAnsiTheme="minorEastAsia" w:eastAsiaTheme="minorEastAsia" w:cstheme="minorEastAsia"/>
          <w:b/>
          <w:bCs/>
          <w:color w:val="auto"/>
          <w:spacing w:val="-3"/>
          <w:sz w:val="21"/>
          <w:szCs w:val="21"/>
          <w:highlight w:val="none"/>
        </w:rPr>
        <w:t xml:space="preserve">10.3.1  </w:t>
      </w:r>
      <w:r>
        <w:rPr>
          <w:rFonts w:hint="eastAsia" w:asciiTheme="minorEastAsia" w:hAnsiTheme="minorEastAsia" w:eastAsiaTheme="minorEastAsia" w:cstheme="minorEastAsia"/>
          <w:color w:val="auto"/>
          <w:spacing w:val="-3"/>
          <w:sz w:val="21"/>
          <w:szCs w:val="21"/>
          <w:highlight w:val="none"/>
        </w:rPr>
        <w:t>目中所列出的经济标书组成内容中，第（1）至第（3）项所</w:t>
      </w:r>
      <w:r>
        <w:rPr>
          <w:rFonts w:hint="eastAsia" w:asciiTheme="minorEastAsia" w:hAnsiTheme="minorEastAsia" w:eastAsiaTheme="minorEastAsia" w:cstheme="minorEastAsia"/>
          <w:color w:val="auto"/>
          <w:spacing w:val="-2"/>
          <w:sz w:val="21"/>
          <w:szCs w:val="21"/>
          <w:highlight w:val="none"/>
        </w:rPr>
        <w:t>有投标人均应提供。</w:t>
      </w:r>
    </w:p>
    <w:p w14:paraId="1246EC9E">
      <w:pPr>
        <w:spacing w:before="155" w:line="279" w:lineRule="auto"/>
        <w:ind w:left="8" w:right="61" w:firstLine="48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0"/>
          <w:sz w:val="21"/>
          <w:szCs w:val="21"/>
          <w:highlight w:val="none"/>
        </w:rPr>
        <w:t>10.3.3</w:t>
      </w:r>
      <w:r>
        <w:rPr>
          <w:rFonts w:hint="eastAsia" w:asciiTheme="minorEastAsia" w:hAnsiTheme="minorEastAsia" w:eastAsiaTheme="minorEastAsia" w:cstheme="minorEastAsia"/>
          <w:b/>
          <w:bCs/>
          <w:color w:val="auto"/>
          <w:spacing w:val="12"/>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经济标书的组成内容按本节第</w:t>
      </w:r>
      <w:r>
        <w:rPr>
          <w:rFonts w:hint="eastAsia" w:asciiTheme="minorEastAsia" w:hAnsiTheme="minorEastAsia" w:eastAsiaTheme="minorEastAsia" w:cstheme="minorEastAsia"/>
          <w:color w:val="auto"/>
          <w:spacing w:val="-33"/>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10</w:t>
      </w:r>
      <w:r>
        <w:rPr>
          <w:rFonts w:hint="eastAsia" w:asciiTheme="minorEastAsia" w:hAnsiTheme="minorEastAsia" w:eastAsiaTheme="minorEastAsia" w:cstheme="minorEastAsia"/>
          <w:color w:val="auto"/>
          <w:spacing w:val="-11"/>
          <w:sz w:val="21"/>
          <w:szCs w:val="21"/>
          <w:highlight w:val="none"/>
        </w:rPr>
        <w:t>.3.1 目规定的顺序整理、编排后，逐页（页</w:t>
      </w:r>
      <w:r>
        <w:rPr>
          <w:rFonts w:hint="eastAsia" w:asciiTheme="minorEastAsia" w:hAnsiTheme="minorEastAsia" w:eastAsiaTheme="minorEastAsia" w:cstheme="minorEastAsia"/>
          <w:color w:val="auto"/>
          <w:spacing w:val="-1"/>
          <w:sz w:val="21"/>
          <w:szCs w:val="21"/>
          <w:highlight w:val="none"/>
        </w:rPr>
        <w:t>码起始从封面开始）连续标记页码。</w:t>
      </w:r>
    </w:p>
    <w:p w14:paraId="7154DC55">
      <w:pPr>
        <w:spacing w:before="82" w:line="213" w:lineRule="auto"/>
        <w:ind w:left="496"/>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 xml:space="preserve">10.4  </w:t>
      </w:r>
      <w:r>
        <w:rPr>
          <w:rFonts w:hint="eastAsia" w:asciiTheme="minorEastAsia" w:hAnsiTheme="minorEastAsia" w:eastAsiaTheme="minorEastAsia" w:cstheme="minorEastAsia"/>
          <w:color w:val="auto"/>
          <w:spacing w:val="-3"/>
          <w:sz w:val="21"/>
          <w:szCs w:val="21"/>
          <w:highlight w:val="none"/>
        </w:rPr>
        <w:t>施工组织设计的编制要求</w:t>
      </w:r>
    </w:p>
    <w:p w14:paraId="5C940CA5">
      <w:pPr>
        <w:spacing w:before="151" w:line="219"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10.4.1 </w:t>
      </w:r>
      <w:r>
        <w:rPr>
          <w:rFonts w:hint="eastAsia" w:asciiTheme="minorEastAsia" w:hAnsiTheme="minorEastAsia" w:eastAsiaTheme="minorEastAsia" w:cstheme="minorEastAsia"/>
          <w:color w:val="auto"/>
          <w:spacing w:val="-1"/>
          <w:sz w:val="21"/>
          <w:szCs w:val="21"/>
          <w:highlight w:val="none"/>
        </w:rPr>
        <w:t>施工组织设计的编制依据包括且不限于：</w:t>
      </w:r>
    </w:p>
    <w:p w14:paraId="09FC62FE">
      <w:pPr>
        <w:spacing w:before="156" w:line="219"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（1）招标文件及其答疑（或修改）公告；</w:t>
      </w:r>
    </w:p>
    <w:p w14:paraId="64A2C5B5">
      <w:pPr>
        <w:spacing w:before="155" w:line="221"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（2）施工图及相关资料；</w:t>
      </w:r>
    </w:p>
    <w:p w14:paraId="5A75E790">
      <w:pPr>
        <w:spacing w:before="152" w:line="220"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（3）施工现场情况、工程特点；</w:t>
      </w:r>
    </w:p>
    <w:p w14:paraId="7FFEC969">
      <w:pPr>
        <w:spacing w:before="78" w:line="220"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（4）相关法律、法规、规定；</w:t>
      </w:r>
    </w:p>
    <w:p w14:paraId="15F05803">
      <w:pPr>
        <w:spacing w:before="153" w:line="299" w:lineRule="auto"/>
        <w:ind w:left="10" w:right="211"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（5）国家、广东省、韶关市关于施工现场管理、施工工艺</w:t>
      </w:r>
      <w:r>
        <w:rPr>
          <w:rFonts w:hint="eastAsia" w:asciiTheme="minorEastAsia" w:hAnsiTheme="minorEastAsia" w:eastAsiaTheme="minorEastAsia" w:cstheme="minorEastAsia"/>
          <w:color w:val="auto"/>
          <w:spacing w:val="1"/>
          <w:sz w:val="21"/>
          <w:szCs w:val="21"/>
          <w:highlight w:val="none"/>
        </w:rPr>
        <w:t>、绿色施工、安全防</w:t>
      </w:r>
      <w:r>
        <w:rPr>
          <w:rFonts w:hint="eastAsia" w:asciiTheme="minorEastAsia" w:hAnsiTheme="minorEastAsia" w:eastAsiaTheme="minorEastAsia" w:cstheme="minorEastAsia"/>
          <w:color w:val="auto"/>
          <w:spacing w:val="-1"/>
          <w:sz w:val="21"/>
          <w:szCs w:val="21"/>
          <w:highlight w:val="none"/>
        </w:rPr>
        <w:t>护、文明施工、环境保护等方面的标准、规范、技术资料。</w:t>
      </w:r>
      <w:r>
        <w:rPr>
          <w:rFonts w:hint="eastAsia" w:asciiTheme="minorEastAsia" w:hAnsiTheme="minorEastAsia" w:eastAsiaTheme="minorEastAsia" w:cstheme="minorEastAsia"/>
          <w:color w:val="auto"/>
          <w:spacing w:val="-2"/>
          <w:sz w:val="21"/>
          <w:szCs w:val="21"/>
          <w:highlight w:val="none"/>
        </w:rPr>
        <w:t>如《广东省住房和城乡建</w:t>
      </w:r>
      <w:r>
        <w:rPr>
          <w:rFonts w:hint="eastAsia" w:asciiTheme="minorEastAsia" w:hAnsiTheme="minorEastAsia" w:eastAsiaTheme="minorEastAsia" w:cstheme="minorEastAsia"/>
          <w:color w:val="auto"/>
          <w:sz w:val="21"/>
          <w:szCs w:val="21"/>
          <w:highlight w:val="none"/>
        </w:rPr>
        <w:t>设厅绿色施工导则》《广东省建设工程施工扬尘污染防</w:t>
      </w:r>
      <w:r>
        <w:rPr>
          <w:rFonts w:hint="eastAsia" w:asciiTheme="minorEastAsia" w:hAnsiTheme="minorEastAsia" w:eastAsiaTheme="minorEastAsia" w:cstheme="minorEastAsia"/>
          <w:color w:val="auto"/>
          <w:spacing w:val="-1"/>
          <w:sz w:val="21"/>
          <w:szCs w:val="21"/>
          <w:highlight w:val="none"/>
        </w:rPr>
        <w:t>治管理办法（试行）》等；</w:t>
      </w:r>
    </w:p>
    <w:p w14:paraId="6A3F368B">
      <w:pPr>
        <w:spacing w:before="155" w:line="220"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（6）企业内部标准、工法。</w:t>
      </w:r>
    </w:p>
    <w:p w14:paraId="5F53C90A">
      <w:pPr>
        <w:spacing w:before="153" w:line="220"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10.4.2 </w:t>
      </w:r>
      <w:r>
        <w:rPr>
          <w:rFonts w:hint="eastAsia" w:asciiTheme="minorEastAsia" w:hAnsiTheme="minorEastAsia" w:eastAsiaTheme="minorEastAsia" w:cstheme="minorEastAsia"/>
          <w:color w:val="auto"/>
          <w:spacing w:val="-1"/>
          <w:sz w:val="21"/>
          <w:szCs w:val="21"/>
          <w:highlight w:val="none"/>
        </w:rPr>
        <w:t>施工组织设计包括但不限于以下内容：</w:t>
      </w:r>
    </w:p>
    <w:p w14:paraId="66D9DF06">
      <w:pPr>
        <w:spacing w:before="153" w:line="220"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（1）封面（格式一</w:t>
      </w:r>
      <w:r>
        <w:rPr>
          <w:rFonts w:hint="eastAsia" w:asciiTheme="minorEastAsia" w:hAnsiTheme="minorEastAsia" w:eastAsiaTheme="minorEastAsia" w:cstheme="minorEastAsia"/>
          <w:color w:val="auto"/>
          <w:spacing w:val="2"/>
          <w:sz w:val="21"/>
          <w:szCs w:val="21"/>
          <w:highlight w:val="none"/>
        </w:rPr>
        <w:t>）；</w:t>
      </w:r>
    </w:p>
    <w:p w14:paraId="42F5A51C">
      <w:pPr>
        <w:spacing w:before="156" w:line="222"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3"/>
          <w:sz w:val="21"/>
          <w:szCs w:val="21"/>
          <w:highlight w:val="none"/>
        </w:rPr>
        <w:t>（2）</w:t>
      </w:r>
      <w:r>
        <w:rPr>
          <w:rFonts w:hint="eastAsia" w:asciiTheme="minorEastAsia" w:hAnsiTheme="minorEastAsia" w:eastAsiaTheme="minorEastAsia" w:cstheme="minorEastAsia"/>
          <w:color w:val="auto"/>
          <w:spacing w:val="-64"/>
          <w:sz w:val="21"/>
          <w:szCs w:val="21"/>
          <w:highlight w:val="none"/>
        </w:rPr>
        <w:t xml:space="preserve"> </w:t>
      </w:r>
      <w:r>
        <w:rPr>
          <w:rFonts w:hint="eastAsia" w:asciiTheme="minorEastAsia" w:hAnsiTheme="minorEastAsia" w:eastAsiaTheme="minorEastAsia" w:cstheme="minorEastAsia"/>
          <w:color w:val="auto"/>
          <w:spacing w:val="-13"/>
          <w:sz w:val="21"/>
          <w:szCs w:val="21"/>
          <w:highlight w:val="none"/>
        </w:rPr>
        <w:t>目录；</w:t>
      </w:r>
    </w:p>
    <w:p w14:paraId="4BAD54D9">
      <w:pPr>
        <w:spacing w:before="150" w:line="220"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（3）总体概述（包括施工程序总体设想及施工段划分等内容</w:t>
      </w:r>
      <w:r>
        <w:rPr>
          <w:rFonts w:hint="eastAsia" w:asciiTheme="minorEastAsia" w:hAnsiTheme="minorEastAsia" w:eastAsiaTheme="minorEastAsia" w:cstheme="minorEastAsia"/>
          <w:color w:val="auto"/>
          <w:spacing w:val="2"/>
          <w:sz w:val="21"/>
          <w:szCs w:val="21"/>
          <w:highlight w:val="none"/>
        </w:rPr>
        <w:t>）；</w:t>
      </w:r>
    </w:p>
    <w:p w14:paraId="28103E57">
      <w:pPr>
        <w:spacing w:before="154" w:line="299" w:lineRule="auto"/>
        <w:ind w:left="9" w:right="211" w:firstLine="49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（4）施工总进度计划及保证措施（包括进度管理目标；以</w:t>
      </w:r>
      <w:r>
        <w:rPr>
          <w:rFonts w:hint="eastAsia" w:asciiTheme="minorEastAsia" w:hAnsiTheme="minorEastAsia" w:eastAsiaTheme="minorEastAsia" w:cstheme="minorEastAsia"/>
          <w:color w:val="auto"/>
          <w:spacing w:val="1"/>
          <w:sz w:val="21"/>
          <w:szCs w:val="21"/>
          <w:highlight w:val="none"/>
        </w:rPr>
        <w:t>横道图或标明关键线</w:t>
      </w:r>
      <w:r>
        <w:rPr>
          <w:rFonts w:hint="eastAsia" w:asciiTheme="minorEastAsia" w:hAnsiTheme="minorEastAsia" w:eastAsiaTheme="minorEastAsia" w:cstheme="minorEastAsia"/>
          <w:color w:val="auto"/>
          <w:spacing w:val="-1"/>
          <w:sz w:val="21"/>
          <w:szCs w:val="21"/>
          <w:highlight w:val="none"/>
        </w:rPr>
        <w:t>路的网络进度计划；保障进度计划需要的人、材、机需求计划</w:t>
      </w:r>
      <w:r>
        <w:rPr>
          <w:rFonts w:hint="eastAsia" w:asciiTheme="minorEastAsia" w:hAnsiTheme="minorEastAsia" w:eastAsiaTheme="minorEastAsia" w:cstheme="minorEastAsia"/>
          <w:color w:val="auto"/>
          <w:spacing w:val="-2"/>
          <w:sz w:val="21"/>
          <w:szCs w:val="21"/>
          <w:highlight w:val="none"/>
        </w:rPr>
        <w:t>及保证措施；违约责任承诺等内容</w:t>
      </w:r>
      <w:r>
        <w:rPr>
          <w:rFonts w:hint="eastAsia" w:asciiTheme="minorEastAsia" w:hAnsiTheme="minorEastAsia" w:eastAsiaTheme="minorEastAsia" w:cstheme="minorEastAsia"/>
          <w:color w:val="auto"/>
          <w:sz w:val="21"/>
          <w:szCs w:val="21"/>
          <w:highlight w:val="none"/>
        </w:rPr>
        <w:t>）；</w:t>
      </w:r>
    </w:p>
    <w:p w14:paraId="6D255407">
      <w:pPr>
        <w:spacing w:before="153" w:line="220"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（5）质量保证措施（包括质量管理目标；相应保证措施；违约责任承诺</w:t>
      </w:r>
      <w:r>
        <w:rPr>
          <w:rFonts w:hint="eastAsia" w:asciiTheme="minorEastAsia" w:hAnsiTheme="minorEastAsia" w:eastAsiaTheme="minorEastAsia" w:cstheme="minorEastAsia"/>
          <w:color w:val="auto"/>
          <w:spacing w:val="-6"/>
          <w:sz w:val="21"/>
          <w:szCs w:val="21"/>
          <w:highlight w:val="none"/>
        </w:rPr>
        <w:t>等内容</w:t>
      </w:r>
      <w:r>
        <w:rPr>
          <w:rFonts w:hint="eastAsia" w:asciiTheme="minorEastAsia" w:hAnsiTheme="minorEastAsia" w:eastAsiaTheme="minorEastAsia" w:cstheme="minorEastAsia"/>
          <w:color w:val="auto"/>
          <w:spacing w:val="-62"/>
          <w:w w:val="97"/>
          <w:sz w:val="21"/>
          <w:szCs w:val="21"/>
          <w:highlight w:val="none"/>
        </w:rPr>
        <w:t>）；</w:t>
      </w:r>
    </w:p>
    <w:p w14:paraId="54826AD8">
      <w:pPr>
        <w:spacing w:before="156" w:line="279" w:lineRule="auto"/>
        <w:ind w:left="11" w:right="211" w:firstLine="48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（6）施工技术措施（包括关键施工技术、工艺及工程项目</w:t>
      </w:r>
      <w:r>
        <w:rPr>
          <w:rFonts w:hint="eastAsia" w:asciiTheme="minorEastAsia" w:hAnsiTheme="minorEastAsia" w:eastAsiaTheme="minorEastAsia" w:cstheme="minorEastAsia"/>
          <w:color w:val="auto"/>
          <w:spacing w:val="1"/>
          <w:sz w:val="21"/>
          <w:szCs w:val="21"/>
          <w:highlight w:val="none"/>
        </w:rPr>
        <w:t>实施的重点、难点分</w:t>
      </w:r>
      <w:r>
        <w:rPr>
          <w:rFonts w:hint="eastAsia" w:asciiTheme="minorEastAsia" w:hAnsiTheme="minorEastAsia" w:eastAsiaTheme="minorEastAsia" w:cstheme="minorEastAsia"/>
          <w:color w:val="auto"/>
          <w:spacing w:val="-1"/>
          <w:sz w:val="21"/>
          <w:szCs w:val="21"/>
          <w:highlight w:val="none"/>
        </w:rPr>
        <w:t>析和解决方案；新技术应用与承诺等内容</w:t>
      </w:r>
      <w:r>
        <w:rPr>
          <w:rFonts w:hint="eastAsia" w:asciiTheme="minorEastAsia" w:hAnsiTheme="minorEastAsia" w:eastAsiaTheme="minorEastAsia" w:cstheme="minorEastAsia"/>
          <w:color w:val="auto"/>
          <w:spacing w:val="2"/>
          <w:sz w:val="21"/>
          <w:szCs w:val="21"/>
          <w:highlight w:val="none"/>
        </w:rPr>
        <w:t>）；</w:t>
      </w:r>
    </w:p>
    <w:p w14:paraId="59740849">
      <w:pPr>
        <w:spacing w:before="118" w:line="297" w:lineRule="auto"/>
        <w:ind w:left="11" w:right="31" w:firstLine="489"/>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1"/>
          <w:sz w:val="21"/>
          <w:szCs w:val="21"/>
          <w:highlight w:val="none"/>
        </w:rPr>
        <w:t>（7）绿色施工、安全防护、文明施工措施计划(应对建设单位组织的勘察设计等单位在施工招标文件中列出的危大工程清单(详见格式十三)进行投标文件回应，如有)</w:t>
      </w:r>
      <w:r>
        <w:rPr>
          <w:rFonts w:hint="eastAsia" w:asciiTheme="minorEastAsia" w:hAnsiTheme="minorEastAsia" w:eastAsiaTheme="minorEastAsia" w:cstheme="minorEastAsia"/>
          <w:color w:val="auto"/>
          <w:spacing w:val="-3"/>
          <w:sz w:val="21"/>
          <w:szCs w:val="21"/>
          <w:highlight w:val="none"/>
        </w:rPr>
        <w:t>；</w:t>
      </w:r>
    </w:p>
    <w:p w14:paraId="4703D087">
      <w:pPr>
        <w:spacing w:before="118" w:line="297" w:lineRule="auto"/>
        <w:ind w:left="11" w:right="31" w:firstLine="48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（8）施工现场总平面布置（</w:t>
      </w:r>
      <w:bookmarkStart w:id="51" w:name="OLE_LINK8"/>
      <w:r>
        <w:rPr>
          <w:rFonts w:hint="eastAsia" w:asciiTheme="minorEastAsia" w:hAnsiTheme="minorEastAsia" w:eastAsiaTheme="minorEastAsia" w:cstheme="minorEastAsia"/>
          <w:color w:val="auto"/>
          <w:spacing w:val="2"/>
          <w:sz w:val="21"/>
          <w:szCs w:val="21"/>
          <w:highlight w:val="none"/>
        </w:rPr>
        <w:t>投标人应递交一份施工现场总</w:t>
      </w:r>
      <w:r>
        <w:rPr>
          <w:rFonts w:hint="eastAsia" w:asciiTheme="minorEastAsia" w:hAnsiTheme="minorEastAsia" w:eastAsiaTheme="minorEastAsia" w:cstheme="minorEastAsia"/>
          <w:color w:val="auto"/>
          <w:spacing w:val="1"/>
          <w:sz w:val="21"/>
          <w:szCs w:val="21"/>
          <w:highlight w:val="none"/>
        </w:rPr>
        <w:t>平面布置图，绘出现</w:t>
      </w:r>
      <w:r>
        <w:rPr>
          <w:rFonts w:hint="eastAsia" w:asciiTheme="minorEastAsia" w:hAnsiTheme="minorEastAsia" w:eastAsiaTheme="minorEastAsia" w:cstheme="minorEastAsia"/>
          <w:color w:val="auto"/>
          <w:spacing w:val="-1"/>
          <w:sz w:val="21"/>
          <w:szCs w:val="21"/>
          <w:highlight w:val="none"/>
        </w:rPr>
        <w:t>场临时设施布置图表并附文字说明，说明临时设施、加工车间、</w:t>
      </w:r>
      <w:r>
        <w:rPr>
          <w:rFonts w:hint="eastAsia" w:asciiTheme="minorEastAsia" w:hAnsiTheme="minorEastAsia" w:eastAsiaTheme="minorEastAsia" w:cstheme="minorEastAsia"/>
          <w:color w:val="auto"/>
          <w:spacing w:val="-2"/>
          <w:sz w:val="21"/>
          <w:szCs w:val="21"/>
          <w:highlight w:val="none"/>
        </w:rPr>
        <w:t>现场办公、设备及仓</w:t>
      </w:r>
      <w:r>
        <w:rPr>
          <w:rFonts w:hint="eastAsia" w:asciiTheme="minorEastAsia" w:hAnsiTheme="minorEastAsia" w:eastAsiaTheme="minorEastAsia" w:cstheme="minorEastAsia"/>
          <w:color w:val="auto"/>
          <w:spacing w:val="-1"/>
          <w:sz w:val="21"/>
          <w:szCs w:val="21"/>
          <w:highlight w:val="none"/>
        </w:rPr>
        <w:t>储、供电、供水、卫生、生活、道路、消防等设施的情况和布置</w:t>
      </w:r>
      <w:bookmarkEnd w:id="51"/>
      <w:r>
        <w:rPr>
          <w:rFonts w:hint="eastAsia" w:asciiTheme="minorEastAsia" w:hAnsiTheme="minorEastAsia" w:eastAsiaTheme="minorEastAsia" w:cstheme="minorEastAsia"/>
          <w:color w:val="auto"/>
          <w:spacing w:val="9"/>
          <w:sz w:val="21"/>
          <w:szCs w:val="21"/>
          <w:highlight w:val="none"/>
        </w:rPr>
        <w:t>）；</w:t>
      </w:r>
    </w:p>
    <w:p w14:paraId="74208EDB">
      <w:pPr>
        <w:spacing w:before="155" w:line="219"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（9）项目管理机构。</w:t>
      </w:r>
    </w:p>
    <w:p w14:paraId="19A771DF">
      <w:pPr>
        <w:spacing w:before="154" w:line="280" w:lineRule="auto"/>
        <w:ind w:right="211" w:firstLine="41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（10）投标人认为有必要补充的其他内容（例如对总包管理的认识以及对专业分</w:t>
      </w:r>
      <w:r>
        <w:rPr>
          <w:rFonts w:hint="eastAsia" w:asciiTheme="minorEastAsia" w:hAnsiTheme="minorEastAsia" w:eastAsiaTheme="minorEastAsia" w:cstheme="minorEastAsia"/>
          <w:color w:val="auto"/>
          <w:spacing w:val="-1"/>
          <w:sz w:val="21"/>
          <w:szCs w:val="21"/>
          <w:highlight w:val="none"/>
        </w:rPr>
        <w:t>包工程的管理、协调、配合、服务方案）。</w:t>
      </w:r>
    </w:p>
    <w:p w14:paraId="43BFCDBD">
      <w:pPr>
        <w:spacing w:before="152" w:line="279" w:lineRule="auto"/>
        <w:ind w:right="196" w:firstLine="41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10.4.3  </w:t>
      </w:r>
      <w:r>
        <w:rPr>
          <w:rFonts w:hint="eastAsia" w:asciiTheme="minorEastAsia" w:hAnsiTheme="minorEastAsia" w:eastAsiaTheme="minorEastAsia" w:cstheme="minorEastAsia"/>
          <w:color w:val="auto"/>
          <w:spacing w:val="-2"/>
          <w:sz w:val="21"/>
          <w:szCs w:val="21"/>
          <w:highlight w:val="none"/>
        </w:rPr>
        <w:t>本节第</w:t>
      </w:r>
      <w:r>
        <w:rPr>
          <w:rFonts w:hint="eastAsia" w:asciiTheme="minorEastAsia" w:hAnsiTheme="minorEastAsia" w:eastAsiaTheme="minorEastAsia" w:cstheme="minorEastAsia"/>
          <w:color w:val="auto"/>
          <w:spacing w:val="-44"/>
          <w:sz w:val="21"/>
          <w:szCs w:val="21"/>
          <w:highlight w:val="none"/>
        </w:rPr>
        <w:t xml:space="preserve"> </w:t>
      </w:r>
      <w:r>
        <w:rPr>
          <w:rFonts w:hint="eastAsia" w:asciiTheme="minorEastAsia" w:hAnsiTheme="minorEastAsia" w:eastAsiaTheme="minorEastAsia" w:cstheme="minorEastAsia"/>
          <w:b/>
          <w:bCs/>
          <w:color w:val="auto"/>
          <w:spacing w:val="-2"/>
          <w:sz w:val="21"/>
          <w:szCs w:val="21"/>
          <w:highlight w:val="none"/>
        </w:rPr>
        <w:t xml:space="preserve">10.4.2  </w:t>
      </w:r>
      <w:r>
        <w:rPr>
          <w:rFonts w:hint="eastAsia" w:asciiTheme="minorEastAsia" w:hAnsiTheme="minorEastAsia" w:eastAsiaTheme="minorEastAsia" w:cstheme="minorEastAsia"/>
          <w:color w:val="auto"/>
          <w:spacing w:val="-2"/>
          <w:sz w:val="21"/>
          <w:szCs w:val="21"/>
          <w:highlight w:val="none"/>
        </w:rPr>
        <w:t>目中所列出</w:t>
      </w:r>
      <w:r>
        <w:rPr>
          <w:rFonts w:hint="eastAsia" w:asciiTheme="minorEastAsia" w:hAnsiTheme="minorEastAsia" w:eastAsiaTheme="minorEastAsia" w:cstheme="minorEastAsia"/>
          <w:color w:val="auto"/>
          <w:spacing w:val="-3"/>
          <w:sz w:val="21"/>
          <w:szCs w:val="21"/>
          <w:highlight w:val="none"/>
        </w:rPr>
        <w:t>的施工组织设计组成内容中，第（1）至第（9）</w:t>
      </w:r>
      <w:r>
        <w:rPr>
          <w:rFonts w:hint="eastAsia" w:asciiTheme="minorEastAsia" w:hAnsiTheme="minorEastAsia" w:eastAsiaTheme="minorEastAsia" w:cstheme="minorEastAsia"/>
          <w:color w:val="auto"/>
          <w:spacing w:val="-2"/>
          <w:sz w:val="21"/>
          <w:szCs w:val="21"/>
          <w:highlight w:val="none"/>
        </w:rPr>
        <w:t>项所有投标人均应提供。</w:t>
      </w:r>
    </w:p>
    <w:p w14:paraId="78FAB93F">
      <w:pPr>
        <w:spacing w:before="157" w:line="279" w:lineRule="auto"/>
        <w:ind w:right="211" w:firstLine="402" w:firstLineChars="200"/>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b/>
          <w:bCs/>
          <w:color w:val="auto"/>
          <w:spacing w:val="-5"/>
          <w:sz w:val="21"/>
          <w:szCs w:val="21"/>
          <w:highlight w:val="none"/>
        </w:rPr>
        <w:t xml:space="preserve">10.4.4 </w:t>
      </w:r>
      <w:r>
        <w:rPr>
          <w:rFonts w:hint="eastAsia" w:asciiTheme="minorEastAsia" w:hAnsiTheme="minorEastAsia" w:eastAsiaTheme="minorEastAsia" w:cstheme="minorEastAsia"/>
          <w:color w:val="auto"/>
          <w:spacing w:val="-5"/>
          <w:sz w:val="21"/>
          <w:szCs w:val="21"/>
          <w:highlight w:val="none"/>
        </w:rPr>
        <w:t>施工组织设计的组成内容按本节第</w:t>
      </w:r>
      <w:r>
        <w:rPr>
          <w:rFonts w:hint="eastAsia" w:asciiTheme="minorEastAsia" w:hAnsiTheme="minorEastAsia" w:eastAsiaTheme="minorEastAsia" w:cstheme="minorEastAsia"/>
          <w:color w:val="auto"/>
          <w:spacing w:val="-18"/>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10.4.2 目规定的顺序整理、编排后，逐</w:t>
      </w:r>
      <w:r>
        <w:rPr>
          <w:rFonts w:hint="eastAsia" w:asciiTheme="minorEastAsia" w:hAnsiTheme="minorEastAsia" w:eastAsiaTheme="minorEastAsia" w:cstheme="minorEastAsia"/>
          <w:color w:val="auto"/>
          <w:spacing w:val="-1"/>
          <w:sz w:val="21"/>
          <w:szCs w:val="21"/>
          <w:highlight w:val="none"/>
        </w:rPr>
        <w:t>页（页码起始从封面开始）连续标记页码。</w:t>
      </w:r>
    </w:p>
    <w:p w14:paraId="4AF00543">
      <w:pP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lang w:eastAsia="zh-CN"/>
        </w:rPr>
        <w:t xml:space="preserve">    </w:t>
      </w:r>
      <w:r>
        <w:rPr>
          <w:rFonts w:hint="eastAsia" w:asciiTheme="minorEastAsia" w:hAnsiTheme="minorEastAsia" w:eastAsiaTheme="minorEastAsia" w:cstheme="minorEastAsia"/>
          <w:b/>
          <w:bCs/>
          <w:color w:val="auto"/>
          <w:spacing w:val="-1"/>
          <w:sz w:val="21"/>
          <w:szCs w:val="21"/>
          <w:highlight w:val="none"/>
        </w:rPr>
        <w:t>10.4.5</w:t>
      </w:r>
      <w:bookmarkStart w:id="52" w:name="OLE_LINK9"/>
      <w:r>
        <w:rPr>
          <w:rFonts w:hint="eastAsia" w:asciiTheme="minorEastAsia" w:hAnsiTheme="minorEastAsia" w:eastAsiaTheme="minorEastAsia" w:cstheme="minorEastAsia"/>
          <w:b/>
          <w:bCs/>
          <w:color w:val="auto"/>
          <w:spacing w:val="-1"/>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施工组织设计的正文不得超过</w:t>
      </w:r>
      <w:r>
        <w:rPr>
          <w:rFonts w:hint="eastAsia" w:asciiTheme="minorEastAsia" w:hAnsiTheme="minorEastAsia" w:eastAsiaTheme="minorEastAsia" w:cstheme="minorEastAsia"/>
          <w:color w:val="auto"/>
          <w:spacing w:val="-1"/>
          <w:sz w:val="21"/>
          <w:szCs w:val="21"/>
          <w:highlight w:val="none"/>
          <w:u w:val="single"/>
          <w:lang w:val="en-US" w:eastAsia="zh-CN"/>
        </w:rPr>
        <w:t>150</w:t>
      </w:r>
      <w:r>
        <w:rPr>
          <w:rFonts w:hint="eastAsia" w:asciiTheme="minorEastAsia" w:hAnsiTheme="minorEastAsia" w:eastAsiaTheme="minorEastAsia" w:cstheme="minorEastAsia"/>
          <w:color w:val="auto"/>
          <w:spacing w:val="-1"/>
          <w:sz w:val="21"/>
          <w:szCs w:val="21"/>
          <w:highlight w:val="none"/>
        </w:rPr>
        <w:t>页</w:t>
      </w:r>
      <w:r>
        <w:rPr>
          <w:rFonts w:hint="eastAsia" w:asciiTheme="minorEastAsia" w:hAnsiTheme="minorEastAsia" w:eastAsiaTheme="minorEastAsia" w:cstheme="minorEastAsia"/>
          <w:color w:val="auto"/>
          <w:spacing w:val="-1"/>
          <w:sz w:val="21"/>
          <w:szCs w:val="21"/>
          <w:highlight w:val="none"/>
          <w:lang w:eastAsia="zh-CN"/>
        </w:rPr>
        <w:t>。</w:t>
      </w:r>
      <w:bookmarkEnd w:id="52"/>
      <w:bookmarkStart w:id="53" w:name="bookmark121"/>
      <w:bookmarkEnd w:id="53"/>
    </w:p>
    <w:p w14:paraId="78A6D811">
      <w:pPr>
        <w:spacing w:before="78" w:line="221" w:lineRule="auto"/>
        <w:ind w:left="496"/>
        <w:outlineLvl w:val="2"/>
        <w:rPr>
          <w:rFonts w:hint="eastAsia" w:asciiTheme="minorEastAsia" w:hAnsiTheme="minorEastAsia" w:eastAsiaTheme="minorEastAsia" w:cstheme="minorEastAsia"/>
          <w:color w:val="auto"/>
          <w:sz w:val="21"/>
          <w:szCs w:val="21"/>
          <w:highlight w:val="none"/>
        </w:rPr>
      </w:pPr>
      <w:bookmarkStart w:id="54" w:name="_Toc19146"/>
      <w:bookmarkStart w:id="55" w:name="_Toc21936"/>
      <w:r>
        <w:rPr>
          <w:rFonts w:hint="eastAsia" w:asciiTheme="minorEastAsia" w:hAnsiTheme="minorEastAsia" w:eastAsiaTheme="minorEastAsia" w:cstheme="minorEastAsia"/>
          <w:b/>
          <w:bCs/>
          <w:color w:val="auto"/>
          <w:spacing w:val="-9"/>
          <w:sz w:val="21"/>
          <w:szCs w:val="21"/>
          <w:highlight w:val="none"/>
        </w:rPr>
        <w:t>11.</w:t>
      </w:r>
      <w:r>
        <w:rPr>
          <w:rFonts w:hint="eastAsia" w:asciiTheme="minorEastAsia" w:hAnsiTheme="minorEastAsia" w:eastAsiaTheme="minorEastAsia" w:cstheme="minorEastAsia"/>
          <w:b/>
          <w:bCs/>
          <w:color w:val="auto"/>
          <w:spacing w:val="20"/>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电子投标：</w:t>
      </w:r>
      <w:bookmarkEnd w:id="54"/>
      <w:bookmarkEnd w:id="55"/>
    </w:p>
    <w:p w14:paraId="2387035C">
      <w:pPr>
        <w:spacing w:before="112" w:line="295" w:lineRule="auto"/>
        <w:ind w:left="10" w:firstLine="48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 xml:space="preserve">11.1  </w:t>
      </w:r>
      <w:r>
        <w:rPr>
          <w:rFonts w:hint="eastAsia" w:asciiTheme="minorEastAsia" w:hAnsiTheme="minorEastAsia" w:eastAsiaTheme="minorEastAsia" w:cstheme="minorEastAsia"/>
          <w:color w:val="auto"/>
          <w:spacing w:val="-3"/>
          <w:sz w:val="21"/>
          <w:szCs w:val="21"/>
          <w:highlight w:val="none"/>
        </w:rPr>
        <w:t>在建设工程交易系统上传加盖了电子印章的投标文件、录入相关信息及标书</w:t>
      </w:r>
      <w:r>
        <w:rPr>
          <w:rFonts w:hint="eastAsia" w:asciiTheme="minorEastAsia" w:hAnsiTheme="minorEastAsia" w:eastAsiaTheme="minorEastAsia" w:cstheme="minorEastAsia"/>
          <w:color w:val="auto"/>
          <w:spacing w:val="2"/>
          <w:sz w:val="21"/>
          <w:szCs w:val="21"/>
          <w:highlight w:val="none"/>
        </w:rPr>
        <w:t>页码信息</w:t>
      </w:r>
      <w:r>
        <w:rPr>
          <w:rFonts w:hint="eastAsia" w:asciiTheme="minorEastAsia" w:hAnsiTheme="minorEastAsia" w:eastAsiaTheme="minorEastAsia" w:cstheme="minorEastAsia"/>
          <w:color w:val="auto"/>
          <w:spacing w:val="-25"/>
          <w:sz w:val="21"/>
          <w:szCs w:val="21"/>
          <w:highlight w:val="none"/>
        </w:rPr>
        <w:t>，（</w:t>
      </w:r>
      <w:r>
        <w:rPr>
          <w:rFonts w:hint="eastAsia" w:asciiTheme="minorEastAsia" w:hAnsiTheme="minorEastAsia" w:eastAsiaTheme="minorEastAsia" w:cstheme="minorEastAsia"/>
          <w:color w:val="auto"/>
          <w:spacing w:val="2"/>
          <w:sz w:val="21"/>
          <w:szCs w:val="21"/>
          <w:highlight w:val="none"/>
        </w:rPr>
        <w:t>页码起始从封面开始）并提交投标标书。提交标书为已加密投标文件。</w:t>
      </w:r>
      <w:r>
        <w:rPr>
          <w:rFonts w:hint="eastAsia" w:asciiTheme="minorEastAsia" w:hAnsiTheme="minorEastAsia" w:eastAsiaTheme="minorEastAsia" w:cstheme="minorEastAsia"/>
          <w:color w:val="auto"/>
          <w:spacing w:val="1"/>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具体操作参照《韶关市公共资源建设工程交易系统-投标人操</w:t>
      </w:r>
      <w:r>
        <w:rPr>
          <w:rFonts w:hint="eastAsia" w:asciiTheme="minorEastAsia" w:hAnsiTheme="minorEastAsia" w:eastAsiaTheme="minorEastAsia" w:cstheme="minorEastAsia"/>
          <w:color w:val="auto"/>
          <w:spacing w:val="-3"/>
          <w:sz w:val="21"/>
          <w:szCs w:val="21"/>
          <w:highlight w:val="none"/>
        </w:rPr>
        <w:t>作指南（电子评标）》。</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本项目评标采用全流程电子化进行招标投标（投标人应根据</w:t>
      </w:r>
      <w:r>
        <w:rPr>
          <w:rFonts w:hint="eastAsia" w:asciiTheme="minorEastAsia" w:hAnsiTheme="minorEastAsia" w:eastAsiaTheme="minorEastAsia" w:cstheme="minorEastAsia"/>
          <w:color w:val="auto"/>
          <w:spacing w:val="-2"/>
          <w:sz w:val="21"/>
          <w:szCs w:val="21"/>
          <w:highlight w:val="none"/>
        </w:rPr>
        <w:t>韶关市公共资源建设工程</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交易系统进行编辑投标相关内容、按招标文件电子投标要求</w:t>
      </w:r>
      <w:r>
        <w:rPr>
          <w:rFonts w:hint="eastAsia" w:asciiTheme="minorEastAsia" w:hAnsiTheme="minorEastAsia" w:eastAsiaTheme="minorEastAsia" w:cstheme="minorEastAsia"/>
          <w:color w:val="auto"/>
          <w:spacing w:val="-2"/>
          <w:sz w:val="21"/>
          <w:szCs w:val="21"/>
          <w:highlight w:val="none"/>
        </w:rPr>
        <w:t>上传已加盖电子印章投标</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文件，否则将自行承担不利后果）。投标文件完成上传后，投标人应</w:t>
      </w:r>
      <w:r>
        <w:rPr>
          <w:rFonts w:hint="eastAsia" w:asciiTheme="minorEastAsia" w:hAnsiTheme="minorEastAsia" w:eastAsiaTheme="minorEastAsia" w:cstheme="minorEastAsia"/>
          <w:color w:val="auto"/>
          <w:spacing w:val="-2"/>
          <w:sz w:val="21"/>
          <w:szCs w:val="21"/>
          <w:highlight w:val="none"/>
        </w:rPr>
        <w:t>使用 CA 数字证</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书对投标文件进行文件加密，形成加密的投标文件并提交标书。</w:t>
      </w:r>
    </w:p>
    <w:p w14:paraId="3A3F0CB5">
      <w:pPr>
        <w:spacing w:before="115" w:line="286" w:lineRule="auto"/>
        <w:ind w:left="10" w:right="81" w:firstLine="48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11.2</w:t>
      </w:r>
      <w:r>
        <w:rPr>
          <w:rFonts w:hint="eastAsia" w:asciiTheme="minorEastAsia" w:hAnsiTheme="minorEastAsia" w:eastAsiaTheme="minorEastAsia" w:cstheme="minorEastAsia"/>
          <w:b/>
          <w:bCs/>
          <w:color w:val="auto"/>
          <w:spacing w:val="19"/>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电子投标文件的修改、撤回：在提交投标文件截止时间前，投标人可</w:t>
      </w:r>
      <w:r>
        <w:rPr>
          <w:rFonts w:hint="eastAsia" w:asciiTheme="minorEastAsia" w:hAnsiTheme="minorEastAsia" w:eastAsiaTheme="minorEastAsia" w:cstheme="minorEastAsia"/>
          <w:color w:val="auto"/>
          <w:spacing w:val="-5"/>
          <w:sz w:val="21"/>
          <w:szCs w:val="21"/>
          <w:highlight w:val="none"/>
        </w:rPr>
        <w:t>以修改</w:t>
      </w:r>
      <w:r>
        <w:rPr>
          <w:rFonts w:hint="eastAsia" w:asciiTheme="minorEastAsia" w:hAnsiTheme="minorEastAsia" w:eastAsiaTheme="minorEastAsia" w:cstheme="minorEastAsia"/>
          <w:color w:val="auto"/>
          <w:spacing w:val="-1"/>
          <w:sz w:val="21"/>
          <w:szCs w:val="21"/>
          <w:highlight w:val="none"/>
        </w:rPr>
        <w:t>或撤回未解密的电子投标文件，并于提交投标文件截止时间</w:t>
      </w:r>
      <w:r>
        <w:rPr>
          <w:rFonts w:hint="eastAsia" w:asciiTheme="minorEastAsia" w:hAnsiTheme="minorEastAsia" w:eastAsiaTheme="minorEastAsia" w:cstheme="minorEastAsia"/>
          <w:color w:val="auto"/>
          <w:spacing w:val="-2"/>
          <w:sz w:val="21"/>
          <w:szCs w:val="21"/>
          <w:highlight w:val="none"/>
        </w:rPr>
        <w:t>前将重新上传修改后的电</w:t>
      </w:r>
      <w:r>
        <w:rPr>
          <w:rFonts w:hint="eastAsia" w:asciiTheme="minorEastAsia" w:hAnsiTheme="minorEastAsia" w:eastAsiaTheme="minorEastAsia" w:cstheme="minorEastAsia"/>
          <w:color w:val="auto"/>
          <w:spacing w:val="-1"/>
          <w:sz w:val="21"/>
          <w:szCs w:val="21"/>
          <w:highlight w:val="none"/>
        </w:rPr>
        <w:t>子投标文件至系统，到达投标文件提交截止时间后投标人不</w:t>
      </w:r>
      <w:r>
        <w:rPr>
          <w:rFonts w:hint="eastAsia" w:asciiTheme="minorEastAsia" w:hAnsiTheme="minorEastAsia" w:eastAsiaTheme="minorEastAsia" w:cstheme="minorEastAsia"/>
          <w:color w:val="auto"/>
          <w:spacing w:val="-2"/>
          <w:sz w:val="21"/>
          <w:szCs w:val="21"/>
          <w:highlight w:val="none"/>
        </w:rPr>
        <w:t>得撤回、补充、修改和更换投标文件。</w:t>
      </w:r>
    </w:p>
    <w:p w14:paraId="01920213">
      <w:pPr>
        <w:numPr>
          <w:ilvl w:val="0"/>
          <w:numId w:val="0"/>
        </w:numPr>
        <w:spacing w:before="78" w:line="220" w:lineRule="auto"/>
        <w:ind w:firstLine="386" w:firstLineChars="200"/>
        <w:outlineLvl w:val="2"/>
        <w:rPr>
          <w:rFonts w:hint="eastAsia" w:asciiTheme="minorEastAsia" w:hAnsiTheme="minorEastAsia" w:eastAsiaTheme="minorEastAsia" w:cstheme="minorEastAsia"/>
          <w:b/>
          <w:bCs/>
          <w:color w:val="auto"/>
          <w:spacing w:val="-4"/>
          <w:sz w:val="21"/>
          <w:szCs w:val="21"/>
          <w:highlight w:val="none"/>
        </w:rPr>
      </w:pPr>
      <w:bookmarkStart w:id="56" w:name="_Toc118"/>
      <w:r>
        <w:rPr>
          <w:rFonts w:hint="eastAsia" w:asciiTheme="minorEastAsia" w:hAnsiTheme="minorEastAsia" w:eastAsiaTheme="minorEastAsia" w:cstheme="minorEastAsia"/>
          <w:b/>
          <w:bCs/>
          <w:color w:val="auto"/>
          <w:spacing w:val="-9"/>
          <w:sz w:val="21"/>
          <w:szCs w:val="21"/>
          <w:highlight w:val="none"/>
          <w:lang w:val="en-US" w:eastAsia="zh-CN"/>
        </w:rPr>
        <w:t>12.</w:t>
      </w:r>
      <w:r>
        <w:rPr>
          <w:rFonts w:hint="eastAsia" w:asciiTheme="minorEastAsia" w:hAnsiTheme="minorEastAsia" w:eastAsiaTheme="minorEastAsia" w:cstheme="minorEastAsia"/>
          <w:b/>
          <w:bCs/>
          <w:color w:val="auto"/>
          <w:spacing w:val="22"/>
          <w:w w:val="101"/>
          <w:sz w:val="21"/>
          <w:szCs w:val="21"/>
          <w:highlight w:val="none"/>
        </w:rPr>
        <w:t xml:space="preserve"> </w:t>
      </w:r>
      <w:bookmarkStart w:id="57" w:name="_Toc29834"/>
      <w:r>
        <w:rPr>
          <w:rFonts w:hint="eastAsia" w:asciiTheme="minorEastAsia" w:hAnsiTheme="minorEastAsia" w:eastAsiaTheme="minorEastAsia" w:cstheme="minorEastAsia"/>
          <w:b/>
          <w:bCs/>
          <w:color w:val="auto"/>
          <w:spacing w:val="-4"/>
          <w:sz w:val="21"/>
          <w:szCs w:val="21"/>
          <w:highlight w:val="none"/>
        </w:rPr>
        <w:t>电子投标及投标解密失败及突发情况的补救方案</w:t>
      </w:r>
      <w:bookmarkEnd w:id="56"/>
      <w:bookmarkEnd w:id="57"/>
    </w:p>
    <w:p w14:paraId="4DD01C35">
      <w:pPr>
        <w:spacing w:before="78" w:line="220" w:lineRule="auto"/>
        <w:ind w:firstLine="418"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12.1 </w:t>
      </w:r>
      <w:r>
        <w:rPr>
          <w:rFonts w:hint="eastAsia" w:asciiTheme="minorEastAsia" w:hAnsiTheme="minorEastAsia" w:eastAsiaTheme="minorEastAsia" w:cstheme="minorEastAsia"/>
          <w:color w:val="auto"/>
          <w:spacing w:val="-1"/>
          <w:sz w:val="21"/>
          <w:szCs w:val="21"/>
          <w:highlight w:val="none"/>
        </w:rPr>
        <w:t>按照交易平台关于全流程电子化项目的相</w:t>
      </w:r>
      <w:r>
        <w:rPr>
          <w:rFonts w:hint="eastAsia" w:asciiTheme="minorEastAsia" w:hAnsiTheme="minorEastAsia" w:eastAsiaTheme="minorEastAsia" w:cstheme="minorEastAsia"/>
          <w:color w:val="auto"/>
          <w:spacing w:val="-2"/>
          <w:sz w:val="21"/>
          <w:szCs w:val="21"/>
          <w:highlight w:val="none"/>
        </w:rPr>
        <w:t>关指南进行操作。详见：全国公共</w:t>
      </w:r>
      <w:r>
        <w:rPr>
          <w:rFonts w:hint="eastAsia" w:asciiTheme="minorEastAsia" w:hAnsiTheme="minorEastAsia" w:eastAsiaTheme="minorEastAsia" w:cstheme="minorEastAsia"/>
          <w:color w:val="auto"/>
          <w:spacing w:val="-1"/>
          <w:sz w:val="21"/>
          <w:szCs w:val="21"/>
          <w:highlight w:val="none"/>
        </w:rPr>
        <w:t>资源交易平台（广东省</w:t>
      </w:r>
      <w:r>
        <w:rPr>
          <w:rFonts w:hint="eastAsia" w:asciiTheme="minorEastAsia" w:hAnsiTheme="minorEastAsia" w:eastAsiaTheme="minorEastAsia" w:cstheme="minorEastAsia"/>
          <w:color w:val="auto"/>
          <w:spacing w:val="-28"/>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·韶关市</w:t>
      </w:r>
      <w:r>
        <w:rPr>
          <w:rFonts w:hint="eastAsia" w:asciiTheme="minorEastAsia" w:hAnsiTheme="minorEastAsia" w:eastAsiaTheme="minorEastAsia" w:cstheme="minorEastAsia"/>
          <w:color w:val="auto"/>
          <w:spacing w:val="-26"/>
          <w:sz w:val="21"/>
          <w:szCs w:val="21"/>
          <w:highlight w:val="none"/>
        </w:rPr>
        <w:t>）（</w:t>
      </w:r>
      <w:r>
        <w:rPr>
          <w:rFonts w:hint="eastAsia" w:asciiTheme="minorEastAsia" w:hAnsiTheme="minorEastAsia" w:eastAsiaTheme="minorEastAsia" w:cstheme="minorEastAsia"/>
          <w:color w:val="auto"/>
          <w:spacing w:val="-1"/>
          <w:sz w:val="21"/>
          <w:szCs w:val="21"/>
          <w:highlight w:val="none"/>
        </w:rPr>
        <w:t>https://y</w:t>
      </w:r>
      <w:r>
        <w:rPr>
          <w:rFonts w:hint="eastAsia" w:asciiTheme="minorEastAsia" w:hAnsiTheme="minorEastAsia" w:eastAsiaTheme="minorEastAsia" w:cstheme="minorEastAsia"/>
          <w:color w:val="auto"/>
          <w:spacing w:val="-2"/>
          <w:sz w:val="21"/>
          <w:szCs w:val="21"/>
          <w:highlight w:val="none"/>
        </w:rPr>
        <w:t>gp.gdzwfw.gov.cn/ggzy-portal/#/44</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0200/index）服务指南栏目发布的最新版操作指引。</w:t>
      </w:r>
    </w:p>
    <w:p w14:paraId="7E9D2BB8">
      <w:pPr>
        <w:spacing w:before="113" w:line="220"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12.2  </w:t>
      </w:r>
      <w:r>
        <w:rPr>
          <w:rFonts w:hint="eastAsia" w:asciiTheme="minorEastAsia" w:hAnsiTheme="minorEastAsia" w:eastAsiaTheme="minorEastAsia" w:cstheme="minorEastAsia"/>
          <w:color w:val="auto"/>
          <w:spacing w:val="-2"/>
          <w:sz w:val="21"/>
          <w:szCs w:val="21"/>
          <w:highlight w:val="none"/>
        </w:rPr>
        <w:t>补救方案：</w:t>
      </w:r>
    </w:p>
    <w:p w14:paraId="21764F5B">
      <w:pPr>
        <w:spacing w:before="115" w:line="220"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12.2.1  </w:t>
      </w:r>
      <w:r>
        <w:rPr>
          <w:rFonts w:hint="eastAsia" w:asciiTheme="minorEastAsia" w:hAnsiTheme="minorEastAsia" w:eastAsiaTheme="minorEastAsia" w:cstheme="minorEastAsia"/>
          <w:color w:val="auto"/>
          <w:spacing w:val="-1"/>
          <w:sz w:val="21"/>
          <w:szCs w:val="21"/>
          <w:highlight w:val="none"/>
        </w:rPr>
        <w:t>投标文件解密失败的补救方案：</w:t>
      </w:r>
    </w:p>
    <w:p w14:paraId="700DBAC2">
      <w:pPr>
        <w:spacing w:before="115" w:line="298" w:lineRule="auto"/>
        <w:ind w:right="81" w:firstLine="428"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在规定时间内，因投标人之外原因(指网络瘫痪、服务器损坏、交易系统故障短期无法恢复)等导致的电子投标文件解密失败，在开标现场解密环节由代理授权后，</w:t>
      </w:r>
      <w:r>
        <w:rPr>
          <w:rFonts w:hint="eastAsia" w:asciiTheme="minorEastAsia" w:hAnsiTheme="minorEastAsia" w:eastAsiaTheme="minorEastAsia" w:cstheme="minorEastAsia"/>
          <w:color w:val="auto"/>
          <w:spacing w:val="1"/>
          <w:sz w:val="21"/>
          <w:szCs w:val="21"/>
          <w:highlight w:val="none"/>
        </w:rPr>
        <w:t>解密失败投标人可在建设工程交易系统在规定时间（代理机构授权后</w:t>
      </w:r>
      <w:r>
        <w:rPr>
          <w:rFonts w:hint="eastAsia" w:asciiTheme="minorEastAsia" w:hAnsiTheme="minorEastAsia" w:eastAsiaTheme="minorEastAsia" w:cstheme="minorEastAsia"/>
          <w:color w:val="auto"/>
          <w:spacing w:val="-40"/>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30</w:t>
      </w:r>
      <w:r>
        <w:rPr>
          <w:rFonts w:hint="eastAsia" w:asciiTheme="minorEastAsia" w:hAnsiTheme="minorEastAsia" w:eastAsiaTheme="minorEastAsia" w:cstheme="minorEastAsia"/>
          <w:color w:val="auto"/>
          <w:spacing w:val="-43"/>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分钟内）内</w:t>
      </w:r>
      <w:bookmarkStart w:id="58" w:name="bookmark122"/>
      <w:bookmarkEnd w:id="58"/>
      <w:r>
        <w:rPr>
          <w:rFonts w:hint="eastAsia" w:asciiTheme="minorEastAsia" w:hAnsiTheme="minorEastAsia" w:eastAsiaTheme="minorEastAsia" w:cstheme="minorEastAsia"/>
          <w:color w:val="auto"/>
          <w:spacing w:val="-1"/>
          <w:sz w:val="21"/>
          <w:szCs w:val="21"/>
          <w:highlight w:val="none"/>
        </w:rPr>
        <w:t>重新提交投标文件继续开标程序。</w:t>
      </w:r>
    </w:p>
    <w:p w14:paraId="3E1C2344">
      <w:pPr>
        <w:spacing w:before="114" w:line="220"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12.2.2  </w:t>
      </w:r>
      <w:r>
        <w:rPr>
          <w:rFonts w:hint="eastAsia" w:asciiTheme="minorEastAsia" w:hAnsiTheme="minorEastAsia" w:eastAsiaTheme="minorEastAsia" w:cstheme="minorEastAsia"/>
          <w:color w:val="auto"/>
          <w:spacing w:val="-1"/>
          <w:sz w:val="21"/>
          <w:szCs w:val="21"/>
          <w:highlight w:val="none"/>
        </w:rPr>
        <w:t>评标时突发情况的补救方案</w:t>
      </w:r>
    </w:p>
    <w:p w14:paraId="6E99B40B">
      <w:pPr>
        <w:spacing w:before="114" w:line="303" w:lineRule="auto"/>
        <w:ind w:right="81" w:firstLine="416"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在评标过程中，因主场或副场网络故障、电子设备或者</w:t>
      </w:r>
      <w:r>
        <w:rPr>
          <w:rFonts w:hint="eastAsia" w:asciiTheme="minorEastAsia" w:hAnsiTheme="minorEastAsia" w:eastAsiaTheme="minorEastAsia" w:cstheme="minorEastAsia"/>
          <w:color w:val="auto"/>
          <w:spacing w:val="-2"/>
          <w:sz w:val="21"/>
          <w:szCs w:val="21"/>
          <w:highlight w:val="none"/>
        </w:rPr>
        <w:t>评标系统故障，以及其他</w:t>
      </w:r>
      <w:r>
        <w:rPr>
          <w:rFonts w:hint="eastAsia" w:asciiTheme="minorEastAsia" w:hAnsiTheme="minorEastAsia" w:eastAsiaTheme="minorEastAsia" w:cstheme="minorEastAsia"/>
          <w:color w:val="auto"/>
          <w:spacing w:val="-3"/>
          <w:sz w:val="21"/>
          <w:szCs w:val="21"/>
          <w:highlight w:val="none"/>
        </w:rPr>
        <w:t>原因导致无法继续进行评标时，在</w:t>
      </w:r>
      <w:r>
        <w:rPr>
          <w:rFonts w:hint="eastAsia" w:asciiTheme="minorEastAsia" w:hAnsiTheme="minorEastAsia" w:eastAsiaTheme="minorEastAsia" w:cstheme="minorEastAsia"/>
          <w:color w:val="auto"/>
          <w:spacing w:val="-37"/>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4</w:t>
      </w:r>
      <w:r>
        <w:rPr>
          <w:rFonts w:hint="eastAsia" w:asciiTheme="minorEastAsia" w:hAnsiTheme="minorEastAsia" w:eastAsiaTheme="minorEastAsia" w:cstheme="minorEastAsia"/>
          <w:color w:val="auto"/>
          <w:spacing w:val="-44"/>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小时以内解除故障的可继续评标，超过</w:t>
      </w:r>
      <w:r>
        <w:rPr>
          <w:rFonts w:hint="eastAsia" w:asciiTheme="minorEastAsia" w:hAnsiTheme="minorEastAsia" w:eastAsiaTheme="minorEastAsia" w:cstheme="minorEastAsia"/>
          <w:color w:val="auto"/>
          <w:spacing w:val="-52"/>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4</w:t>
      </w:r>
      <w:r>
        <w:rPr>
          <w:rFonts w:hint="eastAsia" w:asciiTheme="minorEastAsia" w:hAnsiTheme="minorEastAsia" w:eastAsiaTheme="minorEastAsia" w:cstheme="minorEastAsia"/>
          <w:color w:val="auto"/>
          <w:spacing w:val="-44"/>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小时无</w:t>
      </w:r>
      <w:r>
        <w:rPr>
          <w:rFonts w:hint="eastAsia" w:asciiTheme="minorEastAsia" w:hAnsiTheme="minorEastAsia" w:eastAsiaTheme="minorEastAsia" w:cstheme="minorEastAsia"/>
          <w:color w:val="auto"/>
          <w:spacing w:val="-1"/>
          <w:sz w:val="21"/>
          <w:szCs w:val="21"/>
          <w:highlight w:val="none"/>
        </w:rPr>
        <w:t>法解除故障的，由招标人确定是否进行评标。如延期评标，</w:t>
      </w:r>
      <w:r>
        <w:rPr>
          <w:rFonts w:hint="eastAsia" w:asciiTheme="minorEastAsia" w:hAnsiTheme="minorEastAsia" w:eastAsiaTheme="minorEastAsia" w:cstheme="minorEastAsia"/>
          <w:color w:val="auto"/>
          <w:spacing w:val="-2"/>
          <w:sz w:val="21"/>
          <w:szCs w:val="21"/>
          <w:highlight w:val="none"/>
        </w:rPr>
        <w:t>招标人及参与评标活动的</w:t>
      </w:r>
      <w:r>
        <w:rPr>
          <w:rFonts w:hint="eastAsia" w:asciiTheme="minorEastAsia" w:hAnsiTheme="minorEastAsia" w:eastAsiaTheme="minorEastAsia" w:cstheme="minorEastAsia"/>
          <w:color w:val="auto"/>
          <w:spacing w:val="-1"/>
          <w:sz w:val="21"/>
          <w:szCs w:val="21"/>
          <w:highlight w:val="none"/>
        </w:rPr>
        <w:t>各方主体及其有关工作人员应当配合主场、副场做好招投标</w:t>
      </w:r>
      <w:r>
        <w:rPr>
          <w:rFonts w:hint="eastAsia" w:asciiTheme="minorEastAsia" w:hAnsiTheme="minorEastAsia" w:eastAsiaTheme="minorEastAsia" w:cstheme="minorEastAsia"/>
          <w:color w:val="auto"/>
          <w:spacing w:val="-2"/>
          <w:sz w:val="21"/>
          <w:szCs w:val="21"/>
          <w:highlight w:val="none"/>
        </w:rPr>
        <w:t>资料的封存和保密工作，</w:t>
      </w:r>
      <w:r>
        <w:rPr>
          <w:rFonts w:hint="eastAsia" w:asciiTheme="minorEastAsia" w:hAnsiTheme="minorEastAsia" w:eastAsiaTheme="minorEastAsia" w:cstheme="minorEastAsia"/>
          <w:color w:val="auto"/>
          <w:spacing w:val="-1"/>
          <w:sz w:val="21"/>
          <w:szCs w:val="21"/>
          <w:highlight w:val="none"/>
        </w:rPr>
        <w:t>另行组建评标委员会重新评标。原评标委员会成员应当对评</w:t>
      </w:r>
      <w:r>
        <w:rPr>
          <w:rFonts w:hint="eastAsia" w:asciiTheme="minorEastAsia" w:hAnsiTheme="minorEastAsia" w:eastAsiaTheme="minorEastAsia" w:cstheme="minorEastAsia"/>
          <w:color w:val="auto"/>
          <w:spacing w:val="-2"/>
          <w:sz w:val="21"/>
          <w:szCs w:val="21"/>
          <w:highlight w:val="none"/>
        </w:rPr>
        <w:t>标情况保密，不得对外透</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露与评标有关的任何信息与情况。</w:t>
      </w:r>
    </w:p>
    <w:p w14:paraId="275C18B3">
      <w:pPr>
        <w:spacing w:before="69" w:line="324" w:lineRule="auto"/>
        <w:ind w:left="11" w:right="81" w:firstLine="48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12.2.3  </w:t>
      </w:r>
      <w:r>
        <w:rPr>
          <w:rFonts w:hint="eastAsia" w:asciiTheme="minorEastAsia" w:hAnsiTheme="minorEastAsia" w:eastAsiaTheme="minorEastAsia" w:cstheme="minorEastAsia"/>
          <w:color w:val="auto"/>
          <w:spacing w:val="-1"/>
          <w:sz w:val="21"/>
          <w:szCs w:val="21"/>
          <w:highlight w:val="none"/>
        </w:rPr>
        <w:t>除发生上述情况外，开标评标均以投标人（联合体投标的，由联合体牵头人）通过交易平台网上递交的电子投标文件为准。</w:t>
      </w:r>
    </w:p>
    <w:p w14:paraId="5967D4D7">
      <w:pPr>
        <w:spacing w:before="78" w:line="220" w:lineRule="auto"/>
        <w:ind w:left="496"/>
        <w:outlineLvl w:val="2"/>
        <w:rPr>
          <w:rFonts w:hint="eastAsia" w:asciiTheme="minorEastAsia" w:hAnsiTheme="minorEastAsia" w:eastAsiaTheme="minorEastAsia" w:cstheme="minorEastAsia"/>
          <w:color w:val="auto"/>
          <w:sz w:val="21"/>
          <w:szCs w:val="21"/>
          <w:highlight w:val="none"/>
        </w:rPr>
      </w:pPr>
      <w:bookmarkStart w:id="59" w:name="_Toc27195"/>
      <w:bookmarkStart w:id="60" w:name="_Toc30506"/>
      <w:r>
        <w:rPr>
          <w:rFonts w:hint="eastAsia" w:asciiTheme="minorEastAsia" w:hAnsiTheme="minorEastAsia" w:eastAsiaTheme="minorEastAsia" w:cstheme="minorEastAsia"/>
          <w:b/>
          <w:bCs/>
          <w:color w:val="auto"/>
          <w:spacing w:val="-7"/>
          <w:sz w:val="21"/>
          <w:szCs w:val="21"/>
          <w:highlight w:val="none"/>
        </w:rPr>
        <w:t>13</w:t>
      </w:r>
      <w:r>
        <w:rPr>
          <w:rFonts w:hint="eastAsia" w:asciiTheme="minorEastAsia" w:hAnsiTheme="minorEastAsia" w:eastAsiaTheme="minorEastAsia" w:cstheme="minorEastAsia"/>
          <w:b/>
          <w:bCs/>
          <w:color w:val="auto"/>
          <w:spacing w:val="-23"/>
          <w:sz w:val="21"/>
          <w:szCs w:val="21"/>
          <w:highlight w:val="none"/>
        </w:rPr>
        <w:t xml:space="preserve"> </w:t>
      </w:r>
      <w:r>
        <w:rPr>
          <w:rFonts w:hint="eastAsia" w:asciiTheme="minorEastAsia" w:hAnsiTheme="minorEastAsia" w:eastAsiaTheme="minorEastAsia" w:cstheme="minorEastAsia"/>
          <w:b/>
          <w:bCs/>
          <w:color w:val="auto"/>
          <w:spacing w:val="-7"/>
          <w:sz w:val="21"/>
          <w:szCs w:val="21"/>
          <w:highlight w:val="none"/>
        </w:rPr>
        <w:t>．投标文件的提交</w:t>
      </w:r>
      <w:bookmarkEnd w:id="59"/>
      <w:bookmarkEnd w:id="60"/>
    </w:p>
    <w:p w14:paraId="4320DE95">
      <w:pPr>
        <w:spacing w:before="123" w:line="278" w:lineRule="auto"/>
        <w:ind w:left="13" w:right="81" w:firstLine="48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1"/>
          <w:sz w:val="21"/>
          <w:szCs w:val="21"/>
          <w:highlight w:val="none"/>
        </w:rPr>
        <w:t xml:space="preserve">13.1  </w:t>
      </w:r>
      <w:r>
        <w:rPr>
          <w:rFonts w:hint="eastAsia" w:asciiTheme="minorEastAsia" w:hAnsiTheme="minorEastAsia" w:eastAsiaTheme="minorEastAsia" w:cstheme="minorEastAsia"/>
          <w:color w:val="auto"/>
          <w:spacing w:val="-11"/>
          <w:sz w:val="21"/>
          <w:szCs w:val="21"/>
          <w:highlight w:val="none"/>
        </w:rPr>
        <w:t>在投标文件提交截止时间前，投标人通过全国公共资源交易平台（</w:t>
      </w:r>
      <w:r>
        <w:rPr>
          <w:rFonts w:hint="eastAsia" w:asciiTheme="minorEastAsia" w:hAnsiTheme="minorEastAsia" w:eastAsiaTheme="minorEastAsia" w:cstheme="minorEastAsia"/>
          <w:color w:val="auto"/>
          <w:spacing w:val="-12"/>
          <w:sz w:val="21"/>
          <w:szCs w:val="21"/>
          <w:highlight w:val="none"/>
        </w:rPr>
        <w:t>广东省</w:t>
      </w:r>
      <w:r>
        <w:rPr>
          <w:rFonts w:hint="eastAsia" w:asciiTheme="minorEastAsia" w:hAnsiTheme="minorEastAsia" w:eastAsiaTheme="minorEastAsia" w:cstheme="minorEastAsia"/>
          <w:color w:val="auto"/>
          <w:spacing w:val="-28"/>
          <w:sz w:val="21"/>
          <w:szCs w:val="21"/>
          <w:highlight w:val="none"/>
        </w:rPr>
        <w:t xml:space="preserve"> </w:t>
      </w:r>
      <w:r>
        <w:rPr>
          <w:rFonts w:hint="eastAsia" w:asciiTheme="minorEastAsia" w:hAnsiTheme="minorEastAsia" w:eastAsiaTheme="minorEastAsia" w:cstheme="minorEastAsia"/>
          <w:color w:val="auto"/>
          <w:spacing w:val="-12"/>
          <w:sz w:val="21"/>
          <w:szCs w:val="21"/>
          <w:highlight w:val="none"/>
        </w:rPr>
        <w:t>·韶</w:t>
      </w:r>
      <w:r>
        <w:rPr>
          <w:rFonts w:hint="eastAsia" w:asciiTheme="minorEastAsia" w:hAnsiTheme="minorEastAsia" w:eastAsiaTheme="minorEastAsia" w:cstheme="minorEastAsia"/>
          <w:color w:val="auto"/>
          <w:spacing w:val="-1"/>
          <w:sz w:val="21"/>
          <w:szCs w:val="21"/>
          <w:highlight w:val="none"/>
        </w:rPr>
        <w:t>关市）提交已加密投标文件。逾期提交的电子投标文</w:t>
      </w:r>
      <w:r>
        <w:rPr>
          <w:rFonts w:hint="eastAsia" w:asciiTheme="minorEastAsia" w:hAnsiTheme="minorEastAsia" w:eastAsiaTheme="minorEastAsia" w:cstheme="minorEastAsia"/>
          <w:color w:val="auto"/>
          <w:spacing w:val="-2"/>
          <w:sz w:val="21"/>
          <w:szCs w:val="21"/>
          <w:highlight w:val="none"/>
        </w:rPr>
        <w:t>件，全国公共资源交易平台（广</w:t>
      </w:r>
      <w:r>
        <w:rPr>
          <w:rFonts w:hint="eastAsia" w:asciiTheme="minorEastAsia" w:hAnsiTheme="minorEastAsia" w:eastAsiaTheme="minorEastAsia" w:cstheme="minorEastAsia"/>
          <w:color w:val="auto"/>
          <w:spacing w:val="-9"/>
          <w:sz w:val="21"/>
          <w:szCs w:val="21"/>
          <w:highlight w:val="none"/>
        </w:rPr>
        <w:t>东省</w:t>
      </w:r>
      <w:r>
        <w:rPr>
          <w:rFonts w:hint="eastAsia" w:asciiTheme="minorEastAsia" w:hAnsiTheme="minorEastAsia" w:eastAsiaTheme="minorEastAsia" w:cstheme="minorEastAsia"/>
          <w:color w:val="auto"/>
          <w:spacing w:val="-18"/>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·韶关市）将予以拒收。</w:t>
      </w:r>
    </w:p>
    <w:p w14:paraId="548A386F">
      <w:pPr>
        <w:spacing w:before="115" w:line="219"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13.2  </w:t>
      </w:r>
      <w:r>
        <w:rPr>
          <w:rFonts w:hint="eastAsia" w:asciiTheme="minorEastAsia" w:hAnsiTheme="minorEastAsia" w:eastAsiaTheme="minorEastAsia" w:cstheme="minorEastAsia"/>
          <w:color w:val="auto"/>
          <w:spacing w:val="2"/>
          <w:sz w:val="21"/>
          <w:szCs w:val="21"/>
          <w:highlight w:val="none"/>
        </w:rPr>
        <w:t>提交时间和地点：见本章第二节“重要事项时间地点一览表</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w:t>
      </w:r>
    </w:p>
    <w:p w14:paraId="3BC65C5D">
      <w:pPr>
        <w:spacing w:before="113" w:line="279" w:lineRule="auto"/>
        <w:ind w:left="9" w:right="24" w:firstLine="48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13.3  </w:t>
      </w:r>
      <w:r>
        <w:rPr>
          <w:rFonts w:hint="eastAsia" w:asciiTheme="minorEastAsia" w:hAnsiTheme="minorEastAsia" w:eastAsiaTheme="minorEastAsia" w:cstheme="minorEastAsia"/>
          <w:color w:val="auto"/>
          <w:spacing w:val="-1"/>
          <w:sz w:val="21"/>
          <w:szCs w:val="21"/>
          <w:highlight w:val="none"/>
        </w:rPr>
        <w:t>递交时间和地点：投标人如有招标</w:t>
      </w:r>
      <w:r>
        <w:rPr>
          <w:rFonts w:hint="eastAsia" w:asciiTheme="minorEastAsia" w:hAnsiTheme="minorEastAsia" w:eastAsiaTheme="minorEastAsia" w:cstheme="minorEastAsia"/>
          <w:color w:val="auto"/>
          <w:spacing w:val="-2"/>
          <w:sz w:val="21"/>
          <w:szCs w:val="21"/>
          <w:highlight w:val="none"/>
        </w:rPr>
        <w:t>文件要求提交的用于评审的证书、证件、证明原件（附一式两份清单</w:t>
      </w:r>
      <w:r>
        <w:rPr>
          <w:rFonts w:hint="eastAsia" w:asciiTheme="minorEastAsia" w:hAnsiTheme="minorEastAsia" w:eastAsiaTheme="minorEastAsia" w:cstheme="minorEastAsia"/>
          <w:color w:val="auto"/>
          <w:spacing w:val="11"/>
          <w:sz w:val="21"/>
          <w:szCs w:val="21"/>
          <w:highlight w:val="none"/>
        </w:rPr>
        <w:t>），</w:t>
      </w:r>
      <w:r>
        <w:rPr>
          <w:rFonts w:hint="eastAsia" w:asciiTheme="minorEastAsia" w:hAnsiTheme="minorEastAsia" w:eastAsiaTheme="minorEastAsia" w:cstheme="minorEastAsia"/>
          <w:color w:val="auto"/>
          <w:spacing w:val="-2"/>
          <w:sz w:val="21"/>
          <w:szCs w:val="21"/>
          <w:highlight w:val="none"/>
        </w:rPr>
        <w:t>由投标人法定代表人或其委托代理人在指定的时间和</w:t>
      </w:r>
      <w:r>
        <w:rPr>
          <w:rFonts w:hint="eastAsia" w:asciiTheme="minorEastAsia" w:hAnsiTheme="minorEastAsia" w:eastAsiaTheme="minorEastAsia" w:cstheme="minorEastAsia"/>
          <w:color w:val="auto"/>
          <w:spacing w:val="1"/>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地点递交（见“重要事项时间地点一览表</w:t>
      </w:r>
      <w:r>
        <w:rPr>
          <w:rFonts w:hint="eastAsia" w:asciiTheme="minorEastAsia" w:hAnsiTheme="minorEastAsia" w:eastAsiaTheme="minorEastAsia" w:cstheme="minorEastAsia"/>
          <w:color w:val="auto"/>
          <w:spacing w:val="-77"/>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w:t>
      </w:r>
      <w:r>
        <w:rPr>
          <w:rFonts w:hint="eastAsia" w:asciiTheme="minorEastAsia" w:hAnsiTheme="minorEastAsia" w:eastAsiaTheme="minorEastAsia" w:cstheme="minorEastAsia"/>
          <w:color w:val="auto"/>
          <w:spacing w:val="-2"/>
          <w:sz w:val="21"/>
          <w:szCs w:val="21"/>
          <w:highlight w:val="none"/>
        </w:rPr>
        <w:t>）。</w:t>
      </w:r>
    </w:p>
    <w:p w14:paraId="009AB01F">
      <w:pPr>
        <w:spacing w:before="112" w:line="219" w:lineRule="auto"/>
        <w:ind w:firstLine="418"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13.4  </w:t>
      </w:r>
      <w:r>
        <w:rPr>
          <w:rFonts w:hint="eastAsia" w:asciiTheme="minorEastAsia" w:hAnsiTheme="minorEastAsia" w:eastAsiaTheme="minorEastAsia" w:cstheme="minorEastAsia"/>
          <w:color w:val="auto"/>
          <w:spacing w:val="-1"/>
          <w:sz w:val="21"/>
          <w:szCs w:val="21"/>
          <w:highlight w:val="none"/>
        </w:rPr>
        <w:t>代理机构对因不可抗力事件造成的投</w:t>
      </w:r>
      <w:r>
        <w:rPr>
          <w:rFonts w:hint="eastAsia" w:asciiTheme="minorEastAsia" w:hAnsiTheme="minorEastAsia" w:eastAsiaTheme="minorEastAsia" w:cstheme="minorEastAsia"/>
          <w:color w:val="auto"/>
          <w:spacing w:val="-2"/>
          <w:sz w:val="21"/>
          <w:szCs w:val="21"/>
          <w:highlight w:val="none"/>
        </w:rPr>
        <w:t>标文件的损坏、丢失的，不承担责任。</w:t>
      </w:r>
    </w:p>
    <w:p w14:paraId="770C01F8">
      <w:pPr>
        <w:spacing w:before="116" w:line="220"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13.5</w:t>
      </w:r>
      <w:r>
        <w:rPr>
          <w:rFonts w:hint="eastAsia" w:asciiTheme="minorEastAsia" w:hAnsiTheme="minorEastAsia" w:eastAsiaTheme="minorEastAsia" w:cstheme="minorEastAsia"/>
          <w:b/>
          <w:bCs/>
          <w:color w:val="auto"/>
          <w:spacing w:val="15"/>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出现下述情形之一，属于未成功提</w:t>
      </w:r>
      <w:r>
        <w:rPr>
          <w:rFonts w:hint="eastAsia" w:asciiTheme="minorEastAsia" w:hAnsiTheme="minorEastAsia" w:eastAsiaTheme="minorEastAsia" w:cstheme="minorEastAsia"/>
          <w:color w:val="auto"/>
          <w:spacing w:val="-2"/>
          <w:sz w:val="21"/>
          <w:szCs w:val="21"/>
          <w:highlight w:val="none"/>
        </w:rPr>
        <w:t>交投标文件，按无效投标处理：</w:t>
      </w:r>
    </w:p>
    <w:p w14:paraId="187091F6">
      <w:pPr>
        <w:spacing w:before="115" w:line="219" w:lineRule="auto"/>
        <w:ind w:left="74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（1）至提交投标文件截止时，投标文件未完整上传及提交标书；</w:t>
      </w:r>
    </w:p>
    <w:p w14:paraId="3D9AB105">
      <w:pPr>
        <w:spacing w:before="114" w:line="220" w:lineRule="auto"/>
        <w:ind w:left="74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（2）解密失败且在规定时间内未重新提交投标文件的；</w:t>
      </w:r>
    </w:p>
    <w:p w14:paraId="55DB2AF1">
      <w:pPr>
        <w:spacing w:before="115" w:line="220" w:lineRule="auto"/>
        <w:ind w:left="74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（3）投标文件损坏或格式不正确的；</w:t>
      </w:r>
    </w:p>
    <w:p w14:paraId="3D52E88C">
      <w:pPr>
        <w:spacing w:before="115" w:line="219"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13.6  </w:t>
      </w:r>
      <w:r>
        <w:rPr>
          <w:rFonts w:hint="eastAsia" w:asciiTheme="minorEastAsia" w:hAnsiTheme="minorEastAsia" w:eastAsiaTheme="minorEastAsia" w:cstheme="minorEastAsia"/>
          <w:color w:val="auto"/>
          <w:spacing w:val="-1"/>
          <w:sz w:val="21"/>
          <w:szCs w:val="21"/>
          <w:highlight w:val="none"/>
        </w:rPr>
        <w:t>联合体投标的，由联合体牵头人按以上要求递交相关资料。</w:t>
      </w:r>
    </w:p>
    <w:p w14:paraId="10EC64DC">
      <w:pPr>
        <w:spacing w:before="113" w:line="279" w:lineRule="auto"/>
        <w:ind w:left="9" w:right="24" w:firstLine="486"/>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13.7  </w:t>
      </w:r>
      <w:r>
        <w:rPr>
          <w:rFonts w:hint="eastAsia" w:asciiTheme="minorEastAsia" w:hAnsiTheme="minorEastAsia" w:eastAsiaTheme="minorEastAsia" w:cstheme="minorEastAsia"/>
          <w:color w:val="auto"/>
          <w:spacing w:val="-2"/>
          <w:sz w:val="21"/>
          <w:szCs w:val="21"/>
          <w:highlight w:val="none"/>
        </w:rPr>
        <w:t>招标人或其授权的招标代理机构核对、接收投标人递交的投标相关资料后，</w:t>
      </w:r>
      <w:r>
        <w:rPr>
          <w:rFonts w:hint="eastAsia" w:asciiTheme="minorEastAsia" w:hAnsiTheme="minorEastAsia" w:eastAsiaTheme="minorEastAsia" w:cstheme="minorEastAsia"/>
          <w:color w:val="auto"/>
          <w:spacing w:val="-1"/>
          <w:sz w:val="21"/>
          <w:szCs w:val="21"/>
          <w:highlight w:val="none"/>
        </w:rPr>
        <w:t>应向投标人出具标明签收</w:t>
      </w:r>
      <w:r>
        <w:rPr>
          <w:rFonts w:hint="eastAsia" w:asciiTheme="minorEastAsia" w:hAnsiTheme="minorEastAsia" w:eastAsiaTheme="minorEastAsia" w:cstheme="minorEastAsia"/>
          <w:color w:val="auto"/>
          <w:spacing w:val="-2"/>
          <w:sz w:val="21"/>
          <w:szCs w:val="21"/>
          <w:highlight w:val="none"/>
        </w:rPr>
        <w:t>人和签收时间的凭证，并妥善保管。</w:t>
      </w:r>
    </w:p>
    <w:p w14:paraId="3FA3B466">
      <w:pPr>
        <w:spacing w:before="113" w:line="279" w:lineRule="auto"/>
        <w:ind w:left="9" w:right="24" w:firstLine="48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13.8 </w:t>
      </w:r>
      <w:r>
        <w:rPr>
          <w:rFonts w:hint="eastAsia" w:asciiTheme="minorEastAsia" w:hAnsiTheme="minorEastAsia" w:eastAsiaTheme="minorEastAsia" w:cstheme="minorEastAsia"/>
          <w:color w:val="auto"/>
          <w:spacing w:val="-2"/>
          <w:sz w:val="21"/>
          <w:szCs w:val="21"/>
          <w:highlight w:val="none"/>
        </w:rPr>
        <w:t xml:space="preserve"> 本次招标投标有效期为</w:t>
      </w:r>
      <w:r>
        <w:rPr>
          <w:rFonts w:hint="eastAsia" w:asciiTheme="minorEastAsia" w:hAnsiTheme="minorEastAsia" w:eastAsiaTheme="minorEastAsia" w:cstheme="minorEastAsia"/>
          <w:color w:val="auto"/>
          <w:spacing w:val="-2"/>
          <w:sz w:val="21"/>
          <w:szCs w:val="21"/>
          <w:highlight w:val="none"/>
          <w:u w:val="single"/>
          <w:lang w:eastAsia="zh-CN"/>
        </w:rPr>
        <w:t>90</w:t>
      </w:r>
      <w:r>
        <w:rPr>
          <w:rFonts w:hint="eastAsia" w:asciiTheme="minorEastAsia" w:hAnsiTheme="minorEastAsia" w:eastAsiaTheme="minorEastAsia" w:cstheme="minorEastAsia"/>
          <w:color w:val="auto"/>
          <w:spacing w:val="-2"/>
          <w:sz w:val="21"/>
          <w:szCs w:val="21"/>
          <w:highlight w:val="none"/>
        </w:rPr>
        <w:t>个日历天，投标有效期从提交投标文件的截止之日起计算。在此期间，投标人不得撤销或修改其</w:t>
      </w:r>
      <w:r>
        <w:rPr>
          <w:rFonts w:hint="eastAsia" w:asciiTheme="minorEastAsia" w:hAnsiTheme="minorEastAsia" w:eastAsiaTheme="minorEastAsia" w:cstheme="minorEastAsia"/>
          <w:color w:val="auto"/>
          <w:spacing w:val="-7"/>
          <w:sz w:val="21"/>
          <w:szCs w:val="21"/>
          <w:highlight w:val="none"/>
        </w:rPr>
        <w:t>投标文件，否则其投标保证不予退还。</w:t>
      </w:r>
    </w:p>
    <w:p w14:paraId="6A772D77">
      <w:pPr>
        <w:spacing w:before="145" w:line="221" w:lineRule="auto"/>
        <w:ind w:left="496"/>
        <w:outlineLvl w:val="2"/>
        <w:rPr>
          <w:rFonts w:hint="eastAsia" w:asciiTheme="minorEastAsia" w:hAnsiTheme="minorEastAsia" w:eastAsiaTheme="minorEastAsia" w:cstheme="minorEastAsia"/>
          <w:color w:val="auto"/>
          <w:sz w:val="21"/>
          <w:szCs w:val="21"/>
          <w:highlight w:val="none"/>
        </w:rPr>
      </w:pPr>
      <w:bookmarkStart w:id="61" w:name="_Toc17939"/>
      <w:bookmarkStart w:id="62" w:name="_Toc22047"/>
      <w:r>
        <w:rPr>
          <w:rFonts w:hint="eastAsia" w:asciiTheme="minorEastAsia" w:hAnsiTheme="minorEastAsia" w:eastAsiaTheme="minorEastAsia" w:cstheme="minorEastAsia"/>
          <w:b/>
          <w:bCs/>
          <w:color w:val="auto"/>
          <w:spacing w:val="-11"/>
          <w:sz w:val="21"/>
          <w:szCs w:val="21"/>
          <w:highlight w:val="none"/>
        </w:rPr>
        <w:t>14</w:t>
      </w:r>
      <w:r>
        <w:rPr>
          <w:rFonts w:hint="eastAsia" w:asciiTheme="minorEastAsia" w:hAnsiTheme="minorEastAsia" w:eastAsiaTheme="minorEastAsia" w:cstheme="minorEastAsia"/>
          <w:b/>
          <w:bCs/>
          <w:color w:val="auto"/>
          <w:spacing w:val="-28"/>
          <w:sz w:val="21"/>
          <w:szCs w:val="21"/>
          <w:highlight w:val="none"/>
        </w:rPr>
        <w:t xml:space="preserve"> </w:t>
      </w:r>
      <w:r>
        <w:rPr>
          <w:rFonts w:hint="eastAsia" w:asciiTheme="minorEastAsia" w:hAnsiTheme="minorEastAsia" w:eastAsiaTheme="minorEastAsia" w:cstheme="minorEastAsia"/>
          <w:b/>
          <w:bCs/>
          <w:color w:val="auto"/>
          <w:spacing w:val="-11"/>
          <w:sz w:val="21"/>
          <w:szCs w:val="21"/>
          <w:highlight w:val="none"/>
        </w:rPr>
        <w:t>．开标</w:t>
      </w:r>
      <w:bookmarkEnd w:id="61"/>
      <w:bookmarkEnd w:id="62"/>
    </w:p>
    <w:p w14:paraId="15A8AA63">
      <w:pPr>
        <w:spacing w:before="155" w:line="329" w:lineRule="auto"/>
        <w:ind w:left="10" w:right="81" w:firstLine="48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 xml:space="preserve">14.1  </w:t>
      </w:r>
      <w:r>
        <w:rPr>
          <w:rFonts w:hint="eastAsia" w:asciiTheme="minorEastAsia" w:hAnsiTheme="minorEastAsia" w:eastAsiaTheme="minorEastAsia" w:cstheme="minorEastAsia"/>
          <w:color w:val="auto"/>
          <w:spacing w:val="-3"/>
          <w:sz w:val="21"/>
          <w:szCs w:val="21"/>
          <w:highlight w:val="none"/>
        </w:rPr>
        <w:t>招标人邀请所有正确获取招标文件、电子投标、缴纳投标保证的投标人参加</w:t>
      </w:r>
      <w:r>
        <w:rPr>
          <w:rFonts w:hint="eastAsia" w:asciiTheme="minorEastAsia" w:hAnsiTheme="minorEastAsia" w:eastAsiaTheme="minorEastAsia" w:cstheme="minorEastAsia"/>
          <w:color w:val="auto"/>
          <w:spacing w:val="-1"/>
          <w:sz w:val="21"/>
          <w:szCs w:val="21"/>
          <w:highlight w:val="none"/>
        </w:rPr>
        <w:t>开标，投标人可自主决定是否参加。投标人可登陆交易平台</w:t>
      </w:r>
      <w:r>
        <w:rPr>
          <w:rFonts w:hint="eastAsia" w:asciiTheme="minorEastAsia" w:hAnsiTheme="minorEastAsia" w:eastAsiaTheme="minorEastAsia" w:cstheme="minorEastAsia"/>
          <w:color w:val="auto"/>
          <w:spacing w:val="-2"/>
          <w:sz w:val="21"/>
          <w:szCs w:val="21"/>
          <w:highlight w:val="none"/>
        </w:rPr>
        <w:t>观看开标实况、提出异议</w:t>
      </w:r>
      <w:r>
        <w:rPr>
          <w:rFonts w:hint="eastAsia" w:asciiTheme="minorEastAsia" w:hAnsiTheme="minorEastAsia" w:eastAsiaTheme="minorEastAsia" w:cstheme="minorEastAsia"/>
          <w:color w:val="auto"/>
          <w:spacing w:val="-1"/>
          <w:sz w:val="21"/>
          <w:szCs w:val="21"/>
          <w:highlight w:val="none"/>
        </w:rPr>
        <w:t>或进行澄清、确认等操作（具体按招标文件和系统操作手册</w:t>
      </w:r>
      <w:r>
        <w:rPr>
          <w:rFonts w:hint="eastAsia" w:asciiTheme="minorEastAsia" w:hAnsiTheme="minorEastAsia" w:eastAsiaTheme="minorEastAsia" w:cstheme="minorEastAsia"/>
          <w:color w:val="auto"/>
          <w:spacing w:val="-2"/>
          <w:sz w:val="21"/>
          <w:szCs w:val="21"/>
          <w:highlight w:val="none"/>
        </w:rPr>
        <w:t>为准）。投标人不参加开</w:t>
      </w:r>
      <w:bookmarkStart w:id="63" w:name="bookmark123"/>
      <w:bookmarkEnd w:id="63"/>
      <w:r>
        <w:rPr>
          <w:rFonts w:hint="eastAsia" w:asciiTheme="minorEastAsia" w:hAnsiTheme="minorEastAsia" w:eastAsiaTheme="minorEastAsia" w:cstheme="minorEastAsia"/>
          <w:color w:val="auto"/>
          <w:sz w:val="21"/>
          <w:szCs w:val="21"/>
          <w:highlight w:val="none"/>
        </w:rPr>
        <w:t>标的，视其默认开标结果，以及放弃在开标期间见证、</w:t>
      </w:r>
      <w:r>
        <w:rPr>
          <w:rFonts w:hint="eastAsia" w:asciiTheme="minorEastAsia" w:hAnsiTheme="minorEastAsia" w:eastAsiaTheme="minorEastAsia" w:cstheme="minorEastAsia"/>
          <w:color w:val="auto"/>
          <w:spacing w:val="-1"/>
          <w:sz w:val="21"/>
          <w:szCs w:val="21"/>
          <w:highlight w:val="none"/>
        </w:rPr>
        <w:t>监督、投诉、申辩的权利。</w:t>
      </w:r>
    </w:p>
    <w:p w14:paraId="10E47B66">
      <w:pPr>
        <w:spacing w:before="156" w:line="219"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14.1.1  </w:t>
      </w:r>
      <w:r>
        <w:rPr>
          <w:rFonts w:hint="eastAsia" w:asciiTheme="minorEastAsia" w:hAnsiTheme="minorEastAsia" w:eastAsiaTheme="minorEastAsia" w:cstheme="minorEastAsia"/>
          <w:color w:val="auto"/>
          <w:sz w:val="21"/>
          <w:szCs w:val="21"/>
          <w:highlight w:val="none"/>
        </w:rPr>
        <w:t>开标时间和地点：见本章第</w:t>
      </w:r>
      <w:r>
        <w:rPr>
          <w:rFonts w:hint="eastAsia" w:asciiTheme="minorEastAsia" w:hAnsiTheme="minorEastAsia" w:eastAsiaTheme="minorEastAsia" w:cstheme="minorEastAsia"/>
          <w:color w:val="auto"/>
          <w:spacing w:val="-1"/>
          <w:sz w:val="21"/>
          <w:szCs w:val="21"/>
          <w:highlight w:val="none"/>
        </w:rPr>
        <w:t>二节“重要事项时间地点一览表</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w:t>
      </w:r>
    </w:p>
    <w:p w14:paraId="13E22838">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7"/>
          <w:sz w:val="21"/>
          <w:szCs w:val="21"/>
          <w:highlight w:val="none"/>
        </w:rPr>
        <w:t xml:space="preserve">14.1.2 </w:t>
      </w:r>
      <w:r>
        <w:rPr>
          <w:rFonts w:hint="eastAsia" w:asciiTheme="minorEastAsia" w:hAnsiTheme="minorEastAsia" w:eastAsiaTheme="minorEastAsia" w:cstheme="minorEastAsia"/>
          <w:color w:val="auto"/>
          <w:spacing w:val="-7"/>
          <w:sz w:val="21"/>
          <w:szCs w:val="21"/>
          <w:highlight w:val="none"/>
        </w:rPr>
        <w:t>开标前</w:t>
      </w:r>
      <w:r>
        <w:rPr>
          <w:rFonts w:hint="eastAsia" w:asciiTheme="minorEastAsia" w:hAnsiTheme="minorEastAsia" w:eastAsiaTheme="minorEastAsia" w:cstheme="minorEastAsia"/>
          <w:color w:val="auto"/>
          <w:spacing w:val="-48"/>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24</w:t>
      </w:r>
      <w:r>
        <w:rPr>
          <w:rFonts w:hint="eastAsia" w:asciiTheme="minorEastAsia" w:hAnsiTheme="minorEastAsia" w:eastAsiaTheme="minorEastAsia" w:cstheme="minorEastAsia"/>
          <w:color w:val="auto"/>
          <w:spacing w:val="-44"/>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小时，若建设工程交易系统显示缴</w:t>
      </w:r>
      <w:r>
        <w:rPr>
          <w:rFonts w:hint="eastAsia" w:asciiTheme="minorEastAsia" w:hAnsiTheme="minorEastAsia" w:eastAsiaTheme="minorEastAsia" w:cstheme="minorEastAsia"/>
          <w:color w:val="auto"/>
          <w:spacing w:val="-8"/>
          <w:sz w:val="21"/>
          <w:szCs w:val="21"/>
          <w:highlight w:val="none"/>
        </w:rPr>
        <w:t>纳投标保证（包括投标保证金、</w:t>
      </w:r>
      <w:r>
        <w:rPr>
          <w:rFonts w:hint="eastAsia" w:asciiTheme="minorEastAsia" w:hAnsiTheme="minorEastAsia" w:eastAsiaTheme="minorEastAsia" w:cstheme="minorEastAsia"/>
          <w:color w:val="auto"/>
          <w:spacing w:val="-2"/>
          <w:sz w:val="21"/>
          <w:szCs w:val="21"/>
          <w:highlight w:val="none"/>
        </w:rPr>
        <w:t>投标保证担保、投标保证保险）的投标人数量不足</w:t>
      </w:r>
      <w:r>
        <w:rPr>
          <w:rFonts w:hint="eastAsia" w:asciiTheme="minorEastAsia" w:hAnsiTheme="minorEastAsia" w:eastAsiaTheme="minorEastAsia" w:cstheme="minorEastAsia"/>
          <w:color w:val="auto"/>
          <w:spacing w:val="-42"/>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3</w:t>
      </w:r>
      <w:r>
        <w:rPr>
          <w:rFonts w:hint="eastAsia" w:asciiTheme="minorEastAsia" w:hAnsiTheme="minorEastAsia" w:eastAsiaTheme="minorEastAsia" w:cstheme="minorEastAsia"/>
          <w:color w:val="auto"/>
          <w:spacing w:val="-51"/>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个时，招标人将取消原定于次日</w:t>
      </w:r>
      <w:r>
        <w:rPr>
          <w:rFonts w:hint="eastAsia" w:asciiTheme="minorEastAsia" w:hAnsiTheme="minorEastAsia" w:eastAsiaTheme="minorEastAsia" w:cstheme="minorEastAsia"/>
          <w:color w:val="auto"/>
          <w:spacing w:val="-1"/>
          <w:sz w:val="21"/>
          <w:szCs w:val="21"/>
          <w:highlight w:val="none"/>
        </w:rPr>
        <w:t>召开的开标活动。投标人可在投标保证缴纳截止时间（见本章</w:t>
      </w:r>
      <w:r>
        <w:rPr>
          <w:rFonts w:hint="eastAsia" w:asciiTheme="minorEastAsia" w:hAnsiTheme="minorEastAsia" w:eastAsiaTheme="minorEastAsia" w:cstheme="minorEastAsia"/>
          <w:color w:val="auto"/>
          <w:spacing w:val="-2"/>
          <w:sz w:val="21"/>
          <w:szCs w:val="21"/>
          <w:highlight w:val="none"/>
        </w:rPr>
        <w:t>第二节“重要事项时间</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地点一览表</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”）至电子投标截止时间（见本章第二节“重要事项时间地点一览</w:t>
      </w:r>
      <w:r>
        <w:rPr>
          <w:rFonts w:hint="eastAsia" w:asciiTheme="minorEastAsia" w:hAnsiTheme="minorEastAsia" w:eastAsiaTheme="minorEastAsia" w:cstheme="minorEastAsia"/>
          <w:color w:val="auto"/>
          <w:spacing w:val="-2"/>
          <w:sz w:val="21"/>
          <w:szCs w:val="21"/>
          <w:highlight w:val="none"/>
        </w:rPr>
        <w:t>表</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期间登录全国公共资源交易平台（广东省</w:t>
      </w:r>
      <w:r>
        <w:rPr>
          <w:rFonts w:hint="eastAsia" w:asciiTheme="minorEastAsia" w:hAnsiTheme="minorEastAsia" w:eastAsiaTheme="minorEastAsia" w:cstheme="minorEastAsia"/>
          <w:color w:val="auto"/>
          <w:spacing w:val="-27"/>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·韶关市</w:t>
      </w:r>
      <w:r>
        <w:rPr>
          <w:rFonts w:hint="eastAsia" w:asciiTheme="minorEastAsia" w:hAnsiTheme="minorEastAsia" w:eastAsiaTheme="minorEastAsia" w:cstheme="minorEastAsia"/>
          <w:color w:val="auto"/>
          <w:spacing w:val="-22"/>
          <w:sz w:val="21"/>
          <w:szCs w:val="21"/>
          <w:highlight w:val="none"/>
        </w:rPr>
        <w:t>）（</w:t>
      </w:r>
      <w:r>
        <w:rPr>
          <w:rFonts w:hint="eastAsia" w:asciiTheme="minorEastAsia" w:hAnsiTheme="minorEastAsia" w:eastAsiaTheme="minorEastAsia" w:cstheme="minorEastAsia"/>
          <w:color w:val="auto"/>
          <w:spacing w:val="-2"/>
          <w:sz w:val="21"/>
          <w:szCs w:val="21"/>
          <w:highlight w:val="none"/>
        </w:rPr>
        <w:t>https://ygp.gdzwfw.gov.cn/</w:t>
      </w:r>
      <w:r>
        <w:rPr>
          <w:rFonts w:hint="eastAsia" w:asciiTheme="minorEastAsia" w:hAnsiTheme="minorEastAsia" w:eastAsiaTheme="minorEastAsia" w:cstheme="minorEastAsia"/>
          <w:color w:val="auto"/>
          <w:sz w:val="21"/>
          <w:szCs w:val="21"/>
          <w:highlight w:val="none"/>
        </w:rPr>
        <w:t xml:space="preserve"> ggzy-portal/#/440200/index）查询是否发布了取</w:t>
      </w:r>
      <w:r>
        <w:rPr>
          <w:rFonts w:hint="eastAsia" w:asciiTheme="minorEastAsia" w:hAnsiTheme="minorEastAsia" w:eastAsiaTheme="minorEastAsia" w:cstheme="minorEastAsia"/>
          <w:color w:val="auto"/>
          <w:spacing w:val="-1"/>
          <w:sz w:val="21"/>
          <w:szCs w:val="21"/>
          <w:highlight w:val="none"/>
        </w:rPr>
        <w:t>消开标活动的相关信息。</w:t>
      </w:r>
    </w:p>
    <w:p w14:paraId="238B44A6">
      <w:pPr>
        <w:spacing w:before="159" w:line="319" w:lineRule="auto"/>
        <w:ind w:left="10" w:right="80" w:firstLine="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14.1.3</w:t>
      </w:r>
      <w:r>
        <w:rPr>
          <w:rFonts w:hint="eastAsia" w:asciiTheme="minorEastAsia" w:hAnsiTheme="minorEastAsia" w:eastAsiaTheme="minorEastAsia" w:cstheme="minorEastAsia"/>
          <w:color w:val="auto"/>
          <w:spacing w:val="-48"/>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本项目实行全流程电子化招标投标，投标人在交易平台按要求上传加盖电</w:t>
      </w:r>
      <w:r>
        <w:rPr>
          <w:rFonts w:hint="eastAsia" w:asciiTheme="minorEastAsia" w:hAnsiTheme="minorEastAsia" w:eastAsiaTheme="minorEastAsia" w:cstheme="minorEastAsia"/>
          <w:color w:val="auto"/>
          <w:spacing w:val="-1"/>
          <w:sz w:val="21"/>
          <w:szCs w:val="21"/>
          <w:highlight w:val="none"/>
        </w:rPr>
        <w:t>子印章并经加密的电子投标文件，并在交易平台录入准确的</w:t>
      </w:r>
      <w:r>
        <w:rPr>
          <w:rFonts w:hint="eastAsia" w:asciiTheme="minorEastAsia" w:hAnsiTheme="minorEastAsia" w:eastAsiaTheme="minorEastAsia" w:cstheme="minorEastAsia"/>
          <w:color w:val="auto"/>
          <w:spacing w:val="-2"/>
          <w:sz w:val="21"/>
          <w:szCs w:val="21"/>
          <w:highlight w:val="none"/>
        </w:rPr>
        <w:t>页码信息即可完成在线投</w:t>
      </w:r>
      <w:r>
        <w:rPr>
          <w:rFonts w:hint="eastAsia" w:asciiTheme="minorEastAsia" w:hAnsiTheme="minorEastAsia" w:eastAsiaTheme="minorEastAsia" w:cstheme="minorEastAsia"/>
          <w:color w:val="auto"/>
          <w:spacing w:val="-1"/>
          <w:sz w:val="21"/>
          <w:szCs w:val="21"/>
          <w:highlight w:val="none"/>
        </w:rPr>
        <w:t>标</w:t>
      </w:r>
      <w:r>
        <w:rPr>
          <w:rFonts w:hint="eastAsia" w:asciiTheme="minorEastAsia" w:hAnsiTheme="minorEastAsia" w:eastAsiaTheme="minorEastAsia" w:cstheme="minorEastAsia"/>
          <w:color w:val="auto"/>
          <w:spacing w:val="-1"/>
          <w:sz w:val="21"/>
          <w:szCs w:val="21"/>
          <w:highlight w:val="none"/>
          <w:lang w:eastAsia="zh-CN"/>
        </w:rPr>
        <w:t>。</w:t>
      </w:r>
      <w:r>
        <w:rPr>
          <w:rFonts w:hint="eastAsia" w:asciiTheme="minorEastAsia" w:hAnsiTheme="minorEastAsia" w:eastAsiaTheme="minorEastAsia" w:cstheme="minorEastAsia"/>
          <w:color w:val="auto"/>
          <w:spacing w:val="-1"/>
          <w:sz w:val="21"/>
          <w:szCs w:val="21"/>
          <w:highlight w:val="none"/>
        </w:rPr>
        <w:t>由于投标人原因导致未按投标截至时限上传完整投标文</w:t>
      </w:r>
      <w:r>
        <w:rPr>
          <w:rFonts w:hint="eastAsia" w:asciiTheme="minorEastAsia" w:hAnsiTheme="minorEastAsia" w:eastAsiaTheme="minorEastAsia" w:cstheme="minorEastAsia"/>
          <w:color w:val="auto"/>
          <w:spacing w:val="-2"/>
          <w:sz w:val="21"/>
          <w:szCs w:val="21"/>
          <w:highlight w:val="none"/>
        </w:rPr>
        <w:t>件、在交易平台中上传的</w:t>
      </w:r>
      <w:r>
        <w:rPr>
          <w:rFonts w:hint="eastAsia" w:asciiTheme="minorEastAsia" w:hAnsiTheme="minorEastAsia" w:eastAsiaTheme="minorEastAsia" w:cstheme="minorEastAsia"/>
          <w:color w:val="auto"/>
          <w:spacing w:val="-1"/>
          <w:sz w:val="21"/>
          <w:szCs w:val="21"/>
          <w:highlight w:val="none"/>
        </w:rPr>
        <w:t>投标文件无法解密、投标文件损坏或格式不正确、投标文件</w:t>
      </w:r>
      <w:r>
        <w:rPr>
          <w:rFonts w:hint="eastAsia" w:asciiTheme="minorEastAsia" w:hAnsiTheme="minorEastAsia" w:eastAsiaTheme="minorEastAsia" w:cstheme="minorEastAsia"/>
          <w:color w:val="auto"/>
          <w:spacing w:val="-2"/>
          <w:sz w:val="21"/>
          <w:szCs w:val="21"/>
          <w:highlight w:val="none"/>
        </w:rPr>
        <w:t>未按招标文件要求加盖电</w:t>
      </w:r>
      <w:r>
        <w:rPr>
          <w:rFonts w:hint="eastAsia" w:asciiTheme="minorEastAsia" w:hAnsiTheme="minorEastAsia" w:eastAsiaTheme="minorEastAsia" w:cstheme="minorEastAsia"/>
          <w:color w:val="auto"/>
          <w:spacing w:val="-1"/>
          <w:sz w:val="21"/>
          <w:szCs w:val="21"/>
          <w:highlight w:val="none"/>
        </w:rPr>
        <w:t>子印章或电子印章不完整、电子投标文件解密失败且未按要</w:t>
      </w:r>
      <w:r>
        <w:rPr>
          <w:rFonts w:hint="eastAsia" w:asciiTheme="minorEastAsia" w:hAnsiTheme="minorEastAsia" w:eastAsiaTheme="minorEastAsia" w:cstheme="minorEastAsia"/>
          <w:color w:val="auto"/>
          <w:spacing w:val="-2"/>
          <w:sz w:val="21"/>
          <w:szCs w:val="21"/>
          <w:highlight w:val="none"/>
        </w:rPr>
        <w:t>求上传备用投标文件等情</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形导致投标无效的，由投标人自行负责。</w:t>
      </w:r>
    </w:p>
    <w:p w14:paraId="25108167">
      <w:pPr>
        <w:spacing w:before="152" w:line="221"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14.2  </w:t>
      </w:r>
      <w:r>
        <w:rPr>
          <w:rFonts w:hint="eastAsia" w:asciiTheme="minorEastAsia" w:hAnsiTheme="minorEastAsia" w:eastAsiaTheme="minorEastAsia" w:cstheme="minorEastAsia"/>
          <w:color w:val="auto"/>
          <w:spacing w:val="-2"/>
          <w:sz w:val="21"/>
          <w:szCs w:val="21"/>
          <w:highlight w:val="none"/>
        </w:rPr>
        <w:t>开标程序</w:t>
      </w:r>
    </w:p>
    <w:p w14:paraId="3A7A216D">
      <w:pPr>
        <w:spacing w:before="42" w:line="219" w:lineRule="auto"/>
        <w:ind w:left="501"/>
        <w:outlineLvl w:val="9"/>
        <w:rPr>
          <w:rFonts w:hint="eastAsia" w:asciiTheme="minorEastAsia" w:hAnsiTheme="minorEastAsia" w:eastAsiaTheme="minorEastAsia" w:cstheme="minorEastAsia"/>
          <w:color w:val="auto"/>
          <w:sz w:val="21"/>
          <w:szCs w:val="21"/>
          <w:highlight w:val="none"/>
        </w:rPr>
      </w:pPr>
      <w:bookmarkStart w:id="64" w:name="_Toc10685"/>
      <w:bookmarkStart w:id="65" w:name="_Toc15587"/>
      <w:bookmarkStart w:id="66" w:name="_Toc8314"/>
      <w:bookmarkStart w:id="67" w:name="_Toc10291"/>
      <w:r>
        <w:rPr>
          <w:rFonts w:hint="eastAsia" w:asciiTheme="minorEastAsia" w:hAnsiTheme="minorEastAsia" w:eastAsiaTheme="minorEastAsia" w:cstheme="minorEastAsia"/>
          <w:color w:val="auto"/>
          <w:spacing w:val="-1"/>
          <w:sz w:val="21"/>
          <w:szCs w:val="21"/>
          <w:highlight w:val="none"/>
        </w:rPr>
        <w:t>（1）主持人（招标人代表或招标人授权的招标代理机构人员）宣读开标纪律。</w:t>
      </w:r>
      <w:bookmarkEnd w:id="64"/>
      <w:bookmarkEnd w:id="65"/>
      <w:bookmarkEnd w:id="66"/>
      <w:bookmarkEnd w:id="67"/>
    </w:p>
    <w:p w14:paraId="6CAF0BB4">
      <w:pPr>
        <w:spacing w:before="181" w:line="219" w:lineRule="auto"/>
        <w:ind w:left="501"/>
        <w:outlineLvl w:val="9"/>
        <w:rPr>
          <w:rFonts w:hint="eastAsia" w:asciiTheme="minorEastAsia" w:hAnsiTheme="minorEastAsia" w:eastAsiaTheme="minorEastAsia" w:cstheme="minorEastAsia"/>
          <w:color w:val="auto"/>
          <w:sz w:val="21"/>
          <w:szCs w:val="21"/>
          <w:highlight w:val="none"/>
        </w:rPr>
      </w:pPr>
      <w:bookmarkStart w:id="68" w:name="_Toc2011"/>
      <w:bookmarkStart w:id="69" w:name="_Toc20238"/>
      <w:bookmarkStart w:id="70" w:name="_Toc16292"/>
      <w:bookmarkStart w:id="71" w:name="_Toc30853"/>
      <w:r>
        <w:rPr>
          <w:rFonts w:hint="eastAsia" w:asciiTheme="minorEastAsia" w:hAnsiTheme="minorEastAsia" w:eastAsiaTheme="minorEastAsia" w:cstheme="minorEastAsia"/>
          <w:color w:val="auto"/>
          <w:spacing w:val="-1"/>
          <w:sz w:val="21"/>
          <w:szCs w:val="21"/>
          <w:highlight w:val="none"/>
        </w:rPr>
        <w:t>（2）主持人宣布唱标人、记录人、见证人、监督人等有关人员姓名。</w:t>
      </w:r>
      <w:bookmarkEnd w:id="68"/>
      <w:bookmarkEnd w:id="69"/>
      <w:bookmarkEnd w:id="70"/>
      <w:bookmarkEnd w:id="71"/>
    </w:p>
    <w:p w14:paraId="0A2468F7">
      <w:pPr>
        <w:spacing w:before="183" w:line="219" w:lineRule="auto"/>
        <w:ind w:left="501"/>
        <w:outlineLvl w:val="9"/>
        <w:rPr>
          <w:rFonts w:hint="eastAsia" w:asciiTheme="minorEastAsia" w:hAnsiTheme="minorEastAsia" w:eastAsiaTheme="minorEastAsia" w:cstheme="minorEastAsia"/>
          <w:color w:val="auto"/>
          <w:sz w:val="21"/>
          <w:szCs w:val="21"/>
          <w:highlight w:val="none"/>
        </w:rPr>
      </w:pPr>
      <w:bookmarkStart w:id="72" w:name="_Toc31716"/>
      <w:bookmarkStart w:id="73" w:name="_Toc1974"/>
      <w:bookmarkStart w:id="74" w:name="_Toc26494"/>
      <w:bookmarkStart w:id="75" w:name="_Toc17462"/>
      <w:r>
        <w:rPr>
          <w:rFonts w:hint="eastAsia" w:asciiTheme="minorEastAsia" w:hAnsiTheme="minorEastAsia" w:eastAsiaTheme="minorEastAsia" w:cstheme="minorEastAsia"/>
          <w:color w:val="auto"/>
          <w:spacing w:val="-1"/>
          <w:sz w:val="21"/>
          <w:szCs w:val="21"/>
          <w:highlight w:val="none"/>
        </w:rPr>
        <w:t>（3）唱标人公布在投标截止时间前进行投标文件的投标人数量和名称</w:t>
      </w:r>
      <w:bookmarkEnd w:id="72"/>
      <w:bookmarkEnd w:id="73"/>
      <w:bookmarkEnd w:id="74"/>
      <w:bookmarkEnd w:id="75"/>
    </w:p>
    <w:p w14:paraId="5C8A13F3">
      <w:pPr>
        <w:spacing w:before="181" w:line="219" w:lineRule="auto"/>
        <w:ind w:left="501"/>
        <w:outlineLvl w:val="9"/>
        <w:rPr>
          <w:rFonts w:hint="eastAsia" w:asciiTheme="minorEastAsia" w:hAnsiTheme="minorEastAsia" w:eastAsiaTheme="minorEastAsia" w:cstheme="minorEastAsia"/>
          <w:color w:val="auto"/>
          <w:sz w:val="21"/>
          <w:szCs w:val="21"/>
          <w:highlight w:val="none"/>
        </w:rPr>
      </w:pPr>
      <w:bookmarkStart w:id="76" w:name="_Toc27967"/>
      <w:bookmarkStart w:id="77" w:name="_Toc15860"/>
      <w:bookmarkStart w:id="78" w:name="_Toc20559"/>
      <w:bookmarkStart w:id="79" w:name="_Toc8179"/>
      <w:r>
        <w:rPr>
          <w:rFonts w:hint="eastAsia" w:asciiTheme="minorEastAsia" w:hAnsiTheme="minorEastAsia" w:eastAsiaTheme="minorEastAsia" w:cstheme="minorEastAsia"/>
          <w:color w:val="auto"/>
          <w:spacing w:val="2"/>
          <w:sz w:val="21"/>
          <w:szCs w:val="21"/>
          <w:highlight w:val="none"/>
        </w:rPr>
        <w:t>（4）招标代理机构会同交易场所工作人员对投标人的</w:t>
      </w:r>
      <w:r>
        <w:rPr>
          <w:rFonts w:hint="eastAsia" w:asciiTheme="minorEastAsia" w:hAnsiTheme="minorEastAsia" w:eastAsiaTheme="minorEastAsia" w:cstheme="minorEastAsia"/>
          <w:color w:val="auto"/>
          <w:spacing w:val="1"/>
          <w:sz w:val="21"/>
          <w:szCs w:val="21"/>
          <w:highlight w:val="none"/>
        </w:rPr>
        <w:t>电子投标信息进行解密，</w:t>
      </w:r>
      <w:bookmarkEnd w:id="76"/>
      <w:bookmarkEnd w:id="77"/>
      <w:bookmarkEnd w:id="78"/>
      <w:bookmarkEnd w:id="79"/>
    </w:p>
    <w:p w14:paraId="69543A35">
      <w:pPr>
        <w:spacing w:before="183" w:line="220" w:lineRule="auto"/>
        <w:ind w:left="1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建设工程交易系统自动生成《投标保证缴纳情况表》和《开标一览表》。</w:t>
      </w:r>
    </w:p>
    <w:p w14:paraId="0B31F15B">
      <w:pPr>
        <w:spacing w:before="182" w:line="360" w:lineRule="auto"/>
        <w:ind w:firstLine="406" w:firstLineChars="200"/>
        <w:outlineLvl w:val="9"/>
        <w:rPr>
          <w:rFonts w:hint="eastAsia" w:asciiTheme="minorEastAsia" w:hAnsiTheme="minorEastAsia" w:eastAsiaTheme="minorEastAsia" w:cstheme="minorEastAsia"/>
          <w:color w:val="auto"/>
          <w:sz w:val="21"/>
          <w:szCs w:val="21"/>
          <w:highlight w:val="none"/>
        </w:rPr>
      </w:pPr>
      <w:bookmarkStart w:id="80" w:name="_Toc2199"/>
      <w:bookmarkStart w:id="81" w:name="_Toc28812"/>
      <w:bookmarkStart w:id="82" w:name="_Toc28266"/>
      <w:bookmarkStart w:id="83" w:name="_Toc26216"/>
      <w:r>
        <w:rPr>
          <w:rFonts w:hint="eastAsia" w:asciiTheme="minorEastAsia" w:hAnsiTheme="minorEastAsia" w:eastAsiaTheme="minorEastAsia" w:cstheme="minorEastAsia"/>
          <w:b/>
          <w:bCs/>
          <w:color w:val="auto"/>
          <w:spacing w:val="-4"/>
          <w:sz w:val="21"/>
          <w:szCs w:val="21"/>
          <w:highlight w:val="none"/>
        </w:rPr>
        <w:t>温馨提示：因本项目实行全流程电子化招标投标，投标人无须进行现场签到，可</w:t>
      </w:r>
      <w:bookmarkEnd w:id="80"/>
      <w:bookmarkEnd w:id="81"/>
      <w:bookmarkEnd w:id="82"/>
      <w:r>
        <w:rPr>
          <w:rFonts w:hint="eastAsia" w:asciiTheme="minorEastAsia" w:hAnsiTheme="minorEastAsia" w:eastAsiaTheme="minorEastAsia" w:cstheme="minorEastAsia"/>
          <w:b/>
          <w:bCs/>
          <w:color w:val="auto"/>
          <w:spacing w:val="-4"/>
          <w:sz w:val="21"/>
          <w:szCs w:val="21"/>
          <w:highlight w:val="none"/>
        </w:rPr>
        <w:t>登录交易平台观看开标实况、提出异议或进行澄清、确认等操作，对开标事项的异议</w:t>
      </w:r>
      <w:r>
        <w:rPr>
          <w:rFonts w:hint="eastAsia" w:asciiTheme="minorEastAsia" w:hAnsiTheme="minorEastAsia" w:eastAsiaTheme="minorEastAsia" w:cstheme="minorEastAsia"/>
          <w:b/>
          <w:bCs/>
          <w:color w:val="auto"/>
          <w:spacing w:val="-2"/>
          <w:sz w:val="21"/>
          <w:szCs w:val="21"/>
          <w:highlight w:val="none"/>
        </w:rPr>
        <w:t>未在开标期间提出的，招标</w:t>
      </w:r>
      <w:r>
        <w:rPr>
          <w:rFonts w:hint="eastAsia" w:asciiTheme="minorEastAsia" w:hAnsiTheme="minorEastAsia" w:eastAsiaTheme="minorEastAsia" w:cstheme="minorEastAsia"/>
          <w:b/>
          <w:bCs/>
          <w:color w:val="auto"/>
          <w:spacing w:val="-2"/>
          <w:sz w:val="21"/>
          <w:szCs w:val="21"/>
          <w:highlight w:val="none"/>
          <w:lang w:eastAsia="zh-CN"/>
        </w:rPr>
        <w:t>人不</w:t>
      </w:r>
      <w:r>
        <w:rPr>
          <w:rFonts w:hint="eastAsia" w:asciiTheme="minorEastAsia" w:hAnsiTheme="minorEastAsia" w:eastAsiaTheme="minorEastAsia" w:cstheme="minorEastAsia"/>
          <w:b/>
          <w:bCs/>
          <w:color w:val="auto"/>
          <w:spacing w:val="-2"/>
          <w:sz w:val="21"/>
          <w:szCs w:val="21"/>
          <w:highlight w:val="none"/>
        </w:rPr>
        <w:t>予受理。具体按招标文件和系统操作手册为</w:t>
      </w:r>
      <w:r>
        <w:rPr>
          <w:rFonts w:hint="eastAsia" w:asciiTheme="minorEastAsia" w:hAnsiTheme="minorEastAsia" w:eastAsiaTheme="minorEastAsia" w:cstheme="minorEastAsia"/>
          <w:b/>
          <w:bCs/>
          <w:color w:val="auto"/>
          <w:spacing w:val="-3"/>
          <w:sz w:val="21"/>
          <w:szCs w:val="21"/>
          <w:highlight w:val="none"/>
        </w:rPr>
        <w:t>准。</w:t>
      </w:r>
      <w:bookmarkEnd w:id="83"/>
    </w:p>
    <w:p w14:paraId="50DE7D27">
      <w:pPr>
        <w:spacing w:before="143" w:line="299" w:lineRule="auto"/>
        <w:ind w:left="11" w:right="80" w:firstLine="48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 xml:space="preserve">14.3  </w:t>
      </w:r>
      <w:r>
        <w:rPr>
          <w:rFonts w:hint="eastAsia" w:asciiTheme="minorEastAsia" w:hAnsiTheme="minorEastAsia" w:eastAsiaTheme="minorEastAsia" w:cstheme="minorEastAsia"/>
          <w:color w:val="auto"/>
          <w:spacing w:val="-3"/>
          <w:sz w:val="21"/>
          <w:szCs w:val="21"/>
          <w:highlight w:val="none"/>
        </w:rPr>
        <w:t>投标人对开标相关事项（如开标程序等）有异议的，必须在开标期间和开标</w:t>
      </w:r>
      <w:r>
        <w:rPr>
          <w:rFonts w:hint="eastAsia" w:asciiTheme="minorEastAsia" w:hAnsiTheme="minorEastAsia" w:eastAsiaTheme="minorEastAsia" w:cstheme="minorEastAsia"/>
          <w:color w:val="auto"/>
          <w:spacing w:val="-1"/>
          <w:sz w:val="21"/>
          <w:szCs w:val="21"/>
          <w:highlight w:val="none"/>
        </w:rPr>
        <w:t>现场提出，招标人或其授权的招标代理机构应当场作出答</w:t>
      </w:r>
      <w:r>
        <w:rPr>
          <w:rFonts w:hint="eastAsia" w:asciiTheme="minorEastAsia" w:hAnsiTheme="minorEastAsia" w:eastAsiaTheme="minorEastAsia" w:cstheme="minorEastAsia"/>
          <w:color w:val="auto"/>
          <w:spacing w:val="-2"/>
          <w:sz w:val="21"/>
          <w:szCs w:val="21"/>
          <w:highlight w:val="none"/>
        </w:rPr>
        <w:t>复，并记录在案。对开标事</w:t>
      </w:r>
      <w:r>
        <w:rPr>
          <w:rFonts w:hint="eastAsia" w:asciiTheme="minorEastAsia" w:hAnsiTheme="minorEastAsia" w:eastAsiaTheme="minorEastAsia" w:cstheme="minorEastAsia"/>
          <w:color w:val="auto"/>
          <w:spacing w:val="-1"/>
          <w:sz w:val="21"/>
          <w:szCs w:val="21"/>
          <w:highlight w:val="none"/>
        </w:rPr>
        <w:t>项的异议未在开标期间和开标现场提出的，招标人不予受理。</w:t>
      </w:r>
    </w:p>
    <w:p w14:paraId="2D9E0830">
      <w:pPr>
        <w:spacing w:before="155" w:line="279" w:lineRule="auto"/>
        <w:ind w:left="8" w:right="82" w:firstLine="48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14.4 </w:t>
      </w:r>
      <w:r>
        <w:rPr>
          <w:rFonts w:hint="eastAsia" w:asciiTheme="minorEastAsia" w:hAnsiTheme="minorEastAsia" w:eastAsiaTheme="minorEastAsia" w:cstheme="minorEastAsia"/>
          <w:color w:val="auto"/>
          <w:spacing w:val="-1"/>
          <w:sz w:val="21"/>
          <w:szCs w:val="21"/>
          <w:highlight w:val="none"/>
        </w:rPr>
        <w:t>招标代理机构将资料原件（如有）</w:t>
      </w:r>
      <w:r>
        <w:rPr>
          <w:rFonts w:hint="eastAsia" w:asciiTheme="minorEastAsia" w:hAnsiTheme="minorEastAsia" w:eastAsiaTheme="minorEastAsia" w:cstheme="minorEastAsia"/>
          <w:color w:val="auto"/>
          <w:spacing w:val="-2"/>
          <w:sz w:val="21"/>
          <w:szCs w:val="21"/>
          <w:highlight w:val="none"/>
        </w:rPr>
        <w:t>、《开标一览表》以及其他有关资料移交评标委员会。</w:t>
      </w:r>
    </w:p>
    <w:p w14:paraId="2EBE8296">
      <w:pPr>
        <w:spacing w:before="78" w:line="221" w:lineRule="auto"/>
        <w:ind w:left="496"/>
        <w:outlineLvl w:val="2"/>
        <w:rPr>
          <w:rFonts w:hint="eastAsia" w:asciiTheme="minorEastAsia" w:hAnsiTheme="minorEastAsia" w:eastAsiaTheme="minorEastAsia" w:cstheme="minorEastAsia"/>
          <w:color w:val="auto"/>
          <w:sz w:val="21"/>
          <w:szCs w:val="21"/>
          <w:highlight w:val="none"/>
        </w:rPr>
      </w:pPr>
      <w:bookmarkStart w:id="84" w:name="_Toc4537"/>
      <w:bookmarkStart w:id="85" w:name="_Toc961"/>
      <w:r>
        <w:rPr>
          <w:rFonts w:hint="eastAsia" w:asciiTheme="minorEastAsia" w:hAnsiTheme="minorEastAsia" w:eastAsiaTheme="minorEastAsia" w:cstheme="minorEastAsia"/>
          <w:b/>
          <w:bCs/>
          <w:color w:val="auto"/>
          <w:spacing w:val="-11"/>
          <w:sz w:val="21"/>
          <w:szCs w:val="21"/>
          <w:highlight w:val="none"/>
        </w:rPr>
        <w:t>15</w:t>
      </w:r>
      <w:r>
        <w:rPr>
          <w:rFonts w:hint="eastAsia" w:asciiTheme="minorEastAsia" w:hAnsiTheme="minorEastAsia" w:eastAsiaTheme="minorEastAsia" w:cstheme="minorEastAsia"/>
          <w:b/>
          <w:bCs/>
          <w:color w:val="auto"/>
          <w:spacing w:val="-28"/>
          <w:sz w:val="21"/>
          <w:szCs w:val="21"/>
          <w:highlight w:val="none"/>
        </w:rPr>
        <w:t xml:space="preserve"> </w:t>
      </w:r>
      <w:r>
        <w:rPr>
          <w:rFonts w:hint="eastAsia" w:asciiTheme="minorEastAsia" w:hAnsiTheme="minorEastAsia" w:eastAsiaTheme="minorEastAsia" w:cstheme="minorEastAsia"/>
          <w:b/>
          <w:bCs/>
          <w:color w:val="auto"/>
          <w:spacing w:val="-11"/>
          <w:sz w:val="21"/>
          <w:szCs w:val="21"/>
          <w:highlight w:val="none"/>
        </w:rPr>
        <w:t>．评标</w:t>
      </w:r>
      <w:bookmarkEnd w:id="84"/>
      <w:bookmarkEnd w:id="85"/>
    </w:p>
    <w:p w14:paraId="1F474C72">
      <w:pPr>
        <w:spacing w:before="78" w:line="331" w:lineRule="auto"/>
        <w:ind w:left="8" w:right="65" w:firstLine="480"/>
        <w:rPr>
          <w:rFonts w:hint="eastAsia" w:asciiTheme="minorEastAsia" w:hAnsiTheme="minorEastAsia" w:eastAsiaTheme="minorEastAsia" w:cstheme="minorEastAsia"/>
          <w:color w:val="auto"/>
          <w:sz w:val="21"/>
          <w:szCs w:val="21"/>
          <w:highlight w:val="none"/>
        </w:rPr>
      </w:pPr>
      <w:bookmarkStart w:id="86" w:name="bookmark124"/>
      <w:bookmarkEnd w:id="86"/>
      <w:r>
        <w:rPr>
          <w:rFonts w:hint="eastAsia" w:asciiTheme="minorEastAsia" w:hAnsiTheme="minorEastAsia" w:eastAsiaTheme="minorEastAsia" w:cstheme="minorEastAsia"/>
          <w:color w:val="auto"/>
          <w:spacing w:val="-1"/>
          <w:sz w:val="21"/>
          <w:szCs w:val="21"/>
          <w:highlight w:val="none"/>
        </w:rPr>
        <w:t>评标分为初步评审和详细评审两个阶段，由评标委员会</w:t>
      </w:r>
      <w:r>
        <w:rPr>
          <w:rFonts w:hint="eastAsia" w:asciiTheme="minorEastAsia" w:hAnsiTheme="minorEastAsia" w:eastAsiaTheme="minorEastAsia" w:cstheme="minorEastAsia"/>
          <w:color w:val="auto"/>
          <w:spacing w:val="-2"/>
          <w:sz w:val="21"/>
          <w:szCs w:val="21"/>
          <w:highlight w:val="none"/>
        </w:rPr>
        <w:t>在有关部门的监督下，严</w:t>
      </w:r>
      <w:r>
        <w:rPr>
          <w:rFonts w:hint="eastAsia" w:asciiTheme="minorEastAsia" w:hAnsiTheme="minorEastAsia" w:eastAsiaTheme="minorEastAsia" w:cstheme="minorEastAsia"/>
          <w:color w:val="auto"/>
          <w:spacing w:val="-1"/>
          <w:sz w:val="21"/>
          <w:szCs w:val="21"/>
          <w:highlight w:val="none"/>
        </w:rPr>
        <w:t>格按照本招标文件指定的评标方法，对投标人的投标文件进行审</w:t>
      </w:r>
      <w:r>
        <w:rPr>
          <w:rFonts w:hint="eastAsia" w:asciiTheme="minorEastAsia" w:hAnsiTheme="minorEastAsia" w:eastAsiaTheme="minorEastAsia" w:cstheme="minorEastAsia"/>
          <w:color w:val="auto"/>
          <w:spacing w:val="-2"/>
          <w:sz w:val="21"/>
          <w:szCs w:val="21"/>
          <w:highlight w:val="none"/>
        </w:rPr>
        <w:t>查、评审。评标委员</w:t>
      </w:r>
      <w:r>
        <w:rPr>
          <w:rFonts w:hint="eastAsia" w:asciiTheme="minorEastAsia" w:hAnsiTheme="minorEastAsia" w:eastAsiaTheme="minorEastAsia" w:cstheme="minorEastAsia"/>
          <w:color w:val="auto"/>
          <w:spacing w:val="2"/>
          <w:sz w:val="21"/>
          <w:szCs w:val="21"/>
          <w:highlight w:val="none"/>
        </w:rPr>
        <w:t>会完成评标后，向招标人推荐</w:t>
      </w:r>
      <w:r>
        <w:rPr>
          <w:rFonts w:hint="eastAsia" w:asciiTheme="minorEastAsia" w:hAnsiTheme="minorEastAsia" w:eastAsiaTheme="minorEastAsia" w:cstheme="minorEastAsia"/>
          <w:color w:val="auto"/>
          <w:spacing w:val="2"/>
          <w:sz w:val="21"/>
          <w:szCs w:val="21"/>
          <w:highlight w:val="none"/>
          <w:u w:val="single"/>
        </w:rPr>
        <w:t xml:space="preserve"> 3 </w:t>
      </w:r>
      <w:r>
        <w:rPr>
          <w:rFonts w:hint="eastAsia" w:asciiTheme="minorEastAsia" w:hAnsiTheme="minorEastAsia" w:eastAsiaTheme="minorEastAsia" w:cstheme="minorEastAsia"/>
          <w:color w:val="auto"/>
          <w:spacing w:val="2"/>
          <w:sz w:val="21"/>
          <w:szCs w:val="21"/>
          <w:highlight w:val="none"/>
        </w:rPr>
        <w:t>个中标候选人，并向招标人提交由全</w:t>
      </w:r>
      <w:r>
        <w:rPr>
          <w:rFonts w:hint="eastAsia" w:asciiTheme="minorEastAsia" w:hAnsiTheme="minorEastAsia" w:eastAsiaTheme="minorEastAsia" w:cstheme="minorEastAsia"/>
          <w:color w:val="auto"/>
          <w:spacing w:val="1"/>
          <w:sz w:val="21"/>
          <w:szCs w:val="21"/>
          <w:highlight w:val="none"/>
        </w:rPr>
        <w:t>体评标委员会</w:t>
      </w:r>
      <w:r>
        <w:rPr>
          <w:rFonts w:hint="eastAsia" w:asciiTheme="minorEastAsia" w:hAnsiTheme="minorEastAsia" w:eastAsiaTheme="minorEastAsia" w:cstheme="minorEastAsia"/>
          <w:color w:val="auto"/>
          <w:spacing w:val="-1"/>
          <w:sz w:val="21"/>
          <w:szCs w:val="21"/>
          <w:highlight w:val="none"/>
        </w:rPr>
        <w:t>成员签字的评标报告。</w:t>
      </w:r>
    </w:p>
    <w:p w14:paraId="5D22C020">
      <w:pPr>
        <w:spacing w:before="38" w:line="219"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15.1  </w:t>
      </w:r>
      <w:r>
        <w:rPr>
          <w:rFonts w:hint="eastAsia" w:asciiTheme="minorEastAsia" w:hAnsiTheme="minorEastAsia" w:eastAsiaTheme="minorEastAsia" w:cstheme="minorEastAsia"/>
          <w:color w:val="auto"/>
          <w:spacing w:val="-2"/>
          <w:sz w:val="21"/>
          <w:szCs w:val="21"/>
          <w:highlight w:val="none"/>
        </w:rPr>
        <w:t>评标委员会</w:t>
      </w:r>
    </w:p>
    <w:p w14:paraId="73A8D1E2">
      <w:pPr>
        <w:spacing w:before="155" w:line="324" w:lineRule="auto"/>
        <w:ind w:left="10" w:right="65" w:firstLine="48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15.1.1 </w:t>
      </w:r>
      <w:r>
        <w:rPr>
          <w:rFonts w:hint="eastAsia" w:asciiTheme="minorEastAsia" w:hAnsiTheme="minorEastAsia" w:eastAsiaTheme="minorEastAsia" w:cstheme="minorEastAsia"/>
          <w:color w:val="auto"/>
          <w:sz w:val="21"/>
          <w:szCs w:val="21"/>
          <w:highlight w:val="none"/>
        </w:rPr>
        <w:t>评标委员会由</w:t>
      </w:r>
      <w:r>
        <w:rPr>
          <w:rFonts w:hint="eastAsia" w:asciiTheme="minorEastAsia" w:hAnsiTheme="minorEastAsia" w:eastAsiaTheme="minorEastAsia" w:cstheme="minorEastAsia"/>
          <w:color w:val="auto"/>
          <w:sz w:val="21"/>
          <w:szCs w:val="21"/>
          <w:highlight w:val="none"/>
          <w:u w:val="single"/>
        </w:rPr>
        <w:t xml:space="preserve"> 5 </w:t>
      </w:r>
      <w:r>
        <w:rPr>
          <w:rFonts w:hint="eastAsia" w:asciiTheme="minorEastAsia" w:hAnsiTheme="minorEastAsia" w:eastAsiaTheme="minorEastAsia" w:cstheme="minorEastAsia"/>
          <w:color w:val="auto"/>
          <w:sz w:val="21"/>
          <w:szCs w:val="21"/>
          <w:highlight w:val="none"/>
        </w:rPr>
        <w:t>人组成，其中招标人代表</w:t>
      </w:r>
      <w:r>
        <w:rPr>
          <w:rFonts w:hint="eastAsia" w:asciiTheme="minorEastAsia" w:hAnsiTheme="minorEastAsia" w:eastAsiaTheme="minorEastAsia" w:cstheme="minorEastAsia"/>
          <w:color w:val="auto"/>
          <w:sz w:val="21"/>
          <w:szCs w:val="21"/>
          <w:highlight w:val="none"/>
          <w:u w:val="single"/>
        </w:rPr>
        <w:t xml:space="preserve"> 0 </w:t>
      </w:r>
      <w:r>
        <w:rPr>
          <w:rFonts w:hint="eastAsia" w:asciiTheme="minorEastAsia" w:hAnsiTheme="minorEastAsia" w:eastAsiaTheme="minorEastAsia" w:cstheme="minorEastAsia"/>
          <w:color w:val="auto"/>
          <w:sz w:val="21"/>
          <w:szCs w:val="21"/>
          <w:highlight w:val="none"/>
        </w:rPr>
        <w:t>人，专家</w:t>
      </w:r>
      <w:r>
        <w:rPr>
          <w:rFonts w:hint="eastAsia" w:asciiTheme="minorEastAsia" w:hAnsiTheme="minorEastAsia" w:eastAsiaTheme="minorEastAsia" w:cstheme="minorEastAsia"/>
          <w:color w:val="auto"/>
          <w:sz w:val="21"/>
          <w:szCs w:val="21"/>
          <w:highlight w:val="none"/>
          <w:u w:val="single"/>
        </w:rPr>
        <w:t xml:space="preserve"> 5 </w:t>
      </w:r>
      <w:r>
        <w:rPr>
          <w:rFonts w:hint="eastAsia" w:asciiTheme="minorEastAsia" w:hAnsiTheme="minorEastAsia" w:eastAsiaTheme="minorEastAsia" w:cstheme="minorEastAsia"/>
          <w:color w:val="auto"/>
          <w:sz w:val="21"/>
          <w:szCs w:val="21"/>
          <w:highlight w:val="none"/>
        </w:rPr>
        <w:t>人。专家从</w:t>
      </w:r>
      <w:r>
        <w:rPr>
          <w:rFonts w:hint="eastAsia" w:asciiTheme="minorEastAsia" w:hAnsiTheme="minorEastAsia" w:eastAsiaTheme="minorEastAsia" w:cstheme="minorEastAsia"/>
          <w:color w:val="auto"/>
          <w:sz w:val="21"/>
          <w:szCs w:val="21"/>
          <w:highlight w:val="none"/>
          <w:u w:val="single"/>
        </w:rPr>
        <w:t>广东省综合评标评审专家库</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u w:val="single"/>
        </w:rPr>
        <w:t>韶关区域</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rPr>
        <w:t>中随机抽取，其中技术类专家</w:t>
      </w:r>
      <w:r>
        <w:rPr>
          <w:rFonts w:hint="eastAsia" w:asciiTheme="minorEastAsia" w:hAnsiTheme="minorEastAsia" w:eastAsiaTheme="minorEastAsia" w:cstheme="minorEastAsia"/>
          <w:color w:val="auto"/>
          <w:sz w:val="21"/>
          <w:szCs w:val="21"/>
          <w:highlight w:val="none"/>
          <w:u w:val="single"/>
        </w:rPr>
        <w:t xml:space="preserve"> 3 </w:t>
      </w:r>
      <w:r>
        <w:rPr>
          <w:rFonts w:hint="eastAsia" w:asciiTheme="minorEastAsia" w:hAnsiTheme="minorEastAsia" w:eastAsiaTheme="minorEastAsia" w:cstheme="minorEastAsia"/>
          <w:color w:val="auto"/>
          <w:sz w:val="21"/>
          <w:szCs w:val="21"/>
          <w:highlight w:val="none"/>
        </w:rPr>
        <w:t>人，经济类专家</w:t>
      </w:r>
      <w:r>
        <w:rPr>
          <w:rFonts w:hint="eastAsia" w:asciiTheme="minorEastAsia" w:hAnsiTheme="minorEastAsia" w:eastAsiaTheme="minorEastAsia" w:cstheme="minorEastAsia"/>
          <w:color w:val="auto"/>
          <w:sz w:val="21"/>
          <w:szCs w:val="21"/>
          <w:highlight w:val="none"/>
          <w:u w:val="single"/>
        </w:rPr>
        <w:t xml:space="preserve"> 2 </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pacing w:val="-1"/>
          <w:sz w:val="21"/>
          <w:szCs w:val="21"/>
          <w:highlight w:val="none"/>
        </w:rPr>
        <w:t>评标委员会设负责人，由评标委员会成员推举产生</w:t>
      </w:r>
      <w:r>
        <w:rPr>
          <w:rFonts w:hint="eastAsia" w:asciiTheme="minorEastAsia" w:hAnsiTheme="minorEastAsia" w:eastAsiaTheme="minorEastAsia" w:cstheme="minorEastAsia"/>
          <w:color w:val="auto"/>
          <w:spacing w:val="-2"/>
          <w:sz w:val="21"/>
          <w:szCs w:val="21"/>
          <w:highlight w:val="none"/>
        </w:rPr>
        <w:t>。评标委员会负责人与评</w:t>
      </w:r>
      <w:r>
        <w:rPr>
          <w:rFonts w:hint="eastAsia" w:asciiTheme="minorEastAsia" w:hAnsiTheme="minorEastAsia" w:eastAsiaTheme="minorEastAsia" w:cstheme="minorEastAsia"/>
          <w:color w:val="auto"/>
          <w:spacing w:val="-1"/>
          <w:sz w:val="21"/>
          <w:szCs w:val="21"/>
          <w:highlight w:val="none"/>
        </w:rPr>
        <w:t>标委员会的其他成员有同等的表决权。</w:t>
      </w:r>
    </w:p>
    <w:p w14:paraId="08C66E6A">
      <w:pPr>
        <w:spacing w:before="32" w:line="280" w:lineRule="auto"/>
        <w:ind w:left="13" w:right="7" w:firstLine="56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15.1.2  </w:t>
      </w:r>
      <w:r>
        <w:rPr>
          <w:rFonts w:hint="eastAsia" w:asciiTheme="minorEastAsia" w:hAnsiTheme="minorEastAsia" w:eastAsiaTheme="minorEastAsia" w:cstheme="minorEastAsia"/>
          <w:color w:val="auto"/>
          <w:spacing w:val="-2"/>
          <w:sz w:val="21"/>
          <w:szCs w:val="21"/>
          <w:highlight w:val="none"/>
        </w:rPr>
        <w:t>评标委员会应认真、公正、诚实、廉洁地履行职责。有下列情形之一的，不得担任评标委员会成员：</w:t>
      </w:r>
    </w:p>
    <w:p w14:paraId="7DC7DC11">
      <w:pPr>
        <w:spacing w:before="154" w:line="220" w:lineRule="auto"/>
        <w:ind w:left="5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（1）投标人或投标人主要负责人的近亲属；</w:t>
      </w:r>
    </w:p>
    <w:p w14:paraId="3FE279B6">
      <w:pPr>
        <w:spacing w:before="153" w:line="220" w:lineRule="auto"/>
        <w:ind w:left="5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（2）项目主管部门或者行政监督部门的人员；</w:t>
      </w:r>
    </w:p>
    <w:p w14:paraId="0EB77297">
      <w:pPr>
        <w:spacing w:before="155" w:line="221" w:lineRule="auto"/>
        <w:ind w:left="5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（3）与投标人有经济利益关系，可能影响对投标公正评审的；</w:t>
      </w:r>
    </w:p>
    <w:p w14:paraId="76971955">
      <w:pPr>
        <w:spacing w:before="153" w:line="279" w:lineRule="auto"/>
        <w:ind w:left="8" w:right="65" w:firstLine="57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（4）曾因在招标、评标以及其他与招标投标有关活动中从事违法行为而受过行政处罚或刑事处罚的。</w:t>
      </w:r>
    </w:p>
    <w:p w14:paraId="3B2501A6">
      <w:pPr>
        <w:spacing w:before="155" w:line="219" w:lineRule="auto"/>
        <w:ind w:left="48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评标委员会成员有以上情形之一的，应主动提出回避。</w:t>
      </w:r>
    </w:p>
    <w:p w14:paraId="0C8F77C7">
      <w:pPr>
        <w:spacing w:before="154" w:line="279" w:lineRule="auto"/>
        <w:ind w:left="8" w:right="65" w:firstLine="48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15.1.3  </w:t>
      </w:r>
      <w:r>
        <w:rPr>
          <w:rFonts w:hint="eastAsia" w:asciiTheme="minorEastAsia" w:hAnsiTheme="minorEastAsia" w:eastAsiaTheme="minorEastAsia" w:cstheme="minorEastAsia"/>
          <w:color w:val="auto"/>
          <w:spacing w:val="-1"/>
          <w:sz w:val="21"/>
          <w:szCs w:val="21"/>
          <w:highlight w:val="none"/>
        </w:rPr>
        <w:t>评标全过程实行封闭式管理，在中标结果公</w:t>
      </w:r>
      <w:r>
        <w:rPr>
          <w:rFonts w:hint="eastAsia" w:asciiTheme="minorEastAsia" w:hAnsiTheme="minorEastAsia" w:eastAsiaTheme="minorEastAsia" w:cstheme="minorEastAsia"/>
          <w:color w:val="auto"/>
          <w:spacing w:val="-2"/>
          <w:sz w:val="21"/>
          <w:szCs w:val="21"/>
          <w:highlight w:val="none"/>
        </w:rPr>
        <w:t>布前，禁止评标委员会成员以</w:t>
      </w:r>
      <w:r>
        <w:rPr>
          <w:rFonts w:hint="eastAsia" w:asciiTheme="minorEastAsia" w:hAnsiTheme="minorEastAsia" w:eastAsiaTheme="minorEastAsia" w:cstheme="minorEastAsia"/>
          <w:color w:val="auto"/>
          <w:spacing w:val="-1"/>
          <w:sz w:val="21"/>
          <w:szCs w:val="21"/>
          <w:highlight w:val="none"/>
        </w:rPr>
        <w:t>任何方式私下接触投标人。</w:t>
      </w:r>
    </w:p>
    <w:p w14:paraId="6B359710">
      <w:pPr>
        <w:spacing w:before="157" w:line="298" w:lineRule="auto"/>
        <w:ind w:left="11" w:right="65" w:firstLine="48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15.1.4  </w:t>
      </w:r>
      <w:r>
        <w:rPr>
          <w:rFonts w:hint="eastAsia" w:asciiTheme="minorEastAsia" w:hAnsiTheme="minorEastAsia" w:eastAsiaTheme="minorEastAsia" w:cstheme="minorEastAsia"/>
          <w:color w:val="auto"/>
          <w:spacing w:val="-1"/>
          <w:sz w:val="21"/>
          <w:szCs w:val="21"/>
          <w:highlight w:val="none"/>
        </w:rPr>
        <w:t>在评标过程中，评标委员会可以书面形式要</w:t>
      </w:r>
      <w:r>
        <w:rPr>
          <w:rFonts w:hint="eastAsia" w:asciiTheme="minorEastAsia" w:hAnsiTheme="minorEastAsia" w:eastAsiaTheme="minorEastAsia" w:cstheme="minorEastAsia"/>
          <w:color w:val="auto"/>
          <w:spacing w:val="-2"/>
          <w:sz w:val="21"/>
          <w:szCs w:val="21"/>
          <w:highlight w:val="none"/>
        </w:rPr>
        <w:t>求投标人对所提交的投标文件</w:t>
      </w:r>
      <w:r>
        <w:rPr>
          <w:rFonts w:hint="eastAsia" w:asciiTheme="minorEastAsia" w:hAnsiTheme="minorEastAsia" w:eastAsiaTheme="minorEastAsia" w:cstheme="minorEastAsia"/>
          <w:color w:val="auto"/>
          <w:spacing w:val="-1"/>
          <w:sz w:val="21"/>
          <w:szCs w:val="21"/>
          <w:highlight w:val="none"/>
        </w:rPr>
        <w:t>中不明确的内容进行书面澄清或说明，但不接受投标人主</w:t>
      </w:r>
      <w:r>
        <w:rPr>
          <w:rFonts w:hint="eastAsia" w:asciiTheme="minorEastAsia" w:hAnsiTheme="minorEastAsia" w:eastAsiaTheme="minorEastAsia" w:cstheme="minorEastAsia"/>
          <w:color w:val="auto"/>
          <w:spacing w:val="-2"/>
          <w:sz w:val="21"/>
          <w:szCs w:val="21"/>
          <w:highlight w:val="none"/>
        </w:rPr>
        <w:t>动提出的澄清或说明。投标</w:t>
      </w:r>
      <w:r>
        <w:rPr>
          <w:rFonts w:hint="eastAsia" w:asciiTheme="minorEastAsia" w:hAnsiTheme="minorEastAsia" w:eastAsiaTheme="minorEastAsia" w:cstheme="minorEastAsia"/>
          <w:color w:val="auto"/>
          <w:spacing w:val="-1"/>
          <w:sz w:val="21"/>
          <w:szCs w:val="21"/>
          <w:highlight w:val="none"/>
        </w:rPr>
        <w:t>人的书面澄清或说明不得改变投标文件的实质性内容，并</w:t>
      </w:r>
      <w:r>
        <w:rPr>
          <w:rFonts w:hint="eastAsia" w:asciiTheme="minorEastAsia" w:hAnsiTheme="minorEastAsia" w:eastAsiaTheme="minorEastAsia" w:cstheme="minorEastAsia"/>
          <w:color w:val="auto"/>
          <w:spacing w:val="-2"/>
          <w:sz w:val="21"/>
          <w:szCs w:val="21"/>
          <w:highlight w:val="none"/>
        </w:rPr>
        <w:t>作为投标文件的组成部分。</w:t>
      </w:r>
    </w:p>
    <w:p w14:paraId="70C79482">
      <w:pPr>
        <w:spacing w:before="156" w:line="309" w:lineRule="auto"/>
        <w:ind w:left="8" w:right="65" w:firstLine="56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 xml:space="preserve">15.1.5  </w:t>
      </w:r>
      <w:r>
        <w:rPr>
          <w:rFonts w:hint="eastAsia" w:asciiTheme="minorEastAsia" w:hAnsiTheme="minorEastAsia" w:eastAsiaTheme="minorEastAsia" w:cstheme="minorEastAsia"/>
          <w:color w:val="auto"/>
          <w:spacing w:val="-3"/>
          <w:sz w:val="21"/>
          <w:szCs w:val="21"/>
          <w:highlight w:val="none"/>
        </w:rPr>
        <w:t>在任何评标环节中，当评标委员会就某</w:t>
      </w:r>
      <w:r>
        <w:rPr>
          <w:rFonts w:hint="eastAsia" w:asciiTheme="minorEastAsia" w:hAnsiTheme="minorEastAsia" w:eastAsiaTheme="minorEastAsia" w:cstheme="minorEastAsia"/>
          <w:color w:val="auto"/>
          <w:spacing w:val="-4"/>
          <w:sz w:val="21"/>
          <w:szCs w:val="21"/>
          <w:highlight w:val="none"/>
        </w:rPr>
        <w:t>项定性的评审结论不统一、需要做</w:t>
      </w:r>
      <w:r>
        <w:rPr>
          <w:rFonts w:hint="eastAsia" w:asciiTheme="minorEastAsia" w:hAnsiTheme="minorEastAsia" w:eastAsiaTheme="minorEastAsia" w:cstheme="minorEastAsia"/>
          <w:color w:val="auto"/>
          <w:spacing w:val="-1"/>
          <w:sz w:val="21"/>
          <w:szCs w:val="21"/>
          <w:highlight w:val="none"/>
        </w:rPr>
        <w:t>出表决时，由评标委员会全体成员按照少数服从多数的原则，以</w:t>
      </w:r>
      <w:r>
        <w:rPr>
          <w:rFonts w:hint="eastAsia" w:asciiTheme="minorEastAsia" w:hAnsiTheme="minorEastAsia" w:eastAsiaTheme="minorEastAsia" w:cstheme="minorEastAsia"/>
          <w:color w:val="auto"/>
          <w:spacing w:val="-2"/>
          <w:sz w:val="21"/>
          <w:szCs w:val="21"/>
          <w:highlight w:val="none"/>
        </w:rPr>
        <w:t>记名投票方式表决。</w:t>
      </w:r>
      <w:r>
        <w:rPr>
          <w:rFonts w:hint="eastAsia" w:asciiTheme="minorEastAsia" w:hAnsiTheme="minorEastAsia" w:eastAsiaTheme="minorEastAsia" w:cstheme="minorEastAsia"/>
          <w:color w:val="auto"/>
          <w:spacing w:val="-1"/>
          <w:sz w:val="21"/>
          <w:szCs w:val="21"/>
          <w:highlight w:val="none"/>
        </w:rPr>
        <w:t>评标委员会全体成员应共同遵守和执行表决结果，严禁评标委员</w:t>
      </w:r>
      <w:r>
        <w:rPr>
          <w:rFonts w:hint="eastAsia" w:asciiTheme="minorEastAsia" w:hAnsiTheme="minorEastAsia" w:eastAsiaTheme="minorEastAsia" w:cstheme="minorEastAsia"/>
          <w:color w:val="auto"/>
          <w:spacing w:val="-2"/>
          <w:sz w:val="21"/>
          <w:szCs w:val="21"/>
          <w:highlight w:val="none"/>
        </w:rPr>
        <w:t>会任何成员将个人意</w:t>
      </w:r>
      <w:r>
        <w:rPr>
          <w:rFonts w:hint="eastAsia" w:asciiTheme="minorEastAsia" w:hAnsiTheme="minorEastAsia" w:eastAsiaTheme="minorEastAsia" w:cstheme="minorEastAsia"/>
          <w:color w:val="auto"/>
          <w:spacing w:val="-1"/>
          <w:sz w:val="21"/>
          <w:szCs w:val="21"/>
          <w:highlight w:val="none"/>
        </w:rPr>
        <w:t>见强加给他人、影响评标正常秩序和妨碍评审结论的公正性。</w:t>
      </w:r>
    </w:p>
    <w:p w14:paraId="0B8E13ED">
      <w:pPr>
        <w:spacing w:before="79" w:line="221" w:lineRule="auto"/>
        <w:ind w:left="5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15.2  </w:t>
      </w:r>
      <w:r>
        <w:rPr>
          <w:rFonts w:hint="eastAsia" w:asciiTheme="minorEastAsia" w:hAnsiTheme="minorEastAsia" w:eastAsiaTheme="minorEastAsia" w:cstheme="minorEastAsia"/>
          <w:color w:val="auto"/>
          <w:spacing w:val="-2"/>
          <w:sz w:val="21"/>
          <w:szCs w:val="21"/>
          <w:highlight w:val="none"/>
        </w:rPr>
        <w:t>评标方法</w:t>
      </w:r>
    </w:p>
    <w:p w14:paraId="2FB1E60F">
      <w:pPr>
        <w:spacing w:before="78" w:line="326" w:lineRule="auto"/>
        <w:ind w:left="231" w:right="181" w:firstLine="560"/>
        <w:rPr>
          <w:rFonts w:hint="eastAsia" w:asciiTheme="minorEastAsia" w:hAnsiTheme="minorEastAsia" w:eastAsiaTheme="minorEastAsia" w:cstheme="minorEastAsia"/>
          <w:color w:val="auto"/>
          <w:sz w:val="21"/>
          <w:szCs w:val="21"/>
          <w:highlight w:val="none"/>
        </w:rPr>
      </w:pPr>
      <w:bookmarkStart w:id="87" w:name="bookmark125"/>
      <w:bookmarkEnd w:id="87"/>
      <w:r>
        <w:rPr>
          <w:rFonts w:hint="eastAsia" w:asciiTheme="minorEastAsia" w:hAnsiTheme="minorEastAsia" w:eastAsiaTheme="minorEastAsia" w:cstheme="minorEastAsia"/>
          <w:color w:val="auto"/>
          <w:spacing w:val="-4"/>
          <w:sz w:val="21"/>
          <w:szCs w:val="21"/>
          <w:highlight w:val="none"/>
        </w:rPr>
        <w:t>根据有关法律、法规的相关规定，结合本招标项目资金来源和规模特点，本次招</w:t>
      </w:r>
      <w:r>
        <w:rPr>
          <w:rFonts w:hint="eastAsia" w:asciiTheme="minorEastAsia" w:hAnsiTheme="minorEastAsia" w:eastAsiaTheme="minorEastAsia" w:cstheme="minorEastAsia"/>
          <w:color w:val="auto"/>
          <w:spacing w:val="-1"/>
          <w:sz w:val="21"/>
          <w:szCs w:val="21"/>
          <w:highlight w:val="none"/>
        </w:rPr>
        <w:t>标采用</w:t>
      </w:r>
      <w:r>
        <w:rPr>
          <w:rFonts w:hint="eastAsia" w:asciiTheme="minorEastAsia" w:hAnsiTheme="minorEastAsia" w:eastAsiaTheme="minorEastAsia" w:cstheme="minorEastAsia"/>
          <w:b/>
          <w:bCs/>
          <w:color w:val="auto"/>
          <w:spacing w:val="-4"/>
          <w:sz w:val="21"/>
          <w:szCs w:val="21"/>
          <w:highlight w:val="none"/>
          <w:u w:val="single"/>
        </w:rPr>
        <w:t xml:space="preserve"> 综合评估法</w:t>
      </w:r>
      <w:r>
        <w:rPr>
          <w:rFonts w:hint="eastAsia" w:asciiTheme="minorEastAsia" w:hAnsiTheme="minorEastAsia" w:eastAsiaTheme="minorEastAsia" w:cstheme="minorEastAsia"/>
          <w:color w:val="auto"/>
          <w:spacing w:val="-4"/>
          <w:sz w:val="21"/>
          <w:szCs w:val="21"/>
          <w:highlight w:val="none"/>
          <w:u w:val="single"/>
        </w:rPr>
        <w:t>（</w:t>
      </w:r>
      <w:r>
        <w:rPr>
          <w:rFonts w:hint="eastAsia" w:asciiTheme="minorEastAsia" w:hAnsiTheme="minorEastAsia" w:eastAsiaTheme="minorEastAsia" w:cstheme="minorEastAsia"/>
          <w:color w:val="auto"/>
          <w:spacing w:val="-1"/>
          <w:sz w:val="21"/>
          <w:szCs w:val="21"/>
          <w:highlight w:val="none"/>
        </w:rPr>
        <w:t>评标方法名称）进行评标。</w:t>
      </w:r>
    </w:p>
    <w:p w14:paraId="3EAFBF3D">
      <w:pPr>
        <w:spacing w:before="154" w:line="269" w:lineRule="auto"/>
        <w:ind w:left="220" w:right="33" w:firstLine="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 xml:space="preserve">15.3  </w:t>
      </w:r>
      <w:r>
        <w:rPr>
          <w:rFonts w:hint="eastAsia" w:asciiTheme="minorEastAsia" w:hAnsiTheme="minorEastAsia" w:eastAsiaTheme="minorEastAsia" w:cstheme="minorEastAsia"/>
          <w:color w:val="auto"/>
          <w:spacing w:val="-3"/>
          <w:sz w:val="21"/>
          <w:szCs w:val="21"/>
          <w:highlight w:val="none"/>
        </w:rPr>
        <w:t>评审范围：评标委员会应对所有投标人的投标文件进行评审。</w:t>
      </w:r>
    </w:p>
    <w:p w14:paraId="59C2CF85">
      <w:pPr>
        <w:spacing w:before="153" w:line="220" w:lineRule="auto"/>
        <w:ind w:left="71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15.4  </w:t>
      </w:r>
      <w:r>
        <w:rPr>
          <w:rFonts w:hint="eastAsia" w:asciiTheme="minorEastAsia" w:hAnsiTheme="minorEastAsia" w:eastAsiaTheme="minorEastAsia" w:cstheme="minorEastAsia"/>
          <w:color w:val="auto"/>
          <w:spacing w:val="-2"/>
          <w:sz w:val="21"/>
          <w:szCs w:val="21"/>
          <w:highlight w:val="none"/>
        </w:rPr>
        <w:t>初步评审阶段</w:t>
      </w:r>
    </w:p>
    <w:p w14:paraId="4BD25F06">
      <w:pPr>
        <w:spacing w:before="153" w:line="220" w:lineRule="auto"/>
        <w:ind w:left="70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初步评审阶段分为资格评审、形式评审和响应性评审三个环节。</w:t>
      </w:r>
    </w:p>
    <w:p w14:paraId="4E5B7864">
      <w:pPr>
        <w:spacing w:before="155" w:line="279" w:lineRule="auto"/>
        <w:ind w:left="719" w:right="6303" w:hanging="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15.4.1</w:t>
      </w:r>
      <w:r>
        <w:rPr>
          <w:rFonts w:hint="eastAsia" w:asciiTheme="minorEastAsia" w:hAnsiTheme="minorEastAsia" w:eastAsiaTheme="minorEastAsia" w:cstheme="minorEastAsia"/>
          <w:b/>
          <w:bCs/>
          <w:color w:val="auto"/>
          <w:spacing w:val="9"/>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 xml:space="preserve"> 资格评审环</w:t>
      </w:r>
      <w:r>
        <w:rPr>
          <w:rFonts w:hint="eastAsia" w:asciiTheme="minorEastAsia" w:hAnsiTheme="minorEastAsia" w:eastAsiaTheme="minorEastAsia" w:cstheme="minorEastAsia"/>
          <w:color w:val="auto"/>
          <w:spacing w:val="-3"/>
          <w:sz w:val="21"/>
          <w:szCs w:val="21"/>
          <w:highlight w:val="none"/>
        </w:rPr>
        <w:t>节</w:t>
      </w:r>
      <w:r>
        <w:rPr>
          <w:rFonts w:hint="eastAsia" w:asciiTheme="minorEastAsia" w:hAnsiTheme="minorEastAsia" w:eastAsiaTheme="minorEastAsia" w:cstheme="minorEastAsia"/>
          <w:color w:val="auto"/>
          <w:spacing w:val="1"/>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资格评审事项包括：</w:t>
      </w:r>
    </w:p>
    <w:p w14:paraId="228578F9">
      <w:pPr>
        <w:spacing w:before="152" w:line="315" w:lineRule="auto"/>
        <w:ind w:left="231"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（1）投标人是否符合本章第三节第 2.4 条“禁止投标条款 ”规定。如果“禁止投标条款 ”包括失信惩戒的，投标人信用信息的获取采用现场实时查询的方式实施。由</w:t>
      </w:r>
      <w:r>
        <w:rPr>
          <w:rFonts w:hint="eastAsia" w:asciiTheme="minorEastAsia" w:hAnsiTheme="minorEastAsia" w:eastAsiaTheme="minorEastAsia" w:cstheme="minorEastAsia"/>
          <w:color w:val="auto"/>
          <w:spacing w:val="-4"/>
          <w:sz w:val="21"/>
          <w:szCs w:val="21"/>
          <w:highlight w:val="none"/>
          <w:lang w:val="en-US" w:eastAsia="zh-CN"/>
        </w:rPr>
        <w:t>评标委员会</w:t>
      </w:r>
      <w:r>
        <w:rPr>
          <w:rFonts w:hint="eastAsia" w:asciiTheme="minorEastAsia" w:hAnsiTheme="minorEastAsia" w:eastAsiaTheme="minorEastAsia" w:cstheme="minorEastAsia"/>
          <w:color w:val="auto"/>
          <w:spacing w:val="-4"/>
          <w:sz w:val="21"/>
          <w:szCs w:val="21"/>
          <w:highlight w:val="none"/>
        </w:rPr>
        <w:t>登录信用中国网站（https://www.creditchina.gov.cn），在企业查询界面下载和打印《法人和非法人组织公共信用信息报告》。</w:t>
      </w:r>
    </w:p>
    <w:p w14:paraId="2D9EE534">
      <w:pPr>
        <w:spacing w:before="155" w:line="219" w:lineRule="auto"/>
        <w:ind w:left="72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（2）投标人名称是否与营业执照、资质证书、安全生产许可证一致。</w:t>
      </w:r>
    </w:p>
    <w:p w14:paraId="1466D442">
      <w:pPr>
        <w:keepNext w:val="0"/>
        <w:keepLines w:val="0"/>
        <w:pageBreakBefore w:val="0"/>
        <w:widowControl/>
        <w:kinsoku w:val="0"/>
        <w:wordWrap w:val="0"/>
        <w:overflowPunct/>
        <w:topLinePunct w:val="0"/>
        <w:autoSpaceDE w:val="0"/>
        <w:autoSpaceDN w:val="0"/>
        <w:bidi w:val="0"/>
        <w:adjustRightInd w:val="0"/>
        <w:snapToGrid w:val="0"/>
        <w:spacing w:before="155" w:line="284" w:lineRule="auto"/>
        <w:ind w:left="232" w:right="96" w:firstLine="488"/>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（3）投标人的资质是否符合招标文件规定；其营业执照、资质证书、安全生产许可证（含实时网页查询页，可参考网址 https://zlaq.mohurd.gov.cn/fwmh/bjxcjgl/fwm</w:t>
      </w:r>
      <w:bookmarkStart w:id="88" w:name="bookmark126"/>
      <w:bookmarkEnd w:id="88"/>
      <w:r>
        <w:rPr>
          <w:rFonts w:hint="eastAsia" w:asciiTheme="minorEastAsia" w:hAnsiTheme="minorEastAsia" w:eastAsiaTheme="minorEastAsia" w:cstheme="minorEastAsia"/>
          <w:color w:val="auto"/>
          <w:spacing w:val="2"/>
          <w:sz w:val="21"/>
          <w:szCs w:val="21"/>
          <w:highlight w:val="none"/>
        </w:rPr>
        <w:t>h/pages/construction_safety/qyaqscxkz/qyaqscxkz）是否合法、有效、准确</w:t>
      </w:r>
      <w:r>
        <w:rPr>
          <w:rFonts w:hint="eastAsia" w:asciiTheme="minorEastAsia" w:hAnsiTheme="minorEastAsia" w:eastAsiaTheme="minorEastAsia" w:cstheme="minorEastAsia"/>
          <w:color w:val="auto"/>
          <w:spacing w:val="-1"/>
          <w:position w:val="3"/>
          <w:sz w:val="21"/>
          <w:szCs w:val="21"/>
          <w:highlight w:val="none"/>
        </w:rPr>
        <w:t>。</w:t>
      </w:r>
    </w:p>
    <w:p w14:paraId="167014E6">
      <w:pPr>
        <w:spacing w:before="144" w:line="219"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（4）《项目经理简历表》中拟派项目经理是否与《开标一览表》一致。</w:t>
      </w:r>
    </w:p>
    <w:p w14:paraId="5866FB6F">
      <w:pPr>
        <w:spacing w:before="151" w:line="315" w:lineRule="auto"/>
        <w:ind w:left="11" w:firstLine="489"/>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2"/>
          <w:sz w:val="21"/>
          <w:szCs w:val="21"/>
          <w:highlight w:val="none"/>
        </w:rPr>
        <w:t>（5）拟派项目经理、项目技术负责人、专职安全员的条件</w:t>
      </w:r>
      <w:r>
        <w:rPr>
          <w:rFonts w:hint="eastAsia" w:asciiTheme="minorEastAsia" w:hAnsiTheme="minorEastAsia" w:eastAsiaTheme="minorEastAsia" w:cstheme="minorEastAsia"/>
          <w:color w:val="auto"/>
          <w:spacing w:val="1"/>
          <w:sz w:val="21"/>
          <w:szCs w:val="21"/>
          <w:highlight w:val="none"/>
        </w:rPr>
        <w:t>是否符合招标文件规</w:t>
      </w:r>
      <w:r>
        <w:rPr>
          <w:rFonts w:hint="eastAsia" w:asciiTheme="minorEastAsia" w:hAnsiTheme="minorEastAsia" w:eastAsiaTheme="minorEastAsia" w:cstheme="minorEastAsia"/>
          <w:color w:val="auto"/>
          <w:spacing w:val="-1"/>
          <w:sz w:val="21"/>
          <w:szCs w:val="21"/>
          <w:highlight w:val="none"/>
        </w:rPr>
        <w:t>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1A4B3F97">
      <w:pPr>
        <w:spacing w:before="156" w:line="298" w:lineRule="auto"/>
        <w:ind w:left="9" w:firstLine="49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（6）联合体投标的，是否提交《联合体协议书》；是否擅</w:t>
      </w:r>
      <w:r>
        <w:rPr>
          <w:rFonts w:hint="eastAsia" w:asciiTheme="minorEastAsia" w:hAnsiTheme="minorEastAsia" w:eastAsiaTheme="minorEastAsia" w:cstheme="minorEastAsia"/>
          <w:color w:val="auto"/>
          <w:spacing w:val="1"/>
          <w:sz w:val="21"/>
          <w:szCs w:val="21"/>
          <w:highlight w:val="none"/>
        </w:rPr>
        <w:t>自修改、遗漏《联合</w:t>
      </w:r>
      <w:r>
        <w:rPr>
          <w:rFonts w:hint="eastAsia" w:asciiTheme="minorEastAsia" w:hAnsiTheme="minorEastAsia" w:eastAsiaTheme="minorEastAsia" w:cstheme="minorEastAsia"/>
          <w:color w:val="auto"/>
          <w:spacing w:val="-1"/>
          <w:sz w:val="21"/>
          <w:szCs w:val="21"/>
          <w:highlight w:val="none"/>
        </w:rPr>
        <w:t>体协议书》的实质性内容；联合体成员的数量、资质是否符合</w:t>
      </w:r>
      <w:r>
        <w:rPr>
          <w:rFonts w:hint="eastAsia" w:asciiTheme="minorEastAsia" w:hAnsiTheme="minorEastAsia" w:eastAsiaTheme="minorEastAsia" w:cstheme="minorEastAsia"/>
          <w:color w:val="auto"/>
          <w:spacing w:val="-2"/>
          <w:sz w:val="21"/>
          <w:szCs w:val="21"/>
          <w:highlight w:val="none"/>
        </w:rPr>
        <w:t>招标文件规定；联合体</w:t>
      </w:r>
      <w:r>
        <w:rPr>
          <w:rFonts w:hint="eastAsia" w:asciiTheme="minorEastAsia" w:hAnsiTheme="minorEastAsia" w:eastAsiaTheme="minorEastAsia" w:cstheme="minorEastAsia"/>
          <w:color w:val="auto"/>
          <w:sz w:val="21"/>
          <w:szCs w:val="21"/>
          <w:highlight w:val="none"/>
        </w:rPr>
        <w:t>成员是否以自己名义单独或者参加其他联合</w:t>
      </w:r>
      <w:r>
        <w:rPr>
          <w:rFonts w:hint="eastAsia" w:asciiTheme="minorEastAsia" w:hAnsiTheme="minorEastAsia" w:eastAsiaTheme="minorEastAsia" w:cstheme="minorEastAsia"/>
          <w:color w:val="auto"/>
          <w:spacing w:val="-1"/>
          <w:sz w:val="21"/>
          <w:szCs w:val="21"/>
          <w:highlight w:val="none"/>
        </w:rPr>
        <w:t>体参与本招标项目投标。</w:t>
      </w:r>
    </w:p>
    <w:p w14:paraId="5F676BC4">
      <w:pPr>
        <w:spacing w:before="155" w:line="360" w:lineRule="auto"/>
        <w:ind w:left="8" w:right="2" w:firstLine="49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（7）投标人为外省建筑企业的，是否按规定在“进粤</w:t>
      </w:r>
      <w:r>
        <w:rPr>
          <w:rFonts w:hint="eastAsia" w:asciiTheme="minorEastAsia" w:hAnsiTheme="minorEastAsia" w:eastAsiaTheme="minorEastAsia" w:cstheme="minorEastAsia"/>
          <w:color w:val="auto"/>
          <w:spacing w:val="1"/>
          <w:sz w:val="21"/>
          <w:szCs w:val="21"/>
          <w:highlight w:val="none"/>
        </w:rPr>
        <w:t>企业和人员诚信信息登记</w:t>
      </w:r>
      <w:r>
        <w:rPr>
          <w:rFonts w:hint="eastAsia" w:asciiTheme="minorEastAsia" w:hAnsiTheme="minorEastAsia" w:eastAsiaTheme="minorEastAsia" w:cstheme="minorEastAsia"/>
          <w:color w:val="auto"/>
          <w:spacing w:val="-2"/>
          <w:sz w:val="21"/>
          <w:szCs w:val="21"/>
          <w:highlight w:val="none"/>
        </w:rPr>
        <w:t>平台</w:t>
      </w:r>
      <w:r>
        <w:rPr>
          <w:rFonts w:hint="eastAsia" w:asciiTheme="minorEastAsia" w:hAnsiTheme="minorEastAsia" w:eastAsiaTheme="minorEastAsia" w:cstheme="minorEastAsia"/>
          <w:color w:val="auto"/>
          <w:spacing w:val="-76"/>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”录入企业及其拟派人员有关信息并通过数据规范检查。</w:t>
      </w:r>
    </w:p>
    <w:p w14:paraId="494EC073">
      <w:pPr>
        <w:spacing w:before="15" w:line="360" w:lineRule="auto"/>
        <w:ind w:right="2" w:firstLine="414" w:firstLineChars="200"/>
        <w:jc w:val="both"/>
        <w:outlineLvl w:val="9"/>
        <w:rPr>
          <w:rFonts w:hint="eastAsia" w:asciiTheme="minorEastAsia" w:hAnsiTheme="minorEastAsia" w:eastAsiaTheme="minorEastAsia" w:cstheme="minorEastAsia"/>
          <w:color w:val="auto"/>
          <w:spacing w:val="1"/>
          <w:sz w:val="21"/>
          <w:szCs w:val="21"/>
          <w:highlight w:val="none"/>
        </w:rPr>
      </w:pPr>
      <w:bookmarkStart w:id="89" w:name="_Toc22778"/>
      <w:r>
        <w:rPr>
          <w:rFonts w:hint="eastAsia" w:asciiTheme="minorEastAsia" w:hAnsiTheme="minorEastAsia" w:eastAsiaTheme="minorEastAsia" w:cstheme="minorEastAsia"/>
          <w:b/>
          <w:bCs/>
          <w:color w:val="auto"/>
          <w:spacing w:val="-2"/>
          <w:sz w:val="21"/>
          <w:szCs w:val="21"/>
          <w:highlight w:val="none"/>
        </w:rPr>
        <w:t xml:space="preserve">15.4.2 </w:t>
      </w:r>
      <w:r>
        <w:rPr>
          <w:rFonts w:hint="eastAsia" w:asciiTheme="minorEastAsia" w:hAnsiTheme="minorEastAsia" w:eastAsiaTheme="minorEastAsia" w:cstheme="minorEastAsia"/>
          <w:color w:val="auto"/>
          <w:spacing w:val="1"/>
          <w:sz w:val="21"/>
          <w:szCs w:val="21"/>
          <w:highlight w:val="none"/>
        </w:rPr>
        <w:t xml:space="preserve"> 形式评审环节</w:t>
      </w:r>
    </w:p>
    <w:p w14:paraId="763C3D65">
      <w:pPr>
        <w:spacing w:before="15" w:line="360" w:lineRule="auto"/>
        <w:ind w:right="2" w:firstLine="424" w:firstLineChars="200"/>
        <w:jc w:val="both"/>
        <w:outlineLvl w:val="9"/>
        <w:rPr>
          <w:rFonts w:hint="eastAsia" w:asciiTheme="minorEastAsia" w:hAnsiTheme="minorEastAsia" w:eastAsiaTheme="minorEastAsia" w:cstheme="minorEastAsia"/>
          <w:color w:val="auto"/>
          <w:spacing w:val="1"/>
          <w:sz w:val="21"/>
          <w:szCs w:val="21"/>
          <w:highlight w:val="none"/>
          <w:lang w:eastAsia="zh-CN"/>
        </w:rPr>
      </w:pPr>
      <w:r>
        <w:rPr>
          <w:rFonts w:hint="eastAsia" w:asciiTheme="minorEastAsia" w:hAnsiTheme="minorEastAsia" w:eastAsiaTheme="minorEastAsia" w:cstheme="minorEastAsia"/>
          <w:color w:val="auto"/>
          <w:spacing w:val="1"/>
          <w:sz w:val="21"/>
          <w:szCs w:val="21"/>
          <w:highlight w:val="none"/>
        </w:rPr>
        <w:t>形式评审事</w:t>
      </w:r>
      <w:r>
        <w:rPr>
          <w:rFonts w:hint="eastAsia" w:asciiTheme="minorEastAsia" w:hAnsiTheme="minorEastAsia" w:eastAsiaTheme="minorEastAsia" w:cstheme="minorEastAsia"/>
          <w:color w:val="auto"/>
          <w:spacing w:val="1"/>
          <w:sz w:val="21"/>
          <w:szCs w:val="21"/>
          <w:highlight w:val="none"/>
          <w:lang w:eastAsia="zh-CN"/>
        </w:rPr>
        <w:t>项包括</w:t>
      </w:r>
      <w:bookmarkEnd w:id="89"/>
    </w:p>
    <w:p w14:paraId="311D134D">
      <w:pPr>
        <w:spacing w:before="40" w:line="360" w:lineRule="auto"/>
        <w:ind w:left="501"/>
        <w:outlineLvl w:val="9"/>
        <w:rPr>
          <w:rFonts w:hint="eastAsia" w:asciiTheme="minorEastAsia" w:hAnsiTheme="minorEastAsia" w:eastAsiaTheme="minorEastAsia" w:cstheme="minorEastAsia"/>
          <w:color w:val="auto"/>
          <w:sz w:val="21"/>
          <w:szCs w:val="21"/>
          <w:highlight w:val="none"/>
        </w:rPr>
      </w:pPr>
      <w:bookmarkStart w:id="90" w:name="_Toc4914"/>
      <w:bookmarkStart w:id="91" w:name="_Toc23632"/>
      <w:bookmarkStart w:id="92" w:name="_Toc13304"/>
      <w:bookmarkStart w:id="93" w:name="_Toc20481"/>
      <w:r>
        <w:rPr>
          <w:rFonts w:hint="eastAsia" w:asciiTheme="minorEastAsia" w:hAnsiTheme="minorEastAsia" w:eastAsiaTheme="minorEastAsia" w:cstheme="minorEastAsia"/>
          <w:color w:val="auto"/>
          <w:spacing w:val="-1"/>
          <w:sz w:val="21"/>
          <w:szCs w:val="21"/>
          <w:highlight w:val="none"/>
        </w:rPr>
        <w:t>（1）各分册是否按招标文件规定加盖电子印章。</w:t>
      </w:r>
      <w:bookmarkEnd w:id="90"/>
      <w:bookmarkEnd w:id="91"/>
      <w:bookmarkEnd w:id="92"/>
      <w:bookmarkEnd w:id="93"/>
    </w:p>
    <w:p w14:paraId="1E3D1646">
      <w:pPr>
        <w:spacing w:before="15" w:line="360" w:lineRule="auto"/>
        <w:ind w:firstLine="404" w:firstLineChars="200"/>
        <w:outlineLvl w:val="9"/>
        <w:rPr>
          <w:rFonts w:hint="eastAsia" w:asciiTheme="minorEastAsia" w:hAnsiTheme="minorEastAsia" w:eastAsiaTheme="minorEastAsia" w:cstheme="minorEastAsia"/>
          <w:color w:val="auto"/>
          <w:spacing w:val="-1"/>
          <w:sz w:val="21"/>
          <w:szCs w:val="21"/>
          <w:highlight w:val="none"/>
        </w:rPr>
      </w:pPr>
      <w:bookmarkStart w:id="94" w:name="_Toc28409"/>
      <w:bookmarkStart w:id="95" w:name="_Toc27432"/>
      <w:bookmarkStart w:id="96" w:name="_Toc10806"/>
      <w:bookmarkStart w:id="97" w:name="_Toc12756"/>
      <w:r>
        <w:rPr>
          <w:rFonts w:hint="eastAsia" w:asciiTheme="minorEastAsia" w:hAnsiTheme="minorEastAsia" w:eastAsiaTheme="minorEastAsia" w:cstheme="minorEastAsia"/>
          <w:color w:val="auto"/>
          <w:spacing w:val="-4"/>
          <w:sz w:val="21"/>
          <w:szCs w:val="21"/>
          <w:highlight w:val="none"/>
        </w:rPr>
        <w:t>（2）本节第</w:t>
      </w:r>
      <w:r>
        <w:rPr>
          <w:rFonts w:hint="eastAsia" w:asciiTheme="minorEastAsia" w:hAnsiTheme="minorEastAsia" w:eastAsiaTheme="minorEastAsia" w:cstheme="minorEastAsia"/>
          <w:color w:val="auto"/>
          <w:spacing w:val="-29"/>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10.2.2  目、第</w:t>
      </w:r>
      <w:r>
        <w:rPr>
          <w:rFonts w:hint="eastAsia" w:asciiTheme="minorEastAsia" w:hAnsiTheme="minorEastAsia" w:eastAsiaTheme="minorEastAsia" w:cstheme="minorEastAsia"/>
          <w:color w:val="auto"/>
          <w:spacing w:val="-30"/>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10.3.2  目、第</w:t>
      </w:r>
      <w:r>
        <w:rPr>
          <w:rFonts w:hint="eastAsia" w:asciiTheme="minorEastAsia" w:hAnsiTheme="minorEastAsia" w:eastAsiaTheme="minorEastAsia" w:cstheme="minorEastAsia"/>
          <w:color w:val="auto"/>
          <w:spacing w:val="-29"/>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10.4.3  目中规定</w:t>
      </w:r>
      <w:r>
        <w:rPr>
          <w:rFonts w:hint="eastAsia" w:asciiTheme="minorEastAsia" w:hAnsiTheme="minorEastAsia" w:eastAsiaTheme="minorEastAsia" w:cstheme="minorEastAsia"/>
          <w:color w:val="auto"/>
          <w:spacing w:val="-5"/>
          <w:sz w:val="21"/>
          <w:szCs w:val="21"/>
          <w:highlight w:val="none"/>
        </w:rPr>
        <w:t>的“所有投标人均应提</w:t>
      </w:r>
      <w:bookmarkEnd w:id="94"/>
      <w:bookmarkEnd w:id="95"/>
      <w:bookmarkEnd w:id="96"/>
      <w:r>
        <w:rPr>
          <w:rFonts w:hint="eastAsia" w:asciiTheme="minorEastAsia" w:hAnsiTheme="minorEastAsia" w:eastAsiaTheme="minorEastAsia" w:cstheme="minorEastAsia"/>
          <w:color w:val="auto"/>
          <w:spacing w:val="-1"/>
          <w:sz w:val="21"/>
          <w:szCs w:val="21"/>
          <w:highlight w:val="none"/>
        </w:rPr>
        <w:t>供</w:t>
      </w:r>
      <w:r>
        <w:rPr>
          <w:rFonts w:hint="eastAsia" w:asciiTheme="minorEastAsia" w:hAnsiTheme="minorEastAsia" w:eastAsiaTheme="minorEastAsia" w:cstheme="minorEastAsia"/>
          <w:color w:val="auto"/>
          <w:spacing w:val="-85"/>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”的组成内容（包括该组成内容的所附资料）是否完整、齐全.</w:t>
      </w:r>
      <w:bookmarkEnd w:id="97"/>
    </w:p>
    <w:p w14:paraId="59C4A0F0">
      <w:pPr>
        <w:spacing w:before="15" w:line="360" w:lineRule="auto"/>
        <w:ind w:right="2" w:firstLine="424" w:firstLineChars="200"/>
        <w:jc w:val="both"/>
        <w:outlineLvl w:val="9"/>
        <w:rPr>
          <w:rFonts w:hint="eastAsia" w:asciiTheme="minorEastAsia" w:hAnsiTheme="minorEastAsia" w:eastAsiaTheme="minorEastAsia" w:cstheme="minorEastAsia"/>
          <w:color w:val="auto"/>
          <w:sz w:val="21"/>
          <w:szCs w:val="21"/>
          <w:highlight w:val="none"/>
        </w:rPr>
      </w:pPr>
      <w:bookmarkStart w:id="98" w:name="_Toc17918"/>
      <w:bookmarkStart w:id="99" w:name="_Toc9581"/>
      <w:bookmarkStart w:id="100" w:name="_Toc15678"/>
      <w:bookmarkStart w:id="101" w:name="_Toc22691"/>
      <w:r>
        <w:rPr>
          <w:rFonts w:hint="eastAsia" w:asciiTheme="minorEastAsia" w:hAnsiTheme="minorEastAsia" w:eastAsiaTheme="minorEastAsia" w:cstheme="minorEastAsia"/>
          <w:color w:val="auto"/>
          <w:spacing w:val="1"/>
          <w:sz w:val="21"/>
          <w:szCs w:val="21"/>
          <w:highlight w:val="none"/>
          <w:lang w:eastAsia="zh-CN"/>
        </w:rPr>
        <w:t>（3）</w:t>
      </w:r>
      <w:r>
        <w:rPr>
          <w:rFonts w:hint="eastAsia" w:asciiTheme="minorEastAsia" w:hAnsiTheme="minorEastAsia" w:eastAsiaTheme="minorEastAsia" w:cstheme="minorEastAsia"/>
          <w:color w:val="auto"/>
          <w:spacing w:val="1"/>
          <w:sz w:val="21"/>
          <w:szCs w:val="21"/>
          <w:highlight w:val="none"/>
        </w:rPr>
        <w:t>施工组织设计采用“暗标</w:t>
      </w:r>
      <w:r>
        <w:rPr>
          <w:rFonts w:hint="eastAsia" w:asciiTheme="minorEastAsia" w:hAnsiTheme="minorEastAsia" w:eastAsiaTheme="minorEastAsia" w:cstheme="minorEastAsia"/>
          <w:color w:val="auto"/>
          <w:spacing w:val="-86"/>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”方式进行评审的，施工</w:t>
      </w:r>
      <w:r>
        <w:rPr>
          <w:rFonts w:hint="eastAsia" w:asciiTheme="minorEastAsia" w:hAnsiTheme="minorEastAsia" w:eastAsiaTheme="minorEastAsia" w:cstheme="minorEastAsia"/>
          <w:color w:val="auto"/>
          <w:sz w:val="21"/>
          <w:szCs w:val="21"/>
          <w:highlight w:val="none"/>
        </w:rPr>
        <w:t>组织设计的规格颜色、</w:t>
      </w:r>
      <w:r>
        <w:rPr>
          <w:rFonts w:hint="eastAsia" w:asciiTheme="minorEastAsia" w:hAnsiTheme="minorEastAsia" w:eastAsiaTheme="minorEastAsia" w:cstheme="minorEastAsia"/>
          <w:color w:val="auto"/>
          <w:spacing w:val="-1"/>
          <w:sz w:val="21"/>
          <w:szCs w:val="21"/>
          <w:highlight w:val="none"/>
        </w:rPr>
        <w:t>文字排版、正文篇幅（若有）是否符合规定；其任何</w:t>
      </w:r>
      <w:r>
        <w:rPr>
          <w:rFonts w:hint="eastAsia" w:asciiTheme="minorEastAsia" w:hAnsiTheme="minorEastAsia" w:eastAsiaTheme="minorEastAsia" w:cstheme="minorEastAsia"/>
          <w:color w:val="auto"/>
          <w:spacing w:val="-2"/>
          <w:sz w:val="21"/>
          <w:szCs w:val="21"/>
          <w:highlight w:val="none"/>
        </w:rPr>
        <w:t>部位是否出现手写以及涂改、行</w:t>
      </w:r>
      <w:r>
        <w:rPr>
          <w:rFonts w:hint="eastAsia" w:asciiTheme="minorEastAsia" w:hAnsiTheme="minorEastAsia" w:eastAsiaTheme="minorEastAsia" w:cstheme="minorEastAsia"/>
          <w:color w:val="auto"/>
          <w:spacing w:val="-1"/>
          <w:sz w:val="21"/>
          <w:szCs w:val="21"/>
          <w:highlight w:val="none"/>
        </w:rPr>
        <w:t>间插字或删除痕迹；其任何部位是否出现投标人的名称和</w:t>
      </w:r>
      <w:r>
        <w:rPr>
          <w:rFonts w:hint="eastAsia" w:asciiTheme="minorEastAsia" w:hAnsiTheme="minorEastAsia" w:eastAsiaTheme="minorEastAsia" w:cstheme="minorEastAsia"/>
          <w:color w:val="auto"/>
          <w:spacing w:val="-2"/>
          <w:sz w:val="21"/>
          <w:szCs w:val="21"/>
          <w:highlight w:val="none"/>
        </w:rPr>
        <w:t>其它可识别投标人身份的字</w:t>
      </w:r>
      <w:r>
        <w:rPr>
          <w:rFonts w:hint="eastAsia" w:asciiTheme="minorEastAsia" w:hAnsiTheme="minorEastAsia" w:eastAsiaTheme="minorEastAsia" w:cstheme="minorEastAsia"/>
          <w:color w:val="auto"/>
          <w:spacing w:val="-1"/>
          <w:sz w:val="21"/>
          <w:szCs w:val="21"/>
          <w:highlight w:val="none"/>
        </w:rPr>
        <w:t>符、徽标、人员名称以及其他特殊标记。</w:t>
      </w:r>
      <w:bookmarkEnd w:id="98"/>
      <w:bookmarkEnd w:id="99"/>
      <w:bookmarkEnd w:id="100"/>
      <w:bookmarkEnd w:id="101"/>
    </w:p>
    <w:p w14:paraId="5CCA66A3">
      <w:pPr>
        <w:spacing w:before="15" w:line="360" w:lineRule="auto"/>
        <w:ind w:right="2" w:firstLine="414" w:firstLineChars="200"/>
        <w:jc w:val="both"/>
        <w:outlineLvl w:val="9"/>
        <w:rPr>
          <w:rFonts w:hint="eastAsia" w:asciiTheme="minorEastAsia" w:hAnsiTheme="minorEastAsia" w:eastAsiaTheme="minorEastAsia" w:cstheme="minorEastAsia"/>
          <w:color w:val="auto"/>
          <w:spacing w:val="2"/>
          <w:sz w:val="21"/>
          <w:szCs w:val="21"/>
          <w:highlight w:val="none"/>
        </w:rPr>
      </w:pPr>
      <w:bookmarkStart w:id="102" w:name="_Toc14202"/>
      <w:bookmarkStart w:id="103" w:name="_Toc22642"/>
      <w:bookmarkStart w:id="104" w:name="_Toc22562"/>
      <w:bookmarkStart w:id="105" w:name="_Toc16645"/>
      <w:r>
        <w:rPr>
          <w:rFonts w:hint="eastAsia" w:asciiTheme="minorEastAsia" w:hAnsiTheme="minorEastAsia" w:eastAsiaTheme="minorEastAsia" w:cstheme="minorEastAsia"/>
          <w:b/>
          <w:bCs/>
          <w:color w:val="auto"/>
          <w:spacing w:val="-2"/>
          <w:sz w:val="21"/>
          <w:szCs w:val="21"/>
          <w:highlight w:val="none"/>
        </w:rPr>
        <w:t xml:space="preserve">15.4.3  </w:t>
      </w:r>
      <w:r>
        <w:rPr>
          <w:rFonts w:hint="eastAsia" w:asciiTheme="minorEastAsia" w:hAnsiTheme="minorEastAsia" w:eastAsiaTheme="minorEastAsia" w:cstheme="minorEastAsia"/>
          <w:color w:val="auto"/>
          <w:spacing w:val="2"/>
          <w:sz w:val="21"/>
          <w:szCs w:val="21"/>
          <w:highlight w:val="none"/>
        </w:rPr>
        <w:t xml:space="preserve">响应性评审环节 </w:t>
      </w:r>
    </w:p>
    <w:p w14:paraId="7370411B">
      <w:pPr>
        <w:spacing w:before="15" w:line="360" w:lineRule="auto"/>
        <w:ind w:right="2" w:firstLine="428" w:firstLineChars="200"/>
        <w:jc w:val="both"/>
        <w:outlineLvl w:val="9"/>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2"/>
          <w:sz w:val="21"/>
          <w:szCs w:val="21"/>
          <w:highlight w:val="none"/>
        </w:rPr>
        <w:t>响应性评项包括：</w:t>
      </w:r>
      <w:bookmarkEnd w:id="102"/>
      <w:bookmarkEnd w:id="103"/>
      <w:bookmarkEnd w:id="104"/>
      <w:bookmarkEnd w:id="105"/>
    </w:p>
    <w:p w14:paraId="17CAC2E8">
      <w:pPr>
        <w:spacing w:before="155" w:line="360" w:lineRule="auto"/>
        <w:ind w:left="9" w:firstLine="49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（1）投标有效期、质量标准、工期等是否响应招标文件实</w:t>
      </w:r>
      <w:r>
        <w:rPr>
          <w:rFonts w:hint="eastAsia" w:asciiTheme="minorEastAsia" w:hAnsiTheme="minorEastAsia" w:eastAsiaTheme="minorEastAsia" w:cstheme="minorEastAsia"/>
          <w:color w:val="auto"/>
          <w:spacing w:val="1"/>
          <w:sz w:val="21"/>
          <w:szCs w:val="21"/>
          <w:highlight w:val="none"/>
        </w:rPr>
        <w:t>质性要求；是否擅自</w:t>
      </w:r>
      <w:r>
        <w:rPr>
          <w:rFonts w:hint="eastAsia" w:asciiTheme="minorEastAsia" w:hAnsiTheme="minorEastAsia" w:eastAsiaTheme="minorEastAsia" w:cstheme="minorEastAsia"/>
          <w:color w:val="auto"/>
          <w:spacing w:val="-1"/>
          <w:sz w:val="21"/>
          <w:szCs w:val="21"/>
          <w:highlight w:val="none"/>
        </w:rPr>
        <w:t>修改、遗漏《投标函》《各项承诺一览表》的实质性内容。</w:t>
      </w:r>
    </w:p>
    <w:p w14:paraId="07E32AB5">
      <w:pPr>
        <w:spacing w:before="152" w:line="360"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（2）编制《投标总价》的造价工程师，其注册证书是否合法、有效。</w:t>
      </w:r>
    </w:p>
    <w:p w14:paraId="68F34FAA">
      <w:pPr>
        <w:spacing w:before="158" w:line="360" w:lineRule="auto"/>
        <w:ind w:left="21" w:right="2"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（3）投标人委托造价咨询单位编制《投标总价》的，是否在《投标总价扉页》（即扉—3）“投标人</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”栏目加盖造价咨询人公章；是否提供</w:t>
      </w:r>
      <w:r>
        <w:rPr>
          <w:rFonts w:hint="eastAsia" w:asciiTheme="minorEastAsia" w:hAnsiTheme="minorEastAsia" w:eastAsiaTheme="minorEastAsia" w:cstheme="minorEastAsia"/>
          <w:color w:val="auto"/>
          <w:sz w:val="21"/>
          <w:szCs w:val="21"/>
          <w:highlight w:val="none"/>
        </w:rPr>
        <w:t>造价咨询人的营业执照</w:t>
      </w:r>
      <w:r>
        <w:rPr>
          <w:rFonts w:hint="eastAsia" w:asciiTheme="minorEastAsia" w:hAnsiTheme="minorEastAsia" w:eastAsiaTheme="minorEastAsia" w:cstheme="minorEastAsia"/>
          <w:color w:val="auto"/>
          <w:spacing w:val="-2"/>
          <w:sz w:val="21"/>
          <w:szCs w:val="21"/>
          <w:highlight w:val="none"/>
        </w:rPr>
        <w:t>副本彩色扫描件；</w:t>
      </w:r>
    </w:p>
    <w:p w14:paraId="3D61DB3B">
      <w:pPr>
        <w:spacing w:before="158" w:line="328" w:lineRule="auto"/>
        <w:ind w:left="9" w:firstLine="491"/>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（4）投标总价是否唯一；投标总价是否超出</w:t>
      </w:r>
      <w:r>
        <w:rPr>
          <w:rFonts w:hint="eastAsia" w:asciiTheme="minorEastAsia" w:hAnsiTheme="minorEastAsia" w:eastAsiaTheme="minorEastAsia" w:cstheme="minorEastAsia"/>
          <w:b/>
          <w:bCs/>
          <w:color w:val="auto"/>
          <w:spacing w:val="1"/>
          <w:sz w:val="21"/>
          <w:szCs w:val="21"/>
          <w:highlight w:val="none"/>
          <w:lang w:val="en-US" w:eastAsia="zh-CN"/>
        </w:rPr>
        <w:t>最高投标限价</w:t>
      </w:r>
      <w:r>
        <w:rPr>
          <w:rFonts w:hint="eastAsia" w:asciiTheme="minorEastAsia" w:hAnsiTheme="minorEastAsia" w:eastAsiaTheme="minorEastAsia" w:cstheme="minorEastAsia"/>
          <w:color w:val="auto"/>
          <w:spacing w:val="1"/>
          <w:sz w:val="21"/>
          <w:szCs w:val="21"/>
          <w:highlight w:val="none"/>
        </w:rPr>
        <w:t>；</w:t>
      </w:r>
      <w:r>
        <w:rPr>
          <w:rFonts w:hint="eastAsia" w:asciiTheme="minorEastAsia" w:hAnsiTheme="minorEastAsia" w:eastAsiaTheme="minorEastAsia" w:cstheme="minorEastAsia"/>
          <w:color w:val="auto"/>
          <w:spacing w:val="1"/>
          <w:sz w:val="21"/>
          <w:szCs w:val="21"/>
          <w:highlight w:val="none"/>
          <w:lang w:eastAsia="zh-CN"/>
        </w:rPr>
        <w:t>安全生产措施费</w:t>
      </w:r>
      <w:r>
        <w:rPr>
          <w:rFonts w:hint="eastAsia" w:asciiTheme="minorEastAsia" w:hAnsiTheme="minorEastAsia" w:eastAsiaTheme="minorEastAsia" w:cstheme="minorEastAsia"/>
          <w:color w:val="auto"/>
          <w:spacing w:val="-1"/>
          <w:sz w:val="21"/>
          <w:szCs w:val="21"/>
          <w:highlight w:val="none"/>
        </w:rPr>
        <w:t>是否达到最低要求；暂列金额、暂估价是否按照招标工</w:t>
      </w:r>
      <w:r>
        <w:rPr>
          <w:rFonts w:hint="eastAsia" w:asciiTheme="minorEastAsia" w:hAnsiTheme="minorEastAsia" w:eastAsiaTheme="minorEastAsia" w:cstheme="minorEastAsia"/>
          <w:color w:val="auto"/>
          <w:spacing w:val="-2"/>
          <w:sz w:val="21"/>
          <w:szCs w:val="21"/>
          <w:highlight w:val="none"/>
        </w:rPr>
        <w:t>程量清单统一报价；投</w:t>
      </w:r>
      <w:r>
        <w:rPr>
          <w:rFonts w:hint="eastAsia" w:asciiTheme="minorEastAsia" w:hAnsiTheme="minorEastAsia" w:eastAsiaTheme="minorEastAsia" w:cstheme="minorEastAsia"/>
          <w:color w:val="auto"/>
          <w:spacing w:val="-1"/>
          <w:sz w:val="21"/>
          <w:szCs w:val="21"/>
          <w:highlight w:val="none"/>
        </w:rPr>
        <w:t>标人是否以低于成本的价格竞标。</w:t>
      </w:r>
    </w:p>
    <w:p w14:paraId="561382A1">
      <w:pPr>
        <w:spacing w:before="38" w:line="360" w:lineRule="auto"/>
        <w:ind w:right="2" w:firstLine="414" w:firstLineChars="200"/>
        <w:jc w:val="both"/>
        <w:rPr>
          <w:rFonts w:hint="eastAsia" w:asciiTheme="minorEastAsia" w:hAnsiTheme="minorEastAsia" w:eastAsiaTheme="minorEastAsia" w:cstheme="minorEastAsia"/>
          <w:color w:val="auto"/>
          <w:position w:val="-8"/>
          <w:sz w:val="21"/>
          <w:szCs w:val="21"/>
          <w:highlight w:val="none"/>
        </w:rPr>
      </w:pPr>
      <w:r>
        <w:rPr>
          <w:rFonts w:hint="eastAsia" w:asciiTheme="minorEastAsia" w:hAnsiTheme="minorEastAsia" w:eastAsiaTheme="minorEastAsia" w:cstheme="minorEastAsia"/>
          <w:b/>
          <w:bCs/>
          <w:color w:val="auto"/>
          <w:spacing w:val="-2"/>
          <w:sz w:val="21"/>
          <w:szCs w:val="21"/>
          <w:highlight w:val="none"/>
        </w:rPr>
        <w:t>注：如果某投标人的投标总价下浮率超过</w:t>
      </w:r>
      <w:r>
        <w:rPr>
          <w:rFonts w:hint="eastAsia" w:asciiTheme="minorEastAsia" w:hAnsiTheme="minorEastAsia" w:eastAsiaTheme="minorEastAsia" w:cstheme="minorEastAsia"/>
          <w:color w:val="auto"/>
          <w:spacing w:val="-41"/>
          <w:sz w:val="21"/>
          <w:szCs w:val="21"/>
          <w:highlight w:val="none"/>
        </w:rPr>
        <w:t xml:space="preserve"> </w:t>
      </w:r>
      <w:r>
        <w:rPr>
          <w:rFonts w:hint="eastAsia" w:asciiTheme="minorEastAsia" w:hAnsiTheme="minorEastAsia" w:eastAsiaTheme="minorEastAsia" w:cstheme="minorEastAsia"/>
          <w:b/>
          <w:bCs/>
          <w:color w:val="auto"/>
          <w:spacing w:val="-2"/>
          <w:sz w:val="21"/>
          <w:szCs w:val="21"/>
          <w:highlight w:val="none"/>
        </w:rPr>
        <w:t>15%</w:t>
      </w:r>
      <w:r>
        <w:rPr>
          <w:rFonts w:hint="eastAsia" w:asciiTheme="minorEastAsia" w:hAnsiTheme="minorEastAsia" w:eastAsiaTheme="minorEastAsia" w:cstheme="minorEastAsia"/>
          <w:b/>
          <w:bCs/>
          <w:color w:val="auto"/>
          <w:spacing w:val="-32"/>
          <w:sz w:val="21"/>
          <w:szCs w:val="21"/>
          <w:highlight w:val="none"/>
        </w:rPr>
        <w:t xml:space="preserve"> </w:t>
      </w:r>
      <w:r>
        <w:rPr>
          <w:rFonts w:hint="eastAsia" w:asciiTheme="minorEastAsia" w:hAnsiTheme="minorEastAsia" w:eastAsiaTheme="minorEastAsia" w:cstheme="minorEastAsia"/>
          <w:b/>
          <w:bCs/>
          <w:color w:val="auto"/>
          <w:spacing w:val="-2"/>
          <w:sz w:val="21"/>
          <w:szCs w:val="21"/>
          <w:highlight w:val="none"/>
        </w:rPr>
        <w:t>，又未提供</w:t>
      </w:r>
      <w:r>
        <w:rPr>
          <w:rFonts w:hint="eastAsia" w:asciiTheme="minorEastAsia" w:hAnsiTheme="minorEastAsia" w:eastAsiaTheme="minorEastAsia" w:cstheme="minorEastAsia"/>
          <w:b/>
          <w:bCs/>
          <w:color w:val="auto"/>
          <w:spacing w:val="-3"/>
          <w:sz w:val="21"/>
          <w:szCs w:val="21"/>
          <w:highlight w:val="none"/>
        </w:rPr>
        <w:t>相应书面说明和佐证</w:t>
      </w:r>
      <w:bookmarkStart w:id="106" w:name="bookmark127"/>
      <w:bookmarkEnd w:id="106"/>
      <w:r>
        <w:rPr>
          <w:rFonts w:hint="eastAsia" w:asciiTheme="minorEastAsia" w:hAnsiTheme="minorEastAsia" w:eastAsiaTheme="minorEastAsia" w:cstheme="minorEastAsia"/>
          <w:b/>
          <w:bCs/>
          <w:color w:val="auto"/>
          <w:spacing w:val="-4"/>
          <w:sz w:val="21"/>
          <w:szCs w:val="21"/>
          <w:highlight w:val="none"/>
        </w:rPr>
        <w:t>材料或提供的书面说明和佐证材料不能令人信服的，评标委员会应认定其以低于成本</w:t>
      </w:r>
      <w:r>
        <w:rPr>
          <w:rFonts w:hint="eastAsia" w:asciiTheme="minorEastAsia" w:hAnsiTheme="minorEastAsia" w:eastAsiaTheme="minorEastAsia" w:cstheme="minorEastAsia"/>
          <w:b/>
          <w:bCs/>
          <w:color w:val="auto"/>
          <w:spacing w:val="-9"/>
          <w:sz w:val="21"/>
          <w:szCs w:val="21"/>
          <w:highlight w:val="none"/>
        </w:rPr>
        <w:t>的价格竞标，并否决其投标。评</w:t>
      </w:r>
      <w:r>
        <w:rPr>
          <w:rFonts w:hint="eastAsia" w:asciiTheme="minorEastAsia" w:hAnsiTheme="minorEastAsia" w:eastAsiaTheme="minorEastAsia" w:cstheme="minorEastAsia"/>
          <w:b/>
          <w:bCs/>
          <w:color w:val="auto"/>
          <w:spacing w:val="-4"/>
          <w:sz w:val="21"/>
          <w:szCs w:val="21"/>
          <w:highlight w:val="none"/>
        </w:rPr>
        <w:t>标委员会接受该投标人的投标总价而未否决其投标的， 应在评标报告中说明判断理由。投标总价下浮率＝（1－投标总价÷</w:t>
      </w:r>
      <w:r>
        <w:rPr>
          <w:rFonts w:hint="eastAsia" w:asciiTheme="minorEastAsia" w:hAnsiTheme="minorEastAsia" w:eastAsiaTheme="minorEastAsia" w:cstheme="minorEastAsia"/>
          <w:b/>
          <w:bCs/>
          <w:color w:val="auto"/>
          <w:spacing w:val="-4"/>
          <w:sz w:val="21"/>
          <w:szCs w:val="21"/>
          <w:highlight w:val="none"/>
          <w:lang w:val="en-US" w:eastAsia="zh-CN"/>
        </w:rPr>
        <w:t>最高投标限价</w:t>
      </w:r>
      <w:r>
        <w:rPr>
          <w:rFonts w:hint="eastAsia" w:asciiTheme="minorEastAsia" w:hAnsiTheme="minorEastAsia" w:eastAsiaTheme="minorEastAsia" w:cstheme="minorEastAsia"/>
          <w:b/>
          <w:bCs/>
          <w:color w:val="auto"/>
          <w:spacing w:val="-4"/>
          <w:sz w:val="21"/>
          <w:szCs w:val="21"/>
          <w:highlight w:val="none"/>
        </w:rPr>
        <w:t>）×100% 。</w:t>
      </w:r>
    </w:p>
    <w:p w14:paraId="10FD45A4">
      <w:pPr>
        <w:spacing w:before="157" w:line="360" w:lineRule="auto"/>
        <w:ind w:left="11" w:right="114" w:firstLine="443" w:firstLineChars="209"/>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（5）施工组织设计的质量、进度保障措施是否符合国</w:t>
      </w:r>
      <w:r>
        <w:rPr>
          <w:rFonts w:hint="eastAsia" w:asciiTheme="minorEastAsia" w:hAnsiTheme="minorEastAsia" w:eastAsiaTheme="minorEastAsia" w:cstheme="minorEastAsia"/>
          <w:color w:val="auto"/>
          <w:sz w:val="21"/>
          <w:szCs w:val="21"/>
          <w:highlight w:val="none"/>
        </w:rPr>
        <w:t>家和省市现行有关规</w:t>
      </w:r>
      <w:r>
        <w:rPr>
          <w:rFonts w:hint="eastAsia" w:asciiTheme="minorEastAsia" w:hAnsiTheme="minorEastAsia" w:eastAsiaTheme="minorEastAsia" w:cstheme="minorEastAsia"/>
          <w:color w:val="auto"/>
          <w:spacing w:val="-1"/>
          <w:sz w:val="21"/>
          <w:szCs w:val="21"/>
          <w:highlight w:val="none"/>
        </w:rPr>
        <w:t>范、规定、标准，是否能实现工程质量、进度管理目标。</w:t>
      </w:r>
    </w:p>
    <w:p w14:paraId="5C3A03FF">
      <w:pPr>
        <w:spacing w:before="82" w:line="211" w:lineRule="auto"/>
        <w:ind w:left="580"/>
        <w:outlineLvl w:val="9"/>
        <w:rPr>
          <w:rFonts w:hint="eastAsia" w:asciiTheme="minorEastAsia" w:hAnsiTheme="minorEastAsia" w:eastAsiaTheme="minorEastAsia" w:cstheme="minorEastAsia"/>
          <w:color w:val="auto"/>
          <w:sz w:val="21"/>
          <w:szCs w:val="21"/>
          <w:highlight w:val="none"/>
        </w:rPr>
      </w:pPr>
      <w:bookmarkStart w:id="107" w:name="_Toc15367"/>
      <w:bookmarkStart w:id="108" w:name="_Toc19814"/>
      <w:bookmarkStart w:id="109" w:name="_Toc32114"/>
      <w:bookmarkStart w:id="110" w:name="_Toc18204"/>
      <w:r>
        <w:rPr>
          <w:rFonts w:hint="eastAsia" w:asciiTheme="minorEastAsia" w:hAnsiTheme="minorEastAsia" w:eastAsiaTheme="minorEastAsia" w:cstheme="minorEastAsia"/>
          <w:b/>
          <w:bCs/>
          <w:color w:val="auto"/>
          <w:spacing w:val="-3"/>
          <w:sz w:val="21"/>
          <w:szCs w:val="21"/>
          <w:highlight w:val="none"/>
        </w:rPr>
        <w:t xml:space="preserve">15.4.4  </w:t>
      </w:r>
      <w:r>
        <w:rPr>
          <w:rFonts w:hint="eastAsia" w:asciiTheme="minorEastAsia" w:hAnsiTheme="minorEastAsia" w:eastAsiaTheme="minorEastAsia" w:cstheme="minorEastAsia"/>
          <w:color w:val="auto"/>
          <w:spacing w:val="-3"/>
          <w:sz w:val="21"/>
          <w:szCs w:val="21"/>
          <w:highlight w:val="none"/>
        </w:rPr>
        <w:t>否决投标说明</w:t>
      </w:r>
      <w:bookmarkEnd w:id="107"/>
      <w:bookmarkEnd w:id="108"/>
      <w:bookmarkEnd w:id="109"/>
      <w:bookmarkEnd w:id="110"/>
    </w:p>
    <w:p w14:paraId="1D43871A">
      <w:pPr>
        <w:spacing w:before="152" w:line="333" w:lineRule="auto"/>
        <w:ind w:left="11" w:right="175" w:firstLine="56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初步评审阶段各个环节否决投标的全部条件，在本章第四节“否决投标条件</w:t>
      </w:r>
      <w:r>
        <w:rPr>
          <w:rFonts w:hint="eastAsia" w:asciiTheme="minorEastAsia" w:hAnsiTheme="minorEastAsia" w:eastAsiaTheme="minorEastAsia" w:cstheme="minorEastAsia"/>
          <w:color w:val="auto"/>
          <w:spacing w:val="-73"/>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”第</w:t>
      </w:r>
      <w:r>
        <w:rPr>
          <w:rFonts w:hint="eastAsia" w:asciiTheme="minorEastAsia" w:hAnsiTheme="minorEastAsia" w:eastAsiaTheme="minorEastAsia" w:cstheme="minorEastAsia"/>
          <w:b/>
          <w:bCs/>
          <w:color w:val="auto"/>
          <w:sz w:val="21"/>
          <w:szCs w:val="21"/>
          <w:highlight w:val="none"/>
        </w:rPr>
        <w:t xml:space="preserve">1 </w:t>
      </w:r>
      <w:r>
        <w:rPr>
          <w:rFonts w:hint="eastAsia" w:asciiTheme="minorEastAsia" w:hAnsiTheme="minorEastAsia" w:eastAsiaTheme="minorEastAsia" w:cstheme="minorEastAsia"/>
          <w:color w:val="auto"/>
          <w:sz w:val="21"/>
          <w:szCs w:val="21"/>
          <w:highlight w:val="none"/>
        </w:rPr>
        <w:t>条至第</w:t>
      </w:r>
      <w:r>
        <w:rPr>
          <w:rFonts w:hint="eastAsia" w:asciiTheme="minorEastAsia" w:hAnsiTheme="minorEastAsia" w:eastAsiaTheme="minorEastAsia" w:cstheme="minorEastAsia"/>
          <w:color w:val="auto"/>
          <w:spacing w:val="-46"/>
          <w:sz w:val="21"/>
          <w:szCs w:val="21"/>
          <w:highlight w:val="none"/>
        </w:rPr>
        <w:t xml:space="preserve"> </w:t>
      </w:r>
      <w:r>
        <w:rPr>
          <w:rFonts w:hint="eastAsia" w:asciiTheme="minorEastAsia" w:hAnsiTheme="minorEastAsia" w:eastAsiaTheme="minorEastAsia" w:cstheme="minorEastAsia"/>
          <w:b/>
          <w:bCs/>
          <w:color w:val="auto"/>
          <w:sz w:val="21"/>
          <w:szCs w:val="21"/>
          <w:highlight w:val="none"/>
        </w:rPr>
        <w:t xml:space="preserve">4 </w:t>
      </w:r>
      <w:r>
        <w:rPr>
          <w:rFonts w:hint="eastAsia" w:asciiTheme="minorEastAsia" w:hAnsiTheme="minorEastAsia" w:eastAsiaTheme="minorEastAsia" w:cstheme="minorEastAsia"/>
          <w:color w:val="auto"/>
          <w:sz w:val="21"/>
          <w:szCs w:val="21"/>
          <w:highlight w:val="none"/>
        </w:rPr>
        <w:t>条中集中列示。投标人有其中所列任何一种情形的，由评标委员会否决其</w:t>
      </w:r>
      <w:r>
        <w:rPr>
          <w:rFonts w:hint="eastAsia" w:asciiTheme="minorEastAsia" w:hAnsiTheme="minorEastAsia" w:eastAsiaTheme="minorEastAsia" w:cstheme="minorEastAsia"/>
          <w:color w:val="auto"/>
          <w:spacing w:val="-1"/>
          <w:sz w:val="21"/>
          <w:szCs w:val="21"/>
          <w:highlight w:val="none"/>
        </w:rPr>
        <w:t>投标。在初步评审阶段任何环节被否决的投标人，不进入下一环</w:t>
      </w:r>
      <w:r>
        <w:rPr>
          <w:rFonts w:hint="eastAsia" w:asciiTheme="minorEastAsia" w:hAnsiTheme="minorEastAsia" w:eastAsiaTheme="minorEastAsia" w:cstheme="minorEastAsia"/>
          <w:color w:val="auto"/>
          <w:spacing w:val="-2"/>
          <w:sz w:val="21"/>
          <w:szCs w:val="21"/>
          <w:highlight w:val="none"/>
        </w:rPr>
        <w:t>节（或阶段）评审。</w:t>
      </w:r>
      <w:r>
        <w:rPr>
          <w:rFonts w:hint="eastAsia" w:asciiTheme="minorEastAsia" w:hAnsiTheme="minorEastAsia" w:eastAsiaTheme="minorEastAsia" w:cstheme="minorEastAsia"/>
          <w:color w:val="auto"/>
          <w:spacing w:val="-1"/>
          <w:sz w:val="21"/>
          <w:szCs w:val="21"/>
          <w:highlight w:val="none"/>
        </w:rPr>
        <w:t>在初步评审阶段任何环节。</w:t>
      </w:r>
      <w:r>
        <w:rPr>
          <w:rFonts w:hint="eastAsia" w:asciiTheme="minorEastAsia" w:hAnsiTheme="minorEastAsia" w:eastAsiaTheme="minorEastAsia" w:cstheme="minorEastAsia"/>
          <w:color w:val="auto"/>
          <w:sz w:val="21"/>
          <w:szCs w:val="21"/>
          <w:highlight w:val="none"/>
        </w:rPr>
        <w:t>评标委员会经评审，认为所有投标都不符合招标文件要求的，可否决所有投标，项目的所有投标被否决的，招标人应依法重新组织招标。</w:t>
      </w:r>
    </w:p>
    <w:p w14:paraId="7771DD90">
      <w:pPr>
        <w:spacing w:before="78" w:line="221" w:lineRule="auto"/>
        <w:ind w:left="5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drawing>
          <wp:anchor distT="0" distB="0" distL="114300" distR="114300" simplePos="0" relativeHeight="251661312"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8"/>
                    <a:stretch>
                      <a:fillRect/>
                    </a:stretch>
                  </pic:blipFill>
                  <pic:spPr>
                    <a:xfrm>
                      <a:off x="0" y="0"/>
                      <a:ext cx="6350" cy="279400"/>
                    </a:xfrm>
                    <a:prstGeom prst="rect">
                      <a:avLst/>
                    </a:prstGeom>
                    <a:noFill/>
                    <a:ln>
                      <a:noFill/>
                    </a:ln>
                  </pic:spPr>
                </pic:pic>
              </a:graphicData>
            </a:graphic>
          </wp:anchor>
        </w:drawing>
      </w:r>
      <w:bookmarkStart w:id="111" w:name="bookmark128"/>
      <w:bookmarkEnd w:id="111"/>
      <w:r>
        <w:rPr>
          <w:rFonts w:hint="eastAsia" w:asciiTheme="minorEastAsia" w:hAnsiTheme="minorEastAsia" w:eastAsiaTheme="minorEastAsia" w:cstheme="minorEastAsia"/>
          <w:b/>
          <w:bCs/>
          <w:color w:val="auto"/>
          <w:spacing w:val="-2"/>
          <w:sz w:val="21"/>
          <w:szCs w:val="21"/>
          <w:highlight w:val="none"/>
        </w:rPr>
        <w:t xml:space="preserve">15.5  </w:t>
      </w:r>
      <w:r>
        <w:rPr>
          <w:rFonts w:hint="eastAsia" w:asciiTheme="minorEastAsia" w:hAnsiTheme="minorEastAsia" w:eastAsiaTheme="minorEastAsia" w:cstheme="minorEastAsia"/>
          <w:color w:val="auto"/>
          <w:spacing w:val="-2"/>
          <w:sz w:val="21"/>
          <w:szCs w:val="21"/>
          <w:highlight w:val="none"/>
        </w:rPr>
        <w:t>详细评审阶段</w:t>
      </w:r>
    </w:p>
    <w:p w14:paraId="5C6A2412">
      <w:pPr>
        <w:spacing w:before="81" w:line="211" w:lineRule="auto"/>
        <w:ind w:left="498"/>
        <w:outlineLvl w:val="9"/>
        <w:rPr>
          <w:rFonts w:hint="eastAsia" w:asciiTheme="minorEastAsia" w:hAnsiTheme="minorEastAsia" w:eastAsiaTheme="minorEastAsia" w:cstheme="minorEastAsia"/>
          <w:color w:val="auto"/>
          <w:sz w:val="21"/>
          <w:szCs w:val="21"/>
          <w:highlight w:val="none"/>
        </w:rPr>
      </w:pPr>
      <w:bookmarkStart w:id="112" w:name="_Toc10503"/>
      <w:bookmarkStart w:id="113" w:name="_Toc14991"/>
      <w:bookmarkStart w:id="114" w:name="_Toc28572"/>
      <w:bookmarkStart w:id="115" w:name="_Toc4119"/>
      <w:r>
        <w:rPr>
          <w:rFonts w:hint="eastAsia" w:asciiTheme="minorEastAsia" w:hAnsiTheme="minorEastAsia" w:eastAsiaTheme="minorEastAsia" w:cstheme="minorEastAsia"/>
          <w:b/>
          <w:bCs/>
          <w:color w:val="auto"/>
          <w:spacing w:val="-3"/>
          <w:sz w:val="21"/>
          <w:szCs w:val="21"/>
          <w:highlight w:val="none"/>
        </w:rPr>
        <w:t xml:space="preserve">15.5.1  </w:t>
      </w:r>
      <w:r>
        <w:rPr>
          <w:rFonts w:hint="eastAsia" w:asciiTheme="minorEastAsia" w:hAnsiTheme="minorEastAsia" w:eastAsiaTheme="minorEastAsia" w:cstheme="minorEastAsia"/>
          <w:color w:val="auto"/>
          <w:spacing w:val="-3"/>
          <w:sz w:val="21"/>
          <w:szCs w:val="21"/>
          <w:highlight w:val="none"/>
        </w:rPr>
        <w:t>“综合评估法</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”评审程序</w:t>
      </w:r>
      <w:bookmarkEnd w:id="112"/>
      <w:bookmarkEnd w:id="113"/>
      <w:bookmarkEnd w:id="114"/>
      <w:bookmarkEnd w:id="115"/>
    </w:p>
    <w:p w14:paraId="587870C3">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评审内容分为商务、技术和投标报价三大部分，综合得分满分为100分。其中，商务满分为</w:t>
      </w:r>
      <w:r>
        <w:rPr>
          <w:rFonts w:hint="eastAsia" w:asciiTheme="minorEastAsia" w:hAnsiTheme="minorEastAsia" w:eastAsiaTheme="minorEastAsia" w:cstheme="minorEastAsia"/>
          <w:snapToGrid w:val="0"/>
          <w:color w:val="auto"/>
          <w:kern w:val="0"/>
          <w:sz w:val="21"/>
          <w:szCs w:val="21"/>
          <w:highlight w:val="none"/>
          <w:u w:val="single"/>
          <w:lang w:val="en-US" w:eastAsia="zh-CN"/>
        </w:rPr>
        <w:t>30</w:t>
      </w:r>
      <w:r>
        <w:rPr>
          <w:rFonts w:hint="eastAsia" w:asciiTheme="minorEastAsia" w:hAnsiTheme="minorEastAsia" w:eastAsiaTheme="minorEastAsia" w:cstheme="minorEastAsia"/>
          <w:snapToGrid w:val="0"/>
          <w:color w:val="auto"/>
          <w:kern w:val="0"/>
          <w:sz w:val="21"/>
          <w:szCs w:val="21"/>
          <w:highlight w:val="none"/>
        </w:rPr>
        <w:t>分，技术满分为</w:t>
      </w:r>
      <w:r>
        <w:rPr>
          <w:rFonts w:hint="eastAsia" w:asciiTheme="minorEastAsia" w:hAnsiTheme="minorEastAsia" w:eastAsiaTheme="minorEastAsia" w:cstheme="minorEastAsia"/>
          <w:snapToGrid w:val="0"/>
          <w:color w:val="auto"/>
          <w:kern w:val="0"/>
          <w:sz w:val="21"/>
          <w:szCs w:val="21"/>
          <w:highlight w:val="none"/>
          <w:u w:val="single"/>
          <w:lang w:val="en-US" w:eastAsia="zh-CN"/>
        </w:rPr>
        <w:t>10</w:t>
      </w:r>
      <w:r>
        <w:rPr>
          <w:rFonts w:hint="eastAsia" w:asciiTheme="minorEastAsia" w:hAnsiTheme="minorEastAsia" w:eastAsiaTheme="minorEastAsia" w:cstheme="minorEastAsia"/>
          <w:snapToGrid w:val="0"/>
          <w:color w:val="auto"/>
          <w:kern w:val="0"/>
          <w:sz w:val="21"/>
          <w:szCs w:val="21"/>
          <w:highlight w:val="none"/>
        </w:rPr>
        <w:t>分，投标报价部分满分为</w:t>
      </w:r>
      <w:r>
        <w:rPr>
          <w:rFonts w:hint="eastAsia" w:asciiTheme="minorEastAsia" w:hAnsiTheme="minorEastAsia" w:eastAsiaTheme="minorEastAsia" w:cstheme="minorEastAsia"/>
          <w:snapToGrid w:val="0"/>
          <w:color w:val="auto"/>
          <w:kern w:val="0"/>
          <w:sz w:val="21"/>
          <w:szCs w:val="21"/>
          <w:highlight w:val="none"/>
          <w:u w:val="single"/>
          <w:lang w:val="en-US" w:eastAsia="zh-CN"/>
        </w:rPr>
        <w:t>60</w:t>
      </w:r>
      <w:r>
        <w:rPr>
          <w:rFonts w:hint="eastAsia" w:asciiTheme="minorEastAsia" w:hAnsiTheme="minorEastAsia" w:eastAsiaTheme="minorEastAsia" w:cstheme="minorEastAsia"/>
          <w:snapToGrid w:val="0"/>
          <w:color w:val="auto"/>
          <w:kern w:val="0"/>
          <w:sz w:val="21"/>
          <w:szCs w:val="21"/>
          <w:highlight w:val="none"/>
        </w:rPr>
        <w:t>分。</w:t>
      </w:r>
    </w:p>
    <w:p w14:paraId="3833BA88">
      <w:pPr>
        <w:spacing w:before="153" w:line="324" w:lineRule="auto"/>
        <w:ind w:left="14" w:right="81" w:firstLine="49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除特别注明外，综合得分以及商务技术得分、投标报价得分的中间过程计算值和</w:t>
      </w:r>
      <w:r>
        <w:rPr>
          <w:rFonts w:hint="eastAsia" w:asciiTheme="minorEastAsia" w:hAnsiTheme="minorEastAsia" w:eastAsiaTheme="minorEastAsia" w:cstheme="minorEastAsia"/>
          <w:color w:val="auto"/>
          <w:spacing w:val="-4"/>
          <w:sz w:val="21"/>
          <w:szCs w:val="21"/>
          <w:highlight w:val="none"/>
        </w:rPr>
        <w:t>最终值，均按“</w:t>
      </w:r>
      <w:r>
        <w:rPr>
          <w:rFonts w:hint="eastAsia" w:asciiTheme="minorEastAsia" w:hAnsiTheme="minorEastAsia" w:eastAsiaTheme="minorEastAsia" w:cstheme="minorEastAsia"/>
          <w:color w:val="auto"/>
          <w:spacing w:val="-78"/>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四舍五入</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”原则精确到两位小数。</w:t>
      </w:r>
    </w:p>
    <w:p w14:paraId="43262A22">
      <w:pPr>
        <w:spacing w:before="38" w:line="220" w:lineRule="auto"/>
        <w:ind w:left="503"/>
        <w:outlineLvl w:val="9"/>
        <w:rPr>
          <w:rFonts w:hint="eastAsia" w:asciiTheme="minorEastAsia" w:hAnsiTheme="minorEastAsia" w:eastAsiaTheme="minorEastAsia" w:cstheme="minorEastAsia"/>
          <w:color w:val="auto"/>
          <w:sz w:val="21"/>
          <w:szCs w:val="21"/>
          <w:highlight w:val="none"/>
        </w:rPr>
      </w:pPr>
      <w:bookmarkStart w:id="116" w:name="_Toc10398"/>
      <w:bookmarkStart w:id="117" w:name="_Toc17510"/>
      <w:bookmarkStart w:id="118" w:name="_Toc18029"/>
      <w:bookmarkStart w:id="119" w:name="_Toc22949"/>
      <w:r>
        <w:rPr>
          <w:rFonts w:hint="eastAsia" w:asciiTheme="minorEastAsia" w:hAnsiTheme="minorEastAsia" w:eastAsiaTheme="minorEastAsia" w:cstheme="minorEastAsia"/>
          <w:color w:val="auto"/>
          <w:spacing w:val="-3"/>
          <w:sz w:val="21"/>
          <w:szCs w:val="21"/>
          <w:highlight w:val="none"/>
        </w:rPr>
        <w:t>（1）商务技术得分</w:t>
      </w:r>
      <w:r>
        <w:rPr>
          <w:rFonts w:hint="eastAsia" w:asciiTheme="minorEastAsia" w:hAnsiTheme="minorEastAsia" w:eastAsiaTheme="minorEastAsia" w:cstheme="minorEastAsia"/>
          <w:color w:val="auto"/>
          <w:spacing w:val="-48"/>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M</w:t>
      </w:r>
      <w:bookmarkEnd w:id="116"/>
      <w:bookmarkEnd w:id="117"/>
      <w:bookmarkEnd w:id="118"/>
      <w:bookmarkEnd w:id="119"/>
    </w:p>
    <w:p w14:paraId="4F79F139">
      <w:pPr>
        <w:spacing w:before="153" w:line="279" w:lineRule="auto"/>
        <w:ind w:left="15" w:right="81" w:firstLine="4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a</w:t>
      </w:r>
      <w:r>
        <w:rPr>
          <w:rFonts w:hint="eastAsia" w:asciiTheme="minorEastAsia" w:hAnsiTheme="minorEastAsia" w:eastAsiaTheme="minorEastAsia" w:cstheme="minorEastAsia"/>
          <w:b/>
          <w:bCs/>
          <w:color w:val="auto"/>
          <w:spacing w:val="-24"/>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．评标委员会按照《综合评分表》商务部分指定的评分标准对各评分因素进行</w:t>
      </w:r>
      <w:r>
        <w:rPr>
          <w:rFonts w:hint="eastAsia" w:asciiTheme="minorEastAsia" w:hAnsiTheme="minorEastAsia" w:eastAsiaTheme="minorEastAsia" w:cstheme="minorEastAsia"/>
          <w:color w:val="auto"/>
          <w:spacing w:val="-1"/>
          <w:sz w:val="21"/>
          <w:szCs w:val="21"/>
          <w:highlight w:val="none"/>
        </w:rPr>
        <w:t>打分。各评分因素得分之和即为某投标人的商务得分</w:t>
      </w:r>
      <w:r>
        <w:rPr>
          <w:rFonts w:hint="eastAsia" w:asciiTheme="minorEastAsia" w:hAnsiTheme="minorEastAsia" w:eastAsiaTheme="minorEastAsia" w:cstheme="minorEastAsia"/>
          <w:color w:val="auto"/>
          <w:spacing w:val="-45"/>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M</w:t>
      </w:r>
      <w:r>
        <w:rPr>
          <w:rFonts w:hint="eastAsia" w:asciiTheme="minorEastAsia" w:hAnsiTheme="minorEastAsia" w:eastAsiaTheme="minorEastAsia" w:cstheme="minorEastAsia"/>
          <w:color w:val="auto"/>
          <w:spacing w:val="-1"/>
          <w:position w:val="-1"/>
          <w:sz w:val="21"/>
          <w:szCs w:val="21"/>
          <w:highlight w:val="none"/>
        </w:rPr>
        <w:t>1</w:t>
      </w:r>
      <w:r>
        <w:rPr>
          <w:rFonts w:hint="eastAsia" w:asciiTheme="minorEastAsia" w:hAnsiTheme="minorEastAsia" w:eastAsiaTheme="minorEastAsia" w:cstheme="minorEastAsia"/>
          <w:color w:val="auto"/>
          <w:spacing w:val="-1"/>
          <w:sz w:val="21"/>
          <w:szCs w:val="21"/>
          <w:highlight w:val="none"/>
        </w:rPr>
        <w:t>。</w:t>
      </w:r>
    </w:p>
    <w:p w14:paraId="7C0050AB">
      <w:pPr>
        <w:spacing w:before="154" w:line="299" w:lineRule="auto"/>
        <w:ind w:left="12" w:right="81" w:firstLine="47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b</w:t>
      </w:r>
      <w:r>
        <w:rPr>
          <w:rFonts w:hint="eastAsia" w:asciiTheme="minorEastAsia" w:hAnsiTheme="minorEastAsia" w:eastAsiaTheme="minorEastAsia" w:cstheme="minorEastAsia"/>
          <w:b/>
          <w:bCs/>
          <w:color w:val="auto"/>
          <w:spacing w:val="-27"/>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．评标委员会各成员独立按照《综合评分表》技术部分（施工组织设</w:t>
      </w:r>
      <w:r>
        <w:rPr>
          <w:rFonts w:hint="eastAsia" w:asciiTheme="minorEastAsia" w:hAnsiTheme="minorEastAsia" w:eastAsiaTheme="minorEastAsia" w:cstheme="minorEastAsia"/>
          <w:color w:val="auto"/>
          <w:sz w:val="21"/>
          <w:szCs w:val="21"/>
          <w:highlight w:val="none"/>
        </w:rPr>
        <w:t>计）指定</w:t>
      </w:r>
      <w:r>
        <w:rPr>
          <w:rFonts w:hint="eastAsia" w:asciiTheme="minorEastAsia" w:hAnsiTheme="minorEastAsia" w:eastAsiaTheme="minorEastAsia" w:cstheme="minorEastAsia"/>
          <w:color w:val="auto"/>
          <w:spacing w:val="-1"/>
          <w:sz w:val="21"/>
          <w:szCs w:val="21"/>
          <w:highlight w:val="none"/>
        </w:rPr>
        <w:t>的评分标准对各评分因素进行打分，累加后得出技术评分。</w:t>
      </w:r>
      <w:r>
        <w:rPr>
          <w:rFonts w:hint="eastAsia" w:asciiTheme="minorEastAsia" w:hAnsiTheme="minorEastAsia" w:eastAsiaTheme="minorEastAsia" w:cstheme="minorEastAsia"/>
          <w:color w:val="auto"/>
          <w:spacing w:val="-2"/>
          <w:sz w:val="21"/>
          <w:szCs w:val="21"/>
          <w:highlight w:val="none"/>
        </w:rPr>
        <w:t>将评标委员会所有成员的</w:t>
      </w:r>
      <w:r>
        <w:rPr>
          <w:rFonts w:hint="eastAsia" w:asciiTheme="minorEastAsia" w:hAnsiTheme="minorEastAsia" w:eastAsiaTheme="minorEastAsia" w:cstheme="minorEastAsia"/>
          <w:color w:val="auto"/>
          <w:sz w:val="21"/>
          <w:szCs w:val="21"/>
          <w:highlight w:val="none"/>
        </w:rPr>
        <w:t xml:space="preserve"> 技术评分去掉最高分和最低分后，取算术平均值，即</w:t>
      </w:r>
      <w:r>
        <w:rPr>
          <w:rFonts w:hint="eastAsia" w:asciiTheme="minorEastAsia" w:hAnsiTheme="minorEastAsia" w:eastAsiaTheme="minorEastAsia" w:cstheme="minorEastAsia"/>
          <w:color w:val="auto"/>
          <w:spacing w:val="-1"/>
          <w:sz w:val="21"/>
          <w:szCs w:val="21"/>
          <w:highlight w:val="none"/>
        </w:rPr>
        <w:t>为某投标人的技术得分</w:t>
      </w:r>
      <w:r>
        <w:rPr>
          <w:rFonts w:hint="eastAsia" w:asciiTheme="minorEastAsia" w:hAnsiTheme="minorEastAsia" w:eastAsiaTheme="minorEastAsia" w:cstheme="minorEastAsia"/>
          <w:color w:val="auto"/>
          <w:spacing w:val="-56"/>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M</w:t>
      </w:r>
      <w:r>
        <w:rPr>
          <w:rFonts w:hint="eastAsia" w:asciiTheme="minorEastAsia" w:hAnsiTheme="minorEastAsia" w:eastAsiaTheme="minorEastAsia" w:cstheme="minorEastAsia"/>
          <w:color w:val="auto"/>
          <w:spacing w:val="-1"/>
          <w:position w:val="-1"/>
          <w:sz w:val="21"/>
          <w:szCs w:val="21"/>
          <w:highlight w:val="none"/>
        </w:rPr>
        <w:t>2</w:t>
      </w:r>
      <w:r>
        <w:rPr>
          <w:rFonts w:hint="eastAsia" w:asciiTheme="minorEastAsia" w:hAnsiTheme="minorEastAsia" w:eastAsiaTheme="minorEastAsia" w:cstheme="minorEastAsia"/>
          <w:color w:val="auto"/>
          <w:spacing w:val="-1"/>
          <w:sz w:val="21"/>
          <w:szCs w:val="21"/>
          <w:highlight w:val="none"/>
        </w:rPr>
        <w:t>。</w:t>
      </w:r>
    </w:p>
    <w:p w14:paraId="74B8FE3B">
      <w:pPr>
        <w:spacing w:before="155" w:line="231" w:lineRule="auto"/>
        <w:ind w:left="49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2"/>
          <w:sz w:val="21"/>
          <w:szCs w:val="21"/>
          <w:highlight w:val="none"/>
        </w:rPr>
        <w:t>c</w:t>
      </w:r>
      <w:r>
        <w:rPr>
          <w:rFonts w:hint="eastAsia" w:asciiTheme="minorEastAsia" w:hAnsiTheme="minorEastAsia" w:eastAsiaTheme="minorEastAsia" w:cstheme="minorEastAsia"/>
          <w:b/>
          <w:bCs/>
          <w:color w:val="auto"/>
          <w:spacing w:val="-27"/>
          <w:sz w:val="21"/>
          <w:szCs w:val="21"/>
          <w:highlight w:val="none"/>
        </w:rPr>
        <w:t xml:space="preserve"> </w:t>
      </w:r>
      <w:r>
        <w:rPr>
          <w:rFonts w:hint="eastAsia" w:asciiTheme="minorEastAsia" w:hAnsiTheme="minorEastAsia" w:eastAsiaTheme="minorEastAsia" w:cstheme="minorEastAsia"/>
          <w:color w:val="auto"/>
          <w:spacing w:val="-12"/>
          <w:sz w:val="21"/>
          <w:szCs w:val="21"/>
          <w:highlight w:val="none"/>
        </w:rPr>
        <w:t>．M</w:t>
      </w:r>
      <w:r>
        <w:rPr>
          <w:rFonts w:hint="eastAsia" w:asciiTheme="minorEastAsia" w:hAnsiTheme="minorEastAsia" w:eastAsiaTheme="minorEastAsia" w:cstheme="minorEastAsia"/>
          <w:color w:val="auto"/>
          <w:spacing w:val="-27"/>
          <w:sz w:val="21"/>
          <w:szCs w:val="21"/>
          <w:highlight w:val="none"/>
        </w:rPr>
        <w:t xml:space="preserve"> </w:t>
      </w:r>
      <w:r>
        <w:rPr>
          <w:rFonts w:hint="eastAsia" w:asciiTheme="minorEastAsia" w:hAnsiTheme="minorEastAsia" w:eastAsiaTheme="minorEastAsia" w:cstheme="minorEastAsia"/>
          <w:color w:val="auto"/>
          <w:spacing w:val="-12"/>
          <w:sz w:val="21"/>
          <w:szCs w:val="21"/>
          <w:highlight w:val="none"/>
        </w:rPr>
        <w:t>＝M</w:t>
      </w:r>
      <w:r>
        <w:rPr>
          <w:rFonts w:hint="eastAsia" w:asciiTheme="minorEastAsia" w:hAnsiTheme="minorEastAsia" w:eastAsiaTheme="minorEastAsia" w:cstheme="minorEastAsia"/>
          <w:color w:val="auto"/>
          <w:spacing w:val="-12"/>
          <w:position w:val="-1"/>
          <w:sz w:val="21"/>
          <w:szCs w:val="21"/>
          <w:highlight w:val="none"/>
        </w:rPr>
        <w:t>1</w:t>
      </w:r>
      <w:r>
        <w:rPr>
          <w:rFonts w:hint="eastAsia" w:asciiTheme="minorEastAsia" w:hAnsiTheme="minorEastAsia" w:eastAsiaTheme="minorEastAsia" w:cstheme="minorEastAsia"/>
          <w:color w:val="auto"/>
          <w:sz w:val="21"/>
          <w:szCs w:val="21"/>
          <w:highlight w:val="none"/>
        </w:rPr>
        <w:t>＋M</w:t>
      </w:r>
      <w:r>
        <w:rPr>
          <w:rFonts w:hint="eastAsia" w:asciiTheme="minorEastAsia" w:hAnsiTheme="minorEastAsia" w:eastAsiaTheme="minorEastAsia" w:cstheme="minorEastAsia"/>
          <w:color w:val="auto"/>
          <w:position w:val="-1"/>
          <w:sz w:val="21"/>
          <w:szCs w:val="21"/>
          <w:highlight w:val="none"/>
        </w:rPr>
        <w:t>2</w:t>
      </w:r>
    </w:p>
    <w:p w14:paraId="4F53EEB5">
      <w:pPr>
        <w:spacing w:before="139" w:line="220"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式中：M</w:t>
      </w:r>
      <w:r>
        <w:rPr>
          <w:rFonts w:hint="eastAsia" w:asciiTheme="minorEastAsia" w:hAnsiTheme="minorEastAsia" w:eastAsiaTheme="minorEastAsia" w:cstheme="minorEastAsia"/>
          <w:color w:val="auto"/>
          <w:spacing w:val="-1"/>
          <w:position w:val="-1"/>
          <w:sz w:val="21"/>
          <w:szCs w:val="21"/>
          <w:highlight w:val="none"/>
        </w:rPr>
        <w:t>1</w:t>
      </w:r>
      <w:r>
        <w:rPr>
          <w:rFonts w:hint="eastAsia" w:asciiTheme="minorEastAsia" w:hAnsiTheme="minorEastAsia" w:eastAsiaTheme="minorEastAsia" w:cstheme="minorEastAsia"/>
          <w:color w:val="auto"/>
          <w:spacing w:val="12"/>
          <w:w w:val="101"/>
          <w:position w:val="-1"/>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为某投标人的商务得分，M</w:t>
      </w:r>
      <w:r>
        <w:rPr>
          <w:rFonts w:hint="eastAsia" w:asciiTheme="minorEastAsia" w:hAnsiTheme="minorEastAsia" w:eastAsiaTheme="minorEastAsia" w:cstheme="minorEastAsia"/>
          <w:color w:val="auto"/>
          <w:spacing w:val="-1"/>
          <w:position w:val="-1"/>
          <w:sz w:val="21"/>
          <w:szCs w:val="21"/>
          <w:highlight w:val="none"/>
        </w:rPr>
        <w:t>2</w:t>
      </w:r>
      <w:r>
        <w:rPr>
          <w:rFonts w:hint="eastAsia" w:asciiTheme="minorEastAsia" w:hAnsiTheme="minorEastAsia" w:eastAsiaTheme="minorEastAsia" w:cstheme="minorEastAsia"/>
          <w:color w:val="auto"/>
          <w:spacing w:val="12"/>
          <w:position w:val="-1"/>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为某投标人的</w:t>
      </w:r>
      <w:r>
        <w:rPr>
          <w:rFonts w:hint="eastAsia" w:asciiTheme="minorEastAsia" w:hAnsiTheme="minorEastAsia" w:eastAsiaTheme="minorEastAsia" w:cstheme="minorEastAsia"/>
          <w:color w:val="auto"/>
          <w:spacing w:val="-2"/>
          <w:sz w:val="21"/>
          <w:szCs w:val="21"/>
          <w:highlight w:val="none"/>
        </w:rPr>
        <w:t>技术得分。</w:t>
      </w:r>
    </w:p>
    <w:p w14:paraId="7E01935F">
      <w:pPr>
        <w:spacing w:before="153" w:line="219" w:lineRule="auto"/>
        <w:ind w:left="503"/>
        <w:outlineLvl w:val="9"/>
        <w:rPr>
          <w:rFonts w:hint="eastAsia" w:asciiTheme="minorEastAsia" w:hAnsiTheme="minorEastAsia" w:eastAsiaTheme="minorEastAsia" w:cstheme="minorEastAsia"/>
          <w:color w:val="auto"/>
          <w:sz w:val="21"/>
          <w:szCs w:val="21"/>
          <w:highlight w:val="none"/>
        </w:rPr>
      </w:pPr>
      <w:bookmarkStart w:id="120" w:name="_Toc27609"/>
      <w:bookmarkStart w:id="121" w:name="_Toc14059"/>
      <w:bookmarkStart w:id="122" w:name="_Toc3958"/>
      <w:bookmarkStart w:id="123" w:name="_Toc16136"/>
      <w:r>
        <w:rPr>
          <w:rFonts w:hint="eastAsia" w:asciiTheme="minorEastAsia" w:hAnsiTheme="minorEastAsia" w:eastAsiaTheme="minorEastAsia" w:cstheme="minorEastAsia"/>
          <w:color w:val="auto"/>
          <w:spacing w:val="-2"/>
          <w:sz w:val="21"/>
          <w:szCs w:val="21"/>
          <w:highlight w:val="none"/>
        </w:rPr>
        <w:t>（2）投标报价得分</w:t>
      </w:r>
      <w:r>
        <w:rPr>
          <w:rFonts w:hint="eastAsia" w:asciiTheme="minorEastAsia" w:hAnsiTheme="minorEastAsia" w:eastAsiaTheme="minorEastAsia" w:cstheme="minorEastAsia"/>
          <w:color w:val="auto"/>
          <w:spacing w:val="-62"/>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N</w:t>
      </w:r>
      <w:bookmarkEnd w:id="120"/>
      <w:bookmarkEnd w:id="121"/>
      <w:bookmarkEnd w:id="122"/>
      <w:bookmarkEnd w:id="123"/>
    </w:p>
    <w:p w14:paraId="77572908">
      <w:pPr>
        <w:spacing w:before="157" w:line="219" w:lineRule="auto"/>
        <w:ind w:firstLine="41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a</w:t>
      </w:r>
      <w:r>
        <w:rPr>
          <w:rFonts w:hint="eastAsia" w:asciiTheme="minorEastAsia" w:hAnsiTheme="minorEastAsia" w:eastAsiaTheme="minorEastAsia" w:cstheme="minorEastAsia"/>
          <w:b/>
          <w:bCs/>
          <w:color w:val="auto"/>
          <w:spacing w:val="-29"/>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．评标委员会按照《综合评分表》投标报价部分指定的方法计</w:t>
      </w:r>
      <w:r>
        <w:rPr>
          <w:rFonts w:hint="eastAsia" w:asciiTheme="minorEastAsia" w:hAnsiTheme="minorEastAsia" w:eastAsiaTheme="minorEastAsia" w:cstheme="minorEastAsia"/>
          <w:color w:val="auto"/>
          <w:spacing w:val="-4"/>
          <w:sz w:val="21"/>
          <w:szCs w:val="21"/>
          <w:highlight w:val="none"/>
        </w:rPr>
        <w:t>算评标基准价</w:t>
      </w:r>
      <w:r>
        <w:rPr>
          <w:rFonts w:hint="eastAsia" w:asciiTheme="minorEastAsia" w:hAnsiTheme="minorEastAsia" w:eastAsiaTheme="minorEastAsia" w:cstheme="minorEastAsia"/>
          <w:color w:val="auto"/>
          <w:spacing w:val="-55"/>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D。</w:t>
      </w:r>
    </w:p>
    <w:p w14:paraId="50B820C0">
      <w:pPr>
        <w:spacing w:before="155" w:line="299" w:lineRule="auto"/>
        <w:ind w:left="12" w:right="83" w:firstLine="47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b</w:t>
      </w:r>
      <w:r>
        <w:rPr>
          <w:rFonts w:hint="eastAsia" w:asciiTheme="minorEastAsia" w:hAnsiTheme="minorEastAsia" w:eastAsiaTheme="minorEastAsia" w:cstheme="minorEastAsia"/>
          <w:b/>
          <w:bCs/>
          <w:color w:val="auto"/>
          <w:spacing w:val="-20"/>
          <w:sz w:val="21"/>
          <w:szCs w:val="21"/>
          <w:highlight w:val="none"/>
        </w:rPr>
        <w:t xml:space="preserve"> </w:t>
      </w:r>
      <w:r>
        <w:rPr>
          <w:rFonts w:hint="eastAsia" w:asciiTheme="minorEastAsia" w:hAnsiTheme="minorEastAsia" w:eastAsiaTheme="minorEastAsia" w:cstheme="minorEastAsia"/>
          <w:color w:val="auto"/>
          <w:sz w:val="21"/>
          <w:szCs w:val="21"/>
          <w:highlight w:val="none"/>
        </w:rPr>
        <w:t>．采用内插法计算某投标人的投标报价得分</w:t>
      </w:r>
      <w:r>
        <w:rPr>
          <w:rFonts w:hint="eastAsia" w:asciiTheme="minorEastAsia" w:hAnsiTheme="minorEastAsia" w:eastAsiaTheme="minorEastAsia" w:cstheme="minorEastAsia"/>
          <w:color w:val="auto"/>
          <w:spacing w:val="-60"/>
          <w:sz w:val="21"/>
          <w:szCs w:val="21"/>
          <w:highlight w:val="none"/>
        </w:rPr>
        <w:t xml:space="preserve"> </w:t>
      </w:r>
      <w:r>
        <w:rPr>
          <w:rFonts w:hint="eastAsia" w:asciiTheme="minorEastAsia" w:hAnsiTheme="minorEastAsia" w:eastAsiaTheme="minorEastAsia" w:cstheme="minorEastAsia"/>
          <w:color w:val="auto"/>
          <w:sz w:val="21"/>
          <w:szCs w:val="21"/>
          <w:highlight w:val="none"/>
        </w:rPr>
        <w:t>N</w:t>
      </w:r>
      <w:r>
        <w:rPr>
          <w:rFonts w:hint="eastAsia" w:asciiTheme="minorEastAsia" w:hAnsiTheme="minorEastAsia" w:eastAsiaTheme="minorEastAsia" w:cstheme="minorEastAsia"/>
          <w:color w:val="auto"/>
          <w:spacing w:val="-32"/>
          <w:sz w:val="21"/>
          <w:szCs w:val="21"/>
          <w:highlight w:val="none"/>
        </w:rPr>
        <w:t xml:space="preserve"> </w:t>
      </w:r>
      <w:r>
        <w:rPr>
          <w:rFonts w:hint="eastAsia" w:asciiTheme="minorEastAsia" w:hAnsiTheme="minorEastAsia" w:eastAsiaTheme="minorEastAsia" w:cstheme="minorEastAsia"/>
          <w:color w:val="auto"/>
          <w:sz w:val="21"/>
          <w:szCs w:val="21"/>
          <w:highlight w:val="none"/>
        </w:rPr>
        <w:t>，即当投标人的投标总价等于评</w:t>
      </w:r>
      <w:r>
        <w:rPr>
          <w:rFonts w:hint="eastAsia" w:asciiTheme="minorEastAsia" w:hAnsiTheme="minorEastAsia" w:eastAsiaTheme="minorEastAsia" w:cstheme="minorEastAsia"/>
          <w:color w:val="auto"/>
          <w:spacing w:val="-1"/>
          <w:sz w:val="21"/>
          <w:szCs w:val="21"/>
          <w:highlight w:val="none"/>
        </w:rPr>
        <w:t>标基准价时得</w:t>
      </w:r>
      <w:r>
        <w:rPr>
          <w:rFonts w:hint="eastAsia" w:asciiTheme="minorEastAsia" w:hAnsiTheme="minorEastAsia" w:eastAsiaTheme="minorEastAsia" w:cstheme="minorEastAsia"/>
          <w:color w:val="auto"/>
          <w:spacing w:val="-32"/>
          <w:sz w:val="21"/>
          <w:szCs w:val="21"/>
          <w:highlight w:val="none"/>
          <w:lang w:val="en-US" w:eastAsia="zh-CN"/>
        </w:rPr>
        <w:t>60</w:t>
      </w:r>
      <w:r>
        <w:rPr>
          <w:rFonts w:hint="eastAsia" w:asciiTheme="minorEastAsia" w:hAnsiTheme="minorEastAsia" w:eastAsiaTheme="minorEastAsia" w:cstheme="minorEastAsia"/>
          <w:color w:val="auto"/>
          <w:spacing w:val="-1"/>
          <w:sz w:val="21"/>
          <w:szCs w:val="21"/>
          <w:highlight w:val="none"/>
        </w:rPr>
        <w:t>分，每高于评标基准价一个百分点扣</w:t>
      </w:r>
      <w:r>
        <w:rPr>
          <w:rFonts w:hint="eastAsia" w:asciiTheme="minorEastAsia" w:hAnsiTheme="minorEastAsia" w:eastAsiaTheme="minorEastAsia" w:cstheme="minorEastAsia"/>
          <w:color w:val="auto"/>
          <w:spacing w:val="-44"/>
          <w:sz w:val="21"/>
          <w:szCs w:val="21"/>
          <w:highlight w:val="none"/>
        </w:rPr>
        <w:t xml:space="preserve"> </w:t>
      </w:r>
      <w:r>
        <w:rPr>
          <w:rFonts w:hint="eastAsia" w:asciiTheme="minorEastAsia" w:hAnsiTheme="minorEastAsia" w:eastAsiaTheme="minorEastAsia" w:cstheme="minorEastAsia"/>
          <w:b/>
          <w:bCs/>
          <w:color w:val="auto"/>
          <w:spacing w:val="-1"/>
          <w:sz w:val="21"/>
          <w:szCs w:val="21"/>
          <w:highlight w:val="none"/>
        </w:rPr>
        <w:t xml:space="preserve">1 分,  </w:t>
      </w:r>
      <w:r>
        <w:rPr>
          <w:rFonts w:hint="eastAsia" w:asciiTheme="minorEastAsia" w:hAnsiTheme="minorEastAsia" w:eastAsiaTheme="minorEastAsia" w:cstheme="minorEastAsia"/>
          <w:color w:val="auto"/>
          <w:spacing w:val="-2"/>
          <w:sz w:val="21"/>
          <w:szCs w:val="21"/>
          <w:highlight w:val="none"/>
        </w:rPr>
        <w:t>每低于评标基准价一个百分点扣</w:t>
      </w:r>
      <w:r>
        <w:rPr>
          <w:rFonts w:hint="eastAsia" w:asciiTheme="minorEastAsia" w:hAnsiTheme="minorEastAsia" w:eastAsiaTheme="minorEastAsia" w:cstheme="minorEastAsia"/>
          <w:color w:val="auto"/>
          <w:spacing w:val="-34"/>
          <w:sz w:val="21"/>
          <w:szCs w:val="21"/>
          <w:highlight w:val="none"/>
        </w:rPr>
        <w:t xml:space="preserve"> </w:t>
      </w:r>
      <w:r>
        <w:rPr>
          <w:rFonts w:hint="eastAsia" w:asciiTheme="minorEastAsia" w:hAnsiTheme="minorEastAsia" w:eastAsiaTheme="minorEastAsia" w:cstheme="minorEastAsia"/>
          <w:b/>
          <w:bCs/>
          <w:color w:val="auto"/>
          <w:spacing w:val="-2"/>
          <w:sz w:val="21"/>
          <w:szCs w:val="21"/>
          <w:highlight w:val="none"/>
        </w:rPr>
        <w:t>0.5 分</w:t>
      </w:r>
      <w:r>
        <w:rPr>
          <w:rFonts w:hint="eastAsia" w:asciiTheme="minorEastAsia" w:hAnsiTheme="minorEastAsia" w:eastAsiaTheme="minorEastAsia" w:cstheme="minorEastAsia"/>
          <w:color w:val="auto"/>
          <w:spacing w:val="-2"/>
          <w:sz w:val="21"/>
          <w:szCs w:val="21"/>
          <w:highlight w:val="none"/>
        </w:rPr>
        <w:t>，扣完为止。公式如下：</w:t>
      </w:r>
    </w:p>
    <w:p w14:paraId="7D19D535">
      <w:pPr>
        <w:spacing w:before="118" w:line="333" w:lineRule="exact"/>
        <w:ind w:left="241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position w:val="3"/>
          <w:sz w:val="21"/>
          <w:szCs w:val="21"/>
          <w:highlight w:val="none"/>
        </w:rPr>
        <w:t>N</w:t>
      </w:r>
      <w:r>
        <w:rPr>
          <w:rFonts w:hint="eastAsia" w:asciiTheme="minorEastAsia" w:hAnsiTheme="minorEastAsia" w:eastAsiaTheme="minorEastAsia" w:cstheme="minorEastAsia"/>
          <w:color w:val="auto"/>
          <w:spacing w:val="-27"/>
          <w:position w:val="3"/>
          <w:sz w:val="21"/>
          <w:szCs w:val="21"/>
          <w:highlight w:val="none"/>
        </w:rPr>
        <w:t xml:space="preserve"> </w:t>
      </w:r>
      <w:r>
        <w:rPr>
          <w:rFonts w:hint="eastAsia" w:asciiTheme="minorEastAsia" w:hAnsiTheme="minorEastAsia" w:eastAsiaTheme="minorEastAsia" w:cstheme="minorEastAsia"/>
          <w:color w:val="auto"/>
          <w:spacing w:val="-6"/>
          <w:position w:val="3"/>
          <w:sz w:val="21"/>
          <w:szCs w:val="21"/>
          <w:highlight w:val="none"/>
        </w:rPr>
        <w:t>＝</w:t>
      </w:r>
      <w:r>
        <w:rPr>
          <w:rFonts w:hint="eastAsia" w:asciiTheme="minorEastAsia" w:hAnsiTheme="minorEastAsia" w:eastAsiaTheme="minorEastAsia" w:cstheme="minorEastAsia"/>
          <w:color w:val="auto"/>
          <w:spacing w:val="-6"/>
          <w:position w:val="3"/>
          <w:sz w:val="21"/>
          <w:szCs w:val="21"/>
          <w:highlight w:val="none"/>
          <w:lang w:val="en-US" w:eastAsia="zh-CN"/>
        </w:rPr>
        <w:t>60</w:t>
      </w:r>
      <w:r>
        <w:rPr>
          <w:rFonts w:hint="eastAsia" w:asciiTheme="minorEastAsia" w:hAnsiTheme="minorEastAsia" w:eastAsiaTheme="minorEastAsia" w:cstheme="minorEastAsia"/>
          <w:color w:val="auto"/>
          <w:spacing w:val="-12"/>
          <w:position w:val="3"/>
          <w:sz w:val="21"/>
          <w:szCs w:val="21"/>
          <w:highlight w:val="none"/>
        </w:rPr>
        <w:t>－（</w:t>
      </w:r>
      <w:r>
        <w:rPr>
          <w:rFonts w:hint="eastAsia" w:asciiTheme="minorEastAsia" w:hAnsiTheme="minorEastAsia" w:eastAsiaTheme="minorEastAsia" w:cstheme="minorEastAsia"/>
          <w:color w:val="auto"/>
          <w:spacing w:val="-6"/>
          <w:position w:val="3"/>
          <w:sz w:val="21"/>
          <w:szCs w:val="21"/>
          <w:highlight w:val="none"/>
        </w:rPr>
        <w:t>|  Di－D</w:t>
      </w:r>
      <w:r>
        <w:rPr>
          <w:rFonts w:hint="eastAsia" w:asciiTheme="minorEastAsia" w:hAnsiTheme="minorEastAsia" w:eastAsiaTheme="minorEastAsia" w:cstheme="minorEastAsia"/>
          <w:color w:val="auto"/>
          <w:spacing w:val="9"/>
          <w:position w:val="3"/>
          <w:sz w:val="21"/>
          <w:szCs w:val="21"/>
          <w:highlight w:val="none"/>
        </w:rPr>
        <w:t xml:space="preserve">  </w:t>
      </w:r>
      <w:r>
        <w:rPr>
          <w:rFonts w:hint="eastAsia" w:asciiTheme="minorEastAsia" w:hAnsiTheme="minorEastAsia" w:eastAsiaTheme="minorEastAsia" w:cstheme="minorEastAsia"/>
          <w:color w:val="auto"/>
          <w:spacing w:val="-6"/>
          <w:position w:val="3"/>
          <w:sz w:val="21"/>
          <w:szCs w:val="21"/>
          <w:highlight w:val="none"/>
        </w:rPr>
        <w:t>|</w:t>
      </w:r>
      <w:r>
        <w:rPr>
          <w:rFonts w:hint="eastAsia" w:asciiTheme="minorEastAsia" w:hAnsiTheme="minorEastAsia" w:eastAsiaTheme="minorEastAsia" w:cstheme="minorEastAsia"/>
          <w:color w:val="auto"/>
          <w:spacing w:val="17"/>
          <w:position w:val="3"/>
          <w:sz w:val="21"/>
          <w:szCs w:val="21"/>
          <w:highlight w:val="none"/>
        </w:rPr>
        <w:t xml:space="preserve">  </w:t>
      </w:r>
      <w:r>
        <w:rPr>
          <w:rFonts w:hint="eastAsia" w:asciiTheme="minorEastAsia" w:hAnsiTheme="minorEastAsia" w:eastAsiaTheme="minorEastAsia" w:cstheme="minorEastAsia"/>
          <w:color w:val="auto"/>
          <w:spacing w:val="-6"/>
          <w:position w:val="3"/>
          <w:sz w:val="21"/>
          <w:szCs w:val="21"/>
          <w:highlight w:val="none"/>
        </w:rPr>
        <w:t>÷D）</w:t>
      </w:r>
      <w:r>
        <w:rPr>
          <w:rFonts w:hint="eastAsia" w:asciiTheme="minorEastAsia" w:hAnsiTheme="minorEastAsia" w:eastAsiaTheme="minorEastAsia" w:cstheme="minorEastAsia"/>
          <w:color w:val="auto"/>
          <w:spacing w:val="-75"/>
          <w:position w:val="3"/>
          <w:sz w:val="21"/>
          <w:szCs w:val="21"/>
          <w:highlight w:val="none"/>
        </w:rPr>
        <w:t xml:space="preserve"> </w:t>
      </w:r>
      <w:r>
        <w:rPr>
          <w:rFonts w:hint="eastAsia" w:asciiTheme="minorEastAsia" w:hAnsiTheme="minorEastAsia" w:eastAsiaTheme="minorEastAsia" w:cstheme="minorEastAsia"/>
          <w:color w:val="auto"/>
          <w:spacing w:val="-6"/>
          <w:position w:val="3"/>
          <w:sz w:val="21"/>
          <w:szCs w:val="21"/>
          <w:highlight w:val="none"/>
        </w:rPr>
        <w:t>×</w:t>
      </w:r>
      <w:r>
        <w:rPr>
          <w:rFonts w:hint="eastAsia" w:asciiTheme="minorEastAsia" w:hAnsiTheme="minorEastAsia" w:eastAsiaTheme="minorEastAsia" w:cstheme="minorEastAsia"/>
          <w:color w:val="auto"/>
          <w:spacing w:val="-92"/>
          <w:position w:val="3"/>
          <w:sz w:val="21"/>
          <w:szCs w:val="21"/>
          <w:highlight w:val="none"/>
        </w:rPr>
        <w:t xml:space="preserve"> </w:t>
      </w:r>
      <w:r>
        <w:rPr>
          <w:rFonts w:hint="eastAsia" w:asciiTheme="minorEastAsia" w:hAnsiTheme="minorEastAsia" w:eastAsiaTheme="minorEastAsia" w:cstheme="minorEastAsia"/>
          <w:color w:val="auto"/>
          <w:spacing w:val="-6"/>
          <w:position w:val="3"/>
          <w:sz w:val="21"/>
          <w:szCs w:val="21"/>
          <w:highlight w:val="none"/>
        </w:rPr>
        <w:t>100×E</w:t>
      </w:r>
    </w:p>
    <w:p w14:paraId="50FE2235">
      <w:pPr>
        <w:spacing w:before="106" w:line="316" w:lineRule="auto"/>
        <w:ind w:left="7" w:right="17" w:firstLine="48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式中：D 为评标基准价；Di</w:t>
      </w:r>
      <w:r>
        <w:rPr>
          <w:rFonts w:hint="eastAsia" w:asciiTheme="minorEastAsia" w:hAnsiTheme="minorEastAsia" w:eastAsiaTheme="minorEastAsia" w:cstheme="minorEastAsia"/>
          <w:color w:val="auto"/>
          <w:spacing w:val="13"/>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为某投标人的投标总价；E</w:t>
      </w:r>
      <w:r>
        <w:rPr>
          <w:rFonts w:hint="eastAsia" w:asciiTheme="minorEastAsia" w:hAnsiTheme="minorEastAsia" w:eastAsiaTheme="minorEastAsia" w:cstheme="minorEastAsia"/>
          <w:color w:val="auto"/>
          <w:spacing w:val="12"/>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为扣分因子，当</w:t>
      </w:r>
      <w:r>
        <w:rPr>
          <w:rFonts w:hint="eastAsia" w:asciiTheme="minorEastAsia" w:hAnsiTheme="minorEastAsia" w:eastAsiaTheme="minorEastAsia" w:cstheme="minorEastAsia"/>
          <w:color w:val="auto"/>
          <w:spacing w:val="-56"/>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Di＞D</w:t>
      </w:r>
      <w:r>
        <w:rPr>
          <w:rFonts w:hint="eastAsia" w:asciiTheme="minorEastAsia" w:hAnsiTheme="minorEastAsia" w:eastAsiaTheme="minorEastAsia" w:cstheme="minorEastAsia"/>
          <w:color w:val="auto"/>
          <w:spacing w:val="22"/>
          <w:w w:val="101"/>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时，</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E</w:t>
      </w:r>
      <w:r>
        <w:rPr>
          <w:rFonts w:hint="eastAsia" w:asciiTheme="minorEastAsia" w:hAnsiTheme="minorEastAsia" w:eastAsiaTheme="minorEastAsia" w:cstheme="minorEastAsia"/>
          <w:color w:val="auto"/>
          <w:spacing w:val="-24"/>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w:t>
      </w:r>
      <w:r>
        <w:rPr>
          <w:rFonts w:hint="eastAsia" w:asciiTheme="minorEastAsia" w:hAnsiTheme="minorEastAsia" w:eastAsiaTheme="minorEastAsia" w:cstheme="minorEastAsia"/>
          <w:b/>
          <w:bCs/>
          <w:color w:val="auto"/>
          <w:spacing w:val="-8"/>
          <w:sz w:val="21"/>
          <w:szCs w:val="21"/>
          <w:highlight w:val="none"/>
        </w:rPr>
        <w:t>1</w:t>
      </w:r>
      <w:r>
        <w:rPr>
          <w:rFonts w:hint="eastAsia" w:asciiTheme="minorEastAsia" w:hAnsiTheme="minorEastAsia" w:eastAsiaTheme="minorEastAsia" w:cstheme="minorEastAsia"/>
          <w:b/>
          <w:bCs/>
          <w:color w:val="auto"/>
          <w:spacing w:val="-30"/>
          <w:sz w:val="21"/>
          <w:szCs w:val="21"/>
          <w:highlight w:val="none"/>
        </w:rPr>
        <w:t xml:space="preserve"> </w:t>
      </w:r>
      <w:r>
        <w:rPr>
          <w:rFonts w:hint="eastAsia" w:asciiTheme="minorEastAsia" w:hAnsiTheme="minorEastAsia" w:eastAsiaTheme="minorEastAsia" w:cstheme="minorEastAsia"/>
          <w:b/>
          <w:bCs/>
          <w:color w:val="auto"/>
          <w:spacing w:val="-8"/>
          <w:sz w:val="21"/>
          <w:szCs w:val="21"/>
          <w:highlight w:val="none"/>
        </w:rPr>
        <w:t>；</w:t>
      </w:r>
      <w:r>
        <w:rPr>
          <w:rFonts w:hint="eastAsia" w:asciiTheme="minorEastAsia" w:hAnsiTheme="minorEastAsia" w:eastAsiaTheme="minorEastAsia" w:cstheme="minorEastAsia"/>
          <w:color w:val="auto"/>
          <w:spacing w:val="-8"/>
          <w:sz w:val="21"/>
          <w:szCs w:val="21"/>
          <w:highlight w:val="none"/>
        </w:rPr>
        <w:t>当</w:t>
      </w:r>
      <w:r>
        <w:rPr>
          <w:rFonts w:hint="eastAsia" w:asciiTheme="minorEastAsia" w:hAnsiTheme="minorEastAsia" w:eastAsiaTheme="minorEastAsia" w:cstheme="minorEastAsia"/>
          <w:color w:val="auto"/>
          <w:spacing w:val="-56"/>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Di＜D</w:t>
      </w:r>
      <w:r>
        <w:rPr>
          <w:rFonts w:hint="eastAsia" w:asciiTheme="minorEastAsia" w:hAnsiTheme="minorEastAsia" w:eastAsiaTheme="minorEastAsia" w:cstheme="minorEastAsia"/>
          <w:color w:val="auto"/>
          <w:spacing w:val="20"/>
          <w:w w:val="101"/>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时，E</w:t>
      </w:r>
      <w:r>
        <w:rPr>
          <w:rFonts w:hint="eastAsia" w:asciiTheme="minorEastAsia" w:hAnsiTheme="minorEastAsia" w:eastAsiaTheme="minorEastAsia" w:cstheme="minorEastAsia"/>
          <w:color w:val="auto"/>
          <w:spacing w:val="-27"/>
          <w:sz w:val="21"/>
          <w:szCs w:val="21"/>
          <w:highlight w:val="none"/>
        </w:rPr>
        <w:t xml:space="preserve"> </w:t>
      </w:r>
      <w:r>
        <w:rPr>
          <w:rFonts w:hint="eastAsia" w:asciiTheme="minorEastAsia" w:hAnsiTheme="minorEastAsia" w:eastAsiaTheme="minorEastAsia" w:cstheme="minorEastAsia"/>
          <w:b/>
          <w:bCs/>
          <w:color w:val="auto"/>
          <w:spacing w:val="-8"/>
          <w:sz w:val="21"/>
          <w:szCs w:val="21"/>
          <w:highlight w:val="none"/>
        </w:rPr>
        <w:t>＝0.5。</w:t>
      </w:r>
    </w:p>
    <w:p w14:paraId="728FC835">
      <w:pPr>
        <w:spacing w:before="95" w:line="220" w:lineRule="auto"/>
        <w:ind w:left="503"/>
        <w:outlineLvl w:val="9"/>
        <w:rPr>
          <w:rFonts w:hint="eastAsia" w:asciiTheme="minorEastAsia" w:hAnsiTheme="minorEastAsia" w:eastAsiaTheme="minorEastAsia" w:cstheme="minorEastAsia"/>
          <w:color w:val="auto"/>
          <w:sz w:val="21"/>
          <w:szCs w:val="21"/>
          <w:highlight w:val="none"/>
        </w:rPr>
      </w:pPr>
      <w:bookmarkStart w:id="124" w:name="_Toc7915"/>
      <w:bookmarkStart w:id="125" w:name="_Toc576"/>
      <w:bookmarkStart w:id="126" w:name="_Toc3861"/>
      <w:bookmarkStart w:id="127" w:name="_Toc4990"/>
      <w:r>
        <w:rPr>
          <w:rFonts w:hint="eastAsia" w:asciiTheme="minorEastAsia" w:hAnsiTheme="minorEastAsia" w:eastAsiaTheme="minorEastAsia" w:cstheme="minorEastAsia"/>
          <w:color w:val="auto"/>
          <w:spacing w:val="-3"/>
          <w:sz w:val="21"/>
          <w:szCs w:val="21"/>
          <w:highlight w:val="none"/>
        </w:rPr>
        <w:t>（3）综合得分</w:t>
      </w:r>
      <w:bookmarkEnd w:id="124"/>
      <w:bookmarkEnd w:id="125"/>
      <w:bookmarkEnd w:id="126"/>
      <w:bookmarkEnd w:id="127"/>
    </w:p>
    <w:p w14:paraId="7F9AE0B2">
      <w:pPr>
        <w:spacing w:before="155" w:line="324" w:lineRule="auto"/>
        <w:ind w:left="496" w:right="532" w:hanging="33"/>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z w:val="21"/>
          <w:szCs w:val="21"/>
          <w:highlight w:val="none"/>
        </w:rPr>
        <w:t>综合得分＝M</w:t>
      </w:r>
      <w:r>
        <w:rPr>
          <w:rFonts w:hint="eastAsia" w:asciiTheme="minorEastAsia" w:hAnsiTheme="minorEastAsia" w:eastAsiaTheme="minorEastAsia" w:cstheme="minorEastAsia"/>
          <w:color w:val="auto"/>
          <w:spacing w:val="-1"/>
          <w:sz w:val="21"/>
          <w:szCs w:val="21"/>
          <w:highlight w:val="none"/>
        </w:rPr>
        <w:t>＋N</w:t>
      </w:r>
    </w:p>
    <w:p w14:paraId="1ACCFBD3">
      <w:pPr>
        <w:spacing w:before="155" w:line="324" w:lineRule="auto"/>
        <w:ind w:left="496" w:right="532" w:hanging="3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式中：M 为商务技术得分，N 为投标报价得分。</w:t>
      </w:r>
    </w:p>
    <w:p w14:paraId="3338D539">
      <w:pPr>
        <w:spacing w:before="37" w:line="219" w:lineRule="auto"/>
        <w:ind w:left="503"/>
        <w:outlineLvl w:val="9"/>
        <w:rPr>
          <w:rFonts w:hint="eastAsia" w:asciiTheme="minorEastAsia" w:hAnsiTheme="minorEastAsia" w:eastAsiaTheme="minorEastAsia" w:cstheme="minorEastAsia"/>
          <w:color w:val="auto"/>
          <w:sz w:val="21"/>
          <w:szCs w:val="21"/>
          <w:highlight w:val="none"/>
        </w:rPr>
      </w:pPr>
      <w:bookmarkStart w:id="128" w:name="_Toc32384"/>
      <w:bookmarkStart w:id="129" w:name="_Toc2885"/>
      <w:bookmarkStart w:id="130" w:name="_Toc30671"/>
      <w:bookmarkStart w:id="131" w:name="_Toc25214"/>
      <w:r>
        <w:rPr>
          <w:rFonts w:hint="eastAsia" w:asciiTheme="minorEastAsia" w:hAnsiTheme="minorEastAsia" w:eastAsiaTheme="minorEastAsia" w:cstheme="minorEastAsia"/>
          <w:color w:val="auto"/>
          <w:spacing w:val="2"/>
          <w:sz w:val="21"/>
          <w:szCs w:val="21"/>
          <w:highlight w:val="none"/>
        </w:rPr>
        <w:t>（4）评标委员会汇总、比较所有投标人的综合得分后，取</w:t>
      </w:r>
      <w:r>
        <w:rPr>
          <w:rFonts w:hint="eastAsia" w:asciiTheme="minorEastAsia" w:hAnsiTheme="minorEastAsia" w:eastAsiaTheme="minorEastAsia" w:cstheme="minorEastAsia"/>
          <w:color w:val="auto"/>
          <w:spacing w:val="1"/>
          <w:sz w:val="21"/>
          <w:szCs w:val="21"/>
          <w:highlight w:val="none"/>
        </w:rPr>
        <w:t>综合得分最高的投标</w:t>
      </w:r>
      <w:bookmarkEnd w:id="128"/>
      <w:bookmarkEnd w:id="129"/>
      <w:bookmarkEnd w:id="130"/>
      <w:bookmarkEnd w:id="131"/>
    </w:p>
    <w:p w14:paraId="0D4C9B7B">
      <w:pPr>
        <w:spacing w:before="78" w:line="329" w:lineRule="auto"/>
        <w:ind w:left="276" w:right="263" w:hanging="1"/>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人为第一中标候选人，取综合得分第二、第三高的投标人</w:t>
      </w:r>
      <w:r>
        <w:rPr>
          <w:rFonts w:hint="eastAsia" w:asciiTheme="minorEastAsia" w:hAnsiTheme="minorEastAsia" w:eastAsiaTheme="minorEastAsia" w:cstheme="minorEastAsia"/>
          <w:color w:val="auto"/>
          <w:spacing w:val="-2"/>
          <w:sz w:val="21"/>
          <w:szCs w:val="21"/>
          <w:highlight w:val="none"/>
        </w:rPr>
        <w:t>为第二、第三中标候选人。</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如果最高综合得分相同，取投标总价低者为第一中标</w:t>
      </w:r>
      <w:r>
        <w:rPr>
          <w:rFonts w:hint="eastAsia" w:asciiTheme="minorEastAsia" w:hAnsiTheme="minorEastAsia" w:eastAsiaTheme="minorEastAsia" w:cstheme="minorEastAsia"/>
          <w:color w:val="auto"/>
          <w:spacing w:val="-2"/>
          <w:sz w:val="21"/>
          <w:szCs w:val="21"/>
          <w:highlight w:val="none"/>
        </w:rPr>
        <w:t>候选人，并依此确定第二、第三</w:t>
      </w:r>
      <w:r>
        <w:rPr>
          <w:rFonts w:hint="eastAsia" w:asciiTheme="minorEastAsia" w:hAnsiTheme="minorEastAsia" w:eastAsiaTheme="minorEastAsia" w:cstheme="minorEastAsia"/>
          <w:color w:val="auto"/>
          <w:sz w:val="21"/>
          <w:szCs w:val="21"/>
          <w:highlight w:val="none"/>
        </w:rPr>
        <w:t xml:space="preserve"> 中标候选人。如果最高综合得分相同，投标总价</w:t>
      </w:r>
      <w:r>
        <w:rPr>
          <w:rFonts w:hint="eastAsia" w:asciiTheme="minorEastAsia" w:hAnsiTheme="minorEastAsia" w:eastAsiaTheme="minorEastAsia" w:cstheme="minorEastAsia"/>
          <w:color w:val="auto"/>
          <w:spacing w:val="-1"/>
          <w:sz w:val="21"/>
          <w:szCs w:val="21"/>
          <w:highlight w:val="none"/>
        </w:rPr>
        <w:t>也相同，由评标委员会投票确定。</w:t>
      </w:r>
    </w:p>
    <w:p w14:paraId="68897D5C">
      <w:pPr>
        <w:pStyle w:val="5"/>
        <w:spacing w:line="304" w:lineRule="auto"/>
        <w:rPr>
          <w:rFonts w:hint="eastAsia" w:asciiTheme="minorEastAsia" w:hAnsiTheme="minorEastAsia" w:eastAsiaTheme="minorEastAsia" w:cstheme="minorEastAsia"/>
          <w:color w:val="auto"/>
          <w:sz w:val="24"/>
          <w:szCs w:val="24"/>
          <w:highlight w:val="none"/>
        </w:rPr>
      </w:pPr>
    </w:p>
    <w:p w14:paraId="463B3F60">
      <w:pPr>
        <w:rPr>
          <w:rFonts w:hint="eastAsia"/>
          <w:color w:val="auto"/>
          <w:highlight w:val="none"/>
        </w:rPr>
      </w:pPr>
    </w:p>
    <w:p w14:paraId="61DDF462">
      <w:pPr>
        <w:pStyle w:val="5"/>
        <w:spacing w:line="304" w:lineRule="auto"/>
        <w:rPr>
          <w:rFonts w:hint="eastAsia" w:ascii="宋体" w:hAnsi="宋体" w:eastAsia="宋体" w:cs="宋体"/>
          <w:color w:val="auto"/>
          <w:highlight w:val="none"/>
        </w:rPr>
      </w:pPr>
    </w:p>
    <w:p w14:paraId="1D028D06">
      <w:pPr>
        <w:rPr>
          <w:rFonts w:hint="eastAsia" w:ascii="宋体" w:hAnsi="宋体" w:eastAsia="宋体" w:cs="宋体"/>
          <w:b/>
          <w:bCs/>
          <w:color w:val="auto"/>
          <w:spacing w:val="-6"/>
          <w:sz w:val="30"/>
          <w:szCs w:val="30"/>
          <w:highlight w:val="none"/>
        </w:rPr>
      </w:pPr>
      <w:bookmarkStart w:id="132" w:name="_Toc16801"/>
      <w:bookmarkStart w:id="133" w:name="_Toc3020"/>
      <w:bookmarkStart w:id="134" w:name="_Toc17375"/>
      <w:r>
        <w:rPr>
          <w:rFonts w:hint="eastAsia" w:ascii="宋体" w:hAnsi="宋体" w:eastAsia="宋体" w:cs="宋体"/>
          <w:b/>
          <w:bCs/>
          <w:color w:val="auto"/>
          <w:spacing w:val="-6"/>
          <w:sz w:val="30"/>
          <w:szCs w:val="30"/>
          <w:highlight w:val="none"/>
        </w:rPr>
        <w:br w:type="page"/>
      </w:r>
    </w:p>
    <w:p w14:paraId="04B17968">
      <w:pPr>
        <w:spacing w:before="98" w:line="221" w:lineRule="auto"/>
        <w:ind w:left="4248"/>
        <w:outlineLvl w:val="9"/>
        <w:rPr>
          <w:rFonts w:hint="eastAsia" w:ascii="宋体" w:hAnsi="宋体" w:eastAsia="宋体" w:cs="宋体"/>
          <w:color w:val="auto"/>
          <w:sz w:val="30"/>
          <w:szCs w:val="30"/>
          <w:highlight w:val="none"/>
        </w:rPr>
      </w:pPr>
      <w:r>
        <w:rPr>
          <w:rFonts w:hint="eastAsia" w:ascii="宋体" w:hAnsi="宋体" w:eastAsia="宋体" w:cs="宋体"/>
          <w:b/>
          <w:bCs/>
          <w:color w:val="auto"/>
          <w:spacing w:val="-6"/>
          <w:sz w:val="30"/>
          <w:szCs w:val="30"/>
          <w:highlight w:val="none"/>
        </w:rPr>
        <w:t>综合评分表</w:t>
      </w:r>
      <w:bookmarkEnd w:id="132"/>
      <w:bookmarkEnd w:id="133"/>
      <w:bookmarkEnd w:id="134"/>
    </w:p>
    <w:tbl>
      <w:tblPr>
        <w:tblStyle w:val="14"/>
        <w:tblW w:w="9966" w:type="dxa"/>
        <w:jc w:val="center"/>
        <w:tblLayout w:type="fixed"/>
        <w:tblCellMar>
          <w:top w:w="0" w:type="dxa"/>
          <w:left w:w="108" w:type="dxa"/>
          <w:bottom w:w="0" w:type="dxa"/>
          <w:right w:w="108" w:type="dxa"/>
        </w:tblCellMar>
      </w:tblPr>
      <w:tblGrid>
        <w:gridCol w:w="1404"/>
        <w:gridCol w:w="73"/>
        <w:gridCol w:w="3908"/>
        <w:gridCol w:w="4581"/>
      </w:tblGrid>
      <w:tr w14:paraId="2BF996A3">
        <w:tblPrEx>
          <w:tblCellMar>
            <w:top w:w="0" w:type="dxa"/>
            <w:left w:w="108" w:type="dxa"/>
            <w:bottom w:w="0" w:type="dxa"/>
            <w:right w:w="108" w:type="dxa"/>
          </w:tblCellMar>
        </w:tblPrEx>
        <w:trPr>
          <w:trHeight w:val="555" w:hRule="exact"/>
          <w:jc w:val="center"/>
        </w:trPr>
        <w:tc>
          <w:tcPr>
            <w:tcW w:w="9966" w:type="dxa"/>
            <w:gridSpan w:val="4"/>
            <w:tcBorders>
              <w:top w:val="single" w:color="auto" w:sz="4" w:space="0"/>
              <w:left w:val="single" w:color="auto" w:sz="4" w:space="0"/>
              <w:bottom w:val="single" w:color="auto" w:sz="4" w:space="0"/>
              <w:right w:val="single" w:color="auto" w:sz="4" w:space="0"/>
            </w:tcBorders>
            <w:shd w:val="clear" w:color="auto" w:fill="D7D7D7"/>
            <w:noWrap w:val="0"/>
            <w:vAlign w:val="center"/>
          </w:tcPr>
          <w:p w14:paraId="64460BF1">
            <w:pPr>
              <w:pStyle w:val="5"/>
              <w:tabs>
                <w:tab w:val="left" w:pos="1354"/>
                <w:tab w:val="left" w:pos="1459"/>
                <w:tab w:val="center" w:pos="3902"/>
                <w:tab w:val="right" w:pos="7805"/>
              </w:tabs>
              <w:wordWrap w:val="0"/>
              <w:adjustRightInd w:val="0"/>
              <w:snapToGrid w:val="0"/>
              <w:spacing w:line="44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sz w:val="21"/>
                <w:szCs w:val="21"/>
                <w:highlight w:val="none"/>
              </w:rPr>
              <w:t>商务部分，满分：</w:t>
            </w:r>
            <w:r>
              <w:rPr>
                <w:rFonts w:hint="eastAsia" w:asciiTheme="minorEastAsia" w:hAnsiTheme="minorEastAsia" w:eastAsiaTheme="minorEastAsia" w:cstheme="minorEastAsia"/>
                <w:snapToGrid w:val="0"/>
                <w:color w:val="auto"/>
                <w:sz w:val="21"/>
                <w:szCs w:val="21"/>
                <w:highlight w:val="none"/>
                <w:u w:val="single"/>
                <w:lang w:val="en-US" w:eastAsia="zh-CN"/>
              </w:rPr>
              <w:t>3</w:t>
            </w:r>
            <w:r>
              <w:rPr>
                <w:rFonts w:hint="eastAsia" w:asciiTheme="minorEastAsia" w:hAnsiTheme="minorEastAsia" w:eastAsiaTheme="minorEastAsia" w:cstheme="minorEastAsia"/>
                <w:snapToGrid w:val="0"/>
                <w:color w:val="auto"/>
                <w:sz w:val="21"/>
                <w:szCs w:val="21"/>
                <w:highlight w:val="none"/>
                <w:u w:val="single"/>
              </w:rPr>
              <w:t>0</w:t>
            </w:r>
            <w:r>
              <w:rPr>
                <w:rFonts w:hint="eastAsia" w:asciiTheme="minorEastAsia" w:hAnsiTheme="minorEastAsia" w:eastAsiaTheme="minorEastAsia" w:cstheme="minorEastAsia"/>
                <w:snapToGrid w:val="0"/>
                <w:color w:val="auto"/>
                <w:sz w:val="21"/>
                <w:szCs w:val="21"/>
                <w:highlight w:val="none"/>
              </w:rPr>
              <w:t>分。</w:t>
            </w:r>
          </w:p>
        </w:tc>
      </w:tr>
      <w:tr w14:paraId="6E3AD7F1">
        <w:tblPrEx>
          <w:tblCellMar>
            <w:top w:w="0" w:type="dxa"/>
            <w:left w:w="108" w:type="dxa"/>
            <w:bottom w:w="0" w:type="dxa"/>
            <w:right w:w="108" w:type="dxa"/>
          </w:tblCellMar>
        </w:tblPrEx>
        <w:trPr>
          <w:trHeight w:val="455" w:hRule="exac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7518F699">
            <w:pPr>
              <w:pStyle w:val="5"/>
              <w:tabs>
                <w:tab w:val="left" w:pos="1354"/>
                <w:tab w:val="left" w:pos="1459"/>
                <w:tab w:val="center" w:pos="3902"/>
                <w:tab w:val="right" w:pos="7805"/>
              </w:tabs>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sz w:val="21"/>
                <w:szCs w:val="21"/>
                <w:highlight w:val="none"/>
              </w:rPr>
              <w:t>评分因素</w:t>
            </w:r>
          </w:p>
        </w:tc>
        <w:tc>
          <w:tcPr>
            <w:tcW w:w="3908" w:type="dxa"/>
            <w:tcBorders>
              <w:top w:val="single" w:color="auto" w:sz="4" w:space="0"/>
              <w:left w:val="single" w:color="auto" w:sz="4" w:space="0"/>
              <w:bottom w:val="single" w:color="auto" w:sz="4" w:space="0"/>
              <w:right w:val="single" w:color="auto" w:sz="4" w:space="0"/>
            </w:tcBorders>
            <w:noWrap w:val="0"/>
            <w:vAlign w:val="center"/>
          </w:tcPr>
          <w:p w14:paraId="06DCF41F">
            <w:pPr>
              <w:pStyle w:val="5"/>
              <w:tabs>
                <w:tab w:val="left" w:pos="1354"/>
                <w:tab w:val="left" w:pos="1459"/>
                <w:tab w:val="center" w:pos="3902"/>
                <w:tab w:val="right" w:pos="7805"/>
              </w:tabs>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sz w:val="21"/>
                <w:szCs w:val="21"/>
                <w:highlight w:val="none"/>
              </w:rPr>
              <w:t>评分标准</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3C268DB2">
            <w:pPr>
              <w:pStyle w:val="5"/>
              <w:tabs>
                <w:tab w:val="left" w:pos="1354"/>
                <w:tab w:val="left" w:pos="1459"/>
                <w:tab w:val="center" w:pos="3902"/>
                <w:tab w:val="right" w:pos="7805"/>
              </w:tabs>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sz w:val="21"/>
                <w:szCs w:val="21"/>
                <w:highlight w:val="none"/>
              </w:rPr>
              <w:t>备注</w:t>
            </w:r>
          </w:p>
        </w:tc>
      </w:tr>
      <w:tr w14:paraId="6D45BBCF">
        <w:tblPrEx>
          <w:tblCellMar>
            <w:top w:w="0" w:type="dxa"/>
            <w:left w:w="108" w:type="dxa"/>
            <w:bottom w:w="0" w:type="dxa"/>
            <w:right w:w="108" w:type="dxa"/>
          </w:tblCellMar>
        </w:tblPrEx>
        <w:trPr>
          <w:trHeight w:val="90" w:hRule="atLeas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6D0563A0">
            <w:pPr>
              <w:pStyle w:val="5"/>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企业业绩</w:t>
            </w:r>
          </w:p>
          <w:p w14:paraId="2C01293B">
            <w:pPr>
              <w:pStyle w:val="5"/>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10</w:t>
            </w:r>
            <w:r>
              <w:rPr>
                <w:rFonts w:hint="eastAsia" w:asciiTheme="minorEastAsia" w:hAnsiTheme="minorEastAsia" w:eastAsiaTheme="minorEastAsia" w:cstheme="minorEastAsia"/>
                <w:snapToGrid w:val="0"/>
                <w:color w:val="auto"/>
                <w:kern w:val="0"/>
                <w:sz w:val="21"/>
                <w:szCs w:val="21"/>
                <w:highlight w:val="none"/>
              </w:rPr>
              <w:t>分）</w:t>
            </w:r>
          </w:p>
        </w:tc>
        <w:tc>
          <w:tcPr>
            <w:tcW w:w="3908" w:type="dxa"/>
            <w:tcBorders>
              <w:top w:val="single" w:color="auto" w:sz="4" w:space="0"/>
              <w:left w:val="single" w:color="auto" w:sz="4" w:space="0"/>
              <w:bottom w:val="single" w:color="auto" w:sz="4" w:space="0"/>
              <w:right w:val="single" w:color="auto" w:sz="4" w:space="0"/>
            </w:tcBorders>
            <w:noWrap w:val="0"/>
            <w:vAlign w:val="center"/>
          </w:tcPr>
          <w:p w14:paraId="6C33D481">
            <w:pPr>
              <w:pStyle w:val="5"/>
              <w:keepNext w:val="0"/>
              <w:keepLines w:val="0"/>
              <w:pageBreakBefore w:val="0"/>
              <w:widowControl w:val="0"/>
              <w:kinsoku/>
              <w:wordWrap w:val="0"/>
              <w:overflowPunct/>
              <w:topLinePunct w:val="0"/>
              <w:autoSpaceDE/>
              <w:autoSpaceDN/>
              <w:bidi w:val="0"/>
              <w:adjustRightInd w:val="0"/>
              <w:snapToGrid w:val="0"/>
              <w:spacing w:after="0" w:line="340" w:lineRule="exac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企业近5年来（2020年至今）业绩情况：</w:t>
            </w:r>
          </w:p>
          <w:p w14:paraId="3A7957D2">
            <w:pPr>
              <w:pStyle w:val="5"/>
              <w:keepNext w:val="0"/>
              <w:keepLines w:val="0"/>
              <w:pageBreakBefore w:val="0"/>
              <w:widowControl w:val="0"/>
              <w:numPr>
                <w:ilvl w:val="0"/>
                <w:numId w:val="1"/>
              </w:numPr>
              <w:kinsoku/>
              <w:wordWrap w:val="0"/>
              <w:overflowPunct/>
              <w:topLinePunct w:val="0"/>
              <w:autoSpaceDE/>
              <w:autoSpaceDN/>
              <w:bidi w:val="0"/>
              <w:adjustRightInd w:val="0"/>
              <w:snapToGrid w:val="0"/>
              <w:spacing w:after="0" w:line="340" w:lineRule="exac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u w:val="single"/>
                <w:lang w:val="en-US" w:eastAsia="zh-CN"/>
              </w:rPr>
              <w:t>承接</w:t>
            </w:r>
            <w:r>
              <w:rPr>
                <w:rFonts w:hint="eastAsia" w:asciiTheme="minorEastAsia" w:hAnsiTheme="minorEastAsia" w:eastAsiaTheme="minorEastAsia" w:cstheme="minorEastAsia"/>
                <w:snapToGrid w:val="0"/>
                <w:color w:val="auto"/>
                <w:kern w:val="0"/>
                <w:sz w:val="21"/>
                <w:szCs w:val="21"/>
                <w:highlight w:val="none"/>
                <w:lang w:val="en-US" w:eastAsia="zh-CN"/>
              </w:rPr>
              <w:t>过类似工程的，每个得</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5 </w:t>
            </w:r>
            <w:r>
              <w:rPr>
                <w:rFonts w:hint="eastAsia" w:asciiTheme="minorEastAsia" w:hAnsiTheme="minorEastAsia" w:eastAsiaTheme="minorEastAsia" w:cstheme="minorEastAsia"/>
                <w:snapToGrid w:val="0"/>
                <w:color w:val="auto"/>
                <w:kern w:val="0"/>
                <w:sz w:val="21"/>
                <w:szCs w:val="21"/>
                <w:highlight w:val="none"/>
                <w:lang w:val="en-US" w:eastAsia="zh-CN"/>
              </w:rPr>
              <w:t>分。</w:t>
            </w:r>
          </w:p>
          <w:p w14:paraId="1021DBB7">
            <w:pPr>
              <w:pStyle w:val="5"/>
              <w:keepNext w:val="0"/>
              <w:keepLines w:val="0"/>
              <w:pageBreakBefore w:val="0"/>
              <w:widowControl w:val="0"/>
              <w:numPr>
                <w:ilvl w:val="0"/>
                <w:numId w:val="1"/>
              </w:numPr>
              <w:kinsoku/>
              <w:wordWrap w:val="0"/>
              <w:overflowPunct/>
              <w:topLinePunct w:val="0"/>
              <w:autoSpaceDE/>
              <w:autoSpaceDN/>
              <w:bidi w:val="0"/>
              <w:adjustRightInd w:val="0"/>
              <w:snapToGrid w:val="0"/>
              <w:spacing w:after="0" w:line="340" w:lineRule="exact"/>
              <w:ind w:left="0" w:leftChars="0" w:firstLine="0" w:firstLineChars="0"/>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u w:val="single"/>
                <w:lang w:val="en-US" w:eastAsia="zh-CN"/>
              </w:rPr>
              <w:t>未承接</w:t>
            </w:r>
            <w:r>
              <w:rPr>
                <w:rFonts w:hint="eastAsia" w:asciiTheme="minorEastAsia" w:hAnsiTheme="minorEastAsia" w:eastAsiaTheme="minorEastAsia" w:cstheme="minorEastAsia"/>
                <w:snapToGrid w:val="0"/>
                <w:color w:val="auto"/>
                <w:kern w:val="0"/>
                <w:sz w:val="21"/>
                <w:szCs w:val="21"/>
                <w:highlight w:val="none"/>
                <w:lang w:val="en-US" w:eastAsia="zh-CN"/>
              </w:rPr>
              <w:t>过类似工程的，不予计分。</w:t>
            </w:r>
          </w:p>
          <w:p w14:paraId="48EE41DC">
            <w:pPr>
              <w:pStyle w:val="5"/>
              <w:keepNext w:val="0"/>
              <w:keepLines w:val="0"/>
              <w:pageBreakBefore w:val="0"/>
              <w:widowControl w:val="0"/>
              <w:kinsoku/>
              <w:wordWrap w:val="0"/>
              <w:overflowPunct/>
              <w:topLinePunct w:val="0"/>
              <w:autoSpaceDE/>
              <w:autoSpaceDN/>
              <w:bidi w:val="0"/>
              <w:adjustRightInd w:val="0"/>
              <w:snapToGrid w:val="0"/>
              <w:spacing w:after="0" w:line="340" w:lineRule="exact"/>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本项最高得10分。 </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7DDAA22E">
            <w:pPr>
              <w:widowControl/>
              <w:numPr>
                <w:ilvl w:val="0"/>
                <w:numId w:val="2"/>
              </w:numPr>
              <w:wordWrap w:val="0"/>
              <w:adjustRightInd w:val="0"/>
              <w:snapToGrid w:val="0"/>
              <w:spacing w:after="0" w:afterLines="0" w:afterAutospacing="0" w:line="360" w:lineRule="auto"/>
              <w:jc w:val="both"/>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类似工程指：</w:t>
            </w:r>
            <w:r>
              <w:rPr>
                <w:rFonts w:hint="eastAsia" w:asciiTheme="minorEastAsia" w:hAnsiTheme="minorEastAsia" w:eastAsiaTheme="minorEastAsia" w:cstheme="minorEastAsia"/>
                <w:snapToGrid w:val="0"/>
                <w:color w:val="auto"/>
                <w:kern w:val="0"/>
                <w:sz w:val="21"/>
                <w:szCs w:val="21"/>
                <w:highlight w:val="none"/>
                <w:u w:val="single"/>
                <w:lang w:val="en-US" w:eastAsia="zh-CN"/>
              </w:rPr>
              <w:t>市政类工程</w:t>
            </w:r>
            <w:r>
              <w:rPr>
                <w:rFonts w:hint="eastAsia" w:asciiTheme="minorEastAsia" w:hAnsiTheme="minorEastAsia" w:eastAsiaTheme="minorEastAsia" w:cstheme="minorEastAsia"/>
                <w:snapToGrid w:val="0"/>
                <w:color w:val="auto"/>
                <w:kern w:val="0"/>
                <w:sz w:val="21"/>
                <w:szCs w:val="21"/>
                <w:highlight w:val="none"/>
              </w:rPr>
              <w:t>。</w:t>
            </w:r>
          </w:p>
          <w:p w14:paraId="2262FE05">
            <w:pPr>
              <w:widowControl/>
              <w:numPr>
                <w:ilvl w:val="0"/>
                <w:numId w:val="2"/>
              </w:numPr>
              <w:wordWrap w:val="0"/>
              <w:adjustRightInd w:val="0"/>
              <w:snapToGrid w:val="0"/>
              <w:spacing w:after="0" w:afterLines="0" w:afterAutospacing="0" w:line="360" w:lineRule="auto"/>
              <w:ind w:left="0" w:leftChars="0" w:firstLine="0" w:firstLineChars="0"/>
              <w:jc w:val="both"/>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需附有关业绩</w:t>
            </w:r>
            <w:r>
              <w:rPr>
                <w:rFonts w:hint="eastAsia" w:asciiTheme="minorEastAsia" w:hAnsiTheme="minorEastAsia" w:eastAsiaTheme="minorEastAsia" w:cstheme="minorEastAsia"/>
                <w:snapToGrid w:val="0"/>
                <w:color w:val="auto"/>
                <w:kern w:val="0"/>
                <w:sz w:val="21"/>
                <w:szCs w:val="21"/>
                <w:highlight w:val="none"/>
                <w:lang w:val="en-US" w:eastAsia="zh-CN"/>
              </w:rPr>
              <w:t>中标通知书</w:t>
            </w:r>
            <w:r>
              <w:rPr>
                <w:rFonts w:hint="eastAsia" w:asciiTheme="minorEastAsia" w:hAnsiTheme="minorEastAsia" w:eastAsiaTheme="minorEastAsia" w:cstheme="minorEastAsia"/>
                <w:snapToGrid w:val="0"/>
                <w:color w:val="auto"/>
                <w:kern w:val="0"/>
                <w:sz w:val="21"/>
                <w:szCs w:val="21"/>
                <w:highlight w:val="none"/>
              </w:rPr>
              <w:t>的</w:t>
            </w:r>
            <w:r>
              <w:rPr>
                <w:rFonts w:hint="eastAsia" w:asciiTheme="minorEastAsia" w:hAnsiTheme="minorEastAsia" w:eastAsiaTheme="minorEastAsia" w:cstheme="minorEastAsia"/>
                <w:snapToGrid w:val="0"/>
                <w:color w:val="auto"/>
                <w:kern w:val="0"/>
                <w:sz w:val="21"/>
                <w:szCs w:val="21"/>
                <w:highlight w:val="none"/>
                <w:lang w:val="en-US" w:eastAsia="zh-CN"/>
              </w:rPr>
              <w:t>彩色扫描件。</w:t>
            </w:r>
          </w:p>
          <w:p w14:paraId="75FE7651">
            <w:pPr>
              <w:widowControl/>
              <w:numPr>
                <w:ilvl w:val="0"/>
                <w:numId w:val="2"/>
              </w:numPr>
              <w:wordWrap w:val="0"/>
              <w:adjustRightInd w:val="0"/>
              <w:snapToGrid w:val="0"/>
              <w:spacing w:after="0" w:afterLines="0" w:afterAutospacing="0" w:line="360" w:lineRule="auto"/>
              <w:ind w:left="0" w:leftChars="0" w:firstLine="0" w:firstLineChars="0"/>
              <w:jc w:val="both"/>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业绩时间以中标通知书日期为准。</w:t>
            </w:r>
          </w:p>
          <w:p w14:paraId="5A5ED05A">
            <w:pPr>
              <w:widowControl/>
              <w:numPr>
                <w:ilvl w:val="0"/>
                <w:numId w:val="2"/>
              </w:numPr>
              <w:wordWrap w:val="0"/>
              <w:adjustRightInd w:val="0"/>
              <w:snapToGrid w:val="0"/>
              <w:spacing w:after="0" w:afterLines="0" w:afterAutospacing="0" w:line="360" w:lineRule="auto"/>
              <w:ind w:left="0" w:leftChars="0" w:firstLine="0" w:firstLineChars="0"/>
              <w:jc w:val="both"/>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任一业绩有以下情形之一的，该业绩视为无效，不予计分：</w:t>
            </w:r>
          </w:p>
          <w:p w14:paraId="3E551930">
            <w:pPr>
              <w:pStyle w:val="5"/>
              <w:keepNext w:val="0"/>
              <w:keepLines w:val="0"/>
              <w:pageBreakBefore w:val="0"/>
              <w:kinsoku/>
              <w:wordWrap w:val="0"/>
              <w:overflowPunct/>
              <w:topLinePunct w:val="0"/>
              <w:autoSpaceDE/>
              <w:autoSpaceDN/>
              <w:bidi w:val="0"/>
              <w:adjustRightInd w:val="0"/>
              <w:snapToGrid w:val="0"/>
              <w:spacing w:after="0" w:line="34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①业绩不属于类似工程的；</w:t>
            </w:r>
          </w:p>
          <w:p w14:paraId="2148A2F7">
            <w:pPr>
              <w:pStyle w:val="5"/>
              <w:keepNext w:val="0"/>
              <w:keepLines w:val="0"/>
              <w:pageBreakBefore w:val="0"/>
              <w:kinsoku/>
              <w:wordWrap w:val="0"/>
              <w:overflowPunct/>
              <w:topLinePunct w:val="0"/>
              <w:autoSpaceDE/>
              <w:autoSpaceDN/>
              <w:bidi w:val="0"/>
              <w:adjustRightInd w:val="0"/>
              <w:snapToGrid w:val="0"/>
              <w:spacing w:after="0" w:line="34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②不是以指定身份参建的；</w:t>
            </w:r>
          </w:p>
          <w:p w14:paraId="2DDC9071">
            <w:pPr>
              <w:pStyle w:val="5"/>
              <w:keepNext w:val="0"/>
              <w:keepLines w:val="0"/>
              <w:pageBreakBefore w:val="0"/>
              <w:kinsoku/>
              <w:wordWrap w:val="0"/>
              <w:overflowPunct/>
              <w:topLinePunct w:val="0"/>
              <w:autoSpaceDE/>
              <w:autoSpaceDN/>
              <w:bidi w:val="0"/>
              <w:adjustRightInd w:val="0"/>
              <w:snapToGrid w:val="0"/>
              <w:spacing w:after="0" w:line="34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③业绩时间不符合要求的</w:t>
            </w:r>
            <w:r>
              <w:rPr>
                <w:rFonts w:hint="eastAsia" w:asciiTheme="minorEastAsia" w:hAnsiTheme="minorEastAsia" w:eastAsiaTheme="minorEastAsia" w:cstheme="minorEastAsia"/>
                <w:snapToGrid w:val="0"/>
                <w:color w:val="auto"/>
                <w:kern w:val="0"/>
                <w:sz w:val="21"/>
                <w:szCs w:val="21"/>
                <w:highlight w:val="none"/>
                <w:lang w:val="en-US" w:eastAsia="zh-CN"/>
              </w:rPr>
              <w:t>。</w:t>
            </w:r>
          </w:p>
          <w:p w14:paraId="65CF3FF1">
            <w:pPr>
              <w:pStyle w:val="5"/>
              <w:keepNext w:val="0"/>
              <w:keepLines w:val="0"/>
              <w:pageBreakBefore w:val="0"/>
              <w:kinsoku/>
              <w:wordWrap w:val="0"/>
              <w:overflowPunct/>
              <w:topLinePunct w:val="0"/>
              <w:autoSpaceDE/>
              <w:autoSpaceDN/>
              <w:bidi w:val="0"/>
              <w:adjustRightInd w:val="0"/>
              <w:snapToGrid w:val="0"/>
              <w:spacing w:after="0" w:line="340" w:lineRule="exact"/>
              <w:rPr>
                <w:rFonts w:hint="eastAsia" w:asciiTheme="minorEastAsia" w:hAnsiTheme="minorEastAsia" w:eastAsiaTheme="minorEastAsia" w:cstheme="minorEastAsia"/>
                <w:snapToGrid w:val="0"/>
                <w:color w:val="auto"/>
                <w:kern w:val="0"/>
                <w:sz w:val="21"/>
                <w:szCs w:val="21"/>
                <w:highlight w:val="none"/>
              </w:rPr>
            </w:pPr>
          </w:p>
        </w:tc>
      </w:tr>
      <w:tr w14:paraId="75925270">
        <w:tblPrEx>
          <w:tblCellMar>
            <w:top w:w="0" w:type="dxa"/>
            <w:left w:w="108" w:type="dxa"/>
            <w:bottom w:w="0" w:type="dxa"/>
            <w:right w:w="108" w:type="dxa"/>
          </w:tblCellMar>
        </w:tblPrEx>
        <w:trPr>
          <w:trHeight w:val="1863" w:hRule="atLeast"/>
          <w:jc w:val="center"/>
        </w:trPr>
        <w:tc>
          <w:tcPr>
            <w:tcW w:w="1477" w:type="dxa"/>
            <w:gridSpan w:val="2"/>
            <w:vMerge w:val="restart"/>
            <w:tcBorders>
              <w:top w:val="single" w:color="auto" w:sz="4" w:space="0"/>
              <w:left w:val="single" w:color="auto" w:sz="4" w:space="0"/>
              <w:right w:val="single" w:color="auto" w:sz="4" w:space="0"/>
            </w:tcBorders>
            <w:noWrap w:val="0"/>
            <w:vAlign w:val="center"/>
          </w:tcPr>
          <w:p w14:paraId="5E9A6D53">
            <w:pPr>
              <w:pStyle w:val="5"/>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企业财务状况</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lang w:val="en-US" w:eastAsia="zh-CN"/>
              </w:rPr>
              <w:t>5分</w:t>
            </w:r>
            <w:r>
              <w:rPr>
                <w:rFonts w:hint="eastAsia" w:asciiTheme="minorEastAsia" w:hAnsiTheme="minorEastAsia" w:eastAsiaTheme="minorEastAsia" w:cstheme="minorEastAsia"/>
                <w:snapToGrid w:val="0"/>
                <w:color w:val="auto"/>
                <w:kern w:val="0"/>
                <w:sz w:val="21"/>
                <w:szCs w:val="21"/>
                <w:highlight w:val="none"/>
                <w:lang w:eastAsia="zh-CN"/>
              </w:rPr>
              <w:t>）</w:t>
            </w:r>
          </w:p>
        </w:tc>
        <w:tc>
          <w:tcPr>
            <w:tcW w:w="3908" w:type="dxa"/>
            <w:tcBorders>
              <w:top w:val="single" w:color="auto" w:sz="4" w:space="0"/>
              <w:left w:val="single" w:color="auto" w:sz="4" w:space="0"/>
              <w:right w:val="single" w:color="auto" w:sz="4" w:space="0"/>
            </w:tcBorders>
            <w:noWrap w:val="0"/>
            <w:vAlign w:val="center"/>
          </w:tcPr>
          <w:p w14:paraId="37C4A77C">
            <w:pPr>
              <w:pStyle w:val="6"/>
              <w:keepNext w:val="0"/>
              <w:keepLines w:val="0"/>
              <w:pageBreakBefore w:val="0"/>
              <w:widowControl/>
              <w:kinsoku/>
              <w:overflowPunct/>
              <w:topLinePunct w:val="0"/>
              <w:autoSpaceDE/>
              <w:autoSpaceDN/>
              <w:bidi w:val="0"/>
              <w:spacing w:line="360" w:lineRule="exact"/>
              <w:textAlignment w:val="baseline"/>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企业</w:t>
            </w:r>
            <w:r>
              <w:rPr>
                <w:rFonts w:hint="eastAsia" w:asciiTheme="minorEastAsia" w:hAnsiTheme="minorEastAsia" w:eastAsiaTheme="minorEastAsia" w:cstheme="minorEastAsia"/>
                <w:color w:val="auto"/>
                <w:sz w:val="21"/>
                <w:szCs w:val="21"/>
                <w:highlight w:val="none"/>
                <w:lang w:val="en-US" w:eastAsia="zh-CN"/>
              </w:rPr>
              <w:t>2023</w:t>
            </w:r>
            <w:r>
              <w:rPr>
                <w:rFonts w:hint="eastAsia" w:asciiTheme="minorEastAsia" w:hAnsiTheme="minorEastAsia" w:eastAsiaTheme="minorEastAsia" w:cstheme="minorEastAsia"/>
                <w:color w:val="auto"/>
                <w:sz w:val="21"/>
                <w:szCs w:val="21"/>
                <w:highlight w:val="none"/>
              </w:rPr>
              <w:t>年度至</w:t>
            </w:r>
            <w:r>
              <w:rPr>
                <w:rFonts w:hint="eastAsia" w:asciiTheme="minorEastAsia" w:hAnsiTheme="minorEastAsia" w:eastAsiaTheme="minorEastAsia" w:cstheme="minorEastAsia"/>
                <w:color w:val="auto"/>
                <w:sz w:val="21"/>
                <w:szCs w:val="21"/>
                <w:highlight w:val="none"/>
                <w:lang w:val="en-US" w:eastAsia="zh-CN"/>
              </w:rPr>
              <w:t>2024</w:t>
            </w:r>
            <w:r>
              <w:rPr>
                <w:rFonts w:hint="eastAsia" w:asciiTheme="minorEastAsia" w:hAnsiTheme="minorEastAsia" w:eastAsiaTheme="minorEastAsia" w:cstheme="minorEastAsia"/>
                <w:color w:val="auto"/>
                <w:sz w:val="21"/>
                <w:szCs w:val="21"/>
                <w:highlight w:val="none"/>
              </w:rPr>
              <w:t>年度连续</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年获得纳税信用A级纳税人的，得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549279EB">
            <w:pPr>
              <w:pStyle w:val="5"/>
              <w:keepNext w:val="0"/>
              <w:keepLines w:val="0"/>
              <w:pageBreakBefore w:val="0"/>
              <w:kinsoku/>
              <w:wordWrap w:val="0"/>
              <w:overflowPunct/>
              <w:topLinePunct w:val="0"/>
              <w:autoSpaceDE/>
              <w:autoSpaceDN/>
              <w:bidi w:val="0"/>
              <w:adjustRightInd w:val="0"/>
              <w:snapToGrid w:val="0"/>
              <w:spacing w:after="0" w:line="34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1.必须提供企业纳税信用A级纳税人证明材料（或证书）彩色扫描件</w:t>
            </w:r>
            <w:r>
              <w:rPr>
                <w:rFonts w:hint="eastAsia" w:asciiTheme="minorEastAsia" w:hAnsiTheme="minorEastAsia" w:eastAsiaTheme="minorEastAsia" w:cstheme="minorEastAsia"/>
                <w:snapToGrid w:val="0"/>
                <w:color w:val="auto"/>
                <w:kern w:val="0"/>
                <w:sz w:val="21"/>
                <w:szCs w:val="21"/>
                <w:highlight w:val="none"/>
                <w:lang w:val="en-US" w:eastAsia="zh-CN"/>
              </w:rPr>
              <w:t>或</w:t>
            </w:r>
            <w:r>
              <w:rPr>
                <w:rFonts w:hint="eastAsia" w:asciiTheme="minorEastAsia" w:hAnsiTheme="minorEastAsia" w:eastAsiaTheme="minorEastAsia" w:cstheme="minorEastAsia"/>
                <w:snapToGrid w:val="0"/>
                <w:color w:val="auto"/>
                <w:kern w:val="0"/>
                <w:sz w:val="21"/>
                <w:szCs w:val="21"/>
                <w:highlight w:val="none"/>
              </w:rPr>
              <w:t>国家税务总局（或省级电子税务局）网上查询截图打印件，否则不得分。</w:t>
            </w:r>
          </w:p>
          <w:p w14:paraId="3B39EAA5">
            <w:pPr>
              <w:pStyle w:val="5"/>
              <w:keepNext w:val="0"/>
              <w:keepLines w:val="0"/>
              <w:pageBreakBefore w:val="0"/>
              <w:kinsoku/>
              <w:wordWrap w:val="0"/>
              <w:overflowPunct/>
              <w:topLinePunct w:val="0"/>
              <w:autoSpaceDE/>
              <w:autoSpaceDN/>
              <w:bidi w:val="0"/>
              <w:adjustRightInd w:val="0"/>
              <w:snapToGrid w:val="0"/>
              <w:spacing w:after="0" w:line="34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2.只计算投标人自身（不计算投标人的分公司、子公司及分支机构）</w:t>
            </w:r>
          </w:p>
        </w:tc>
      </w:tr>
      <w:tr w14:paraId="01E4B238">
        <w:tblPrEx>
          <w:tblCellMar>
            <w:top w:w="0" w:type="dxa"/>
            <w:left w:w="108" w:type="dxa"/>
            <w:bottom w:w="0" w:type="dxa"/>
            <w:right w:w="108" w:type="dxa"/>
          </w:tblCellMar>
        </w:tblPrEx>
        <w:trPr>
          <w:trHeight w:val="1763" w:hRule="atLeast"/>
          <w:jc w:val="center"/>
        </w:trPr>
        <w:tc>
          <w:tcPr>
            <w:tcW w:w="1477" w:type="dxa"/>
            <w:gridSpan w:val="2"/>
            <w:vMerge w:val="restart"/>
            <w:tcBorders>
              <w:top w:val="single" w:color="auto" w:sz="4" w:space="0"/>
              <w:left w:val="single" w:color="auto" w:sz="4" w:space="0"/>
              <w:right w:val="single" w:color="auto" w:sz="4" w:space="0"/>
            </w:tcBorders>
            <w:noWrap w:val="0"/>
            <w:vAlign w:val="center"/>
          </w:tcPr>
          <w:p w14:paraId="3A38F6FB">
            <w:pPr>
              <w:pStyle w:val="5"/>
              <w:keepNext w:val="0"/>
              <w:keepLines w:val="0"/>
              <w:pageBreakBefore w:val="0"/>
              <w:widowControl w:val="0"/>
              <w:kinsoku/>
              <w:wordWrap w:val="0"/>
              <w:overflowPunct/>
              <w:topLinePunct w:val="0"/>
              <w:autoSpaceDE/>
              <w:autoSpaceDN/>
              <w:bidi w:val="0"/>
              <w:adjustRightInd w:val="0"/>
              <w:snapToGrid w:val="0"/>
              <w:spacing w:before="0" w:after="0" w:line="360" w:lineRule="exact"/>
              <w:ind w:left="0" w:leftChars="0" w:right="0" w:rightChars="0" w:firstLine="0" w:firstLineChars="0"/>
              <w:jc w:val="center"/>
              <w:textAlignment w:val="auto"/>
              <w:outlineLvl w:val="9"/>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投标人自选项（15分）</w:t>
            </w:r>
          </w:p>
        </w:tc>
        <w:tc>
          <w:tcPr>
            <w:tcW w:w="3908" w:type="dxa"/>
            <w:tcBorders>
              <w:top w:val="single" w:color="auto" w:sz="4" w:space="0"/>
              <w:left w:val="single" w:color="auto" w:sz="4" w:space="0"/>
              <w:bottom w:val="single" w:color="auto" w:sz="4" w:space="0"/>
              <w:right w:val="single" w:color="auto" w:sz="4" w:space="0"/>
            </w:tcBorders>
            <w:noWrap w:val="0"/>
            <w:vAlign w:val="center"/>
          </w:tcPr>
          <w:p w14:paraId="4A48349E">
            <w:pPr>
              <w:pStyle w:val="4"/>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投标人具有有效的体系认证：</w:t>
            </w:r>
          </w:p>
          <w:p w14:paraId="2D440EBE">
            <w:pPr>
              <w:pStyle w:val="4"/>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①CTSMMSS工程施工质量控制规范认证</w:t>
            </w:r>
            <w:r>
              <w:rPr>
                <w:rFonts w:hint="eastAsia" w:ascii="宋体" w:hAnsi="宋体" w:eastAsia="宋体" w:cs="宋体"/>
                <w:b w:val="0"/>
                <w:bCs w:val="0"/>
                <w:color w:val="auto"/>
                <w:sz w:val="21"/>
                <w:szCs w:val="21"/>
                <w:highlight w:val="none"/>
              </w:rPr>
              <w:t>证书</w:t>
            </w:r>
            <w:r>
              <w:rPr>
                <w:rFonts w:hint="eastAsia" w:ascii="宋体" w:hAnsi="宋体" w:eastAsia="宋体" w:cs="宋体"/>
                <w:b w:val="0"/>
                <w:bCs w:val="0"/>
                <w:color w:val="auto"/>
                <w:sz w:val="21"/>
                <w:szCs w:val="21"/>
                <w:highlight w:val="none"/>
                <w:lang w:eastAsia="zh-CN"/>
              </w:rPr>
              <w:t>；</w:t>
            </w:r>
          </w:p>
          <w:p w14:paraId="4CBDF09A">
            <w:pPr>
              <w:pStyle w:val="4"/>
              <w:rPr>
                <w:rFonts w:hint="eastAsia"/>
                <w:color w:val="auto"/>
                <w:highlight w:val="none"/>
                <w:lang w:eastAsia="zh-CN"/>
              </w:rPr>
            </w:pPr>
            <w:r>
              <w:rPr>
                <w:rFonts w:hint="eastAsia" w:ascii="宋体" w:hAnsi="宋体" w:eastAsia="宋体" w:cs="宋体"/>
                <w:b w:val="0"/>
                <w:bCs w:val="0"/>
                <w:color w:val="auto"/>
                <w:sz w:val="21"/>
                <w:szCs w:val="21"/>
                <w:highlight w:val="none"/>
                <w:lang w:val="en-US" w:eastAsia="zh-CN"/>
              </w:rPr>
              <w:t>②</w:t>
            </w:r>
            <w:r>
              <w:rPr>
                <w:rFonts w:hint="eastAsia" w:asciiTheme="minorEastAsia" w:hAnsiTheme="minorEastAsia" w:eastAsiaTheme="minorEastAsia" w:cstheme="minorEastAsia"/>
                <w:snapToGrid w:val="0"/>
                <w:color w:val="auto"/>
                <w:kern w:val="0"/>
                <w:sz w:val="21"/>
                <w:szCs w:val="21"/>
                <w:highlight w:val="none"/>
                <w:lang w:val="en-US" w:eastAsia="zh-CN"/>
              </w:rPr>
              <w:t>园林绿化养护体系</w:t>
            </w:r>
            <w:r>
              <w:rPr>
                <w:rFonts w:hint="eastAsia" w:ascii="宋体" w:hAnsi="宋体" w:eastAsia="宋体" w:cs="宋体"/>
                <w:b w:val="0"/>
                <w:bCs w:val="0"/>
                <w:color w:val="auto"/>
                <w:sz w:val="21"/>
                <w:szCs w:val="21"/>
                <w:highlight w:val="none"/>
                <w:lang w:val="en-US" w:eastAsia="zh-CN"/>
              </w:rPr>
              <w:t>认证</w:t>
            </w:r>
            <w:r>
              <w:rPr>
                <w:rFonts w:hint="eastAsia" w:ascii="宋体" w:hAnsi="宋体" w:eastAsia="宋体" w:cs="宋体"/>
                <w:b w:val="0"/>
                <w:bCs w:val="0"/>
                <w:color w:val="auto"/>
                <w:sz w:val="21"/>
                <w:szCs w:val="21"/>
                <w:highlight w:val="none"/>
              </w:rPr>
              <w:t>证书</w:t>
            </w:r>
            <w:r>
              <w:rPr>
                <w:rFonts w:hint="eastAsia" w:ascii="宋体" w:hAnsi="宋体" w:eastAsia="宋体" w:cs="宋体"/>
                <w:b w:val="0"/>
                <w:bCs w:val="0"/>
                <w:color w:val="auto"/>
                <w:sz w:val="21"/>
                <w:szCs w:val="21"/>
                <w:highlight w:val="none"/>
                <w:lang w:eastAsia="zh-CN"/>
              </w:rPr>
              <w:t>；</w:t>
            </w:r>
          </w:p>
          <w:p w14:paraId="5D7CC0C1">
            <w:pPr>
              <w:pStyle w:val="2"/>
              <w:rPr>
                <w:rFonts w:hint="eastAsia"/>
                <w:color w:val="auto"/>
                <w:highlight w:val="none"/>
              </w:rPr>
            </w:pPr>
            <w:r>
              <w:rPr>
                <w:rFonts w:hint="eastAsia" w:ascii="宋体" w:hAnsi="宋体" w:eastAsia="宋体" w:cs="宋体"/>
                <w:snapToGrid w:val="0"/>
                <w:color w:val="auto"/>
                <w:kern w:val="0"/>
                <w:sz w:val="21"/>
                <w:szCs w:val="21"/>
                <w:highlight w:val="none"/>
                <w:lang w:val="en-US" w:eastAsia="zh-CN"/>
              </w:rPr>
              <w:t>全部具备得10分，缺少1项扣5分。</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085FDBEE">
            <w:pPr>
              <w:pStyle w:val="19"/>
              <w:spacing w:before="153" w:line="240" w:lineRule="auto"/>
              <w:jc w:val="left"/>
              <w:rPr>
                <w:rFonts w:hint="eastAsia" w:asciiTheme="minorEastAsia" w:hAnsiTheme="minorEastAsia" w:eastAsiaTheme="minorEastAsia" w:cstheme="minorEastAsia"/>
                <w:b w:val="0"/>
                <w:b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strike w:val="0"/>
                <w:dstrike w:val="0"/>
                <w:color w:val="auto"/>
                <w:sz w:val="21"/>
                <w:szCs w:val="21"/>
                <w:highlight w:val="none"/>
                <w:u w:val="none"/>
                <w:lang w:val="en-US" w:eastAsia="zh-CN"/>
              </w:rPr>
              <w:t>证书</w:t>
            </w:r>
            <w:r>
              <w:rPr>
                <w:rFonts w:hint="eastAsia" w:asciiTheme="minorEastAsia" w:hAnsiTheme="minorEastAsia" w:eastAsiaTheme="minorEastAsia" w:cstheme="minorEastAsia"/>
                <w:color w:val="auto"/>
                <w:spacing w:val="8"/>
                <w:sz w:val="21"/>
                <w:szCs w:val="21"/>
                <w:highlight w:val="none"/>
              </w:rPr>
              <w:t>①</w:t>
            </w:r>
            <w:r>
              <w:rPr>
                <w:rFonts w:hint="eastAsia" w:asciiTheme="minorEastAsia" w:hAnsiTheme="minorEastAsia" w:eastAsiaTheme="minorEastAsia" w:cstheme="minorEastAsia"/>
                <w:color w:val="auto"/>
                <w:spacing w:val="8"/>
                <w:sz w:val="21"/>
                <w:szCs w:val="21"/>
                <w:highlight w:val="none"/>
                <w:lang w:val="en-US" w:eastAsia="zh-CN"/>
              </w:rPr>
              <w:t>需达到</w:t>
            </w:r>
            <w:r>
              <w:rPr>
                <w:rFonts w:hint="eastAsia" w:asciiTheme="minorEastAsia" w:hAnsiTheme="minorEastAsia" w:eastAsiaTheme="minorEastAsia" w:cstheme="minorEastAsia"/>
                <w:b w:val="0"/>
                <w:bCs w:val="0"/>
                <w:color w:val="auto"/>
                <w:sz w:val="21"/>
                <w:szCs w:val="21"/>
                <w:highlight w:val="none"/>
                <w:lang w:val="en-US" w:eastAsia="zh-CN"/>
              </w:rPr>
              <w:t>GB55032-2022、CRCESS1001-2021的标准要求</w:t>
            </w:r>
            <w:r>
              <w:rPr>
                <w:rFonts w:hint="eastAsia" w:asciiTheme="minorEastAsia" w:hAnsiTheme="minorEastAsia" w:eastAsiaTheme="minorEastAsia" w:cstheme="minorEastAsia"/>
                <w:b w:val="0"/>
                <w:bCs w:val="0"/>
                <w:strike w:val="0"/>
                <w:dstrike w:val="0"/>
                <w:color w:val="auto"/>
                <w:sz w:val="21"/>
                <w:szCs w:val="21"/>
                <w:highlight w:val="none"/>
                <w:u w:val="none"/>
                <w:lang w:val="en-US" w:eastAsia="zh-CN"/>
              </w:rPr>
              <w:t>；</w:t>
            </w:r>
          </w:p>
          <w:p w14:paraId="4410D11A">
            <w:pPr>
              <w:pStyle w:val="19"/>
              <w:spacing w:before="153" w:line="240" w:lineRule="auto"/>
              <w:jc w:val="left"/>
              <w:rPr>
                <w:rFonts w:hint="default" w:eastAsia="宋体" w:asciiTheme="minorEastAsia" w:hAnsiTheme="minorEastAsia" w:cstheme="minorEastAsia"/>
                <w:b w:val="0"/>
                <w:b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strike w:val="0"/>
                <w:dstrike w:val="0"/>
                <w:color w:val="auto"/>
                <w:sz w:val="21"/>
                <w:szCs w:val="21"/>
                <w:highlight w:val="none"/>
                <w:u w:val="none"/>
                <w:lang w:val="en-US" w:eastAsia="zh-CN"/>
              </w:rPr>
              <w:t>2.证书</w:t>
            </w:r>
            <w:r>
              <w:rPr>
                <w:rFonts w:hint="eastAsia" w:ascii="宋体" w:hAnsi="宋体" w:eastAsia="宋体" w:cs="宋体"/>
                <w:b w:val="0"/>
                <w:bCs w:val="0"/>
                <w:color w:val="auto"/>
                <w:sz w:val="21"/>
                <w:szCs w:val="21"/>
                <w:highlight w:val="none"/>
                <w:lang w:val="en-US" w:eastAsia="zh-CN"/>
              </w:rPr>
              <w:t>②</w:t>
            </w:r>
            <w:r>
              <w:rPr>
                <w:rFonts w:hint="eastAsia" w:asciiTheme="minorEastAsia" w:hAnsiTheme="minorEastAsia" w:eastAsiaTheme="minorEastAsia" w:cstheme="minorEastAsia"/>
                <w:color w:val="auto"/>
                <w:spacing w:val="8"/>
                <w:sz w:val="21"/>
                <w:szCs w:val="21"/>
                <w:highlight w:val="none"/>
                <w:lang w:val="en-US" w:eastAsia="zh-CN"/>
              </w:rPr>
              <w:t>需达到CJJ/T287-2018、CCCH1001-2020</w:t>
            </w:r>
            <w:r>
              <w:rPr>
                <w:rFonts w:hint="eastAsia" w:ascii="宋体" w:hAnsi="宋体" w:eastAsia="宋体" w:cs="宋体"/>
                <w:b w:val="0"/>
                <w:bCs w:val="0"/>
                <w:color w:val="auto"/>
                <w:sz w:val="21"/>
                <w:szCs w:val="21"/>
                <w:highlight w:val="none"/>
                <w:lang w:val="en-US" w:eastAsia="zh-CN"/>
              </w:rPr>
              <w:t>的标准</w:t>
            </w:r>
            <w:r>
              <w:rPr>
                <w:rFonts w:hint="eastAsia" w:asciiTheme="minorEastAsia" w:hAnsiTheme="minorEastAsia" w:eastAsiaTheme="minorEastAsia" w:cstheme="minorEastAsia"/>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lang w:val="en-US" w:eastAsia="zh-CN"/>
              </w:rPr>
              <w:t>。</w:t>
            </w:r>
          </w:p>
          <w:p w14:paraId="59C2AAF2">
            <w:pPr>
              <w:pStyle w:val="19"/>
              <w:spacing w:before="153" w:line="240" w:lineRule="auto"/>
              <w:jc w:val="left"/>
              <w:rPr>
                <w:rFonts w:hint="eastAsia" w:asciiTheme="minorEastAsia" w:hAnsiTheme="minorEastAsia" w:eastAsiaTheme="minorEastAsia" w:cstheme="minorEastAsia"/>
                <w:b w:val="0"/>
                <w:b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strike w:val="0"/>
                <w:dstrike w:val="0"/>
                <w:color w:val="auto"/>
                <w:sz w:val="21"/>
                <w:szCs w:val="21"/>
                <w:highlight w:val="none"/>
                <w:u w:val="none"/>
                <w:lang w:val="en-US" w:eastAsia="zh-CN"/>
              </w:rPr>
              <w:t>3.证书有效性在国家认证认可监督管理委员会官网（http://www.cnca.gov.cn/)可查。</w:t>
            </w:r>
          </w:p>
          <w:p w14:paraId="53E8BACA">
            <w:pPr>
              <w:pStyle w:val="5"/>
              <w:keepNext w:val="0"/>
              <w:keepLines w:val="0"/>
              <w:pageBreakBefore w:val="0"/>
              <w:widowControl w:val="0"/>
              <w:kinsoku/>
              <w:wordWrap w:val="0"/>
              <w:overflowPunct/>
              <w:topLinePunct w:val="0"/>
              <w:autoSpaceDE/>
              <w:autoSpaceDN/>
              <w:bidi w:val="0"/>
              <w:adjustRightInd w:val="0"/>
              <w:snapToGrid w:val="0"/>
              <w:spacing w:before="0" w:after="0" w:line="340" w:lineRule="exact"/>
              <w:ind w:left="0" w:leftChars="0" w:right="0" w:rightChars="0" w:firstLine="0" w:firstLineChars="0"/>
              <w:textAlignment w:val="auto"/>
              <w:outlineLvl w:val="9"/>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spacing w:val="10"/>
                <w:sz w:val="21"/>
                <w:szCs w:val="21"/>
                <w:highlight w:val="none"/>
                <w:lang w:val="en-US" w:eastAsia="zh-CN"/>
              </w:rPr>
              <w:t>4.</w:t>
            </w:r>
            <w:r>
              <w:rPr>
                <w:rFonts w:hint="eastAsia" w:asciiTheme="minorEastAsia" w:hAnsiTheme="minorEastAsia" w:eastAsiaTheme="minorEastAsia" w:cstheme="minorEastAsia"/>
                <w:b/>
                <w:bCs/>
                <w:strike w:val="0"/>
                <w:dstrike w:val="0"/>
                <w:color w:val="auto"/>
                <w:sz w:val="21"/>
                <w:szCs w:val="21"/>
                <w:highlight w:val="none"/>
                <w:u w:val="none"/>
                <w:lang w:val="en-US" w:eastAsia="zh-CN"/>
              </w:rPr>
              <w:t>需提供网上截图及原件核对</w:t>
            </w:r>
            <w:r>
              <w:rPr>
                <w:rFonts w:hint="eastAsia" w:asciiTheme="minorEastAsia" w:hAnsiTheme="minorEastAsia" w:eastAsiaTheme="minorEastAsia" w:cstheme="minorEastAsia"/>
                <w:b w:val="0"/>
                <w:bCs w:val="0"/>
                <w:strike w:val="0"/>
                <w:dstrike w:val="0"/>
                <w:color w:val="auto"/>
                <w:sz w:val="21"/>
                <w:szCs w:val="21"/>
                <w:highlight w:val="none"/>
                <w:u w:val="none"/>
                <w:lang w:val="en-US" w:eastAsia="zh-CN"/>
              </w:rPr>
              <w:t>，否则不得分</w:t>
            </w:r>
            <w:r>
              <w:rPr>
                <w:rFonts w:hint="eastAsia" w:asciiTheme="minorEastAsia" w:hAnsiTheme="minorEastAsia" w:eastAsiaTheme="minorEastAsia" w:cstheme="minorEastAsia"/>
                <w:b w:val="0"/>
                <w:bCs w:val="0"/>
                <w:color w:val="auto"/>
                <w:sz w:val="21"/>
                <w:szCs w:val="21"/>
                <w:highlight w:val="none"/>
              </w:rPr>
              <w:t>。</w:t>
            </w:r>
          </w:p>
        </w:tc>
      </w:tr>
      <w:tr w14:paraId="3C3406C5">
        <w:tblPrEx>
          <w:tblCellMar>
            <w:top w:w="0" w:type="dxa"/>
            <w:left w:w="108" w:type="dxa"/>
            <w:bottom w:w="0" w:type="dxa"/>
            <w:right w:w="108" w:type="dxa"/>
          </w:tblCellMar>
        </w:tblPrEx>
        <w:trPr>
          <w:trHeight w:val="2233" w:hRule="atLeast"/>
          <w:jc w:val="center"/>
        </w:trPr>
        <w:tc>
          <w:tcPr>
            <w:tcW w:w="1477" w:type="dxa"/>
            <w:gridSpan w:val="2"/>
            <w:vMerge w:val="continue"/>
            <w:tcBorders>
              <w:left w:val="single" w:color="auto" w:sz="4" w:space="0"/>
              <w:bottom w:val="single" w:color="auto" w:sz="4" w:space="0"/>
              <w:right w:val="single" w:color="auto" w:sz="4" w:space="0"/>
            </w:tcBorders>
            <w:noWrap w:val="0"/>
            <w:vAlign w:val="center"/>
          </w:tcPr>
          <w:p w14:paraId="2117F4BE">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1"/>
                <w:szCs w:val="21"/>
                <w:highlight w:val="none"/>
              </w:rPr>
            </w:pPr>
          </w:p>
        </w:tc>
        <w:tc>
          <w:tcPr>
            <w:tcW w:w="3908" w:type="dxa"/>
            <w:tcBorders>
              <w:top w:val="single" w:color="auto" w:sz="4" w:space="0"/>
              <w:left w:val="single" w:color="auto" w:sz="4" w:space="0"/>
              <w:bottom w:val="single" w:color="auto" w:sz="4" w:space="0"/>
              <w:right w:val="single" w:color="auto" w:sz="4" w:space="0"/>
            </w:tcBorders>
            <w:noWrap w:val="0"/>
            <w:vAlign w:val="center"/>
          </w:tcPr>
          <w:p w14:paraId="06D01EE7">
            <w:pPr>
              <w:pStyle w:val="5"/>
              <w:numPr>
                <w:ilvl w:val="0"/>
                <w:numId w:val="0"/>
              </w:numPr>
              <w:shd w:val="clear" w:color="auto" w:fill="auto"/>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1.投标人</w:t>
            </w:r>
            <w:r>
              <w:rPr>
                <w:rFonts w:hint="eastAsia" w:asciiTheme="minorEastAsia" w:hAnsiTheme="minorEastAsia" w:eastAsiaTheme="minorEastAsia" w:cstheme="minorEastAsia"/>
                <w:snapToGrid w:val="0"/>
                <w:color w:val="auto"/>
                <w:kern w:val="0"/>
                <w:sz w:val="21"/>
                <w:szCs w:val="21"/>
                <w:highlight w:val="none"/>
              </w:rPr>
              <w:t>近</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年（20</w:t>
            </w:r>
            <w:r>
              <w:rPr>
                <w:rFonts w:hint="eastAsia" w:asciiTheme="minorEastAsia" w:hAnsiTheme="minorEastAsia" w:eastAsiaTheme="minorEastAsia" w:cstheme="minorEastAsia"/>
                <w:snapToGrid w:val="0"/>
                <w:color w:val="auto"/>
                <w:kern w:val="0"/>
                <w:sz w:val="21"/>
                <w:szCs w:val="21"/>
                <w:highlight w:val="none"/>
                <w:lang w:val="en-US" w:eastAsia="zh-CN"/>
              </w:rPr>
              <w:t>20年</w:t>
            </w:r>
            <w:r>
              <w:rPr>
                <w:rFonts w:hint="eastAsia" w:asciiTheme="minorEastAsia" w:hAnsiTheme="minorEastAsia" w:eastAsiaTheme="minorEastAsia" w:cstheme="minorEastAsia"/>
                <w:snapToGrid w:val="0"/>
                <w:color w:val="auto"/>
                <w:kern w:val="0"/>
                <w:sz w:val="21"/>
                <w:szCs w:val="21"/>
                <w:highlight w:val="none"/>
              </w:rPr>
              <w:t>至今）投标人未发生事故等级为一般事故及以上的生产安全事故、一般质量事故及以上的工程质量事故的，得</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分</w:t>
            </w:r>
            <w:r>
              <w:rPr>
                <w:rFonts w:hint="eastAsia" w:asciiTheme="minorEastAsia" w:hAnsiTheme="minorEastAsia" w:eastAsiaTheme="minorEastAsia" w:cstheme="minorEastAsia"/>
                <w:snapToGrid w:val="0"/>
                <w:color w:val="auto"/>
                <w:kern w:val="0"/>
                <w:sz w:val="21"/>
                <w:szCs w:val="21"/>
                <w:highlight w:val="none"/>
                <w:lang w:eastAsia="zh-CN"/>
              </w:rPr>
              <w:t>。</w:t>
            </w:r>
          </w:p>
          <w:p w14:paraId="30181AC0">
            <w:pPr>
              <w:pStyle w:val="5"/>
              <w:numPr>
                <w:ilvl w:val="0"/>
                <w:numId w:val="0"/>
              </w:numPr>
              <w:shd w:val="clear" w:color="auto" w:fill="auto"/>
              <w:wordWrap w:val="0"/>
              <w:adjustRightInd w:val="0"/>
              <w:snapToGrid w:val="0"/>
              <w:spacing w:after="0" w:line="400" w:lineRule="exact"/>
              <w:ind w:left="0" w:leftChars="0" w:firstLine="0" w:firstLineChars="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2.其他情形的，不予计分。</w:t>
            </w:r>
          </w:p>
          <w:p w14:paraId="73D5E335">
            <w:pPr>
              <w:pStyle w:val="5"/>
              <w:numPr>
                <w:ilvl w:val="0"/>
                <w:numId w:val="0"/>
              </w:numPr>
              <w:shd w:val="clear" w:color="auto" w:fill="auto"/>
              <w:wordWrap w:val="0"/>
              <w:adjustRightInd w:val="0"/>
              <w:snapToGrid w:val="0"/>
              <w:spacing w:after="0" w:line="400" w:lineRule="exact"/>
              <w:ind w:left="0" w:leftChars="0" w:firstLine="0" w:firstLineChars="0"/>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本项</w:t>
            </w:r>
            <w:r>
              <w:rPr>
                <w:rFonts w:hint="eastAsia" w:asciiTheme="minorEastAsia" w:hAnsiTheme="minorEastAsia" w:eastAsiaTheme="minorEastAsia" w:cstheme="minorEastAsia"/>
                <w:color w:val="auto"/>
                <w:sz w:val="21"/>
                <w:szCs w:val="21"/>
                <w:highlight w:val="none"/>
              </w:rPr>
              <w:t>最高得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390AF937">
            <w:pPr>
              <w:pStyle w:val="5"/>
              <w:numPr>
                <w:ilvl w:val="0"/>
                <w:numId w:val="0"/>
              </w:numPr>
              <w:shd w:val="clear" w:color="auto" w:fill="auto"/>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需提供本单位承诺书（格式自定）并加盖本单位公章。</w:t>
            </w:r>
          </w:p>
          <w:p w14:paraId="11E177D3">
            <w:pPr>
              <w:pStyle w:val="5"/>
              <w:numPr>
                <w:ilvl w:val="0"/>
                <w:numId w:val="0"/>
              </w:numPr>
              <w:shd w:val="clear" w:color="auto" w:fill="auto"/>
              <w:wordWrap w:val="0"/>
              <w:adjustRightInd w:val="0"/>
              <w:snapToGrid w:val="0"/>
              <w:spacing w:after="0" w:line="400" w:lineRule="exact"/>
              <w:ind w:left="0" w:leftChars="0" w:firstLine="0" w:firstLineChars="0"/>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rPr>
              <w:t>未提供本单位承诺书并加盖本单位公章的，按第2项标准处理。</w:t>
            </w:r>
          </w:p>
        </w:tc>
      </w:tr>
      <w:tr w14:paraId="35D6C0E8">
        <w:tblPrEx>
          <w:tblCellMar>
            <w:top w:w="0" w:type="dxa"/>
            <w:left w:w="108" w:type="dxa"/>
            <w:bottom w:w="0" w:type="dxa"/>
            <w:right w:w="108" w:type="dxa"/>
          </w:tblCellMar>
        </w:tblPrEx>
        <w:trPr>
          <w:trHeight w:val="657" w:hRule="exact"/>
          <w:jc w:val="center"/>
        </w:trPr>
        <w:tc>
          <w:tcPr>
            <w:tcW w:w="9966"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2D741883">
            <w:pPr>
              <w:pStyle w:val="5"/>
              <w:wordWrap w:val="0"/>
              <w:adjustRightInd w:val="0"/>
              <w:snapToGrid w:val="0"/>
              <w:spacing w:line="36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技术部分（施工组织设计），满分：</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1</w:t>
            </w:r>
            <w:r>
              <w:rPr>
                <w:rFonts w:hint="eastAsia" w:asciiTheme="minorEastAsia" w:hAnsiTheme="minorEastAsia" w:eastAsiaTheme="minorEastAsia" w:cstheme="minorEastAsia"/>
                <w:snapToGrid w:val="0"/>
                <w:color w:val="auto"/>
                <w:kern w:val="0"/>
                <w:sz w:val="21"/>
                <w:szCs w:val="21"/>
                <w:highlight w:val="none"/>
                <w:u w:val="single"/>
              </w:rPr>
              <w:t xml:space="preserve">0 </w:t>
            </w:r>
            <w:r>
              <w:rPr>
                <w:rFonts w:hint="eastAsia" w:asciiTheme="minorEastAsia" w:hAnsiTheme="minorEastAsia" w:eastAsiaTheme="minorEastAsia" w:cstheme="minorEastAsia"/>
                <w:snapToGrid w:val="0"/>
                <w:color w:val="auto"/>
                <w:kern w:val="0"/>
                <w:sz w:val="21"/>
                <w:szCs w:val="21"/>
                <w:highlight w:val="none"/>
              </w:rPr>
              <w:t>分。</w:t>
            </w:r>
          </w:p>
        </w:tc>
      </w:tr>
      <w:tr w14:paraId="20D30F8C">
        <w:tblPrEx>
          <w:tblCellMar>
            <w:top w:w="0" w:type="dxa"/>
            <w:left w:w="108" w:type="dxa"/>
            <w:bottom w:w="0" w:type="dxa"/>
            <w:right w:w="108" w:type="dxa"/>
          </w:tblCellMar>
        </w:tblPrEx>
        <w:trPr>
          <w:trHeight w:val="606" w:hRule="exac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752914C3">
            <w:pPr>
              <w:pStyle w:val="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评分因素</w:t>
            </w:r>
          </w:p>
        </w:tc>
        <w:tc>
          <w:tcPr>
            <w:tcW w:w="3981" w:type="dxa"/>
            <w:gridSpan w:val="2"/>
            <w:tcBorders>
              <w:top w:val="single" w:color="auto" w:sz="4" w:space="0"/>
              <w:left w:val="single" w:color="auto" w:sz="4" w:space="0"/>
              <w:bottom w:val="single" w:color="auto" w:sz="4" w:space="0"/>
              <w:right w:val="single" w:color="auto" w:sz="4" w:space="0"/>
            </w:tcBorders>
            <w:noWrap w:val="0"/>
            <w:vAlign w:val="center"/>
          </w:tcPr>
          <w:p w14:paraId="5781275A">
            <w:pPr>
              <w:pStyle w:val="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评分标准</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76F59DCD">
            <w:pPr>
              <w:pStyle w:val="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备注</w:t>
            </w:r>
          </w:p>
        </w:tc>
      </w:tr>
      <w:tr w14:paraId="18382C9B">
        <w:tblPrEx>
          <w:tblCellMar>
            <w:top w:w="0" w:type="dxa"/>
            <w:left w:w="108" w:type="dxa"/>
            <w:bottom w:w="0" w:type="dxa"/>
            <w:right w:w="108" w:type="dxa"/>
          </w:tblCellMar>
        </w:tblPrEx>
        <w:trPr>
          <w:trHeight w:val="1210" w:hRule="atLeas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4EF302D2">
            <w:pPr>
              <w:pStyle w:val="23"/>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 总体概述</w:t>
            </w:r>
          </w:p>
          <w:p w14:paraId="5CF15DDA">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1.5</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rPr>
              <w:t>分）</w:t>
            </w:r>
          </w:p>
        </w:tc>
        <w:tc>
          <w:tcPr>
            <w:tcW w:w="3908" w:type="dxa"/>
            <w:tcBorders>
              <w:top w:val="single" w:color="auto" w:sz="4" w:space="0"/>
              <w:left w:val="single" w:color="auto" w:sz="4" w:space="0"/>
              <w:bottom w:val="single" w:color="auto" w:sz="4" w:space="0"/>
              <w:right w:val="single" w:color="auto" w:sz="4" w:space="0"/>
            </w:tcBorders>
            <w:noWrap w:val="0"/>
            <w:vAlign w:val="center"/>
          </w:tcPr>
          <w:p w14:paraId="65D797B0">
            <w:pPr>
              <w:pStyle w:val="24"/>
              <w:wordWrap w:val="0"/>
              <w:spacing w:line="400" w:lineRule="exact"/>
              <w:rPr>
                <w:rFonts w:eastAsia="宋体"/>
                <w:snapToGrid w:val="0"/>
                <w:color w:val="auto"/>
                <w:kern w:val="0"/>
                <w:szCs w:val="21"/>
              </w:rPr>
            </w:pPr>
            <w:r>
              <w:rPr>
                <w:rFonts w:hint="eastAsia" w:eastAsia="宋体"/>
                <w:snapToGrid w:val="0"/>
                <w:color w:val="auto"/>
                <w:kern w:val="0"/>
                <w:szCs w:val="21"/>
              </w:rPr>
              <w:t>【优】得该项评分因素分值的90%～100%（含90%）。</w:t>
            </w:r>
          </w:p>
          <w:p w14:paraId="291C0FD1">
            <w:pPr>
              <w:pStyle w:val="24"/>
              <w:wordWrap w:val="0"/>
              <w:spacing w:line="400" w:lineRule="exact"/>
              <w:rPr>
                <w:rFonts w:eastAsia="宋体"/>
                <w:snapToGrid w:val="0"/>
                <w:color w:val="auto"/>
                <w:kern w:val="0"/>
                <w:szCs w:val="21"/>
              </w:rPr>
            </w:pPr>
            <w:r>
              <w:rPr>
                <w:rFonts w:hint="eastAsia" w:eastAsia="宋体"/>
                <w:snapToGrid w:val="0"/>
                <w:color w:val="auto"/>
                <w:kern w:val="0"/>
                <w:szCs w:val="21"/>
              </w:rPr>
              <w:t>【良】得该项评分因素分值的80%～90%（含80%）。</w:t>
            </w:r>
          </w:p>
          <w:p w14:paraId="1B7D2F1D">
            <w:pPr>
              <w:pStyle w:val="24"/>
              <w:wordWrap w:val="0"/>
              <w:spacing w:line="400" w:lineRule="exact"/>
              <w:rPr>
                <w:rFonts w:eastAsia="宋体"/>
                <w:snapToGrid w:val="0"/>
                <w:color w:val="auto"/>
                <w:kern w:val="0"/>
                <w:szCs w:val="21"/>
              </w:rPr>
            </w:pPr>
            <w:r>
              <w:rPr>
                <w:rFonts w:hint="eastAsia" w:eastAsia="宋体"/>
                <w:snapToGrid w:val="0"/>
                <w:color w:val="auto"/>
                <w:kern w:val="0"/>
                <w:szCs w:val="21"/>
              </w:rPr>
              <w:t>【中】得该项评分因素分值的70%～80%（含70%）。</w:t>
            </w:r>
          </w:p>
          <w:p w14:paraId="40FB527D">
            <w:pPr>
              <w:pStyle w:val="5"/>
              <w:wordWrap w:val="0"/>
              <w:adjustRightInd w:val="0"/>
              <w:snapToGrid w:val="0"/>
              <w:spacing w:after="0" w:line="40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eastAsia="宋体"/>
                <w:snapToGrid w:val="0"/>
                <w:color w:val="auto"/>
                <w:kern w:val="0"/>
                <w:szCs w:val="21"/>
              </w:rPr>
              <w:t>【差】得该项评分因素分值的60%～70%（含60%）。</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34673072">
            <w:pPr>
              <w:pStyle w:val="5"/>
              <w:wordWrap w:val="0"/>
              <w:adjustRightInd w:val="0"/>
              <w:snapToGrid w:val="0"/>
              <w:spacing w:after="0" w:line="40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【优】对项目总体有深刻认识，表述清晰、完整、严谨、合理，措施先进、具体、有效、成熟，采用了新技术、新工艺、新材料、新设备；施工段划分呼应总体表述，划分清晰、合理，符合规范要求。</w:t>
            </w:r>
          </w:p>
          <w:p w14:paraId="1EE06176">
            <w:pPr>
              <w:pStyle w:val="5"/>
              <w:wordWrap w:val="0"/>
              <w:adjustRightInd w:val="0"/>
              <w:snapToGrid w:val="0"/>
              <w:spacing w:after="0" w:line="40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【良】对项目总体有一定认识，表述清晰、完整，措施具体有效；施工段划分呼应总体表述，划分清晰，符合规范要求。</w:t>
            </w:r>
          </w:p>
          <w:p w14:paraId="65A668A7">
            <w:pPr>
              <w:pStyle w:val="5"/>
              <w:wordWrap w:val="0"/>
              <w:adjustRightInd w:val="0"/>
              <w:snapToGrid w:val="0"/>
              <w:spacing w:after="0" w:line="40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【中】对项目总体有认识，有一定的措施但部分不具体；施工段划分较合理，符合规范要求。</w:t>
            </w:r>
          </w:p>
          <w:p w14:paraId="2BAF55D4">
            <w:pPr>
              <w:pStyle w:val="5"/>
              <w:wordWrap w:val="0"/>
              <w:adjustRightInd w:val="0"/>
              <w:snapToGrid w:val="0"/>
              <w:spacing w:after="0" w:line="40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【差】对项目认识不足，表述不清晰，措施不具体；施工段划分不合理。</w:t>
            </w:r>
          </w:p>
        </w:tc>
      </w:tr>
      <w:tr w14:paraId="2089F057">
        <w:tblPrEx>
          <w:tblCellMar>
            <w:top w:w="0" w:type="dxa"/>
            <w:left w:w="108" w:type="dxa"/>
            <w:bottom w:w="0" w:type="dxa"/>
            <w:right w:w="108" w:type="dxa"/>
          </w:tblCellMar>
        </w:tblPrEx>
        <w:trPr>
          <w:trHeight w:val="7400" w:hRule="atLeas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676F99B3">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施工总进</w:t>
            </w:r>
          </w:p>
          <w:p w14:paraId="22869F3A">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度计划及</w:t>
            </w:r>
          </w:p>
          <w:p w14:paraId="4F87939A">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保证措施</w:t>
            </w:r>
          </w:p>
          <w:p w14:paraId="0B695293">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u w:val="single"/>
                <w:lang w:val="en-US" w:eastAsia="zh-CN"/>
              </w:rPr>
              <w:t>1.5</w:t>
            </w:r>
            <w:r>
              <w:rPr>
                <w:rFonts w:hint="eastAsia" w:asciiTheme="minorEastAsia" w:hAnsiTheme="minorEastAsia" w:eastAsiaTheme="minorEastAsia" w:cstheme="minorEastAsia"/>
                <w:snapToGrid w:val="0"/>
                <w:color w:val="auto"/>
                <w:kern w:val="0"/>
                <w:sz w:val="21"/>
                <w:szCs w:val="21"/>
                <w:highlight w:val="none"/>
              </w:rPr>
              <w:t>分）</w:t>
            </w:r>
          </w:p>
        </w:tc>
        <w:tc>
          <w:tcPr>
            <w:tcW w:w="3908" w:type="dxa"/>
            <w:tcBorders>
              <w:top w:val="single" w:color="auto" w:sz="4" w:space="0"/>
              <w:left w:val="single" w:color="auto" w:sz="4" w:space="0"/>
              <w:bottom w:val="single" w:color="auto" w:sz="4" w:space="0"/>
              <w:right w:val="single" w:color="auto" w:sz="4" w:space="0"/>
            </w:tcBorders>
            <w:noWrap w:val="0"/>
            <w:vAlign w:val="center"/>
          </w:tcPr>
          <w:p w14:paraId="33A59D47">
            <w:pPr>
              <w:pStyle w:val="24"/>
              <w:wordWrap w:val="0"/>
              <w:spacing w:line="400" w:lineRule="exact"/>
              <w:rPr>
                <w:rFonts w:eastAsia="宋体"/>
                <w:snapToGrid w:val="0"/>
                <w:color w:val="auto"/>
                <w:kern w:val="0"/>
                <w:szCs w:val="21"/>
              </w:rPr>
            </w:pPr>
            <w:r>
              <w:rPr>
                <w:rFonts w:hint="eastAsia" w:eastAsia="宋体"/>
                <w:snapToGrid w:val="0"/>
                <w:color w:val="auto"/>
                <w:kern w:val="0"/>
                <w:szCs w:val="21"/>
              </w:rPr>
              <w:t>【优】得该项评分因素分值的90%～100%（含90%）。</w:t>
            </w:r>
          </w:p>
          <w:p w14:paraId="3BB408FE">
            <w:pPr>
              <w:pStyle w:val="24"/>
              <w:wordWrap w:val="0"/>
              <w:spacing w:line="400" w:lineRule="exact"/>
              <w:rPr>
                <w:rFonts w:eastAsia="宋体"/>
                <w:snapToGrid w:val="0"/>
                <w:color w:val="auto"/>
                <w:kern w:val="0"/>
                <w:szCs w:val="21"/>
              </w:rPr>
            </w:pPr>
            <w:r>
              <w:rPr>
                <w:rFonts w:hint="eastAsia" w:eastAsia="宋体"/>
                <w:snapToGrid w:val="0"/>
                <w:color w:val="auto"/>
                <w:kern w:val="0"/>
                <w:szCs w:val="21"/>
              </w:rPr>
              <w:t>【良】得该项评分因素分值的80%～90%（含80%）。</w:t>
            </w:r>
          </w:p>
          <w:p w14:paraId="5C9BDB90">
            <w:pPr>
              <w:pStyle w:val="24"/>
              <w:wordWrap w:val="0"/>
              <w:spacing w:line="400" w:lineRule="exact"/>
              <w:rPr>
                <w:rFonts w:eastAsia="宋体"/>
                <w:snapToGrid w:val="0"/>
                <w:color w:val="auto"/>
                <w:kern w:val="0"/>
                <w:szCs w:val="21"/>
              </w:rPr>
            </w:pPr>
            <w:r>
              <w:rPr>
                <w:rFonts w:hint="eastAsia" w:eastAsia="宋体"/>
                <w:snapToGrid w:val="0"/>
                <w:color w:val="auto"/>
                <w:kern w:val="0"/>
                <w:szCs w:val="21"/>
              </w:rPr>
              <w:t>【中】得该项评分因素分值的70%～80%（含70%）。</w:t>
            </w:r>
          </w:p>
          <w:p w14:paraId="3BEC1656">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eastAsia="宋体"/>
                <w:snapToGrid w:val="0"/>
                <w:color w:val="auto"/>
                <w:kern w:val="0"/>
                <w:szCs w:val="21"/>
              </w:rPr>
              <w:t>【差】得该项评分因素分值的60%～70%（含60%）。</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7A97F468">
            <w:pPr>
              <w:pStyle w:val="26"/>
              <w:wordWrap w:val="0"/>
              <w:adjustRightInd w:val="0"/>
              <w:snapToGrid w:val="0"/>
              <w:spacing w:line="400" w:lineRule="exact"/>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Theme="minorEastAsia" w:hAnsiTheme="minorEastAsia" w:eastAsiaTheme="minorEastAsia" w:cstheme="minorEastAsia"/>
                <w:b/>
                <w:bCs/>
                <w:snapToGrid w:val="0"/>
                <w:color w:val="auto"/>
                <w:kern w:val="0"/>
                <w:sz w:val="21"/>
                <w:szCs w:val="21"/>
                <w:highlight w:val="none"/>
              </w:rPr>
              <w:t>经济赔偿合理。</w:t>
            </w:r>
          </w:p>
          <w:p w14:paraId="65FE28BF">
            <w:pPr>
              <w:pStyle w:val="26"/>
              <w:wordWrap w:val="0"/>
              <w:adjustRightInd w:val="0"/>
              <w:snapToGrid w:val="0"/>
              <w:spacing w:line="400" w:lineRule="exact"/>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Theme="minorEastAsia" w:hAnsiTheme="minorEastAsia" w:eastAsiaTheme="minorEastAsia" w:cstheme="minorEastAsia"/>
                <w:b/>
                <w:bCs/>
                <w:snapToGrid w:val="0"/>
                <w:color w:val="auto"/>
                <w:kern w:val="0"/>
                <w:sz w:val="21"/>
                <w:szCs w:val="21"/>
                <w:highlight w:val="none"/>
              </w:rPr>
              <w:t>经济赔偿较合理。</w:t>
            </w:r>
          </w:p>
          <w:p w14:paraId="4C1E677D">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【中】关键线路基本准确，计划编制基本合理。关键节点的控制措施基本可行。人、材、机需求和进场计划与进度计划相呼应，基本满足施工需要，调配投入计划基本合理。进度违约责任承诺具体。</w:t>
            </w:r>
          </w:p>
          <w:p w14:paraId="4224E1A5">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【差】关键线路不准确，计划编制不合理。关键节点的控制不可行。人、材、机需求和进场计划与进度计划不相呼应，不能满足施工需要。没有违约责任承诺。</w:t>
            </w:r>
          </w:p>
        </w:tc>
      </w:tr>
      <w:tr w14:paraId="7A7DE396">
        <w:tblPrEx>
          <w:tblCellMar>
            <w:top w:w="0" w:type="dxa"/>
            <w:left w:w="108" w:type="dxa"/>
            <w:bottom w:w="0" w:type="dxa"/>
            <w:right w:w="108" w:type="dxa"/>
          </w:tblCellMar>
        </w:tblPrEx>
        <w:trPr>
          <w:trHeight w:val="885" w:hRule="atLeas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59A13ECA">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质量</w:t>
            </w:r>
          </w:p>
          <w:p w14:paraId="2E49A27A">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保证措施</w:t>
            </w:r>
          </w:p>
          <w:p w14:paraId="54DAB749">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u w:val="single"/>
                <w:lang w:val="en-US" w:eastAsia="zh-CN"/>
              </w:rPr>
              <w:t>2</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rPr>
              <w:t>分）</w:t>
            </w:r>
          </w:p>
        </w:tc>
        <w:tc>
          <w:tcPr>
            <w:tcW w:w="3908" w:type="dxa"/>
            <w:tcBorders>
              <w:top w:val="single" w:color="auto" w:sz="4" w:space="0"/>
              <w:left w:val="single" w:color="auto" w:sz="4" w:space="0"/>
              <w:bottom w:val="single" w:color="auto" w:sz="4" w:space="0"/>
              <w:right w:val="single" w:color="auto" w:sz="4" w:space="0"/>
            </w:tcBorders>
            <w:noWrap w:val="0"/>
            <w:vAlign w:val="center"/>
          </w:tcPr>
          <w:p w14:paraId="5590C8FC">
            <w:pPr>
              <w:pStyle w:val="24"/>
              <w:wordWrap w:val="0"/>
              <w:spacing w:line="400" w:lineRule="exact"/>
              <w:rPr>
                <w:rFonts w:eastAsia="宋体"/>
                <w:snapToGrid w:val="0"/>
                <w:color w:val="auto"/>
                <w:kern w:val="0"/>
                <w:szCs w:val="21"/>
              </w:rPr>
            </w:pPr>
            <w:r>
              <w:rPr>
                <w:rFonts w:hint="eastAsia" w:eastAsia="宋体"/>
                <w:snapToGrid w:val="0"/>
                <w:color w:val="auto"/>
                <w:kern w:val="0"/>
                <w:szCs w:val="21"/>
              </w:rPr>
              <w:t>【优】得该项评分因素分值的90%～100%（含90%）。</w:t>
            </w:r>
          </w:p>
          <w:p w14:paraId="2CE4841D">
            <w:pPr>
              <w:pStyle w:val="24"/>
              <w:wordWrap w:val="0"/>
              <w:spacing w:line="400" w:lineRule="exact"/>
              <w:rPr>
                <w:rFonts w:eastAsia="宋体"/>
                <w:snapToGrid w:val="0"/>
                <w:color w:val="auto"/>
                <w:kern w:val="0"/>
                <w:szCs w:val="21"/>
              </w:rPr>
            </w:pPr>
            <w:r>
              <w:rPr>
                <w:rFonts w:hint="eastAsia" w:eastAsia="宋体"/>
                <w:snapToGrid w:val="0"/>
                <w:color w:val="auto"/>
                <w:kern w:val="0"/>
                <w:szCs w:val="21"/>
              </w:rPr>
              <w:t>【良】得该项评分因素分值的80%～90%（含80%）。</w:t>
            </w:r>
          </w:p>
          <w:p w14:paraId="7F864BE4">
            <w:pPr>
              <w:pStyle w:val="24"/>
              <w:wordWrap w:val="0"/>
              <w:spacing w:line="400" w:lineRule="exact"/>
              <w:rPr>
                <w:rFonts w:eastAsia="宋体"/>
                <w:snapToGrid w:val="0"/>
                <w:color w:val="auto"/>
                <w:kern w:val="0"/>
                <w:szCs w:val="21"/>
              </w:rPr>
            </w:pPr>
            <w:r>
              <w:rPr>
                <w:rFonts w:hint="eastAsia" w:eastAsia="宋体"/>
                <w:snapToGrid w:val="0"/>
                <w:color w:val="auto"/>
                <w:kern w:val="0"/>
                <w:szCs w:val="21"/>
              </w:rPr>
              <w:t>【中】得该项评分因素分值的70%～80%（含70%）。</w:t>
            </w:r>
          </w:p>
          <w:p w14:paraId="20F6FB29">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eastAsia="宋体"/>
                <w:snapToGrid w:val="0"/>
                <w:color w:val="auto"/>
                <w:kern w:val="0"/>
                <w:szCs w:val="21"/>
              </w:rPr>
              <w:t>【差】得该项评分因素分值的60%～70%（含60%）。</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6C2A66B2">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【优】应用新技术、新工艺、新材料、新设备，针对项目实际提出先进、可行、具体的保证措施。超过招标文件的质量要求。</w:t>
            </w:r>
          </w:p>
          <w:p w14:paraId="2D8F9DF4">
            <w:pPr>
              <w:pStyle w:val="5"/>
              <w:wordWrap w:val="0"/>
              <w:adjustRightInd w:val="0"/>
              <w:snapToGrid w:val="0"/>
              <w:spacing w:after="0" w:line="400" w:lineRule="exact"/>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【良】针对项目实际提出先进、可行、具体的保证措施。满足招标文件的质量要求。</w:t>
            </w:r>
          </w:p>
          <w:p w14:paraId="7895F009">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【中】具体措施可行。满足招标文件的质量要求。</w:t>
            </w:r>
          </w:p>
          <w:p w14:paraId="26356536">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【差】措施不可行，没有质量违约责任承诺。</w:t>
            </w:r>
          </w:p>
        </w:tc>
      </w:tr>
      <w:tr w14:paraId="65CEE991">
        <w:tblPrEx>
          <w:tblCellMar>
            <w:top w:w="0" w:type="dxa"/>
            <w:left w:w="108" w:type="dxa"/>
            <w:bottom w:w="0" w:type="dxa"/>
            <w:right w:w="108" w:type="dxa"/>
          </w:tblCellMar>
        </w:tblPrEx>
        <w:trPr>
          <w:trHeight w:val="618" w:hRule="atLeas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746B2F51">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施工</w:t>
            </w:r>
          </w:p>
          <w:p w14:paraId="640A377C">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技术措施</w:t>
            </w:r>
          </w:p>
          <w:p w14:paraId="6C2CED6C">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1</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rPr>
              <w:t>分）</w:t>
            </w:r>
          </w:p>
        </w:tc>
        <w:tc>
          <w:tcPr>
            <w:tcW w:w="3908" w:type="dxa"/>
            <w:tcBorders>
              <w:top w:val="single" w:color="auto" w:sz="4" w:space="0"/>
              <w:left w:val="single" w:color="auto" w:sz="4" w:space="0"/>
              <w:bottom w:val="single" w:color="auto" w:sz="4" w:space="0"/>
              <w:right w:val="single" w:color="auto" w:sz="4" w:space="0"/>
            </w:tcBorders>
            <w:noWrap w:val="0"/>
            <w:vAlign w:val="center"/>
          </w:tcPr>
          <w:p w14:paraId="35F2448B">
            <w:pPr>
              <w:pStyle w:val="24"/>
              <w:wordWrap w:val="0"/>
              <w:spacing w:line="400" w:lineRule="exact"/>
              <w:rPr>
                <w:rFonts w:eastAsia="宋体"/>
                <w:snapToGrid w:val="0"/>
                <w:color w:val="auto"/>
                <w:kern w:val="0"/>
                <w:szCs w:val="21"/>
              </w:rPr>
            </w:pPr>
            <w:r>
              <w:rPr>
                <w:rFonts w:hint="eastAsia" w:eastAsia="宋体"/>
                <w:snapToGrid w:val="0"/>
                <w:color w:val="auto"/>
                <w:kern w:val="0"/>
                <w:szCs w:val="21"/>
              </w:rPr>
              <w:t>【优】得该项评分因素分值的90%～100%（含90%）。</w:t>
            </w:r>
          </w:p>
          <w:p w14:paraId="5A94D4A4">
            <w:pPr>
              <w:pStyle w:val="24"/>
              <w:wordWrap w:val="0"/>
              <w:spacing w:line="400" w:lineRule="exact"/>
              <w:rPr>
                <w:rFonts w:eastAsia="宋体"/>
                <w:snapToGrid w:val="0"/>
                <w:color w:val="auto"/>
                <w:kern w:val="0"/>
                <w:szCs w:val="21"/>
              </w:rPr>
            </w:pPr>
            <w:r>
              <w:rPr>
                <w:rFonts w:hint="eastAsia" w:eastAsia="宋体"/>
                <w:snapToGrid w:val="0"/>
                <w:color w:val="auto"/>
                <w:kern w:val="0"/>
                <w:szCs w:val="21"/>
              </w:rPr>
              <w:t>【良】得该项评分因素分值的80%～90%（含80%）。</w:t>
            </w:r>
          </w:p>
          <w:p w14:paraId="1CE7C3D2">
            <w:pPr>
              <w:pStyle w:val="24"/>
              <w:wordWrap w:val="0"/>
              <w:spacing w:line="400" w:lineRule="exact"/>
              <w:rPr>
                <w:rFonts w:eastAsia="宋体"/>
                <w:snapToGrid w:val="0"/>
                <w:color w:val="auto"/>
                <w:kern w:val="0"/>
                <w:szCs w:val="21"/>
              </w:rPr>
            </w:pPr>
            <w:r>
              <w:rPr>
                <w:rFonts w:hint="eastAsia" w:eastAsia="宋体"/>
                <w:snapToGrid w:val="0"/>
                <w:color w:val="auto"/>
                <w:kern w:val="0"/>
                <w:szCs w:val="21"/>
              </w:rPr>
              <w:t>【中】得该项评分因素分值的70%～80%（含70%）。</w:t>
            </w:r>
          </w:p>
          <w:p w14:paraId="66878256">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eastAsia="宋体"/>
                <w:snapToGrid w:val="0"/>
                <w:color w:val="auto"/>
                <w:kern w:val="0"/>
                <w:szCs w:val="21"/>
              </w:rPr>
              <w:t>【差】得该项评分因素分值的60%～70%（含60%）。</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2AF2A980">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Theme="minorEastAsia" w:hAnsiTheme="minorEastAsia" w:eastAsiaTheme="minorEastAsia" w:cstheme="minorEastAsia"/>
                <w:b/>
                <w:bCs/>
                <w:snapToGrid w:val="0"/>
                <w:color w:val="auto"/>
                <w:kern w:val="0"/>
                <w:sz w:val="21"/>
                <w:szCs w:val="21"/>
                <w:highlight w:val="none"/>
              </w:rPr>
              <w:t>经济赔偿合理。</w:t>
            </w:r>
          </w:p>
          <w:p w14:paraId="01D4570F">
            <w:pPr>
              <w:pStyle w:val="26"/>
              <w:wordWrap w:val="0"/>
              <w:adjustRightInd w:val="0"/>
              <w:snapToGrid w:val="0"/>
              <w:spacing w:line="400" w:lineRule="exact"/>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Theme="minorEastAsia" w:hAnsiTheme="minorEastAsia" w:eastAsiaTheme="minorEastAsia" w:cstheme="minorEastAsia"/>
                <w:b/>
                <w:bCs/>
                <w:snapToGrid w:val="0"/>
                <w:color w:val="auto"/>
                <w:kern w:val="0"/>
                <w:sz w:val="21"/>
                <w:szCs w:val="21"/>
                <w:highlight w:val="none"/>
              </w:rPr>
              <w:t>经济赔偿较合理。</w:t>
            </w:r>
          </w:p>
          <w:p w14:paraId="4886D948">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02C1D4D0">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【差】对项目关键技术有表述，对重点、难点有建议，解决方案不可行。采用的新技术针对性不强或验证材料不可靠，对节约投资、工期没有具体收益。无违约责任承诺。</w:t>
            </w:r>
          </w:p>
        </w:tc>
      </w:tr>
      <w:tr w14:paraId="7882A858">
        <w:tblPrEx>
          <w:tblCellMar>
            <w:top w:w="0" w:type="dxa"/>
            <w:left w:w="108" w:type="dxa"/>
            <w:bottom w:w="0" w:type="dxa"/>
            <w:right w:w="108" w:type="dxa"/>
          </w:tblCellMar>
        </w:tblPrEx>
        <w:trPr>
          <w:trHeight w:val="3207" w:hRule="atLeas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0FC33D71">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绿色施工、</w:t>
            </w:r>
          </w:p>
          <w:p w14:paraId="56D41ADE">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安全防护、</w:t>
            </w:r>
          </w:p>
          <w:p w14:paraId="1C0BB665">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文明施工</w:t>
            </w:r>
          </w:p>
          <w:p w14:paraId="7D70FFD2">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措施计划</w:t>
            </w:r>
          </w:p>
          <w:p w14:paraId="4DD9F17E">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1.5</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rPr>
              <w:t>分）</w:t>
            </w:r>
          </w:p>
        </w:tc>
        <w:tc>
          <w:tcPr>
            <w:tcW w:w="3908" w:type="dxa"/>
            <w:tcBorders>
              <w:top w:val="single" w:color="auto" w:sz="4" w:space="0"/>
              <w:left w:val="single" w:color="auto" w:sz="4" w:space="0"/>
              <w:bottom w:val="single" w:color="auto" w:sz="4" w:space="0"/>
              <w:right w:val="single" w:color="auto" w:sz="4" w:space="0"/>
            </w:tcBorders>
            <w:noWrap w:val="0"/>
            <w:vAlign w:val="center"/>
          </w:tcPr>
          <w:p w14:paraId="1A6802FB">
            <w:pPr>
              <w:pStyle w:val="24"/>
              <w:wordWrap w:val="0"/>
              <w:spacing w:line="400" w:lineRule="exact"/>
              <w:rPr>
                <w:rFonts w:eastAsia="宋体"/>
                <w:snapToGrid w:val="0"/>
                <w:color w:val="auto"/>
                <w:kern w:val="0"/>
                <w:szCs w:val="21"/>
              </w:rPr>
            </w:pPr>
            <w:r>
              <w:rPr>
                <w:rFonts w:hint="eastAsia" w:eastAsia="宋体"/>
                <w:snapToGrid w:val="0"/>
                <w:color w:val="auto"/>
                <w:kern w:val="0"/>
                <w:szCs w:val="21"/>
              </w:rPr>
              <w:t>【优】得该项评分因素分值的90%～100%（含90%）。</w:t>
            </w:r>
          </w:p>
          <w:p w14:paraId="0FC1E3D9">
            <w:pPr>
              <w:pStyle w:val="24"/>
              <w:wordWrap w:val="0"/>
              <w:spacing w:line="400" w:lineRule="exact"/>
              <w:rPr>
                <w:rFonts w:eastAsia="宋体"/>
                <w:snapToGrid w:val="0"/>
                <w:color w:val="auto"/>
                <w:kern w:val="0"/>
                <w:szCs w:val="21"/>
              </w:rPr>
            </w:pPr>
            <w:r>
              <w:rPr>
                <w:rFonts w:hint="eastAsia" w:eastAsia="宋体"/>
                <w:snapToGrid w:val="0"/>
                <w:color w:val="auto"/>
                <w:kern w:val="0"/>
                <w:szCs w:val="21"/>
              </w:rPr>
              <w:t>【良】得该项评分因素分值的80%～90%（含80%）。</w:t>
            </w:r>
          </w:p>
          <w:p w14:paraId="2EC01FCC">
            <w:pPr>
              <w:pStyle w:val="24"/>
              <w:wordWrap w:val="0"/>
              <w:spacing w:line="400" w:lineRule="exact"/>
              <w:rPr>
                <w:rFonts w:eastAsia="宋体"/>
                <w:snapToGrid w:val="0"/>
                <w:color w:val="auto"/>
                <w:kern w:val="0"/>
                <w:szCs w:val="21"/>
              </w:rPr>
            </w:pPr>
            <w:r>
              <w:rPr>
                <w:rFonts w:hint="eastAsia" w:eastAsia="宋体"/>
                <w:snapToGrid w:val="0"/>
                <w:color w:val="auto"/>
                <w:kern w:val="0"/>
                <w:szCs w:val="21"/>
              </w:rPr>
              <w:t>【中】得该项评分因素分值的70%～80%（含70%）。</w:t>
            </w:r>
          </w:p>
          <w:p w14:paraId="190DFCBA">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eastAsia="宋体"/>
                <w:snapToGrid w:val="0"/>
                <w:color w:val="auto"/>
                <w:kern w:val="0"/>
                <w:szCs w:val="21"/>
              </w:rPr>
              <w:t>【差】得该项评分因素分值的60%～70%（含60%）。</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1E0C6CEA">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【优】针对项目实际情况，有先进、具体、完整、可行的措施，采用规范准确、清晰。</w:t>
            </w:r>
          </w:p>
          <w:p w14:paraId="6DBAF35D">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【良】针对项目实际情况，有合理的措施且具体、完整，采用规范准确。</w:t>
            </w:r>
          </w:p>
          <w:p w14:paraId="59477C31">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【中】有基本合理的措施，采用规范准确。</w:t>
            </w:r>
          </w:p>
          <w:p w14:paraId="7192BB7E">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【差】措施不力，采用规范不正确。</w:t>
            </w:r>
          </w:p>
        </w:tc>
      </w:tr>
      <w:tr w14:paraId="1F7DA9B9">
        <w:tblPrEx>
          <w:tblCellMar>
            <w:top w:w="0" w:type="dxa"/>
            <w:left w:w="108" w:type="dxa"/>
            <w:bottom w:w="0" w:type="dxa"/>
            <w:right w:w="108" w:type="dxa"/>
          </w:tblCellMar>
        </w:tblPrEx>
        <w:trPr>
          <w:trHeight w:val="1037" w:hRule="atLeas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44015AA4">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施工平面</w:t>
            </w:r>
          </w:p>
          <w:p w14:paraId="476E5C7E">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布置和临时设施布置</w:t>
            </w:r>
          </w:p>
          <w:p w14:paraId="76668965">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1</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rPr>
              <w:t>分）</w:t>
            </w:r>
          </w:p>
        </w:tc>
        <w:tc>
          <w:tcPr>
            <w:tcW w:w="3908" w:type="dxa"/>
            <w:tcBorders>
              <w:top w:val="single" w:color="auto" w:sz="4" w:space="0"/>
              <w:left w:val="single" w:color="auto" w:sz="4" w:space="0"/>
              <w:bottom w:val="single" w:color="auto" w:sz="4" w:space="0"/>
              <w:right w:val="single" w:color="auto" w:sz="4" w:space="0"/>
            </w:tcBorders>
            <w:noWrap w:val="0"/>
            <w:vAlign w:val="center"/>
          </w:tcPr>
          <w:p w14:paraId="32BC7C69">
            <w:pPr>
              <w:pStyle w:val="24"/>
              <w:wordWrap w:val="0"/>
              <w:spacing w:line="400" w:lineRule="exact"/>
              <w:rPr>
                <w:rFonts w:eastAsia="宋体"/>
                <w:snapToGrid w:val="0"/>
                <w:color w:val="auto"/>
                <w:kern w:val="0"/>
                <w:szCs w:val="21"/>
              </w:rPr>
            </w:pPr>
            <w:r>
              <w:rPr>
                <w:rFonts w:hint="eastAsia" w:eastAsia="宋体"/>
                <w:snapToGrid w:val="0"/>
                <w:color w:val="auto"/>
                <w:kern w:val="0"/>
                <w:szCs w:val="21"/>
              </w:rPr>
              <w:t>【优】得该项评分因素分值的90%～100%（含90%）。</w:t>
            </w:r>
          </w:p>
          <w:p w14:paraId="0121AE62">
            <w:pPr>
              <w:pStyle w:val="24"/>
              <w:wordWrap w:val="0"/>
              <w:spacing w:line="400" w:lineRule="exact"/>
              <w:rPr>
                <w:rFonts w:eastAsia="宋体"/>
                <w:snapToGrid w:val="0"/>
                <w:color w:val="auto"/>
                <w:kern w:val="0"/>
                <w:szCs w:val="21"/>
              </w:rPr>
            </w:pPr>
            <w:r>
              <w:rPr>
                <w:rFonts w:hint="eastAsia" w:eastAsia="宋体"/>
                <w:snapToGrid w:val="0"/>
                <w:color w:val="auto"/>
                <w:kern w:val="0"/>
                <w:szCs w:val="21"/>
              </w:rPr>
              <w:t>【良】得该项评分因素分值的80%～90%（含80%）。</w:t>
            </w:r>
          </w:p>
          <w:p w14:paraId="1977AC7C">
            <w:pPr>
              <w:pStyle w:val="24"/>
              <w:wordWrap w:val="0"/>
              <w:spacing w:line="400" w:lineRule="exact"/>
              <w:rPr>
                <w:rFonts w:eastAsia="宋体"/>
                <w:snapToGrid w:val="0"/>
                <w:color w:val="auto"/>
                <w:kern w:val="0"/>
                <w:szCs w:val="21"/>
              </w:rPr>
            </w:pPr>
            <w:r>
              <w:rPr>
                <w:rFonts w:hint="eastAsia" w:eastAsia="宋体"/>
                <w:snapToGrid w:val="0"/>
                <w:color w:val="auto"/>
                <w:kern w:val="0"/>
                <w:szCs w:val="21"/>
              </w:rPr>
              <w:t>【中】得该项评分因素分值的70%～80%（含70%）。</w:t>
            </w:r>
          </w:p>
          <w:p w14:paraId="6F9EC81B">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eastAsia="宋体"/>
                <w:snapToGrid w:val="0"/>
                <w:color w:val="auto"/>
                <w:kern w:val="0"/>
                <w:szCs w:val="21"/>
              </w:rPr>
              <w:t>【差】得该项评分因素分值的60%～70%（含60%）。</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3F8D5EED">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【优】总体布置有针对性、合理，较好满足施工需要，符合绿色施工、安全防护、文明施工要求。</w:t>
            </w:r>
          </w:p>
          <w:p w14:paraId="2E9A98A3">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【良】总体布置合理，能满足施工需要，基本符合绿色施工、安全防护、文明施工要求。</w:t>
            </w:r>
          </w:p>
          <w:p w14:paraId="6F6CEA67">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【中】总体布置基本合理，基本满足施工需要。</w:t>
            </w:r>
          </w:p>
          <w:p w14:paraId="73E3F3DF">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【差】总体布置不合理，不符合绿色施工、安全防护、文明施工要求。</w:t>
            </w:r>
          </w:p>
        </w:tc>
      </w:tr>
      <w:tr w14:paraId="19B68F57">
        <w:tblPrEx>
          <w:tblCellMar>
            <w:top w:w="0" w:type="dxa"/>
            <w:left w:w="108" w:type="dxa"/>
            <w:bottom w:w="0" w:type="dxa"/>
            <w:right w:w="108" w:type="dxa"/>
          </w:tblCellMar>
        </w:tblPrEx>
        <w:trPr>
          <w:trHeight w:val="9140" w:hRule="atLeas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45E972AC">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项目</w:t>
            </w:r>
          </w:p>
          <w:p w14:paraId="7A86E9B6">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管理机构</w:t>
            </w:r>
          </w:p>
          <w:p w14:paraId="25DF619C">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1.5</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rPr>
              <w:t>分）</w:t>
            </w:r>
          </w:p>
        </w:tc>
        <w:tc>
          <w:tcPr>
            <w:tcW w:w="3908" w:type="dxa"/>
            <w:tcBorders>
              <w:top w:val="single" w:color="auto" w:sz="4" w:space="0"/>
              <w:left w:val="single" w:color="auto" w:sz="4" w:space="0"/>
              <w:bottom w:val="single" w:color="auto" w:sz="4" w:space="0"/>
              <w:right w:val="single" w:color="auto" w:sz="4" w:space="0"/>
            </w:tcBorders>
            <w:noWrap w:val="0"/>
            <w:vAlign w:val="center"/>
          </w:tcPr>
          <w:p w14:paraId="30B21D6C">
            <w:pPr>
              <w:pStyle w:val="24"/>
              <w:wordWrap w:val="0"/>
              <w:spacing w:line="400" w:lineRule="exact"/>
              <w:rPr>
                <w:rFonts w:eastAsia="宋体"/>
                <w:snapToGrid w:val="0"/>
                <w:color w:val="auto"/>
                <w:kern w:val="0"/>
                <w:szCs w:val="21"/>
              </w:rPr>
            </w:pPr>
            <w:r>
              <w:rPr>
                <w:rFonts w:hint="eastAsia" w:eastAsia="宋体"/>
                <w:snapToGrid w:val="0"/>
                <w:color w:val="auto"/>
                <w:kern w:val="0"/>
                <w:szCs w:val="21"/>
              </w:rPr>
              <w:t>【优】得该项评分因素分值的90%～100%（含90%）。</w:t>
            </w:r>
          </w:p>
          <w:p w14:paraId="13327779">
            <w:pPr>
              <w:pStyle w:val="24"/>
              <w:wordWrap w:val="0"/>
              <w:spacing w:line="400" w:lineRule="exact"/>
              <w:rPr>
                <w:rFonts w:eastAsia="宋体"/>
                <w:snapToGrid w:val="0"/>
                <w:color w:val="auto"/>
                <w:kern w:val="0"/>
                <w:szCs w:val="21"/>
              </w:rPr>
            </w:pPr>
            <w:r>
              <w:rPr>
                <w:rFonts w:hint="eastAsia" w:eastAsia="宋体"/>
                <w:snapToGrid w:val="0"/>
                <w:color w:val="auto"/>
                <w:kern w:val="0"/>
                <w:szCs w:val="21"/>
              </w:rPr>
              <w:t>【良】得该项评分因素分值的80%～90%（含80%）。</w:t>
            </w:r>
          </w:p>
          <w:p w14:paraId="52EEEC21">
            <w:pPr>
              <w:pStyle w:val="24"/>
              <w:wordWrap w:val="0"/>
              <w:spacing w:line="400" w:lineRule="exact"/>
              <w:rPr>
                <w:rFonts w:eastAsia="宋体"/>
                <w:snapToGrid w:val="0"/>
                <w:color w:val="auto"/>
                <w:kern w:val="0"/>
                <w:szCs w:val="21"/>
              </w:rPr>
            </w:pPr>
            <w:r>
              <w:rPr>
                <w:rFonts w:hint="eastAsia" w:eastAsia="宋体"/>
                <w:snapToGrid w:val="0"/>
                <w:color w:val="auto"/>
                <w:kern w:val="0"/>
                <w:szCs w:val="21"/>
              </w:rPr>
              <w:t>【中】得该项评分因素分值的70%～80%（含70%）。</w:t>
            </w:r>
          </w:p>
          <w:p w14:paraId="3725D1BE">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eastAsia="宋体"/>
                <w:snapToGrid w:val="0"/>
                <w:color w:val="auto"/>
                <w:kern w:val="0"/>
                <w:szCs w:val="21"/>
              </w:rPr>
              <w:t>【差】得该项评分因素分值的60%～70%（含60%）。</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6C21F056">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【优】组织机构形式合理，有完善的指挥系统，生产及质量、绿色施工、安全、文明施工、创优达标监控系统、联络协调系统，项目管理人员内高级职称人员</w:t>
            </w:r>
            <w:r>
              <w:rPr>
                <w:rFonts w:hint="eastAsia" w:asciiTheme="minorEastAsia" w:hAnsiTheme="minorEastAsia" w:eastAsiaTheme="minorEastAsia" w:cstheme="minorEastAsia"/>
                <w:snapToGrid w:val="0"/>
                <w:color w:val="auto"/>
                <w:kern w:val="0"/>
                <w:sz w:val="21"/>
                <w:szCs w:val="21"/>
                <w:highlight w:val="none"/>
                <w:lang w:val="en-US" w:eastAsia="zh-CN"/>
              </w:rPr>
              <w:t>15</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15</w:t>
            </w:r>
            <w:r>
              <w:rPr>
                <w:rFonts w:hint="eastAsia" w:asciiTheme="minorEastAsia" w:hAnsiTheme="minorEastAsia" w:eastAsiaTheme="minorEastAsia" w:cstheme="minorEastAsia"/>
                <w:snapToGrid w:val="0"/>
                <w:color w:val="auto"/>
                <w:kern w:val="0"/>
                <w:sz w:val="21"/>
                <w:szCs w:val="21"/>
                <w:highlight w:val="none"/>
              </w:rPr>
              <w:t>%）以上、中级职称人员</w:t>
            </w:r>
            <w:r>
              <w:rPr>
                <w:rFonts w:hint="eastAsia" w:asciiTheme="minorEastAsia" w:hAnsiTheme="minorEastAsia" w:eastAsiaTheme="minorEastAsia" w:cstheme="minorEastAsia"/>
                <w:b/>
                <w:bCs/>
                <w:snapToGrid w:val="0"/>
                <w:color w:val="auto"/>
                <w:kern w:val="0"/>
                <w:sz w:val="21"/>
                <w:szCs w:val="21"/>
                <w:highlight w:val="none"/>
              </w:rPr>
              <w:t>及以上职称</w:t>
            </w:r>
            <w:r>
              <w:rPr>
                <w:rFonts w:hint="eastAsia" w:asciiTheme="minorEastAsia" w:hAnsiTheme="minorEastAsia" w:eastAsiaTheme="minorEastAsia" w:cstheme="minorEastAsia"/>
                <w:snapToGrid w:val="0"/>
                <w:color w:val="auto"/>
                <w:kern w:val="0"/>
                <w:sz w:val="21"/>
                <w:szCs w:val="21"/>
                <w:highlight w:val="none"/>
              </w:rPr>
              <w:t>60%（含60%）以上。</w:t>
            </w:r>
          </w:p>
          <w:p w14:paraId="300F2128">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【良】组织机构形式合理，指挥系统，生产及质量、绿色施工、安全、文明施工、创优达标监控系统、联络协调系统齐全，项目管理人员内高级职称人员</w:t>
            </w:r>
            <w:r>
              <w:rPr>
                <w:rFonts w:hint="eastAsia" w:asciiTheme="minorEastAsia" w:hAnsiTheme="minorEastAsia" w:eastAsiaTheme="minorEastAsia" w:cstheme="minorEastAsia"/>
                <w:snapToGrid w:val="0"/>
                <w:color w:val="auto"/>
                <w:kern w:val="0"/>
                <w:sz w:val="21"/>
                <w:szCs w:val="21"/>
                <w:highlight w:val="none"/>
                <w:lang w:val="en-US" w:eastAsia="zh-CN"/>
              </w:rPr>
              <w:t>10</w:t>
            </w: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15</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10</w:t>
            </w:r>
            <w:r>
              <w:rPr>
                <w:rFonts w:hint="eastAsia" w:asciiTheme="minorEastAsia" w:hAnsiTheme="minorEastAsia" w:eastAsiaTheme="minorEastAsia" w:cstheme="minorEastAsia"/>
                <w:snapToGrid w:val="0"/>
                <w:color w:val="auto"/>
                <w:kern w:val="0"/>
                <w:sz w:val="21"/>
                <w:szCs w:val="21"/>
                <w:highlight w:val="none"/>
              </w:rPr>
              <w:t>%）、中级职称</w:t>
            </w:r>
            <w:r>
              <w:rPr>
                <w:rFonts w:hint="eastAsia" w:asciiTheme="minorEastAsia" w:hAnsiTheme="minorEastAsia" w:eastAsiaTheme="minorEastAsia" w:cstheme="minorEastAsia"/>
                <w:b/>
                <w:bCs/>
                <w:snapToGrid w:val="0"/>
                <w:color w:val="auto"/>
                <w:kern w:val="0"/>
                <w:sz w:val="21"/>
                <w:szCs w:val="21"/>
                <w:highlight w:val="none"/>
              </w:rPr>
              <w:t>及以上职称</w:t>
            </w:r>
            <w:r>
              <w:rPr>
                <w:rFonts w:hint="eastAsia" w:asciiTheme="minorEastAsia" w:hAnsiTheme="minorEastAsia" w:eastAsiaTheme="minorEastAsia" w:cstheme="minorEastAsia"/>
                <w:snapToGrid w:val="0"/>
                <w:color w:val="auto"/>
                <w:kern w:val="0"/>
                <w:sz w:val="21"/>
                <w:szCs w:val="21"/>
                <w:highlight w:val="none"/>
              </w:rPr>
              <w:t>人员50%～60%（含50%）。</w:t>
            </w:r>
          </w:p>
          <w:p w14:paraId="23C8483A">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【中】组织机构形式基本合理，有指挥系统，生产及质量、绿色施工、安全、文明施工、创优达标监控系统、联络协调系统，项目管理人员内高级职称人员</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10</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%）、中级职称人员</w:t>
            </w:r>
            <w:r>
              <w:rPr>
                <w:rFonts w:hint="eastAsia" w:asciiTheme="minorEastAsia" w:hAnsiTheme="minorEastAsia" w:eastAsiaTheme="minorEastAsia" w:cstheme="minorEastAsia"/>
                <w:b/>
                <w:bCs/>
                <w:snapToGrid w:val="0"/>
                <w:color w:val="auto"/>
                <w:kern w:val="0"/>
                <w:sz w:val="21"/>
                <w:szCs w:val="21"/>
                <w:highlight w:val="none"/>
              </w:rPr>
              <w:t>及以上职称</w:t>
            </w:r>
            <w:r>
              <w:rPr>
                <w:rFonts w:hint="eastAsia" w:asciiTheme="minorEastAsia" w:hAnsiTheme="minorEastAsia" w:eastAsiaTheme="minorEastAsia" w:cstheme="minorEastAsia"/>
                <w:snapToGrid w:val="0"/>
                <w:color w:val="auto"/>
                <w:kern w:val="0"/>
                <w:sz w:val="21"/>
                <w:szCs w:val="21"/>
                <w:highlight w:val="none"/>
              </w:rPr>
              <w:t>40%～50%（含40%）。</w:t>
            </w:r>
          </w:p>
          <w:p w14:paraId="284A5141">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【差】组织机构形式合理，指挥系统，生产及质量、绿色施工、安全、文明施工、创优达标监控系统、联络协调系统不齐全，项目管理人员内高级职称人员10%以下、中级职称人员</w:t>
            </w:r>
            <w:r>
              <w:rPr>
                <w:rFonts w:hint="eastAsia" w:asciiTheme="minorEastAsia" w:hAnsiTheme="minorEastAsia" w:eastAsiaTheme="minorEastAsia" w:cstheme="minorEastAsia"/>
                <w:b/>
                <w:bCs/>
                <w:snapToGrid w:val="0"/>
                <w:color w:val="auto"/>
                <w:kern w:val="0"/>
                <w:sz w:val="21"/>
                <w:szCs w:val="21"/>
                <w:highlight w:val="none"/>
              </w:rPr>
              <w:t>及以上职称</w:t>
            </w:r>
            <w:r>
              <w:rPr>
                <w:rFonts w:hint="eastAsia" w:asciiTheme="minorEastAsia" w:hAnsiTheme="minorEastAsia" w:eastAsiaTheme="minorEastAsia" w:cstheme="minorEastAsia"/>
                <w:snapToGrid w:val="0"/>
                <w:color w:val="auto"/>
                <w:kern w:val="0"/>
                <w:sz w:val="21"/>
                <w:szCs w:val="21"/>
                <w:highlight w:val="none"/>
              </w:rPr>
              <w:t>40%以下。</w:t>
            </w:r>
          </w:p>
        </w:tc>
      </w:tr>
      <w:tr w14:paraId="4B764B09">
        <w:tblPrEx>
          <w:tblCellMar>
            <w:top w:w="0" w:type="dxa"/>
            <w:left w:w="108" w:type="dxa"/>
            <w:bottom w:w="0" w:type="dxa"/>
            <w:right w:w="108" w:type="dxa"/>
          </w:tblCellMar>
        </w:tblPrEx>
        <w:trPr>
          <w:trHeight w:val="470" w:hRule="exact"/>
          <w:jc w:val="center"/>
        </w:trPr>
        <w:tc>
          <w:tcPr>
            <w:tcW w:w="9966"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3289E051">
            <w:pPr>
              <w:pStyle w:val="26"/>
              <w:wordWrap w:val="0"/>
              <w:adjustRightInd w:val="0"/>
              <w:snapToGrid w:val="0"/>
              <w:spacing w:line="36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投标报价部分，满分：</w:t>
            </w:r>
            <w:r>
              <w:rPr>
                <w:rFonts w:hint="eastAsia" w:asciiTheme="minorEastAsia" w:hAnsiTheme="minorEastAsia" w:eastAsiaTheme="minorEastAsia" w:cstheme="minorEastAsia"/>
                <w:snapToGrid w:val="0"/>
                <w:color w:val="auto"/>
                <w:kern w:val="0"/>
                <w:sz w:val="21"/>
                <w:szCs w:val="21"/>
                <w:highlight w:val="none"/>
                <w:lang w:val="en-US" w:eastAsia="zh-CN"/>
              </w:rPr>
              <w:t>60</w:t>
            </w:r>
            <w:r>
              <w:rPr>
                <w:rFonts w:hint="eastAsia" w:asciiTheme="minorEastAsia" w:hAnsiTheme="minorEastAsia" w:eastAsiaTheme="minorEastAsia" w:cstheme="minorEastAsia"/>
                <w:snapToGrid w:val="0"/>
                <w:color w:val="auto"/>
                <w:kern w:val="0"/>
                <w:sz w:val="21"/>
                <w:szCs w:val="21"/>
                <w:highlight w:val="none"/>
              </w:rPr>
              <w:t>分。</w:t>
            </w:r>
          </w:p>
        </w:tc>
      </w:tr>
      <w:tr w14:paraId="3632823B">
        <w:tblPrEx>
          <w:tblCellMar>
            <w:top w:w="0" w:type="dxa"/>
            <w:left w:w="108" w:type="dxa"/>
            <w:bottom w:w="0" w:type="dxa"/>
            <w:right w:w="108" w:type="dxa"/>
          </w:tblCellMar>
        </w:tblPrEx>
        <w:trPr>
          <w:trHeight w:val="464" w:hRule="exac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34719512">
            <w:pPr>
              <w:pStyle w:val="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评分事项</w:t>
            </w:r>
          </w:p>
        </w:tc>
        <w:tc>
          <w:tcPr>
            <w:tcW w:w="8489" w:type="dxa"/>
            <w:gridSpan w:val="2"/>
            <w:tcBorders>
              <w:top w:val="single" w:color="auto" w:sz="4" w:space="0"/>
              <w:left w:val="single" w:color="auto" w:sz="4" w:space="0"/>
              <w:bottom w:val="single" w:color="auto" w:sz="4" w:space="0"/>
              <w:right w:val="single" w:color="auto" w:sz="4" w:space="0"/>
            </w:tcBorders>
            <w:noWrap w:val="0"/>
            <w:vAlign w:val="center"/>
          </w:tcPr>
          <w:p w14:paraId="0BEB13DD">
            <w:pPr>
              <w:pStyle w:val="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评分方法</w:t>
            </w:r>
          </w:p>
        </w:tc>
      </w:tr>
      <w:tr w14:paraId="2CBEDDC6">
        <w:tblPrEx>
          <w:tblCellMar>
            <w:top w:w="0" w:type="dxa"/>
            <w:left w:w="108" w:type="dxa"/>
            <w:bottom w:w="0" w:type="dxa"/>
            <w:right w:w="108" w:type="dxa"/>
          </w:tblCellMar>
        </w:tblPrEx>
        <w:trPr>
          <w:trHeight w:val="4899" w:hRule="atLeas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778661B6">
            <w:pPr>
              <w:pStyle w:val="2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评标基准价D</w:t>
            </w:r>
          </w:p>
        </w:tc>
        <w:tc>
          <w:tcPr>
            <w:tcW w:w="8489" w:type="dxa"/>
            <w:gridSpan w:val="2"/>
            <w:tcBorders>
              <w:top w:val="single" w:color="auto" w:sz="4" w:space="0"/>
              <w:left w:val="single" w:color="auto" w:sz="4" w:space="0"/>
              <w:bottom w:val="single" w:color="auto" w:sz="4" w:space="0"/>
              <w:right w:val="single" w:color="auto" w:sz="4" w:space="0"/>
            </w:tcBorders>
            <w:noWrap w:val="0"/>
            <w:vAlign w:val="center"/>
          </w:tcPr>
          <w:p w14:paraId="47D137B2">
            <w:pPr>
              <w:wordWrap w:val="0"/>
              <w:adjustRightInd w:val="0"/>
              <w:snapToGrid w:val="0"/>
              <w:spacing w:line="360" w:lineRule="exact"/>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（1）确定</w:t>
            </w:r>
            <w:r>
              <w:rPr>
                <w:rFonts w:hint="eastAsia" w:asciiTheme="minorEastAsia" w:hAnsiTheme="minorEastAsia" w:eastAsiaTheme="minorEastAsia" w:cstheme="minorEastAsia"/>
                <w:snapToGrid w:val="0"/>
                <w:color w:val="auto"/>
                <w:kern w:val="0"/>
                <w:sz w:val="21"/>
                <w:szCs w:val="21"/>
                <w:highlight w:val="none"/>
                <w:lang w:val="en-US" w:eastAsia="zh-CN"/>
              </w:rPr>
              <w:t>最高投标限价</w:t>
            </w:r>
            <w:r>
              <w:rPr>
                <w:rFonts w:hint="eastAsia" w:asciiTheme="minorEastAsia" w:hAnsiTheme="minorEastAsia" w:eastAsiaTheme="minorEastAsia" w:cstheme="minorEastAsia"/>
                <w:snapToGrid w:val="0"/>
                <w:color w:val="auto"/>
                <w:kern w:val="0"/>
                <w:sz w:val="21"/>
                <w:szCs w:val="21"/>
                <w:highlight w:val="none"/>
              </w:rPr>
              <w:t>下浮系数n：用1～21号球分别代表一个下浮系数，由评委代表从这21个号码中随机抽取</w:t>
            </w:r>
            <w:r>
              <w:rPr>
                <w:rFonts w:hint="eastAsia" w:asciiTheme="minorEastAsia" w:hAnsiTheme="minorEastAsia" w:eastAsiaTheme="minorEastAsia" w:cstheme="minorEastAsia"/>
                <w:snapToGrid w:val="0"/>
                <w:color w:val="auto"/>
                <w:kern w:val="0"/>
                <w:sz w:val="21"/>
                <w:szCs w:val="21"/>
                <w:highlight w:val="none"/>
                <w:u w:val="single"/>
              </w:rPr>
              <w:t xml:space="preserve"> 3 </w:t>
            </w:r>
            <w:r>
              <w:rPr>
                <w:rFonts w:hint="eastAsia" w:asciiTheme="minorEastAsia" w:hAnsiTheme="minorEastAsia" w:eastAsiaTheme="minorEastAsia" w:cstheme="minorEastAsia"/>
                <w:snapToGrid w:val="0"/>
                <w:color w:val="auto"/>
                <w:kern w:val="0"/>
                <w:sz w:val="21"/>
                <w:szCs w:val="21"/>
                <w:highlight w:val="none"/>
              </w:rPr>
              <w:t>次，每次抽取1个号码，抽出的号球不参与下次抽取。所抽取的3个号码对应下浮系数的算术平均值作为</w:t>
            </w:r>
            <w:r>
              <w:rPr>
                <w:rFonts w:hint="eastAsia" w:asciiTheme="minorEastAsia" w:hAnsiTheme="minorEastAsia" w:eastAsiaTheme="minorEastAsia" w:cstheme="minorEastAsia"/>
                <w:snapToGrid w:val="0"/>
                <w:color w:val="auto"/>
                <w:kern w:val="0"/>
                <w:sz w:val="21"/>
                <w:szCs w:val="21"/>
                <w:highlight w:val="none"/>
                <w:lang w:val="en-US" w:eastAsia="zh-CN"/>
              </w:rPr>
              <w:t>最高投标限价</w:t>
            </w:r>
            <w:r>
              <w:rPr>
                <w:rFonts w:hint="eastAsia" w:asciiTheme="minorEastAsia" w:hAnsiTheme="minorEastAsia" w:eastAsiaTheme="minorEastAsia" w:cstheme="minorEastAsia"/>
                <w:snapToGrid w:val="0"/>
                <w:color w:val="auto"/>
                <w:kern w:val="0"/>
                <w:sz w:val="21"/>
                <w:szCs w:val="21"/>
                <w:highlight w:val="none"/>
              </w:rPr>
              <w:t>下浮系数n。具体号码对应的下浮系数可参考下表。</w:t>
            </w:r>
          </w:p>
          <w:tbl>
            <w:tblPr>
              <w:tblStyle w:val="14"/>
              <w:tblW w:w="7936" w:type="dxa"/>
              <w:jc w:val="center"/>
              <w:tblLayout w:type="fixed"/>
              <w:tblCellMar>
                <w:top w:w="0" w:type="dxa"/>
                <w:left w:w="108" w:type="dxa"/>
                <w:bottom w:w="0" w:type="dxa"/>
                <w:right w:w="108" w:type="dxa"/>
              </w:tblCellMar>
            </w:tblPr>
            <w:tblGrid>
              <w:gridCol w:w="1818"/>
              <w:gridCol w:w="828"/>
              <w:gridCol w:w="865"/>
              <w:gridCol w:w="901"/>
              <w:gridCol w:w="885"/>
              <w:gridCol w:w="921"/>
              <w:gridCol w:w="864"/>
              <w:gridCol w:w="854"/>
            </w:tblGrid>
            <w:tr w14:paraId="2400A29A">
              <w:tblPrEx>
                <w:tblCellMar>
                  <w:top w:w="0" w:type="dxa"/>
                  <w:left w:w="108" w:type="dxa"/>
                  <w:bottom w:w="0" w:type="dxa"/>
                  <w:right w:w="108" w:type="dxa"/>
                </w:tblCellMar>
              </w:tblPrEx>
              <w:trPr>
                <w:trHeight w:val="357" w:hRule="atLeas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5164D8EE">
                  <w:pPr>
                    <w:wordWrap w:val="0"/>
                    <w:adjustRightInd w:val="0"/>
                    <w:snapToGrid w:val="0"/>
                    <w:spacing w:line="360" w:lineRule="exact"/>
                    <w:jc w:val="center"/>
                    <w:rPr>
                      <w:rFonts w:hint="eastAsia" w:asciiTheme="minorEastAsia" w:hAnsiTheme="minorEastAsia" w:eastAsiaTheme="minorEastAsia" w:cstheme="minorEastAsia"/>
                      <w:b/>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号球</w:t>
                  </w:r>
                </w:p>
              </w:tc>
              <w:tc>
                <w:tcPr>
                  <w:tcW w:w="82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0706AB26">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w:t>
                  </w:r>
                </w:p>
              </w:tc>
              <w:tc>
                <w:tcPr>
                  <w:tcW w:w="86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2604C6BC">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w:t>
                  </w:r>
                </w:p>
              </w:tc>
              <w:tc>
                <w:tcPr>
                  <w:tcW w:w="901"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79557581">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w:t>
                  </w:r>
                </w:p>
              </w:tc>
              <w:tc>
                <w:tcPr>
                  <w:tcW w:w="88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7928E5EE">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w:t>
                  </w:r>
                </w:p>
              </w:tc>
              <w:tc>
                <w:tcPr>
                  <w:tcW w:w="921"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03FB430A">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5</w:t>
                  </w:r>
                </w:p>
              </w:tc>
              <w:tc>
                <w:tcPr>
                  <w:tcW w:w="86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670EB22F">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6</w:t>
                  </w:r>
                </w:p>
              </w:tc>
              <w:tc>
                <w:tcPr>
                  <w:tcW w:w="85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1D2081B1">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7</w:t>
                  </w:r>
                </w:p>
              </w:tc>
            </w:tr>
            <w:tr w14:paraId="60EC9423">
              <w:tblPrEx>
                <w:tblCellMar>
                  <w:top w:w="0" w:type="dxa"/>
                  <w:left w:w="108" w:type="dxa"/>
                  <w:bottom w:w="0" w:type="dxa"/>
                  <w:right w:w="108" w:type="dxa"/>
                </w:tblCellMar>
              </w:tblPrEx>
              <w:trPr>
                <w:trHeight w:val="543" w:hRule="atLeast"/>
                <w:jc w:val="center"/>
              </w:trPr>
              <w:tc>
                <w:tcPr>
                  <w:tcW w:w="1818" w:type="dxa"/>
                  <w:tcBorders>
                    <w:top w:val="single" w:color="000000" w:sz="4" w:space="0"/>
                    <w:left w:val="single" w:color="000000" w:sz="4" w:space="0"/>
                    <w:bottom w:val="single" w:color="000000" w:sz="4" w:space="0"/>
                    <w:right w:val="single" w:color="000000" w:sz="4" w:space="0"/>
                  </w:tcBorders>
                  <w:noWrap w:val="0"/>
                  <w:vAlign w:val="center"/>
                </w:tcPr>
                <w:p w14:paraId="67A5AEDD">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下浮系数（%）</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34BCFBB">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1.0</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940A564">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FF0E833">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1.2</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1781FDD">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1.3</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FCE802F">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1.4</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34CCDFA">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1.5</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EC8DB86">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1.6</w:t>
                  </w:r>
                </w:p>
              </w:tc>
            </w:tr>
            <w:tr w14:paraId="233E781D">
              <w:tblPrEx>
                <w:tblCellMar>
                  <w:top w:w="0" w:type="dxa"/>
                  <w:left w:w="108" w:type="dxa"/>
                  <w:bottom w:w="0" w:type="dxa"/>
                  <w:right w:w="108" w:type="dxa"/>
                </w:tblCellMar>
              </w:tblPrEx>
              <w:trPr>
                <w:trHeight w:val="401" w:hRule="atLeas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2680E1A5">
                  <w:pPr>
                    <w:wordWrap w:val="0"/>
                    <w:adjustRightInd w:val="0"/>
                    <w:snapToGrid w:val="0"/>
                    <w:spacing w:line="360" w:lineRule="exact"/>
                    <w:jc w:val="center"/>
                    <w:rPr>
                      <w:rFonts w:hint="eastAsia" w:asciiTheme="minorEastAsia" w:hAnsiTheme="minorEastAsia" w:eastAsiaTheme="minorEastAsia" w:cstheme="minorEastAsia"/>
                      <w:b/>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号球</w:t>
                  </w:r>
                </w:p>
              </w:tc>
              <w:tc>
                <w:tcPr>
                  <w:tcW w:w="82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1887D6D4">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8</w:t>
                  </w:r>
                </w:p>
              </w:tc>
              <w:tc>
                <w:tcPr>
                  <w:tcW w:w="86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0FF7DD71">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9</w:t>
                  </w:r>
                </w:p>
              </w:tc>
              <w:tc>
                <w:tcPr>
                  <w:tcW w:w="901"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3A8205F6">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344A522E">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11</w:t>
                  </w:r>
                </w:p>
              </w:tc>
              <w:tc>
                <w:tcPr>
                  <w:tcW w:w="921"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0541CE9B">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12</w:t>
                  </w:r>
                </w:p>
              </w:tc>
              <w:tc>
                <w:tcPr>
                  <w:tcW w:w="86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5940AA3C">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13</w:t>
                  </w:r>
                </w:p>
              </w:tc>
              <w:tc>
                <w:tcPr>
                  <w:tcW w:w="85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0F9CCA19">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14</w:t>
                  </w:r>
                </w:p>
              </w:tc>
            </w:tr>
            <w:tr w14:paraId="5F9F0B39">
              <w:tblPrEx>
                <w:tblCellMar>
                  <w:top w:w="0" w:type="dxa"/>
                  <w:left w:w="108" w:type="dxa"/>
                  <w:bottom w:w="0" w:type="dxa"/>
                  <w:right w:w="108" w:type="dxa"/>
                </w:tblCellMar>
              </w:tblPrEx>
              <w:trPr>
                <w:trHeight w:val="543" w:hRule="atLeast"/>
                <w:jc w:val="center"/>
              </w:trPr>
              <w:tc>
                <w:tcPr>
                  <w:tcW w:w="1818" w:type="dxa"/>
                  <w:tcBorders>
                    <w:top w:val="single" w:color="000000" w:sz="4" w:space="0"/>
                    <w:left w:val="single" w:color="000000" w:sz="4" w:space="0"/>
                    <w:bottom w:val="single" w:color="000000" w:sz="4" w:space="0"/>
                    <w:right w:val="single" w:color="000000" w:sz="4" w:space="0"/>
                  </w:tcBorders>
                  <w:noWrap w:val="0"/>
                  <w:vAlign w:val="center"/>
                </w:tcPr>
                <w:p w14:paraId="01C6B35B">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下浮系数（%）</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E71BB7D">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1.7</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1A7ED668">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1.8</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423FB8B">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1.9</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57E402C">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17567B2D">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0A4F183">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97FC465">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2.3</w:t>
                  </w:r>
                </w:p>
              </w:tc>
            </w:tr>
            <w:tr w14:paraId="7482A117">
              <w:tblPrEx>
                <w:tblCellMar>
                  <w:top w:w="0" w:type="dxa"/>
                  <w:left w:w="108" w:type="dxa"/>
                  <w:bottom w:w="0" w:type="dxa"/>
                  <w:right w:w="108" w:type="dxa"/>
                </w:tblCellMar>
              </w:tblPrEx>
              <w:trPr>
                <w:trHeight w:val="394" w:hRule="atLeas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5CBB4CB1">
                  <w:pPr>
                    <w:wordWrap w:val="0"/>
                    <w:adjustRightInd w:val="0"/>
                    <w:snapToGrid w:val="0"/>
                    <w:spacing w:line="360" w:lineRule="exact"/>
                    <w:jc w:val="center"/>
                    <w:rPr>
                      <w:rFonts w:hint="eastAsia" w:asciiTheme="minorEastAsia" w:hAnsiTheme="minorEastAsia" w:eastAsiaTheme="minorEastAsia" w:cstheme="minorEastAsia"/>
                      <w:b/>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号球</w:t>
                  </w:r>
                </w:p>
              </w:tc>
              <w:tc>
                <w:tcPr>
                  <w:tcW w:w="82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3FC3454C">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0F8581B6">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16</w:t>
                  </w:r>
                </w:p>
              </w:tc>
              <w:tc>
                <w:tcPr>
                  <w:tcW w:w="901"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22D1BEA6">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17</w:t>
                  </w:r>
                </w:p>
              </w:tc>
              <w:tc>
                <w:tcPr>
                  <w:tcW w:w="88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295622ED">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18</w:t>
                  </w:r>
                </w:p>
              </w:tc>
              <w:tc>
                <w:tcPr>
                  <w:tcW w:w="921"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5BBC68D3">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19</w:t>
                  </w:r>
                </w:p>
              </w:tc>
              <w:tc>
                <w:tcPr>
                  <w:tcW w:w="86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3673471F">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20</w:t>
                  </w:r>
                </w:p>
              </w:tc>
              <w:tc>
                <w:tcPr>
                  <w:tcW w:w="85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189BBCD9">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21</w:t>
                  </w:r>
                </w:p>
              </w:tc>
            </w:tr>
            <w:tr w14:paraId="45A449FA">
              <w:tblPrEx>
                <w:tblCellMar>
                  <w:top w:w="0" w:type="dxa"/>
                  <w:left w:w="108" w:type="dxa"/>
                  <w:bottom w:w="0" w:type="dxa"/>
                  <w:right w:w="108" w:type="dxa"/>
                </w:tblCellMar>
              </w:tblPrEx>
              <w:trPr>
                <w:trHeight w:val="587" w:hRule="atLeast"/>
                <w:jc w:val="center"/>
              </w:trPr>
              <w:tc>
                <w:tcPr>
                  <w:tcW w:w="1818" w:type="dxa"/>
                  <w:tcBorders>
                    <w:top w:val="single" w:color="000000" w:sz="4" w:space="0"/>
                    <w:left w:val="single" w:color="000000" w:sz="4" w:space="0"/>
                    <w:bottom w:val="single" w:color="000000" w:sz="4" w:space="0"/>
                    <w:right w:val="single" w:color="000000" w:sz="4" w:space="0"/>
                  </w:tcBorders>
                  <w:noWrap w:val="0"/>
                  <w:vAlign w:val="center"/>
                </w:tcPr>
                <w:p w14:paraId="398ECA30">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下浮系数（%）</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C0B7DF0">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2.4</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2B4719B2">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2.5</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B2F3E05">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2.6</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8D1704D">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2.7</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DC9011C">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E8EC13E">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2.9</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47566C8">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3.0</w:t>
                  </w:r>
                </w:p>
              </w:tc>
            </w:tr>
          </w:tbl>
          <w:p w14:paraId="7CA6586E">
            <w:pPr>
              <w:wordWrap w:val="0"/>
              <w:adjustRightInd w:val="0"/>
              <w:snapToGrid w:val="0"/>
              <w:spacing w:line="360" w:lineRule="exact"/>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（2）评标基准价D＝</w:t>
            </w:r>
            <w:r>
              <w:rPr>
                <w:rFonts w:hint="eastAsia" w:asciiTheme="minorEastAsia" w:hAnsiTheme="minorEastAsia" w:eastAsiaTheme="minorEastAsia" w:cstheme="minorEastAsia"/>
                <w:snapToGrid w:val="0"/>
                <w:color w:val="auto"/>
                <w:kern w:val="0"/>
                <w:sz w:val="21"/>
                <w:szCs w:val="21"/>
                <w:highlight w:val="none"/>
                <w:lang w:val="en-US" w:eastAsia="zh-CN"/>
              </w:rPr>
              <w:t>最高投标限价</w:t>
            </w:r>
            <w:r>
              <w:rPr>
                <w:rFonts w:hint="eastAsia" w:asciiTheme="minorEastAsia" w:hAnsiTheme="minorEastAsia" w:eastAsiaTheme="minorEastAsia" w:cstheme="minorEastAsia"/>
                <w:snapToGrid w:val="0"/>
                <w:color w:val="auto"/>
                <w:kern w:val="0"/>
                <w:sz w:val="21"/>
                <w:szCs w:val="21"/>
                <w:highlight w:val="none"/>
              </w:rPr>
              <w:t>×（1－n）</w:t>
            </w:r>
          </w:p>
        </w:tc>
      </w:tr>
      <w:tr w14:paraId="3FA4695F">
        <w:tblPrEx>
          <w:tblCellMar>
            <w:top w:w="0" w:type="dxa"/>
            <w:left w:w="108" w:type="dxa"/>
            <w:bottom w:w="0" w:type="dxa"/>
            <w:right w:w="108" w:type="dxa"/>
          </w:tblCellMar>
        </w:tblPrEx>
        <w:trPr>
          <w:trHeight w:val="2401" w:hRule="atLeas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4379DBDA">
            <w:pPr>
              <w:pStyle w:val="2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 投标报价</w:t>
            </w:r>
          </w:p>
          <w:p w14:paraId="7F55FA17">
            <w:pPr>
              <w:pStyle w:val="2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得分N</w:t>
            </w:r>
          </w:p>
        </w:tc>
        <w:tc>
          <w:tcPr>
            <w:tcW w:w="8489" w:type="dxa"/>
            <w:gridSpan w:val="2"/>
            <w:tcBorders>
              <w:top w:val="single" w:color="auto" w:sz="4" w:space="0"/>
              <w:left w:val="single" w:color="auto" w:sz="4" w:space="0"/>
              <w:bottom w:val="single" w:color="auto" w:sz="4" w:space="0"/>
              <w:right w:val="single" w:color="auto" w:sz="4" w:space="0"/>
            </w:tcBorders>
            <w:noWrap w:val="0"/>
            <w:vAlign w:val="center"/>
          </w:tcPr>
          <w:p w14:paraId="2635CE7E">
            <w:pPr>
              <w:wordWrap w:val="0"/>
              <w:adjustRightInd w:val="0"/>
              <w:snapToGrid w:val="0"/>
              <w:spacing w:line="360" w:lineRule="exact"/>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采用内插法计算某投标人的投标报价得分N，即当投标人的投标总价等于评标基准价时得</w:t>
            </w:r>
            <w:r>
              <w:rPr>
                <w:rFonts w:hint="eastAsia" w:asciiTheme="minorEastAsia" w:hAnsiTheme="minorEastAsia" w:eastAsiaTheme="minorEastAsia" w:cstheme="minorEastAsia"/>
                <w:snapToGrid w:val="0"/>
                <w:color w:val="auto"/>
                <w:kern w:val="0"/>
                <w:sz w:val="21"/>
                <w:szCs w:val="21"/>
                <w:highlight w:val="none"/>
                <w:lang w:val="en-US" w:eastAsia="zh-CN"/>
              </w:rPr>
              <w:t>60</w:t>
            </w:r>
            <w:r>
              <w:rPr>
                <w:rFonts w:hint="eastAsia" w:asciiTheme="minorEastAsia" w:hAnsiTheme="minorEastAsia" w:eastAsiaTheme="minorEastAsia" w:cstheme="minorEastAsia"/>
                <w:snapToGrid w:val="0"/>
                <w:color w:val="auto"/>
                <w:kern w:val="0"/>
                <w:sz w:val="21"/>
                <w:szCs w:val="21"/>
                <w:highlight w:val="none"/>
              </w:rPr>
              <w:t>分，每高于评标基准价一个百分点扣1分，每低于评标基准价一个百分点扣0.5分，扣完为止。公式如下：</w:t>
            </w:r>
          </w:p>
          <w:p w14:paraId="43F7119A">
            <w:pPr>
              <w:wordWrap w:val="0"/>
              <w:adjustRightInd w:val="0"/>
              <w:snapToGrid w:val="0"/>
              <w:spacing w:line="360" w:lineRule="exact"/>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N＝</w:t>
            </w:r>
            <w:r>
              <w:rPr>
                <w:rFonts w:hint="eastAsia" w:asciiTheme="minorEastAsia" w:hAnsiTheme="minorEastAsia" w:eastAsiaTheme="minorEastAsia" w:cstheme="minorEastAsia"/>
                <w:snapToGrid w:val="0"/>
                <w:color w:val="auto"/>
                <w:kern w:val="0"/>
                <w:sz w:val="21"/>
                <w:szCs w:val="21"/>
                <w:highlight w:val="none"/>
                <w:lang w:val="en-US" w:eastAsia="zh-CN"/>
              </w:rPr>
              <w:t>60</w:t>
            </w:r>
            <w:r>
              <w:rPr>
                <w:rFonts w:hint="eastAsia" w:asciiTheme="minorEastAsia" w:hAnsiTheme="minorEastAsia" w:eastAsiaTheme="minorEastAsia" w:cstheme="minorEastAsia"/>
                <w:snapToGrid w:val="0"/>
                <w:color w:val="auto"/>
                <w:kern w:val="0"/>
                <w:sz w:val="21"/>
                <w:szCs w:val="21"/>
                <w:highlight w:val="none"/>
              </w:rPr>
              <w:t>－（| Di－D | ÷D）×100×E</w:t>
            </w:r>
          </w:p>
          <w:p w14:paraId="68F3800B">
            <w:pPr>
              <w:wordWrap w:val="0"/>
              <w:adjustRightInd w:val="0"/>
              <w:snapToGrid w:val="0"/>
              <w:spacing w:line="360" w:lineRule="exact"/>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式中：D为评标基准价；Di为某投标人的投标总价；E为扣分因子，当Di＞D时，E＝1；当Di＜D时，E＝0.5。</w:t>
            </w:r>
          </w:p>
        </w:tc>
      </w:tr>
    </w:tbl>
    <w:p w14:paraId="1E4C87EE">
      <w:pPr>
        <w:spacing w:before="5"/>
        <w:rPr>
          <w:rFonts w:hint="eastAsia" w:ascii="宋体" w:hAnsi="宋体" w:eastAsia="宋体" w:cs="宋体"/>
          <w:color w:val="auto"/>
          <w:highlight w:val="none"/>
        </w:rPr>
      </w:pPr>
    </w:p>
    <w:p w14:paraId="3913BDD9">
      <w:pPr>
        <w:spacing w:before="155" w:line="211" w:lineRule="auto"/>
        <w:ind w:firstLine="470" w:firstLineChars="200"/>
        <w:outlineLvl w:val="9"/>
        <w:rPr>
          <w:rFonts w:hint="eastAsia" w:ascii="宋体" w:hAnsi="宋体" w:eastAsia="宋体" w:cs="宋体"/>
          <w:color w:val="auto"/>
          <w:sz w:val="25"/>
          <w:szCs w:val="25"/>
          <w:highlight w:val="none"/>
        </w:rPr>
      </w:pPr>
      <w:bookmarkStart w:id="135" w:name="_Toc9725"/>
      <w:bookmarkStart w:id="136" w:name="_Toc17436"/>
      <w:bookmarkStart w:id="137" w:name="_Toc5769"/>
      <w:bookmarkStart w:id="138" w:name="_Toc31744"/>
      <w:r>
        <w:rPr>
          <w:rFonts w:hint="eastAsia" w:ascii="宋体" w:hAnsi="宋体" w:eastAsia="宋体" w:cs="宋体"/>
          <w:b/>
          <w:bCs/>
          <w:color w:val="auto"/>
          <w:spacing w:val="-3"/>
          <w:sz w:val="24"/>
          <w:szCs w:val="24"/>
          <w:highlight w:val="none"/>
        </w:rPr>
        <w:t xml:space="preserve">15.5.2  </w:t>
      </w:r>
      <w:r>
        <w:rPr>
          <w:rFonts w:hint="eastAsia" w:ascii="宋体" w:hAnsi="宋体" w:eastAsia="宋体" w:cs="宋体"/>
          <w:color w:val="auto"/>
          <w:spacing w:val="-3"/>
          <w:sz w:val="24"/>
          <w:szCs w:val="24"/>
          <w:highlight w:val="none"/>
        </w:rPr>
        <w:t>否决投标说明</w:t>
      </w:r>
      <w:bookmarkEnd w:id="135"/>
      <w:bookmarkEnd w:id="136"/>
      <w:bookmarkEnd w:id="137"/>
      <w:bookmarkEnd w:id="138"/>
    </w:p>
    <w:p w14:paraId="68DC760C">
      <w:pPr>
        <w:spacing w:before="150" w:line="332" w:lineRule="auto"/>
        <w:ind w:left="10" w:right="195" w:firstLine="564"/>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详细评审阶段否决投标的全部条件，在本章第四节“否决投标条件 ”第 4 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40CDC8A2">
      <w:pPr>
        <w:spacing w:before="59" w:line="330" w:lineRule="auto"/>
        <w:ind w:left="10" w:right="195"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rPr>
        <w:t>量化标准（或评分标准）处理，但不否决投标。</w:t>
      </w:r>
    </w:p>
    <w:p w14:paraId="15799921">
      <w:pPr>
        <w:spacing w:before="78" w:line="220" w:lineRule="auto"/>
        <w:ind w:left="496"/>
        <w:outlineLvl w:val="2"/>
        <w:rPr>
          <w:rFonts w:hint="eastAsia" w:ascii="宋体" w:hAnsi="宋体" w:eastAsia="宋体" w:cs="宋体"/>
          <w:color w:val="auto"/>
          <w:sz w:val="24"/>
          <w:szCs w:val="24"/>
          <w:highlight w:val="none"/>
        </w:rPr>
      </w:pPr>
      <w:bookmarkStart w:id="139" w:name="bookmark137"/>
      <w:bookmarkEnd w:id="139"/>
      <w:bookmarkStart w:id="140" w:name="_Toc16384"/>
      <w:bookmarkStart w:id="141" w:name="_Toc20825"/>
      <w:r>
        <w:rPr>
          <w:rFonts w:hint="eastAsia" w:ascii="宋体" w:hAnsi="宋体" w:eastAsia="宋体" w:cs="宋体"/>
          <w:b/>
          <w:bCs/>
          <w:color w:val="auto"/>
          <w:spacing w:val="-7"/>
          <w:sz w:val="24"/>
          <w:szCs w:val="24"/>
          <w:highlight w:val="none"/>
        </w:rPr>
        <w:t>16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7"/>
          <w:sz w:val="24"/>
          <w:szCs w:val="24"/>
          <w:highlight w:val="none"/>
        </w:rPr>
        <w:t>．中标候选人公示</w:t>
      </w:r>
      <w:bookmarkEnd w:id="140"/>
      <w:bookmarkEnd w:id="141"/>
    </w:p>
    <w:p w14:paraId="6911BF3E">
      <w:pPr>
        <w:spacing w:before="135" w:line="316" w:lineRule="auto"/>
        <w:ind w:left="2" w:right="105" w:firstLine="494"/>
        <w:jc w:val="both"/>
        <w:rPr>
          <w:rFonts w:hint="eastAsia" w:ascii="宋体" w:hAnsi="宋体" w:eastAsia="宋体" w:cs="宋体"/>
          <w:color w:val="auto"/>
          <w:spacing w:val="-5"/>
          <w:sz w:val="24"/>
          <w:szCs w:val="24"/>
          <w:highlight w:val="none"/>
        </w:rPr>
      </w:pPr>
      <w:r>
        <w:rPr>
          <w:rFonts w:hint="eastAsia" w:ascii="宋体" w:hAnsi="宋体" w:eastAsia="宋体" w:cs="宋体"/>
          <w:b/>
          <w:bCs/>
          <w:color w:val="auto"/>
          <w:spacing w:val="1"/>
          <w:sz w:val="24"/>
          <w:szCs w:val="24"/>
          <w:highlight w:val="none"/>
        </w:rPr>
        <w:t xml:space="preserve">16.1  </w:t>
      </w:r>
      <w:r>
        <w:rPr>
          <w:rFonts w:hint="eastAsia" w:ascii="宋体" w:hAnsi="宋体" w:eastAsia="宋体" w:cs="宋体"/>
          <w:color w:val="auto"/>
          <w:spacing w:val="-5"/>
          <w:sz w:val="24"/>
          <w:szCs w:val="24"/>
          <w:highlight w:val="none"/>
        </w:rPr>
        <w:t>招标人自收到评标委员会提交的书面评标报告和中标候选人名单之日起 3  日 内，将评标结果（即中标候选人名单）、中标候选人投标文件（指商务标书分册）、评标过程（评标专家姓名用代码标记）一并在广东省招标投标监管网（http://zbtb.gd.gov.c n）、全国公共资源交易平台（广东省 ·韶关市）（https://ygp.gdzwfw.gov.cn/ggzy-porta l/#/440200/index）进行公示，公示期不得少于 3 天。</w:t>
      </w:r>
    </w:p>
    <w:p w14:paraId="7CBDF9E3">
      <w:pPr>
        <w:keepNext w:val="0"/>
        <w:keepLines w:val="0"/>
        <w:pageBreakBefore w:val="0"/>
        <w:widowControl/>
        <w:kinsoku w:val="0"/>
        <w:wordWrap/>
        <w:overflowPunct/>
        <w:topLinePunct w:val="0"/>
        <w:autoSpaceDE w:val="0"/>
        <w:autoSpaceDN w:val="0"/>
        <w:bidi w:val="0"/>
        <w:adjustRightInd w:val="0"/>
        <w:snapToGrid w:val="0"/>
        <w:spacing w:before="78" w:line="288" w:lineRule="auto"/>
        <w:ind w:left="11" w:firstLine="488"/>
        <w:textAlignment w:val="baseline"/>
        <w:rPr>
          <w:rFonts w:hint="eastAsia" w:ascii="宋体" w:hAnsi="宋体" w:eastAsia="宋体" w:cs="宋体"/>
          <w:color w:val="auto"/>
          <w:spacing w:val="-5"/>
          <w:sz w:val="24"/>
          <w:szCs w:val="24"/>
          <w:highlight w:val="none"/>
        </w:rPr>
      </w:pPr>
      <w:r>
        <w:rPr>
          <w:rFonts w:hint="eastAsia" w:ascii="宋体" w:hAnsi="宋体" w:eastAsia="宋体" w:cs="宋体"/>
          <w:b/>
          <w:bCs/>
          <w:color w:val="auto"/>
          <w:spacing w:val="-2"/>
          <w:sz w:val="24"/>
          <w:szCs w:val="24"/>
          <w:highlight w:val="none"/>
        </w:rPr>
        <w:t xml:space="preserve">16.2 </w:t>
      </w:r>
      <w:r>
        <w:rPr>
          <w:rFonts w:hint="eastAsia" w:ascii="宋体" w:hAnsi="宋体" w:eastAsia="宋体" w:cs="宋体"/>
          <w:color w:val="auto"/>
          <w:spacing w:val="-5"/>
          <w:sz w:val="24"/>
          <w:szCs w:val="24"/>
          <w:highlight w:val="none"/>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w:t>
      </w:r>
      <w:r>
        <w:rPr>
          <w:rFonts w:hint="eastAsia" w:ascii="宋体" w:hAnsi="宋体" w:eastAsia="宋体" w:cs="宋体"/>
          <w:color w:val="auto"/>
          <w:spacing w:val="-5"/>
          <w:sz w:val="24"/>
          <w:szCs w:val="24"/>
          <w:highlight w:val="none"/>
          <w:lang w:val="en-US" w:eastAsia="zh-CN"/>
        </w:rPr>
        <w:t>1</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lang w:val="en-US" w:eastAsia="zh-CN"/>
        </w:rPr>
        <w:t>44</w:t>
      </w:r>
      <w:r>
        <w:rPr>
          <w:rFonts w:hint="eastAsia" w:ascii="宋体" w:hAnsi="宋体" w:eastAsia="宋体" w:cs="宋体"/>
          <w:color w:val="auto"/>
          <w:spacing w:val="-5"/>
          <w:sz w:val="24"/>
          <w:szCs w:val="24"/>
          <w:highlight w:val="none"/>
        </w:rPr>
        <w:t>号）执行。如通过交易服务平台提出异议，投标人必须上传提交异议书扫描件（作为附件），异议书格式内容按照《韶关市工程建设项目招标投标活动异议和投诉处理办法》（韶法审〔202</w:t>
      </w:r>
      <w:r>
        <w:rPr>
          <w:rFonts w:hint="eastAsia" w:ascii="宋体" w:hAnsi="宋体" w:eastAsia="宋体" w:cs="宋体"/>
          <w:color w:val="auto"/>
          <w:spacing w:val="-5"/>
          <w:sz w:val="24"/>
          <w:szCs w:val="24"/>
          <w:highlight w:val="none"/>
          <w:lang w:val="en-US" w:eastAsia="zh-CN"/>
        </w:rPr>
        <w:t>1</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lang w:val="en-US" w:eastAsia="zh-CN"/>
        </w:rPr>
        <w:t>44</w:t>
      </w:r>
      <w:r>
        <w:rPr>
          <w:rFonts w:hint="eastAsia" w:ascii="宋体" w:hAnsi="宋体" w:eastAsia="宋体" w:cs="宋体"/>
          <w:color w:val="auto"/>
          <w:spacing w:val="-5"/>
          <w:sz w:val="24"/>
          <w:szCs w:val="24"/>
          <w:highlight w:val="none"/>
        </w:rPr>
        <w:t>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6986211F">
      <w:pPr>
        <w:spacing w:before="79" w:line="309" w:lineRule="auto"/>
        <w:ind w:left="12" w:right="42"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16.3</w:t>
      </w:r>
      <w:r>
        <w:rPr>
          <w:rFonts w:hint="eastAsia" w:ascii="宋体" w:hAnsi="宋体" w:eastAsia="宋体" w:cs="宋体"/>
          <w:b/>
          <w:bCs/>
          <w:color w:val="auto"/>
          <w:spacing w:val="24"/>
          <w:w w:val="101"/>
          <w:sz w:val="24"/>
          <w:szCs w:val="24"/>
          <w:highlight w:val="none"/>
        </w:rPr>
        <w:t xml:space="preserve"> </w:t>
      </w:r>
      <w:r>
        <w:rPr>
          <w:rFonts w:hint="eastAsia" w:ascii="宋体" w:hAnsi="宋体" w:eastAsia="宋体" w:cs="宋体"/>
          <w:color w:val="auto"/>
          <w:spacing w:val="-5"/>
          <w:sz w:val="24"/>
          <w:szCs w:val="24"/>
          <w:highlight w:val="none"/>
        </w:rPr>
        <w:t>中标候选人公示期满无异议（投诉）后，招标人确定第一中标候选人为中标人，并在中标人确定之日起 7日内向中标人发出中标通知书。在中标通知书发出后5个工作日内，韶关市公共资源交易中心将投标保证金（或银行保函）退还给中标候选人以外的投标人。</w:t>
      </w:r>
    </w:p>
    <w:p w14:paraId="4B6C8B33">
      <w:pPr>
        <w:spacing w:line="309" w:lineRule="auto"/>
        <w:rPr>
          <w:rFonts w:hint="eastAsia" w:ascii="宋体" w:hAnsi="宋体" w:eastAsia="宋体" w:cs="宋体"/>
          <w:color w:val="auto"/>
          <w:sz w:val="24"/>
          <w:szCs w:val="24"/>
          <w:highlight w:val="none"/>
        </w:rPr>
        <w:sectPr>
          <w:headerReference r:id="rId8" w:type="default"/>
          <w:footerReference r:id="rId9" w:type="default"/>
          <w:pgSz w:w="11906" w:h="16839"/>
          <w:pgMar w:top="1440" w:right="1253" w:bottom="1440" w:left="1253" w:header="0" w:footer="1020" w:gutter="0"/>
          <w:pgBorders>
            <w:top w:val="none" w:sz="0" w:space="0"/>
            <w:left w:val="none" w:sz="0" w:space="0"/>
            <w:bottom w:val="none" w:sz="0" w:space="0"/>
            <w:right w:val="none" w:sz="0" w:space="0"/>
          </w:pgBorders>
          <w:cols w:space="720" w:num="1"/>
          <w:rtlGutter w:val="0"/>
          <w:docGrid w:linePitch="0" w:charSpace="0"/>
        </w:sectPr>
      </w:pPr>
    </w:p>
    <w:p w14:paraId="31D07B62">
      <w:pPr>
        <w:spacing w:before="78" w:line="220" w:lineRule="auto"/>
        <w:ind w:left="9"/>
        <w:jc w:val="center"/>
        <w:outlineLvl w:val="1"/>
        <w:rPr>
          <w:rFonts w:hint="eastAsia" w:ascii="宋体" w:hAnsi="宋体" w:eastAsia="宋体" w:cs="宋体"/>
          <w:color w:val="auto"/>
          <w:sz w:val="24"/>
          <w:szCs w:val="24"/>
          <w:highlight w:val="none"/>
        </w:rPr>
      </w:pPr>
      <w:bookmarkStart w:id="142" w:name="bookmark138"/>
      <w:bookmarkEnd w:id="142"/>
      <w:bookmarkStart w:id="143" w:name="_Toc1969"/>
      <w:r>
        <w:rPr>
          <w:rFonts w:hint="eastAsia" w:ascii="宋体" w:hAnsi="宋体" w:eastAsia="宋体" w:cs="宋体"/>
          <w:b/>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否决投标条件</w:t>
      </w:r>
      <w:bookmarkEnd w:id="143"/>
    </w:p>
    <w:p w14:paraId="3DECBBFD">
      <w:pPr>
        <w:pStyle w:val="5"/>
        <w:spacing w:line="256" w:lineRule="auto"/>
        <w:rPr>
          <w:rFonts w:hint="eastAsia" w:ascii="宋体" w:hAnsi="宋体" w:eastAsia="宋体" w:cs="宋体"/>
          <w:color w:val="auto"/>
          <w:highlight w:val="none"/>
        </w:rPr>
      </w:pPr>
    </w:p>
    <w:p w14:paraId="08B8591E">
      <w:pPr>
        <w:spacing w:before="78" w:line="330" w:lineRule="auto"/>
        <w:ind w:left="10" w:right="65"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本节所集中列示的否决投标条件，是本章第三节“投标人须知正文</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3"/>
          <w:sz w:val="24"/>
          <w:szCs w:val="24"/>
          <w:highlight w:val="none"/>
        </w:rPr>
        <w:t>”的组成部分，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是对本章第三节所规定的否决投标条件的总</w:t>
      </w:r>
      <w:r>
        <w:rPr>
          <w:rFonts w:hint="eastAsia" w:ascii="宋体" w:hAnsi="宋体" w:eastAsia="宋体" w:cs="宋体"/>
          <w:color w:val="auto"/>
          <w:spacing w:val="-3"/>
          <w:sz w:val="24"/>
          <w:szCs w:val="24"/>
          <w:highlight w:val="none"/>
        </w:rPr>
        <w:t>结和补充。</w:t>
      </w:r>
      <w:r>
        <w:rPr>
          <w:rFonts w:hint="eastAsia" w:ascii="宋体" w:hAnsi="宋体" w:eastAsia="宋体" w:cs="宋体"/>
          <w:b/>
          <w:bCs/>
          <w:color w:val="auto"/>
          <w:spacing w:val="-3"/>
          <w:sz w:val="24"/>
          <w:szCs w:val="24"/>
          <w:highlight w:val="none"/>
        </w:rPr>
        <w:t>投标人未有列入本节情形的，评</w:t>
      </w:r>
      <w:r>
        <w:rPr>
          <w:rFonts w:hint="eastAsia" w:ascii="宋体" w:hAnsi="宋体" w:eastAsia="宋体" w:cs="宋体"/>
          <w:b/>
          <w:bCs/>
          <w:color w:val="auto"/>
          <w:spacing w:val="-2"/>
          <w:sz w:val="24"/>
          <w:szCs w:val="24"/>
          <w:highlight w:val="none"/>
        </w:rPr>
        <w:t>标时一律不得否决其投标。</w:t>
      </w:r>
      <w:r>
        <w:rPr>
          <w:rFonts w:hint="eastAsia" w:ascii="宋体" w:hAnsi="宋体" w:eastAsia="宋体" w:cs="宋体"/>
          <w:color w:val="auto"/>
          <w:spacing w:val="-2"/>
          <w:sz w:val="24"/>
          <w:szCs w:val="24"/>
          <w:highlight w:val="none"/>
        </w:rPr>
        <w:t>本节所称“规定</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”均指招标文件的规</w:t>
      </w:r>
      <w:r>
        <w:rPr>
          <w:rFonts w:hint="eastAsia" w:ascii="宋体" w:hAnsi="宋体" w:eastAsia="宋体" w:cs="宋体"/>
          <w:color w:val="auto"/>
          <w:spacing w:val="-3"/>
          <w:sz w:val="24"/>
          <w:szCs w:val="24"/>
          <w:highlight w:val="none"/>
        </w:rPr>
        <w:t>定。</w:t>
      </w:r>
    </w:p>
    <w:p w14:paraId="5D158016">
      <w:pPr>
        <w:spacing w:before="34" w:line="220" w:lineRule="auto"/>
        <w:ind w:left="495"/>
        <w:outlineLvl w:val="2"/>
        <w:rPr>
          <w:rFonts w:hint="eastAsia" w:ascii="宋体" w:hAnsi="宋体" w:eastAsia="宋体" w:cs="宋体"/>
          <w:color w:val="auto"/>
          <w:sz w:val="24"/>
          <w:szCs w:val="24"/>
          <w:highlight w:val="none"/>
        </w:rPr>
      </w:pPr>
      <w:bookmarkStart w:id="144" w:name="_Toc11822"/>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．资格评审环节</w:t>
      </w:r>
      <w:bookmarkEnd w:id="144"/>
    </w:p>
    <w:p w14:paraId="30D786C6">
      <w:pPr>
        <w:spacing w:before="152" w:line="327" w:lineRule="auto"/>
        <w:ind w:left="13" w:right="65" w:firstLine="47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投标人有下列情形之一的，评标委员会应否决其投标。被否决的投标人，不进入形</w:t>
      </w:r>
      <w:r>
        <w:rPr>
          <w:rFonts w:hint="eastAsia" w:ascii="宋体" w:hAnsi="宋体" w:eastAsia="宋体" w:cs="宋体"/>
          <w:color w:val="auto"/>
          <w:spacing w:val="-3"/>
          <w:sz w:val="24"/>
          <w:szCs w:val="24"/>
          <w:highlight w:val="none"/>
        </w:rPr>
        <w:t>式评审环节。</w:t>
      </w:r>
    </w:p>
    <w:p w14:paraId="65DA8C7E">
      <w:pPr>
        <w:spacing w:before="32" w:line="219" w:lineRule="auto"/>
        <w:ind w:left="5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（1）有本章第三节第</w:t>
      </w:r>
      <w:r>
        <w:rPr>
          <w:rFonts w:hint="eastAsia" w:ascii="宋体" w:hAnsi="宋体" w:eastAsia="宋体" w:cs="宋体"/>
          <w:color w:val="auto"/>
          <w:spacing w:val="-48"/>
          <w:sz w:val="24"/>
          <w:szCs w:val="24"/>
          <w:highlight w:val="none"/>
        </w:rPr>
        <w:t xml:space="preserve"> </w:t>
      </w:r>
      <w:r>
        <w:rPr>
          <w:rFonts w:hint="eastAsia" w:ascii="宋体" w:hAnsi="宋体" w:eastAsia="宋体" w:cs="宋体"/>
          <w:b/>
          <w:bCs/>
          <w:color w:val="auto"/>
          <w:spacing w:val="-2"/>
          <w:sz w:val="24"/>
          <w:szCs w:val="24"/>
          <w:highlight w:val="none"/>
        </w:rPr>
        <w:t xml:space="preserve">2.4 </w:t>
      </w:r>
      <w:r>
        <w:rPr>
          <w:rFonts w:hint="eastAsia" w:ascii="宋体" w:hAnsi="宋体" w:eastAsia="宋体" w:cs="宋体"/>
          <w:color w:val="auto"/>
          <w:spacing w:val="-2"/>
          <w:sz w:val="24"/>
          <w:szCs w:val="24"/>
          <w:highlight w:val="none"/>
        </w:rPr>
        <w:t>条“禁止投标条款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”规定的任何一种情形；</w:t>
      </w:r>
    </w:p>
    <w:p w14:paraId="3A4C5F4B">
      <w:pPr>
        <w:spacing w:before="154" w:line="220" w:lineRule="auto"/>
        <w:ind w:left="5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（2）投标人资质不符合规定的；</w:t>
      </w:r>
    </w:p>
    <w:p w14:paraId="32FA559A">
      <w:pPr>
        <w:spacing w:before="153" w:line="315" w:lineRule="auto"/>
        <w:ind w:right="57" w:firstLine="5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r>
        <w:rPr>
          <w:rFonts w:hint="eastAsia" w:ascii="宋体" w:hAnsi="宋体" w:eastAsia="宋体" w:cs="宋体"/>
          <w:color w:val="auto"/>
          <w:spacing w:val="-1"/>
          <w:sz w:val="24"/>
          <w:szCs w:val="24"/>
          <w:highlight w:val="none"/>
        </w:rPr>
        <w:t>；</w:t>
      </w:r>
    </w:p>
    <w:p w14:paraId="3480DABA">
      <w:pPr>
        <w:spacing w:before="153" w:line="330" w:lineRule="auto"/>
        <w:ind w:left="9" w:right="66"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注：投标人已经工商变更，但其企业资质证书、安全生产许可证</w:t>
      </w:r>
      <w:r>
        <w:rPr>
          <w:rFonts w:hint="eastAsia" w:ascii="宋体" w:hAnsi="宋体" w:eastAsia="宋体" w:cs="宋体"/>
          <w:b/>
          <w:bCs/>
          <w:color w:val="auto"/>
          <w:spacing w:val="-5"/>
          <w:sz w:val="24"/>
          <w:szCs w:val="24"/>
          <w:highlight w:val="none"/>
        </w:rPr>
        <w:t>的企业名称未完成</w:t>
      </w:r>
      <w:r>
        <w:rPr>
          <w:rFonts w:hint="eastAsia" w:ascii="宋体" w:hAnsi="宋体" w:eastAsia="宋体" w:cs="宋体"/>
          <w:b/>
          <w:bCs/>
          <w:color w:val="auto"/>
          <w:spacing w:val="-4"/>
          <w:sz w:val="24"/>
          <w:szCs w:val="24"/>
          <w:highlight w:val="none"/>
        </w:rPr>
        <w:t>变更的，不得否决其投标；投标人营业执照、资质证书、安全生产许可证之间登</w:t>
      </w:r>
      <w:r>
        <w:rPr>
          <w:rFonts w:hint="eastAsia" w:ascii="宋体" w:hAnsi="宋体" w:eastAsia="宋体" w:cs="宋体"/>
          <w:b/>
          <w:bCs/>
          <w:color w:val="auto"/>
          <w:spacing w:val="-5"/>
          <w:sz w:val="24"/>
          <w:szCs w:val="24"/>
          <w:highlight w:val="none"/>
        </w:rPr>
        <w:t>记的信</w:t>
      </w:r>
      <w:r>
        <w:rPr>
          <w:rFonts w:hint="eastAsia" w:ascii="宋体" w:hAnsi="宋体" w:eastAsia="宋体" w:cs="宋体"/>
          <w:b/>
          <w:bCs/>
          <w:color w:val="auto"/>
          <w:spacing w:val="-2"/>
          <w:sz w:val="24"/>
          <w:szCs w:val="24"/>
          <w:highlight w:val="none"/>
        </w:rPr>
        <w:t>息不一致，应当允许投标人澄清，不得直接否决其投</w:t>
      </w:r>
      <w:r>
        <w:rPr>
          <w:rFonts w:hint="eastAsia" w:ascii="宋体" w:hAnsi="宋体" w:eastAsia="宋体" w:cs="宋体"/>
          <w:b/>
          <w:bCs/>
          <w:color w:val="auto"/>
          <w:spacing w:val="-3"/>
          <w:sz w:val="24"/>
          <w:szCs w:val="24"/>
          <w:highlight w:val="none"/>
        </w:rPr>
        <w:t>标。</w:t>
      </w:r>
    </w:p>
    <w:p w14:paraId="38612585">
      <w:pPr>
        <w:spacing w:before="32" w:line="325" w:lineRule="auto"/>
        <w:ind w:left="10" w:right="65" w:firstLine="49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（4）拟派项目经理、项目技术负责人、专职安全员的条件不符合规定的；拟派专</w:t>
      </w:r>
      <w:r>
        <w:rPr>
          <w:rFonts w:hint="eastAsia" w:ascii="宋体" w:hAnsi="宋体" w:eastAsia="宋体" w:cs="宋体"/>
          <w:color w:val="auto"/>
          <w:spacing w:val="-2"/>
          <w:sz w:val="24"/>
          <w:szCs w:val="24"/>
          <w:highlight w:val="none"/>
        </w:rPr>
        <w:t>职安全员数量不符合规</w:t>
      </w:r>
      <w:r>
        <w:rPr>
          <w:rFonts w:hint="eastAsia" w:ascii="宋体" w:hAnsi="宋体" w:eastAsia="宋体" w:cs="宋体"/>
          <w:color w:val="auto"/>
          <w:spacing w:val="1"/>
          <w:sz w:val="24"/>
          <w:szCs w:val="24"/>
          <w:highlight w:val="none"/>
        </w:rPr>
        <w:t>定的；项目技术负责人未在投标文件《项目技术负责人简历表》中签</w:t>
      </w:r>
      <w:r>
        <w:rPr>
          <w:rFonts w:hint="eastAsia" w:ascii="宋体" w:hAnsi="宋体" w:eastAsia="宋体" w:cs="宋体"/>
          <w:color w:val="auto"/>
          <w:spacing w:val="1"/>
          <w:sz w:val="24"/>
          <w:szCs w:val="24"/>
          <w:highlight w:val="none"/>
          <w:lang w:eastAsia="zh-CN"/>
        </w:rPr>
        <w:t>字确认。</w:t>
      </w:r>
    </w:p>
    <w:p w14:paraId="2791773C">
      <w:pPr>
        <w:spacing w:before="34" w:line="334" w:lineRule="auto"/>
        <w:ind w:left="8" w:right="65" w:firstLine="492"/>
        <w:jc w:val="both"/>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rPr>
        <w:t>温馨提示：建造师打印电子证书后，应在个人签名处手写本人签名，未手写签名或与签名图像笔迹不一致的，该电子证书无效。</w:t>
      </w:r>
    </w:p>
    <w:p w14:paraId="4F2B4C0C">
      <w:pPr>
        <w:spacing w:before="34" w:line="334" w:lineRule="auto"/>
        <w:ind w:left="8" w:right="65" w:firstLine="492"/>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（5）《项目经理简历表》中拟派项目经理与</w:t>
      </w:r>
      <w:r>
        <w:rPr>
          <w:rFonts w:hint="eastAsia" w:ascii="宋体" w:hAnsi="宋体" w:eastAsia="宋体" w:cs="宋体"/>
          <w:color w:val="auto"/>
          <w:spacing w:val="-2"/>
          <w:sz w:val="24"/>
          <w:szCs w:val="24"/>
          <w:highlight w:val="none"/>
        </w:rPr>
        <w:t>《开标一览表》不一致的；拟派的项目经理未在投标文件《项目经理简历表》中签字确认；一级建造师的注册证书不是国家住建部颁发的；二级建造师的电子注册证书不是省级住建厅颁发的；建造师的注册单位</w:t>
      </w:r>
      <w:r>
        <w:rPr>
          <w:rFonts w:hint="eastAsia" w:ascii="宋体" w:hAnsi="宋体" w:eastAsia="宋体" w:cs="宋体"/>
          <w:color w:val="auto"/>
          <w:spacing w:val="-8"/>
          <w:sz w:val="24"/>
          <w:szCs w:val="24"/>
          <w:highlight w:val="none"/>
        </w:rPr>
        <w:t>与投标人不一致的；项目管理班子组成人员的各类证书、证件、证明不在有效期内的（</w:t>
      </w:r>
      <w:r>
        <w:rPr>
          <w:rFonts w:hint="eastAsia" w:ascii="宋体" w:hAnsi="宋体" w:eastAsia="宋体" w:cs="宋体"/>
          <w:b/>
          <w:bCs/>
          <w:color w:val="auto"/>
          <w:spacing w:val="-8"/>
          <w:sz w:val="24"/>
          <w:szCs w:val="24"/>
          <w:highlight w:val="none"/>
        </w:rPr>
        <w:t>建造师注册证书不在使用有效期内的</w:t>
      </w:r>
      <w:r>
        <w:rPr>
          <w:rFonts w:hint="eastAsia" w:ascii="宋体" w:hAnsi="宋体" w:eastAsia="宋体" w:cs="宋体"/>
          <w:color w:val="auto"/>
          <w:spacing w:val="-8"/>
          <w:sz w:val="24"/>
          <w:szCs w:val="24"/>
          <w:highlight w:val="none"/>
        </w:rPr>
        <w:t>）；擅</w:t>
      </w:r>
      <w:r>
        <w:rPr>
          <w:rFonts w:hint="eastAsia" w:ascii="宋体" w:hAnsi="宋体" w:eastAsia="宋体" w:cs="宋体"/>
          <w:color w:val="auto"/>
          <w:spacing w:val="-2"/>
          <w:sz w:val="24"/>
          <w:szCs w:val="24"/>
          <w:highlight w:val="none"/>
        </w:rPr>
        <w:t>自修改、遗漏《项</w:t>
      </w:r>
      <w:r>
        <w:rPr>
          <w:rFonts w:hint="eastAsia" w:ascii="宋体" w:hAnsi="宋体" w:eastAsia="宋体" w:cs="宋体"/>
          <w:color w:val="auto"/>
          <w:spacing w:val="-3"/>
          <w:sz w:val="24"/>
          <w:szCs w:val="24"/>
          <w:highlight w:val="none"/>
        </w:rPr>
        <w:t>目经理任职声明》实质性内容的；</w:t>
      </w:r>
    </w:p>
    <w:p w14:paraId="6AAABE7B">
      <w:pPr>
        <w:spacing w:before="1" w:line="293" w:lineRule="auto"/>
        <w:ind w:left="28" w:right="66" w:firstLine="462"/>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注：投标人已经工商变更，但其员工执业资格注册证书的注册单</w:t>
      </w:r>
      <w:r>
        <w:rPr>
          <w:rFonts w:hint="eastAsia" w:ascii="宋体" w:hAnsi="宋体" w:eastAsia="宋体" w:cs="宋体"/>
          <w:b/>
          <w:bCs/>
          <w:color w:val="auto"/>
          <w:spacing w:val="-5"/>
          <w:sz w:val="24"/>
          <w:szCs w:val="24"/>
          <w:highlight w:val="none"/>
        </w:rPr>
        <w:t>位名称未完成变更的，不得否决其投标。</w:t>
      </w:r>
    </w:p>
    <w:p w14:paraId="570EC48E">
      <w:pPr>
        <w:spacing w:before="38" w:line="220" w:lineRule="auto"/>
        <w:ind w:left="0" w:leftChars="0" w:firstLine="422" w:firstLineChars="181"/>
        <w:rPr>
          <w:rFonts w:hint="eastAsia" w:ascii="宋体" w:hAnsi="宋体" w:eastAsia="宋体" w:cs="宋体"/>
          <w:color w:val="auto"/>
          <w:sz w:val="24"/>
          <w:szCs w:val="24"/>
          <w:highlight w:val="none"/>
        </w:rPr>
      </w:pPr>
      <w:bookmarkStart w:id="145" w:name="OLE_LINK27"/>
      <w:r>
        <w:rPr>
          <w:rFonts w:hint="eastAsia" w:ascii="宋体" w:hAnsi="宋体" w:eastAsia="宋体" w:cs="宋体"/>
          <w:b/>
          <w:bCs/>
          <w:color w:val="auto"/>
          <w:spacing w:val="-4"/>
          <w:sz w:val="24"/>
          <w:szCs w:val="24"/>
          <w:highlight w:val="none"/>
        </w:rPr>
        <w:t>鉴于目前继续教育开展的实际情况，建筑和市政工程施工现场专</w:t>
      </w:r>
      <w:r>
        <w:rPr>
          <w:rFonts w:hint="eastAsia" w:ascii="宋体" w:hAnsi="宋体" w:eastAsia="宋体" w:cs="宋体"/>
          <w:b/>
          <w:bCs/>
          <w:color w:val="auto"/>
          <w:spacing w:val="-5"/>
          <w:sz w:val="24"/>
          <w:szCs w:val="24"/>
          <w:highlight w:val="none"/>
        </w:rPr>
        <w:t>业人员（例如：施</w:t>
      </w:r>
      <w:bookmarkStart w:id="146" w:name="bookmark139"/>
      <w:bookmarkEnd w:id="146"/>
      <w:r>
        <w:rPr>
          <w:rFonts w:hint="eastAsia" w:ascii="宋体" w:hAnsi="宋体" w:eastAsia="宋体" w:cs="宋体"/>
          <w:b/>
          <w:bCs/>
          <w:color w:val="auto"/>
          <w:spacing w:val="-2"/>
          <w:sz w:val="24"/>
          <w:szCs w:val="24"/>
          <w:highlight w:val="none"/>
        </w:rPr>
        <w:t>工员、质量员、材料员、资料员）的岗位证书或培训证书不审查其证书的有效期。</w:t>
      </w:r>
      <w:bookmarkEnd w:id="145"/>
    </w:p>
    <w:p w14:paraId="6B42CF40">
      <w:pPr>
        <w:spacing w:before="146" w:line="220"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（6）招标文件规定不接受联合体投标，但以联合体投标的；</w:t>
      </w:r>
    </w:p>
    <w:p w14:paraId="660BFAE2">
      <w:pPr>
        <w:keepNext w:val="0"/>
        <w:keepLines w:val="0"/>
        <w:pageBreakBefore w:val="0"/>
        <w:widowControl/>
        <w:kinsoku w:val="0"/>
        <w:wordWrap/>
        <w:overflowPunct/>
        <w:topLinePunct w:val="0"/>
        <w:autoSpaceDE w:val="0"/>
        <w:autoSpaceDN w:val="0"/>
        <w:bidi w:val="0"/>
        <w:adjustRightInd w:val="0"/>
        <w:snapToGrid w:val="0"/>
        <w:spacing w:before="150" w:line="288" w:lineRule="auto"/>
        <w:ind w:right="198" w:firstLine="493"/>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（7）</w:t>
      </w:r>
      <w:r>
        <w:rPr>
          <w:rFonts w:hint="eastAsia" w:ascii="宋体" w:hAnsi="宋体" w:eastAsia="宋体" w:cs="宋体"/>
          <w:color w:val="auto"/>
          <w:sz w:val="24"/>
          <w:szCs w:val="24"/>
          <w:highlight w:val="none"/>
        </w:rPr>
        <w:t>联合体投标，未提交《联合体协议书》的；擅自修改、遗漏《联合体协议书》实质性内容的；联合体成员的数量、资质不符合规定的；联合体成员同时以自己名义单独投标或者参加其他联合体投标的；</w:t>
      </w:r>
    </w:p>
    <w:p w14:paraId="2452C039">
      <w:pPr>
        <w:spacing w:before="150" w:line="280" w:lineRule="auto"/>
        <w:ind w:right="200"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投标人为外省建筑企业，但未提供“进粤企业和人员诚信信息登记平台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z w:val="24"/>
          <w:szCs w:val="24"/>
          <w:highlight w:val="none"/>
        </w:rPr>
        <w:t>”企</w:t>
      </w:r>
      <w:r>
        <w:rPr>
          <w:rFonts w:hint="eastAsia" w:ascii="宋体" w:hAnsi="宋体" w:eastAsia="宋体" w:cs="宋体"/>
          <w:color w:val="auto"/>
          <w:spacing w:val="-1"/>
          <w:sz w:val="24"/>
          <w:szCs w:val="24"/>
          <w:highlight w:val="none"/>
        </w:rPr>
        <w:t>业和拟派人员信息情况打印页或网页截图的。</w:t>
      </w:r>
    </w:p>
    <w:p w14:paraId="029C725B">
      <w:pPr>
        <w:spacing w:before="154" w:line="221" w:lineRule="auto"/>
        <w:ind w:left="477"/>
        <w:outlineLvl w:val="2"/>
        <w:rPr>
          <w:rFonts w:hint="eastAsia" w:ascii="宋体" w:hAnsi="宋体" w:eastAsia="宋体" w:cs="宋体"/>
          <w:color w:val="auto"/>
          <w:sz w:val="24"/>
          <w:szCs w:val="24"/>
          <w:highlight w:val="none"/>
        </w:rPr>
      </w:pPr>
      <w:bookmarkStart w:id="147" w:name="_Toc8853"/>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．形式评审环节</w:t>
      </w:r>
      <w:bookmarkEnd w:id="147"/>
    </w:p>
    <w:p w14:paraId="05D867AD">
      <w:pPr>
        <w:spacing w:before="151" w:line="327" w:lineRule="auto"/>
        <w:ind w:right="200" w:firstLine="48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投标人有下列情形之一的，评标委员会应否决其投标。被否决的投标人，不进入响应性评审环节。</w:t>
      </w:r>
    </w:p>
    <w:p w14:paraId="1A832AC9">
      <w:pPr>
        <w:spacing w:before="32"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（1）各分册没按招标文件规定加盖电子印章；</w:t>
      </w:r>
    </w:p>
    <w:p w14:paraId="3EFE2275">
      <w:pPr>
        <w:spacing w:before="153" w:line="280" w:lineRule="auto"/>
        <w:ind w:left="1" w:right="200" w:firstLine="49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（2）本章第三节第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10.2.2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10.3.2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10.4.3</w:t>
      </w:r>
      <w:r>
        <w:rPr>
          <w:rFonts w:hint="eastAsia" w:ascii="宋体" w:hAnsi="宋体" w:eastAsia="宋体" w:cs="宋体"/>
          <w:color w:val="auto"/>
          <w:spacing w:val="-8"/>
          <w:sz w:val="24"/>
          <w:szCs w:val="24"/>
          <w:highlight w:val="none"/>
        </w:rPr>
        <w:t xml:space="preserve"> 目中规定的“所有投标人</w:t>
      </w:r>
      <w:r>
        <w:rPr>
          <w:rFonts w:hint="eastAsia" w:ascii="宋体" w:hAnsi="宋体" w:eastAsia="宋体" w:cs="宋体"/>
          <w:color w:val="auto"/>
          <w:spacing w:val="-1"/>
          <w:sz w:val="24"/>
          <w:szCs w:val="24"/>
          <w:highlight w:val="none"/>
        </w:rPr>
        <w:t>均应提供</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”的组成内容（包括该组成内容的所附资料）中，</w:t>
      </w:r>
      <w:r>
        <w:rPr>
          <w:rFonts w:hint="eastAsia" w:ascii="宋体" w:hAnsi="宋体" w:eastAsia="宋体" w:cs="宋体"/>
          <w:color w:val="auto"/>
          <w:spacing w:val="-2"/>
          <w:sz w:val="24"/>
          <w:szCs w:val="24"/>
          <w:highlight w:val="none"/>
        </w:rPr>
        <w:t>任何一项有缺漏的；</w:t>
      </w:r>
    </w:p>
    <w:p w14:paraId="26950760">
      <w:pPr>
        <w:spacing w:before="136" w:line="326" w:lineRule="auto"/>
        <w:ind w:left="8" w:right="200" w:firstLine="42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（3）关键字迹模糊、无法辨认，且该种过错将导致评标委员会无法判断投标文件是</w:t>
      </w:r>
      <w:r>
        <w:rPr>
          <w:rFonts w:hint="eastAsia" w:ascii="宋体" w:hAnsi="宋体" w:eastAsia="宋体" w:cs="宋体"/>
          <w:color w:val="auto"/>
          <w:spacing w:val="-2"/>
          <w:sz w:val="24"/>
          <w:szCs w:val="24"/>
          <w:highlight w:val="none"/>
        </w:rPr>
        <w:t>否响应招标文件实质性要求的；有涂改、行间插字或删除，但未加盖单位章或由投标人</w:t>
      </w:r>
      <w:r>
        <w:rPr>
          <w:rFonts w:hint="eastAsia" w:ascii="宋体" w:hAnsi="宋体" w:eastAsia="宋体" w:cs="宋体"/>
          <w:color w:val="auto"/>
          <w:spacing w:val="-1"/>
          <w:sz w:val="24"/>
          <w:szCs w:val="24"/>
          <w:highlight w:val="none"/>
        </w:rPr>
        <w:t>的法定代表人或其委托代理人签字确认的；</w:t>
      </w:r>
    </w:p>
    <w:p w14:paraId="6E82C3F3">
      <w:pPr>
        <w:spacing w:before="209" w:line="219"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（4）投标文件未按规定签字、盖章的。</w:t>
      </w:r>
    </w:p>
    <w:p w14:paraId="316C1F85">
      <w:pPr>
        <w:spacing w:before="206" w:line="340" w:lineRule="auto"/>
        <w:ind w:left="1" w:firstLine="4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（5）招标文件规定施工组织设计采用“暗标</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z w:val="24"/>
          <w:szCs w:val="24"/>
          <w:highlight w:val="none"/>
        </w:rPr>
        <w:t>”方式进行评审，但施工组织设计的</w:t>
      </w:r>
      <w:r>
        <w:rPr>
          <w:rFonts w:hint="eastAsia" w:ascii="宋体" w:hAnsi="宋体" w:eastAsia="宋体" w:cs="宋体"/>
          <w:color w:val="auto"/>
          <w:spacing w:val="-4"/>
          <w:sz w:val="24"/>
          <w:szCs w:val="24"/>
          <w:highlight w:val="none"/>
        </w:rPr>
        <w:t>规格颜色、文字排版、正文篇幅（若有）不符合规定的；其任何部位出现手写以及涂改、</w:t>
      </w:r>
      <w:r>
        <w:rPr>
          <w:rFonts w:hint="eastAsia" w:ascii="宋体" w:hAnsi="宋体" w:eastAsia="宋体" w:cs="宋体"/>
          <w:color w:val="auto"/>
          <w:spacing w:val="-3"/>
          <w:sz w:val="24"/>
          <w:szCs w:val="24"/>
          <w:highlight w:val="none"/>
        </w:rPr>
        <w:t>行间插字或删除痕迹的；其任何部位出现投标人的名称和其它可识别投标人身份的字符、</w:t>
      </w:r>
      <w:r>
        <w:rPr>
          <w:rFonts w:hint="eastAsia" w:ascii="宋体" w:hAnsi="宋体" w:eastAsia="宋体" w:cs="宋体"/>
          <w:color w:val="auto"/>
          <w:spacing w:val="-1"/>
          <w:sz w:val="24"/>
          <w:szCs w:val="24"/>
          <w:highlight w:val="none"/>
        </w:rPr>
        <w:t>徽标、人员名称以及其他特殊标记的。</w:t>
      </w:r>
    </w:p>
    <w:p w14:paraId="523C3D1D">
      <w:pPr>
        <w:spacing w:before="227" w:line="221" w:lineRule="auto"/>
        <w:ind w:left="475"/>
        <w:outlineLvl w:val="2"/>
        <w:rPr>
          <w:rFonts w:hint="eastAsia" w:ascii="宋体" w:hAnsi="宋体" w:eastAsia="宋体" w:cs="宋体"/>
          <w:color w:val="auto"/>
          <w:sz w:val="24"/>
          <w:szCs w:val="24"/>
          <w:highlight w:val="none"/>
        </w:rPr>
      </w:pPr>
      <w:bookmarkStart w:id="148" w:name="_Toc121"/>
      <w:r>
        <w:rPr>
          <w:rFonts w:hint="eastAsia" w:ascii="宋体" w:hAnsi="宋体" w:eastAsia="宋体" w:cs="宋体"/>
          <w:b/>
          <w:bCs/>
          <w:color w:val="auto"/>
          <w:spacing w:val="-6"/>
          <w:sz w:val="24"/>
          <w:szCs w:val="24"/>
          <w:highlight w:val="none"/>
        </w:rPr>
        <w:t>3</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6"/>
          <w:sz w:val="24"/>
          <w:szCs w:val="24"/>
          <w:highlight w:val="none"/>
        </w:rPr>
        <w:t>．响应性评审环节</w:t>
      </w:r>
      <w:bookmarkEnd w:id="148"/>
    </w:p>
    <w:p w14:paraId="759B4D52">
      <w:pPr>
        <w:spacing w:before="151" w:line="327" w:lineRule="auto"/>
        <w:ind w:left="1" w:right="20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投标人有下列情形之一的，评标委员会应否决其投标。被否决的投标人，不进入详细评审阶段。</w:t>
      </w:r>
    </w:p>
    <w:p w14:paraId="24F57BD6">
      <w:pPr>
        <w:spacing w:before="31" w:line="279" w:lineRule="auto"/>
        <w:ind w:left="40" w:right="200" w:firstLine="45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（1）承诺的投标有效期短于规定的；质量标准低于规定的；工期超出规定的；擅</w:t>
      </w:r>
      <w:r>
        <w:rPr>
          <w:rFonts w:hint="eastAsia" w:ascii="宋体" w:hAnsi="宋体" w:eastAsia="宋体" w:cs="宋体"/>
          <w:color w:val="auto"/>
          <w:spacing w:val="-2"/>
          <w:sz w:val="24"/>
          <w:szCs w:val="24"/>
          <w:highlight w:val="none"/>
        </w:rPr>
        <w:t>自修改、遗漏《投标函》《各项承诺一览表》实质性内容的；</w:t>
      </w:r>
    </w:p>
    <w:p w14:paraId="39AA7D05">
      <w:pPr>
        <w:spacing w:before="157" w:line="278" w:lineRule="auto"/>
        <w:ind w:left="2" w:right="200"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（2）编制《投标总价》的造价工程师，其注册证书不是</w:t>
      </w:r>
      <w:r>
        <w:rPr>
          <w:rFonts w:hint="eastAsia" w:ascii="宋体" w:hAnsi="宋体" w:eastAsia="宋体" w:cs="宋体"/>
          <w:b/>
          <w:bCs/>
          <w:color w:val="auto"/>
          <w:spacing w:val="1"/>
          <w:sz w:val="24"/>
          <w:szCs w:val="24"/>
          <w:highlight w:val="none"/>
        </w:rPr>
        <w:t>住建部门</w:t>
      </w:r>
      <w:r>
        <w:rPr>
          <w:rFonts w:hint="eastAsia" w:ascii="宋体" w:hAnsi="宋体" w:eastAsia="宋体" w:cs="宋体"/>
          <w:color w:val="auto"/>
          <w:spacing w:val="1"/>
          <w:sz w:val="24"/>
          <w:szCs w:val="24"/>
          <w:highlight w:val="none"/>
        </w:rPr>
        <w:t>颁发的；其注册</w:t>
      </w:r>
      <w:r>
        <w:rPr>
          <w:rFonts w:hint="eastAsia" w:ascii="宋体" w:hAnsi="宋体" w:eastAsia="宋体" w:cs="宋体"/>
          <w:color w:val="auto"/>
          <w:sz w:val="24"/>
          <w:szCs w:val="24"/>
          <w:highlight w:val="none"/>
        </w:rPr>
        <w:t>单位与投标人（或造价咨询人）不一致的；</w:t>
      </w:r>
      <w:r>
        <w:rPr>
          <w:rFonts w:hint="eastAsia" w:ascii="宋体" w:hAnsi="宋体" w:eastAsia="宋体" w:cs="宋体"/>
          <w:color w:val="auto"/>
          <w:spacing w:val="-1"/>
          <w:sz w:val="24"/>
          <w:szCs w:val="24"/>
          <w:highlight w:val="none"/>
        </w:rPr>
        <w:t>其注册证书不在有效期内的。</w:t>
      </w:r>
    </w:p>
    <w:p w14:paraId="6422BEDB">
      <w:pPr>
        <w:spacing w:before="156" w:line="329" w:lineRule="auto"/>
        <w:ind w:right="200" w:firstLine="480"/>
        <w:jc w:val="both"/>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注：投标人（或造价咨询人）已经工商变更，但其员工的执业资格注</w:t>
      </w:r>
      <w:r>
        <w:rPr>
          <w:rFonts w:hint="eastAsia" w:ascii="宋体" w:hAnsi="宋体" w:eastAsia="宋体" w:cs="宋体"/>
          <w:b/>
          <w:bCs/>
          <w:color w:val="auto"/>
          <w:spacing w:val="-5"/>
          <w:sz w:val="24"/>
          <w:szCs w:val="24"/>
          <w:highlight w:val="none"/>
        </w:rPr>
        <w:t>册证书的注册单位名称未完成变更的，不得否决其投标。此条与 10.3.1 中的造价工程师执业（含二级造价工程师）指引相一致。</w:t>
      </w:r>
    </w:p>
    <w:p w14:paraId="32D23C1D">
      <w:pPr>
        <w:spacing w:before="78" w:line="299" w:lineRule="auto"/>
        <w:ind w:left="2" w:right="81"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（3）投标人委托造价咨询单位编制《投标总价》，但未在《投标总价扉页》（即扉—3）“投标人</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”栏目加盖造价咨询人公章的；未提</w:t>
      </w:r>
      <w:r>
        <w:rPr>
          <w:rFonts w:hint="eastAsia" w:ascii="宋体" w:hAnsi="宋体" w:eastAsia="宋体" w:cs="宋体"/>
          <w:color w:val="auto"/>
          <w:sz w:val="24"/>
          <w:szCs w:val="24"/>
          <w:highlight w:val="none"/>
        </w:rPr>
        <w:t xml:space="preserve">供造价咨询人的营业执照副本彩 </w:t>
      </w:r>
      <w:r>
        <w:rPr>
          <w:rFonts w:hint="eastAsia" w:ascii="宋体" w:hAnsi="宋体" w:eastAsia="宋体" w:cs="宋体"/>
          <w:color w:val="auto"/>
          <w:spacing w:val="-3"/>
          <w:sz w:val="24"/>
          <w:szCs w:val="24"/>
          <w:highlight w:val="none"/>
        </w:rPr>
        <w:t>色扫描件；</w:t>
      </w:r>
    </w:p>
    <w:p w14:paraId="18F944D4">
      <w:pPr>
        <w:spacing w:before="151" w:line="360" w:lineRule="auto"/>
        <w:ind w:right="2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（4）出现两个或两个以上投标总价的（同一个投标总价大、小写不一致的除外</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投标总价超出</w:t>
      </w:r>
      <w:r>
        <w:rPr>
          <w:rFonts w:hint="eastAsia" w:ascii="宋体" w:hAnsi="宋体" w:eastAsia="宋体" w:cs="宋体"/>
          <w:b/>
          <w:bCs/>
          <w:color w:val="auto"/>
          <w:spacing w:val="-2"/>
          <w:sz w:val="24"/>
          <w:szCs w:val="24"/>
          <w:highlight w:val="none"/>
          <w:lang w:val="en-US" w:eastAsia="zh-CN"/>
        </w:rPr>
        <w:t>最高投标限价</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2"/>
          <w:sz w:val="24"/>
          <w:szCs w:val="24"/>
          <w:highlight w:val="none"/>
          <w:lang w:eastAsia="zh-CN"/>
        </w:rPr>
        <w:t>安全生产措施费</w:t>
      </w:r>
      <w:r>
        <w:rPr>
          <w:rFonts w:hint="eastAsia" w:ascii="宋体" w:hAnsi="宋体" w:eastAsia="宋体" w:cs="宋体"/>
          <w:color w:val="auto"/>
          <w:spacing w:val="-2"/>
          <w:sz w:val="24"/>
          <w:szCs w:val="24"/>
          <w:highlight w:val="none"/>
        </w:rPr>
        <w:t>少于规定的；暂列金额、暂估</w:t>
      </w:r>
      <w:r>
        <w:rPr>
          <w:rFonts w:hint="eastAsia" w:ascii="宋体" w:hAnsi="宋体" w:eastAsia="宋体" w:cs="宋体"/>
          <w:color w:val="auto"/>
          <w:spacing w:val="-3"/>
          <w:sz w:val="24"/>
          <w:szCs w:val="24"/>
          <w:highlight w:val="none"/>
        </w:rPr>
        <w:t>价未按照招标工程量清单统一报价的；投标总价下浮率超过</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15%，又未提供相应书面说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明和佐证材料或提供的书面说明和佐证材料不能令人信服，被评标委员会认定以低于成</w:t>
      </w:r>
      <w:r>
        <w:rPr>
          <w:rFonts w:hint="eastAsia" w:ascii="宋体" w:hAnsi="宋体" w:eastAsia="宋体" w:cs="宋体"/>
          <w:color w:val="auto"/>
          <w:sz w:val="24"/>
          <w:szCs w:val="24"/>
          <w:highlight w:val="none"/>
        </w:rPr>
        <w:t>本报价竞标的；擅自修改、增减招标工程量清单</w:t>
      </w:r>
      <w:r>
        <w:rPr>
          <w:rFonts w:hint="eastAsia" w:ascii="宋体" w:hAnsi="宋体" w:eastAsia="宋体" w:cs="宋体"/>
          <w:color w:val="auto"/>
          <w:spacing w:val="-1"/>
          <w:sz w:val="24"/>
          <w:szCs w:val="24"/>
          <w:highlight w:val="none"/>
        </w:rPr>
        <w:t>项目（包括措施项目）的；</w:t>
      </w:r>
    </w:p>
    <w:p w14:paraId="4741994D">
      <w:pPr>
        <w:spacing w:before="156" w:line="299" w:lineRule="auto"/>
        <w:ind w:right="81" w:firstLine="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（5）在施工组织设计评审中，评标委员会认定质量、进度保障措施与国家和省市</w:t>
      </w:r>
      <w:r>
        <w:rPr>
          <w:rFonts w:hint="eastAsia" w:ascii="宋体" w:hAnsi="宋体" w:eastAsia="宋体" w:cs="宋体"/>
          <w:color w:val="auto"/>
          <w:spacing w:val="-3"/>
          <w:sz w:val="24"/>
          <w:szCs w:val="24"/>
          <w:highlight w:val="none"/>
        </w:rPr>
        <w:t>现行有关规范、规定、标准有重大偏差，</w:t>
      </w:r>
      <w:r>
        <w:rPr>
          <w:rFonts w:hint="eastAsia" w:ascii="宋体" w:hAnsi="宋体" w:eastAsia="宋体" w:cs="宋体"/>
          <w:b/>
          <w:bCs/>
          <w:color w:val="auto"/>
          <w:spacing w:val="-3"/>
          <w:sz w:val="24"/>
          <w:szCs w:val="24"/>
          <w:highlight w:val="none"/>
        </w:rPr>
        <w:t>且该种过错将导致工程质量、进度管理目标无</w:t>
      </w:r>
      <w:r>
        <w:rPr>
          <w:rFonts w:hint="eastAsia" w:ascii="宋体" w:hAnsi="宋体" w:eastAsia="宋体" w:cs="宋体"/>
          <w:b/>
          <w:bCs/>
          <w:color w:val="auto"/>
          <w:spacing w:val="-4"/>
          <w:sz w:val="24"/>
          <w:szCs w:val="24"/>
          <w:highlight w:val="none"/>
        </w:rPr>
        <w:t>法实现的</w:t>
      </w:r>
      <w:r>
        <w:rPr>
          <w:rFonts w:hint="eastAsia" w:ascii="宋体" w:hAnsi="宋体" w:eastAsia="宋体" w:cs="宋体"/>
          <w:color w:val="auto"/>
          <w:spacing w:val="-4"/>
          <w:sz w:val="24"/>
          <w:szCs w:val="24"/>
          <w:highlight w:val="none"/>
        </w:rPr>
        <w:t>。</w:t>
      </w:r>
    </w:p>
    <w:p w14:paraId="7046609B">
      <w:pPr>
        <w:spacing w:before="151" w:line="221" w:lineRule="auto"/>
        <w:ind w:left="476"/>
        <w:outlineLvl w:val="2"/>
        <w:rPr>
          <w:rFonts w:hint="eastAsia" w:ascii="宋体" w:hAnsi="宋体" w:eastAsia="宋体" w:cs="宋体"/>
          <w:color w:val="auto"/>
          <w:sz w:val="24"/>
          <w:szCs w:val="24"/>
          <w:highlight w:val="none"/>
        </w:rPr>
      </w:pPr>
      <w:bookmarkStart w:id="149" w:name="_Toc7538"/>
      <w:r>
        <w:rPr>
          <w:rFonts w:hint="eastAsia" w:ascii="宋体" w:hAnsi="宋体" w:eastAsia="宋体" w:cs="宋体"/>
          <w:b/>
          <w:bCs/>
          <w:color w:val="auto"/>
          <w:spacing w:val="-11"/>
          <w:sz w:val="24"/>
          <w:szCs w:val="24"/>
          <w:highlight w:val="none"/>
        </w:rPr>
        <w:t>4</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11"/>
          <w:sz w:val="24"/>
          <w:szCs w:val="24"/>
          <w:highlight w:val="none"/>
        </w:rPr>
        <w:t>．其他</w:t>
      </w:r>
      <w:bookmarkEnd w:id="149"/>
    </w:p>
    <w:p w14:paraId="44995230">
      <w:pPr>
        <w:spacing w:before="153" w:line="326" w:lineRule="auto"/>
        <w:ind w:firstLine="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在任何评标环节（或阶段</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4"/>
          <w:sz w:val="24"/>
          <w:szCs w:val="24"/>
          <w:highlight w:val="none"/>
        </w:rPr>
        <w:t>投标人有下列情形之一的，评标委员会应否</w:t>
      </w:r>
      <w:r>
        <w:rPr>
          <w:rFonts w:hint="eastAsia" w:ascii="宋体" w:hAnsi="宋体" w:eastAsia="宋体" w:cs="宋体"/>
          <w:color w:val="auto"/>
          <w:spacing w:val="-5"/>
          <w:sz w:val="24"/>
          <w:szCs w:val="24"/>
          <w:highlight w:val="none"/>
        </w:rPr>
        <w:t>决其投标。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被否决的投标人，不进入下一环节（或阶段）。</w:t>
      </w:r>
    </w:p>
    <w:p w14:paraId="066795A6">
      <w:pPr>
        <w:spacing w:before="33"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（1）不按评标委员会要求澄清、说明或补正的；</w:t>
      </w:r>
    </w:p>
    <w:p w14:paraId="50319340">
      <w:pPr>
        <w:spacing w:before="154"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（2）有下列情形之一，被评标委员会认定属于串通投标的：</w:t>
      </w:r>
    </w:p>
    <w:p w14:paraId="382F6BAB">
      <w:pPr>
        <w:spacing w:before="157" w:line="218"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①不同投标人的投标文件两处以上（含两处）错、漏一致；</w:t>
      </w:r>
    </w:p>
    <w:p w14:paraId="0EB28FEB">
      <w:pPr>
        <w:spacing w:before="156" w:line="278" w:lineRule="auto"/>
        <w:ind w:right="21" w:firstLine="47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②不同投标人的投标总价相近且各分项报价、综合单价分析表内容混乱不能相互对</w:t>
      </w:r>
      <w:r>
        <w:rPr>
          <w:rFonts w:hint="eastAsia" w:ascii="宋体" w:hAnsi="宋体" w:eastAsia="宋体" w:cs="宋体"/>
          <w:color w:val="auto"/>
          <w:spacing w:val="-6"/>
          <w:sz w:val="24"/>
          <w:szCs w:val="24"/>
          <w:highlight w:val="none"/>
        </w:rPr>
        <w:t>应、乱调乱压或乱抬的，而在询标时没有合理的解释或者不能提供计算依据和</w:t>
      </w:r>
      <w:r>
        <w:rPr>
          <w:rFonts w:hint="eastAsia" w:ascii="宋体" w:hAnsi="宋体" w:eastAsia="宋体" w:cs="宋体"/>
          <w:color w:val="auto"/>
          <w:spacing w:val="-7"/>
          <w:sz w:val="24"/>
          <w:szCs w:val="24"/>
          <w:highlight w:val="none"/>
        </w:rPr>
        <w:t>报价依据；</w:t>
      </w:r>
    </w:p>
    <w:p w14:paraId="65AFCB69">
      <w:pPr>
        <w:spacing w:before="157" w:line="218" w:lineRule="auto"/>
        <w:ind w:left="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③不同投标人的投标各项报价存在异常一致</w:t>
      </w:r>
      <w:r>
        <w:rPr>
          <w:rFonts w:hint="eastAsia" w:ascii="宋体" w:hAnsi="宋体" w:eastAsia="宋体" w:cs="宋体"/>
          <w:color w:val="auto"/>
          <w:spacing w:val="-1"/>
          <w:sz w:val="24"/>
          <w:szCs w:val="24"/>
          <w:highlight w:val="none"/>
        </w:rPr>
        <w:t>或者呈规律性变化；</w:t>
      </w:r>
    </w:p>
    <w:p w14:paraId="708219FB">
      <w:pPr>
        <w:spacing w:before="156" w:line="218"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④不同投标人的投标文件由同一单位或者同一个人编制；</w:t>
      </w:r>
    </w:p>
    <w:p w14:paraId="5B280DD4">
      <w:pPr>
        <w:spacing w:before="157" w:line="280" w:lineRule="auto"/>
        <w:ind w:left="1"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⑤不同投标人的投标文件中投标资料（包括电子资料）相互混装或项目班子成员出</w:t>
      </w:r>
      <w:r>
        <w:rPr>
          <w:rFonts w:hint="eastAsia" w:ascii="宋体" w:hAnsi="宋体" w:eastAsia="宋体" w:cs="宋体"/>
          <w:color w:val="auto"/>
          <w:spacing w:val="-3"/>
          <w:sz w:val="24"/>
          <w:szCs w:val="24"/>
          <w:highlight w:val="none"/>
        </w:rPr>
        <w:t>现同一人；</w:t>
      </w:r>
    </w:p>
    <w:p w14:paraId="7721B366">
      <w:pPr>
        <w:spacing w:before="152" w:line="279" w:lineRule="auto"/>
        <w:ind w:left="3" w:right="81" w:firstLine="47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⑥不同投标人的投标文件由同一电脑编制或同一台附属设备打印，或投标报价用同</w:t>
      </w:r>
      <w:r>
        <w:rPr>
          <w:rFonts w:hint="eastAsia" w:ascii="宋体" w:hAnsi="宋体" w:eastAsia="宋体" w:cs="宋体"/>
          <w:color w:val="auto"/>
          <w:spacing w:val="-1"/>
          <w:sz w:val="24"/>
          <w:szCs w:val="24"/>
          <w:highlight w:val="none"/>
        </w:rPr>
        <w:t>一个预算编制软件密码锁制作或出自同一电子文档；</w:t>
      </w:r>
    </w:p>
    <w:p w14:paraId="29B75BEB">
      <w:pPr>
        <w:spacing w:before="155" w:line="218"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⑦不同投标人的投标保证由同一企业或同一账户资金缴纳；</w:t>
      </w:r>
    </w:p>
    <w:p w14:paraId="32CECDD1">
      <w:pPr>
        <w:spacing w:before="157" w:line="299" w:lineRule="auto"/>
        <w:ind w:right="81" w:firstLine="477"/>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⑧不同投标人委托同一个人或注册在同一家企业的注册人员或同一家企业为其投</w:t>
      </w:r>
      <w:r>
        <w:rPr>
          <w:rFonts w:hint="eastAsia" w:ascii="宋体" w:hAnsi="宋体" w:eastAsia="宋体" w:cs="宋体"/>
          <w:color w:val="auto"/>
          <w:spacing w:val="-2"/>
          <w:sz w:val="24"/>
          <w:szCs w:val="24"/>
          <w:highlight w:val="none"/>
        </w:rPr>
        <w:t>标提供投标咨询、商务报价、技术咨询（招标项目本身要求采用专有技术的除外）等服</w:t>
      </w:r>
      <w:r>
        <w:rPr>
          <w:rFonts w:hint="eastAsia" w:ascii="宋体" w:hAnsi="宋体" w:eastAsia="宋体" w:cs="宋体"/>
          <w:color w:val="auto"/>
          <w:spacing w:val="-6"/>
          <w:sz w:val="24"/>
          <w:szCs w:val="24"/>
          <w:highlight w:val="none"/>
        </w:rPr>
        <w:t>务。</w:t>
      </w:r>
    </w:p>
    <w:p w14:paraId="612D29AA">
      <w:pPr>
        <w:spacing w:line="299" w:lineRule="auto"/>
        <w:rPr>
          <w:rFonts w:hint="eastAsia" w:ascii="宋体" w:hAnsi="宋体" w:eastAsia="宋体" w:cs="宋体"/>
          <w:color w:val="auto"/>
          <w:sz w:val="24"/>
          <w:szCs w:val="24"/>
          <w:highlight w:val="none"/>
        </w:rPr>
      </w:pPr>
    </w:p>
    <w:p w14:paraId="7AFD9973">
      <w:pPr>
        <w:pStyle w:val="8"/>
        <w:ind w:firstLine="502" w:firstLineChars="200"/>
        <w:rPr>
          <w:rFonts w:hint="default" w:ascii="宋体" w:hAnsi="宋体" w:eastAsia="宋体" w:cs="宋体"/>
          <w:b/>
          <w:bCs/>
          <w:snapToGrid w:val="0"/>
          <w:color w:val="auto"/>
          <w:spacing w:val="5"/>
          <w:sz w:val="24"/>
          <w:szCs w:val="24"/>
          <w:highlight w:val="none"/>
          <w:lang w:val="en-US" w:eastAsia="zh-CN" w:bidi="ar-SA"/>
        </w:rPr>
        <w:sectPr>
          <w:footerReference r:id="rId10" w:type="default"/>
          <w:pgSz w:w="11906" w:h="16839"/>
          <w:pgMar w:top="1440" w:right="946"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b/>
          <w:bCs/>
          <w:snapToGrid w:val="0"/>
          <w:color w:val="auto"/>
          <w:spacing w:val="5"/>
          <w:sz w:val="24"/>
          <w:szCs w:val="24"/>
          <w:highlight w:val="none"/>
          <w:lang w:val="en-US" w:eastAsia="en-US" w:bidi="ar-SA"/>
        </w:rPr>
        <w:t>⓽</w:t>
      </w:r>
      <w:r>
        <w:rPr>
          <w:rFonts w:hint="eastAsia" w:ascii="宋体" w:hAnsi="宋体" w:eastAsia="宋体" w:cs="宋体"/>
          <w:b/>
          <w:bCs/>
          <w:snapToGrid w:val="0"/>
          <w:color w:val="auto"/>
          <w:spacing w:val="5"/>
          <w:sz w:val="24"/>
          <w:szCs w:val="24"/>
          <w:highlight w:val="none"/>
          <w:lang w:val="en-US" w:eastAsia="zh-CN" w:bidi="ar-SA"/>
        </w:rPr>
        <w:t>监督部门于韶关市公共交易一体化平台发现系统提示风险预警，如提示投标单位上传投标文件使用的电脑IP地址一致等。</w:t>
      </w:r>
    </w:p>
    <w:p w14:paraId="7239C048">
      <w:pPr>
        <w:spacing w:before="78" w:line="219" w:lineRule="auto"/>
        <w:ind w:left="3525"/>
        <w:outlineLvl w:val="0"/>
        <w:rPr>
          <w:rFonts w:hint="eastAsia" w:ascii="宋体" w:hAnsi="宋体" w:eastAsia="宋体" w:cs="宋体"/>
          <w:color w:val="auto"/>
          <w:sz w:val="24"/>
          <w:szCs w:val="24"/>
          <w:highlight w:val="none"/>
        </w:rPr>
      </w:pPr>
      <w:bookmarkStart w:id="150" w:name="bookmark57"/>
      <w:bookmarkEnd w:id="150"/>
      <w:bookmarkStart w:id="151" w:name="_Toc10955"/>
      <w:r>
        <w:rPr>
          <w:rFonts w:hint="eastAsia" w:ascii="宋体" w:hAnsi="宋体" w:eastAsia="宋体" w:cs="宋体"/>
          <w:b/>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7"/>
          <w:sz w:val="24"/>
          <w:szCs w:val="24"/>
          <w:highlight w:val="none"/>
        </w:rPr>
        <w:t>中标人须知</w:t>
      </w:r>
      <w:bookmarkEnd w:id="151"/>
    </w:p>
    <w:p w14:paraId="43A97F8E">
      <w:pPr>
        <w:spacing w:before="78" w:line="219" w:lineRule="auto"/>
        <w:ind w:left="582"/>
        <w:outlineLvl w:val="2"/>
        <w:rPr>
          <w:rFonts w:hint="eastAsia" w:ascii="宋体" w:hAnsi="宋体" w:eastAsia="宋体" w:cs="宋体"/>
          <w:color w:val="auto"/>
          <w:sz w:val="24"/>
          <w:szCs w:val="24"/>
          <w:highlight w:val="none"/>
        </w:rPr>
      </w:pPr>
      <w:bookmarkStart w:id="152" w:name="_Toc32102"/>
      <w:r>
        <w:rPr>
          <w:rFonts w:hint="eastAsia" w:ascii="宋体" w:hAnsi="宋体" w:eastAsia="宋体" w:cs="宋体"/>
          <w:b/>
          <w:bCs/>
          <w:color w:val="auto"/>
          <w:spacing w:val="-9"/>
          <w:sz w:val="24"/>
          <w:szCs w:val="24"/>
          <w:highlight w:val="none"/>
        </w:rPr>
        <w:t>1</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9"/>
          <w:sz w:val="24"/>
          <w:szCs w:val="24"/>
          <w:highlight w:val="none"/>
        </w:rPr>
        <w:t>．中标通知书</w:t>
      </w:r>
      <w:bookmarkEnd w:id="152"/>
    </w:p>
    <w:p w14:paraId="67D625E7">
      <w:pPr>
        <w:spacing w:before="152" w:line="332" w:lineRule="auto"/>
        <w:ind w:left="17" w:firstLine="55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招标人确定第一中标候选人为中标人，并在中标人确定之日起</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7日内向中</w:t>
      </w:r>
      <w:r>
        <w:rPr>
          <w:rFonts w:hint="eastAsia" w:ascii="宋体" w:hAnsi="宋体" w:eastAsia="宋体" w:cs="宋体"/>
          <w:color w:val="auto"/>
          <w:sz w:val="24"/>
          <w:szCs w:val="24"/>
          <w:highlight w:val="none"/>
        </w:rPr>
        <w:t>标人发</w:t>
      </w:r>
      <w:r>
        <w:rPr>
          <w:rFonts w:hint="eastAsia" w:ascii="宋体" w:hAnsi="宋体" w:eastAsia="宋体" w:cs="宋体"/>
          <w:color w:val="auto"/>
          <w:spacing w:val="-3"/>
          <w:sz w:val="24"/>
          <w:szCs w:val="24"/>
          <w:highlight w:val="none"/>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rPr>
        <w:t>结果和中标人放弃中标的，应当承担法律责任。</w:t>
      </w:r>
    </w:p>
    <w:p w14:paraId="12F5A0D0">
      <w:pPr>
        <w:pStyle w:val="5"/>
        <w:spacing w:line="394" w:lineRule="auto"/>
        <w:rPr>
          <w:rFonts w:hint="eastAsia" w:ascii="宋体" w:hAnsi="宋体" w:eastAsia="宋体" w:cs="宋体"/>
          <w:color w:val="auto"/>
          <w:highlight w:val="none"/>
        </w:rPr>
      </w:pPr>
    </w:p>
    <w:p w14:paraId="4A862E20">
      <w:pPr>
        <w:spacing w:before="78" w:line="221" w:lineRule="auto"/>
        <w:ind w:left="572"/>
        <w:outlineLvl w:val="2"/>
        <w:rPr>
          <w:rFonts w:hint="eastAsia" w:ascii="宋体" w:hAnsi="宋体" w:eastAsia="宋体" w:cs="宋体"/>
          <w:color w:val="auto"/>
          <w:sz w:val="24"/>
          <w:szCs w:val="24"/>
          <w:highlight w:val="none"/>
        </w:rPr>
      </w:pPr>
      <w:bookmarkStart w:id="153" w:name="_Toc24401"/>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．中标结果公示</w:t>
      </w:r>
      <w:bookmarkEnd w:id="153"/>
    </w:p>
    <w:p w14:paraId="07DF8AA9">
      <w:pPr>
        <w:spacing w:before="115" w:line="316" w:lineRule="auto"/>
        <w:ind w:left="2" w:right="203" w:firstLine="59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中标通知书发出后</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15日内，招标人应将中标结果在广东省招标投标</w:t>
      </w:r>
      <w:r>
        <w:rPr>
          <w:rFonts w:hint="eastAsia" w:ascii="宋体" w:hAnsi="宋体" w:eastAsia="宋体" w:cs="宋体"/>
          <w:color w:val="auto"/>
          <w:spacing w:val="-3"/>
          <w:sz w:val="24"/>
          <w:szCs w:val="24"/>
          <w:highlight w:val="none"/>
        </w:rPr>
        <w:t>监管网（http:</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//zbtb.gd.gov.cn）、全国公共资源交易平台（广东省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2"/>
          <w:sz w:val="24"/>
          <w:szCs w:val="24"/>
          <w:highlight w:val="none"/>
        </w:rPr>
        <w:t>https://ygp.</w:t>
      </w:r>
      <w:r>
        <w:rPr>
          <w:rFonts w:hint="eastAsia" w:ascii="宋体" w:hAnsi="宋体" w:eastAsia="宋体" w:cs="宋体"/>
          <w:color w:val="auto"/>
          <w:spacing w:val="-3"/>
          <w:sz w:val="24"/>
          <w:szCs w:val="24"/>
          <w:highlight w:val="none"/>
        </w:rPr>
        <w:t>gdzwfw.gov.</w:t>
      </w:r>
      <w:r>
        <w:rPr>
          <w:rFonts w:hint="eastAsia" w:ascii="宋体" w:hAnsi="宋体" w:eastAsia="宋体" w:cs="宋体"/>
          <w:color w:val="auto"/>
          <w:sz w:val="24"/>
          <w:szCs w:val="24"/>
          <w:highlight w:val="none"/>
        </w:rPr>
        <w:t xml:space="preserve"> cn/ggzy-portal/#/440200/index）进行公示。</w:t>
      </w:r>
    </w:p>
    <w:p w14:paraId="29FEE83E">
      <w:pPr>
        <w:pStyle w:val="5"/>
        <w:spacing w:line="475" w:lineRule="auto"/>
        <w:rPr>
          <w:rFonts w:hint="eastAsia" w:ascii="宋体" w:hAnsi="宋体" w:eastAsia="宋体" w:cs="宋体"/>
          <w:color w:val="auto"/>
          <w:highlight w:val="none"/>
        </w:rPr>
      </w:pPr>
    </w:p>
    <w:p w14:paraId="702B2050">
      <w:pPr>
        <w:spacing w:before="79" w:line="221" w:lineRule="auto"/>
        <w:ind w:left="570"/>
        <w:outlineLvl w:val="2"/>
        <w:rPr>
          <w:rFonts w:hint="eastAsia" w:ascii="宋体" w:hAnsi="宋体" w:eastAsia="宋体" w:cs="宋体"/>
          <w:color w:val="auto"/>
          <w:sz w:val="24"/>
          <w:szCs w:val="24"/>
          <w:highlight w:val="none"/>
        </w:rPr>
      </w:pPr>
      <w:bookmarkStart w:id="154" w:name="_Toc3915"/>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．履约保证</w:t>
      </w:r>
      <w:bookmarkEnd w:id="154"/>
    </w:p>
    <w:p w14:paraId="1894D19A">
      <w:pPr>
        <w:keepNext w:val="0"/>
        <w:keepLines w:val="0"/>
        <w:pageBreakBefore w:val="0"/>
        <w:widowControl/>
        <w:kinsoku w:val="0"/>
        <w:wordWrap/>
        <w:overflowPunct/>
        <w:topLinePunct w:val="0"/>
        <w:autoSpaceDE w:val="0"/>
        <w:autoSpaceDN w:val="0"/>
        <w:bidi w:val="0"/>
        <w:adjustRightInd w:val="0"/>
        <w:snapToGrid w:val="0"/>
        <w:spacing w:before="153" w:line="312" w:lineRule="auto"/>
        <w:ind w:firstLine="47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3.1</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color w:val="auto"/>
          <w:spacing w:val="-3"/>
          <w:sz w:val="24"/>
          <w:szCs w:val="24"/>
          <w:highlight w:val="none"/>
        </w:rPr>
        <w:t>中标人须在领取中标通知书之日起</w:t>
      </w:r>
      <w:r>
        <w:rPr>
          <w:rFonts w:hint="eastAsia" w:ascii="宋体" w:hAnsi="宋体" w:eastAsia="宋体" w:cs="宋体"/>
          <w:color w:val="auto"/>
          <w:spacing w:val="-3"/>
          <w:sz w:val="24"/>
          <w:szCs w:val="24"/>
          <w:highlight w:val="none"/>
          <w:u w:val="single"/>
          <w:lang w:val="en-US" w:eastAsia="zh-CN"/>
        </w:rPr>
        <w:t xml:space="preserve"> 10 </w:t>
      </w:r>
      <w:r>
        <w:rPr>
          <w:rFonts w:hint="eastAsia" w:ascii="宋体" w:hAnsi="宋体" w:eastAsia="宋体" w:cs="宋体"/>
          <w:color w:val="auto"/>
          <w:spacing w:val="-3"/>
          <w:sz w:val="24"/>
          <w:szCs w:val="24"/>
          <w:highlight w:val="none"/>
        </w:rPr>
        <w:t>个工作日内、签订合同前向招标人提交金额</w:t>
      </w:r>
      <w:r>
        <w:rPr>
          <w:rFonts w:hint="eastAsia" w:ascii="宋体" w:hAnsi="宋体" w:eastAsia="宋体" w:cs="宋体"/>
          <w:color w:val="auto"/>
          <w:spacing w:val="-1"/>
          <w:position w:val="2"/>
          <w:sz w:val="24"/>
          <w:szCs w:val="24"/>
          <w:highlight w:val="none"/>
        </w:rPr>
        <w:t>为中标价</w:t>
      </w:r>
      <w:r>
        <w:rPr>
          <w:rFonts w:hint="eastAsia" w:ascii="宋体" w:hAnsi="宋体" w:eastAsia="宋体" w:cs="宋体"/>
          <w:color w:val="auto"/>
          <w:spacing w:val="-1"/>
          <w:position w:val="2"/>
          <w:sz w:val="24"/>
          <w:szCs w:val="24"/>
          <w:highlight w:val="none"/>
          <w:u w:val="single"/>
          <w:lang w:val="en-US" w:eastAsia="zh-CN"/>
        </w:rPr>
        <w:t xml:space="preserve"> 5</w:t>
      </w:r>
      <w:r>
        <w:rPr>
          <w:rFonts w:hint="eastAsia" w:ascii="宋体" w:hAnsi="宋体" w:eastAsia="宋体" w:cs="宋体"/>
          <w:color w:val="auto"/>
          <w:spacing w:val="-1"/>
          <w:position w:val="2"/>
          <w:sz w:val="24"/>
          <w:szCs w:val="24"/>
          <w:highlight w:val="none"/>
          <w:u w:val="single"/>
        </w:rPr>
        <w:t>%</w:t>
      </w:r>
      <w:r>
        <w:rPr>
          <w:rFonts w:hint="eastAsia" w:ascii="宋体" w:hAnsi="宋体" w:eastAsia="宋体" w:cs="宋体"/>
          <w:color w:val="auto"/>
          <w:spacing w:val="-1"/>
          <w:position w:val="2"/>
          <w:sz w:val="24"/>
          <w:szCs w:val="24"/>
          <w:highlight w:val="none"/>
        </w:rPr>
        <w:t>的履约保证。 联合体中标的，由联合体牵头人提交。</w:t>
      </w:r>
    </w:p>
    <w:p w14:paraId="4C75AFDC">
      <w:pPr>
        <w:spacing w:before="89" w:line="286" w:lineRule="auto"/>
        <w:ind w:left="12" w:right="108" w:firstLine="47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3.2</w:t>
      </w:r>
      <w:r>
        <w:rPr>
          <w:rFonts w:hint="eastAsia" w:ascii="宋体" w:hAnsi="宋体" w:eastAsia="宋体" w:cs="宋体"/>
          <w:b/>
          <w:bCs/>
          <w:color w:val="auto"/>
          <w:spacing w:val="34"/>
          <w:w w:val="101"/>
          <w:sz w:val="24"/>
          <w:szCs w:val="24"/>
          <w:highlight w:val="none"/>
        </w:rPr>
        <w:t xml:space="preserve"> </w:t>
      </w:r>
      <w:r>
        <w:rPr>
          <w:rFonts w:hint="eastAsia" w:ascii="宋体" w:hAnsi="宋体" w:eastAsia="宋体" w:cs="宋体"/>
          <w:color w:val="auto"/>
          <w:spacing w:val="-1"/>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2"/>
          <w:sz w:val="24"/>
          <w:szCs w:val="24"/>
          <w:highlight w:val="none"/>
        </w:rPr>
        <w:t>。商业保函、银行保函或保险合同（或保险单）的</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有效期应当自合同生效之日起至项目通过竣工验收之日后</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28 天止。</w:t>
      </w:r>
    </w:p>
    <w:p w14:paraId="130B8B0F">
      <w:pPr>
        <w:wordWrap w:val="0"/>
        <w:spacing w:line="440" w:lineRule="exact"/>
        <w:ind w:firstLine="562"/>
        <w:rPr>
          <w:rFonts w:hint="eastAsia"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625D6AB2">
      <w:pPr>
        <w:spacing w:before="145" w:line="319" w:lineRule="auto"/>
        <w:ind w:left="12" w:right="108"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3.3</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4"/>
          <w:sz w:val="24"/>
          <w:szCs w:val="24"/>
          <w:highlight w:val="none"/>
        </w:rPr>
        <w:t>中标人在领取中标通知书之日起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 个工</w:t>
      </w:r>
      <w:r>
        <w:rPr>
          <w:rFonts w:hint="eastAsia" w:ascii="宋体" w:hAnsi="宋体" w:eastAsia="宋体" w:cs="宋体"/>
          <w:color w:val="auto"/>
          <w:spacing w:val="-5"/>
          <w:sz w:val="24"/>
          <w:szCs w:val="24"/>
          <w:highlight w:val="none"/>
        </w:rPr>
        <w:t>作日内仍未提交履约保证的，招标人发</w:t>
      </w:r>
      <w:r>
        <w:rPr>
          <w:rFonts w:hint="eastAsia" w:ascii="宋体" w:hAnsi="宋体" w:eastAsia="宋体" w:cs="宋体"/>
          <w:color w:val="auto"/>
          <w:spacing w:val="1"/>
          <w:sz w:val="24"/>
          <w:szCs w:val="24"/>
          <w:highlight w:val="none"/>
        </w:rPr>
        <w:t>出第一次提醒函；在领取中标通知书之日起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15 个工作日内仍未提交的</w:t>
      </w:r>
      <w:r>
        <w:rPr>
          <w:rFonts w:hint="eastAsia" w:ascii="宋体" w:hAnsi="宋体" w:eastAsia="宋体" w:cs="宋体"/>
          <w:color w:val="auto"/>
          <w:sz w:val="24"/>
          <w:szCs w:val="24"/>
          <w:highlight w:val="none"/>
        </w:rPr>
        <w:t>，招标人发出第</w:t>
      </w:r>
      <w:r>
        <w:rPr>
          <w:rFonts w:hint="eastAsia" w:ascii="宋体" w:hAnsi="宋体" w:eastAsia="宋体" w:cs="宋体"/>
          <w:color w:val="auto"/>
          <w:spacing w:val="1"/>
          <w:sz w:val="24"/>
          <w:szCs w:val="24"/>
          <w:highlight w:val="none"/>
        </w:rPr>
        <w:t>二次提醒函；在领取中标通知书之日起</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20 个工作日内仍未提交的，视其放弃中标。并</w:t>
      </w:r>
      <w:r>
        <w:rPr>
          <w:rFonts w:hint="eastAsia" w:ascii="宋体" w:hAnsi="宋体" w:eastAsia="宋体" w:cs="宋体"/>
          <w:color w:val="auto"/>
          <w:spacing w:val="-2"/>
          <w:sz w:val="24"/>
          <w:szCs w:val="24"/>
          <w:highlight w:val="none"/>
        </w:rPr>
        <w:t>由招标人通报建设行政管理部门。如采用商业保函、银行保函或保险合同方式缴纳履约保证金，在保函或保险合同到期前一个月，中标人须主动办理续期手续或提交新的商业</w:t>
      </w:r>
      <w:r>
        <w:rPr>
          <w:rFonts w:hint="eastAsia" w:ascii="宋体" w:hAnsi="宋体" w:eastAsia="宋体" w:cs="宋体"/>
          <w:color w:val="auto"/>
          <w:spacing w:val="-1"/>
          <w:sz w:val="24"/>
          <w:szCs w:val="24"/>
          <w:highlight w:val="none"/>
        </w:rPr>
        <w:t>保函、银行保函或保险合同。</w:t>
      </w:r>
    </w:p>
    <w:p w14:paraId="56CE79A0">
      <w:pPr>
        <w:spacing w:before="152" w:line="299" w:lineRule="auto"/>
        <w:ind w:left="12"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3.4  </w:t>
      </w:r>
      <w:r>
        <w:rPr>
          <w:rFonts w:hint="eastAsia" w:ascii="宋体" w:hAnsi="宋体" w:eastAsia="宋体" w:cs="宋体"/>
          <w:color w:val="auto"/>
          <w:sz w:val="24"/>
          <w:szCs w:val="24"/>
          <w:highlight w:val="none"/>
        </w:rPr>
        <w:t>在工程实施过程中，如果承包人（即招标阶段的中标人，下同）由于自身的资</w:t>
      </w:r>
      <w:r>
        <w:rPr>
          <w:rFonts w:hint="eastAsia" w:ascii="宋体" w:hAnsi="宋体" w:eastAsia="宋体" w:cs="宋体"/>
          <w:color w:val="auto"/>
          <w:spacing w:val="-2"/>
          <w:sz w:val="24"/>
          <w:szCs w:val="24"/>
          <w:highlight w:val="none"/>
        </w:rPr>
        <w:t>金、技术、质量、非不可抗力等原因给发包人（即招标阶段的招标人，下同）造成经济</w:t>
      </w:r>
      <w:r>
        <w:rPr>
          <w:rFonts w:hint="eastAsia" w:ascii="宋体" w:hAnsi="宋体" w:eastAsia="宋体" w:cs="宋体"/>
          <w:color w:val="auto"/>
          <w:spacing w:val="-1"/>
          <w:sz w:val="24"/>
          <w:szCs w:val="24"/>
          <w:highlight w:val="none"/>
        </w:rPr>
        <w:t>损失，发包人有权扣划相应金额的履约保证。</w:t>
      </w:r>
    </w:p>
    <w:p w14:paraId="413E9D7B">
      <w:pPr>
        <w:spacing w:before="154" w:line="220" w:lineRule="auto"/>
        <w:ind w:left="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3.5  </w:t>
      </w:r>
      <w:r>
        <w:rPr>
          <w:rFonts w:hint="eastAsia" w:ascii="宋体" w:hAnsi="宋体" w:eastAsia="宋体" w:cs="宋体"/>
          <w:color w:val="auto"/>
          <w:sz w:val="24"/>
          <w:szCs w:val="24"/>
          <w:highlight w:val="none"/>
        </w:rPr>
        <w:t>项目通过竣工验收之日后</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28 天内，发包人将履</w:t>
      </w:r>
      <w:r>
        <w:rPr>
          <w:rFonts w:hint="eastAsia" w:ascii="宋体" w:hAnsi="宋体" w:eastAsia="宋体" w:cs="宋体"/>
          <w:color w:val="auto"/>
          <w:spacing w:val="-1"/>
          <w:sz w:val="24"/>
          <w:szCs w:val="24"/>
          <w:highlight w:val="none"/>
        </w:rPr>
        <w:t>约保证退还给承包人。</w:t>
      </w:r>
    </w:p>
    <w:p w14:paraId="48D84800">
      <w:pPr>
        <w:pStyle w:val="5"/>
        <w:spacing w:line="256" w:lineRule="auto"/>
        <w:rPr>
          <w:rFonts w:hint="eastAsia" w:ascii="宋体" w:hAnsi="宋体" w:eastAsia="宋体" w:cs="宋体"/>
          <w:color w:val="auto"/>
          <w:highlight w:val="none"/>
        </w:rPr>
      </w:pPr>
    </w:p>
    <w:p w14:paraId="57DEDCDE">
      <w:pPr>
        <w:pStyle w:val="5"/>
        <w:spacing w:line="257" w:lineRule="auto"/>
        <w:rPr>
          <w:rFonts w:hint="eastAsia" w:ascii="宋体" w:hAnsi="宋体" w:eastAsia="宋体" w:cs="宋体"/>
          <w:color w:val="auto"/>
          <w:highlight w:val="none"/>
        </w:rPr>
      </w:pPr>
    </w:p>
    <w:p w14:paraId="5AE7E209">
      <w:pPr>
        <w:spacing w:before="78" w:line="222" w:lineRule="auto"/>
        <w:ind w:left="488"/>
        <w:outlineLvl w:val="2"/>
        <w:rPr>
          <w:rFonts w:hint="eastAsia" w:ascii="宋体" w:hAnsi="宋体" w:eastAsia="宋体" w:cs="宋体"/>
          <w:color w:val="auto"/>
          <w:sz w:val="24"/>
          <w:szCs w:val="24"/>
          <w:highlight w:val="none"/>
        </w:rPr>
      </w:pPr>
      <w:bookmarkStart w:id="155" w:name="_Toc5465"/>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．合同订立</w:t>
      </w:r>
      <w:bookmarkEnd w:id="155"/>
    </w:p>
    <w:p w14:paraId="22C28431">
      <w:pPr>
        <w:spacing w:before="150" w:line="279" w:lineRule="auto"/>
        <w:ind w:left="13"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color w:val="auto"/>
          <w:sz w:val="24"/>
          <w:szCs w:val="24"/>
          <w:highlight w:val="none"/>
        </w:rPr>
        <w:t>招标人应当自中标通知书发出之日起</w:t>
      </w:r>
      <w:r>
        <w:rPr>
          <w:rFonts w:hint="eastAsia" w:ascii="宋体" w:hAnsi="宋体" w:eastAsia="宋体" w:cs="宋体"/>
          <w:color w:val="auto"/>
          <w:sz w:val="24"/>
          <w:szCs w:val="24"/>
          <w:highlight w:val="none"/>
          <w:u w:val="single"/>
          <w:lang w:val="en-US" w:eastAsia="zh-CN"/>
        </w:rPr>
        <w:t xml:space="preserve"> 三十 </w:t>
      </w:r>
      <w:r>
        <w:rPr>
          <w:rFonts w:hint="eastAsia" w:ascii="宋体" w:hAnsi="宋体" w:eastAsia="宋体" w:cs="宋体"/>
          <w:color w:val="auto"/>
          <w:sz w:val="24"/>
          <w:szCs w:val="24"/>
          <w:highlight w:val="none"/>
        </w:rPr>
        <w:t>日内，按照招标文件、中标人的投标</w:t>
      </w:r>
      <w:r>
        <w:rPr>
          <w:rFonts w:hint="eastAsia" w:ascii="宋体" w:hAnsi="宋体" w:eastAsia="宋体" w:cs="宋体"/>
          <w:color w:val="auto"/>
          <w:spacing w:val="-1"/>
          <w:sz w:val="24"/>
          <w:szCs w:val="24"/>
          <w:highlight w:val="none"/>
        </w:rPr>
        <w:t>文件与中标人订立书面合同。</w:t>
      </w:r>
    </w:p>
    <w:p w14:paraId="3239AA1D">
      <w:pPr>
        <w:spacing w:before="156"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color w:val="auto"/>
          <w:spacing w:val="-1"/>
          <w:sz w:val="24"/>
          <w:szCs w:val="24"/>
          <w:highlight w:val="none"/>
        </w:rPr>
        <w:t>不正常报价的梳理和确认</w:t>
      </w:r>
    </w:p>
    <w:p w14:paraId="4FABC499">
      <w:pPr>
        <w:spacing w:before="154" w:line="299" w:lineRule="auto"/>
        <w:ind w:left="14" w:right="64"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4.2.1 合同订立期间，在不改变中标人的投标总价的前提下，招标人应对中标人的</w:t>
      </w:r>
      <w:r>
        <w:rPr>
          <w:rFonts w:hint="eastAsia" w:ascii="宋体" w:hAnsi="宋体" w:eastAsia="宋体" w:cs="宋体"/>
          <w:b/>
          <w:bCs/>
          <w:color w:val="auto"/>
          <w:spacing w:val="-3"/>
          <w:sz w:val="24"/>
          <w:szCs w:val="24"/>
          <w:highlight w:val="none"/>
        </w:rPr>
        <w:t>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3"/>
          <w:sz w:val="24"/>
          <w:szCs w:val="24"/>
          <w:highlight w:val="none"/>
        </w:rPr>
        <w:t>招标人不具备</w:t>
      </w:r>
      <w:r>
        <w:rPr>
          <w:rFonts w:hint="eastAsia" w:ascii="宋体" w:hAnsi="宋体" w:eastAsia="宋体" w:cs="宋体"/>
          <w:color w:val="auto"/>
          <w:spacing w:val="-4"/>
          <w:sz w:val="24"/>
          <w:szCs w:val="24"/>
          <w:highlight w:val="none"/>
        </w:rPr>
        <w:t>以上能力的，可授</w:t>
      </w:r>
      <w:r>
        <w:rPr>
          <w:rFonts w:hint="eastAsia" w:ascii="宋体" w:hAnsi="宋体" w:eastAsia="宋体" w:cs="宋体"/>
          <w:color w:val="auto"/>
          <w:spacing w:val="-1"/>
          <w:sz w:val="24"/>
          <w:szCs w:val="24"/>
          <w:highlight w:val="none"/>
        </w:rPr>
        <w:t>权编制本项目</w:t>
      </w:r>
      <w:r>
        <w:rPr>
          <w:rFonts w:hint="eastAsia" w:ascii="宋体" w:hAnsi="宋体" w:eastAsia="宋体" w:cs="宋体"/>
          <w:color w:val="auto"/>
          <w:spacing w:val="-1"/>
          <w:sz w:val="24"/>
          <w:szCs w:val="24"/>
          <w:highlight w:val="none"/>
          <w:lang w:val="en-US" w:eastAsia="zh-CN"/>
        </w:rPr>
        <w:t>最高投标限价</w:t>
      </w:r>
      <w:r>
        <w:rPr>
          <w:rFonts w:hint="eastAsia" w:ascii="宋体" w:hAnsi="宋体" w:eastAsia="宋体" w:cs="宋体"/>
          <w:color w:val="auto"/>
          <w:spacing w:val="-1"/>
          <w:sz w:val="24"/>
          <w:szCs w:val="24"/>
          <w:highlight w:val="none"/>
        </w:rPr>
        <w:t>的造价咨询单位实施。</w:t>
      </w:r>
    </w:p>
    <w:p w14:paraId="70AF37BA">
      <w:pPr>
        <w:spacing w:before="121" w:line="309" w:lineRule="auto"/>
        <w:ind w:left="14" w:right="65"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4.2.2  </w:t>
      </w:r>
      <w:r>
        <w:rPr>
          <w:rFonts w:hint="eastAsia" w:ascii="宋体" w:hAnsi="宋体" w:eastAsia="宋体" w:cs="宋体"/>
          <w:color w:val="auto"/>
          <w:spacing w:val="2"/>
          <w:sz w:val="24"/>
          <w:szCs w:val="24"/>
          <w:highlight w:val="none"/>
        </w:rPr>
        <w:t>算术性错误的分析和修正。投标报价汇</w:t>
      </w:r>
      <w:r>
        <w:rPr>
          <w:rFonts w:hint="eastAsia" w:ascii="宋体" w:hAnsi="宋体" w:eastAsia="宋体" w:cs="宋体"/>
          <w:color w:val="auto"/>
          <w:spacing w:val="1"/>
          <w:sz w:val="24"/>
          <w:szCs w:val="24"/>
          <w:highlight w:val="none"/>
        </w:rPr>
        <w:t>总表中，投标总价与各分项费用之和</w:t>
      </w:r>
      <w:r>
        <w:rPr>
          <w:rFonts w:hint="eastAsia" w:ascii="宋体" w:hAnsi="宋体" w:eastAsia="宋体" w:cs="宋体"/>
          <w:color w:val="auto"/>
          <w:spacing w:val="-2"/>
          <w:sz w:val="24"/>
          <w:szCs w:val="24"/>
          <w:highlight w:val="none"/>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rPr>
        <w:t>分项表中总价金额与依据单价计算出的结果不</w:t>
      </w:r>
      <w:r>
        <w:rPr>
          <w:rFonts w:hint="eastAsia" w:ascii="宋体" w:hAnsi="宋体" w:eastAsia="宋体" w:cs="宋体"/>
          <w:color w:val="auto"/>
          <w:spacing w:val="-1"/>
          <w:sz w:val="24"/>
          <w:szCs w:val="24"/>
          <w:highlight w:val="none"/>
        </w:rPr>
        <w:t>一致的，以总价为准修正单价。</w:t>
      </w:r>
    </w:p>
    <w:p w14:paraId="425950F4">
      <w:pPr>
        <w:spacing w:before="157" w:line="279" w:lineRule="auto"/>
        <w:ind w:left="12" w:right="66"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4.2.3  </w:t>
      </w:r>
      <w:r>
        <w:rPr>
          <w:rFonts w:hint="eastAsia" w:ascii="宋体" w:hAnsi="宋体" w:eastAsia="宋体" w:cs="宋体"/>
          <w:color w:val="auto"/>
          <w:spacing w:val="2"/>
          <w:sz w:val="24"/>
          <w:szCs w:val="24"/>
          <w:highlight w:val="none"/>
        </w:rPr>
        <w:t>错漏项的认定。中标人已标价工程量清</w:t>
      </w:r>
      <w:r>
        <w:rPr>
          <w:rFonts w:hint="eastAsia" w:ascii="宋体" w:hAnsi="宋体" w:eastAsia="宋体" w:cs="宋体"/>
          <w:color w:val="auto"/>
          <w:spacing w:val="1"/>
          <w:sz w:val="24"/>
          <w:szCs w:val="24"/>
          <w:highlight w:val="none"/>
        </w:rPr>
        <w:t>单中，任一清单项目未填报价格或价</w:t>
      </w:r>
      <w:r>
        <w:rPr>
          <w:rFonts w:hint="eastAsia" w:ascii="宋体" w:hAnsi="宋体" w:eastAsia="宋体" w:cs="宋体"/>
          <w:color w:val="auto"/>
          <w:spacing w:val="-1"/>
          <w:sz w:val="24"/>
          <w:szCs w:val="24"/>
          <w:highlight w:val="none"/>
        </w:rPr>
        <w:t>格为零的，视为错漏项。</w:t>
      </w:r>
    </w:p>
    <w:p w14:paraId="63D8F314">
      <w:pPr>
        <w:spacing w:before="121"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4.2.4  </w:t>
      </w:r>
      <w:r>
        <w:rPr>
          <w:rFonts w:hint="eastAsia" w:ascii="宋体" w:hAnsi="宋体" w:eastAsia="宋体" w:cs="宋体"/>
          <w:color w:val="auto"/>
          <w:spacing w:val="2"/>
          <w:sz w:val="24"/>
          <w:szCs w:val="24"/>
          <w:highlight w:val="none"/>
        </w:rPr>
        <w:t>不平衡报价的认定。经修正算术性错误后的中标人已标价工程量清单中，</w:t>
      </w:r>
      <w:r>
        <w:rPr>
          <w:rFonts w:hint="eastAsia" w:ascii="宋体" w:hAnsi="宋体" w:eastAsia="宋体" w:cs="宋体"/>
          <w:color w:val="auto"/>
          <w:spacing w:val="2"/>
          <w:sz w:val="24"/>
          <w:szCs w:val="24"/>
          <w:highlight w:val="none"/>
          <w:u w:val="single"/>
        </w:rPr>
        <w:t>对于投标报价中综合单价相对</w:t>
      </w:r>
      <w:r>
        <w:rPr>
          <w:rFonts w:hint="eastAsia" w:ascii="宋体" w:hAnsi="宋体" w:eastAsia="宋体" w:cs="宋体"/>
          <w:color w:val="auto"/>
          <w:spacing w:val="2"/>
          <w:sz w:val="24"/>
          <w:szCs w:val="24"/>
          <w:highlight w:val="none"/>
          <w:u w:val="single"/>
          <w:lang w:val="en-US" w:eastAsia="zh-CN"/>
        </w:rPr>
        <w:t>最高投标限价</w:t>
      </w:r>
      <w:r>
        <w:rPr>
          <w:rFonts w:hint="eastAsia" w:ascii="宋体" w:hAnsi="宋体" w:eastAsia="宋体" w:cs="宋体"/>
          <w:color w:val="auto"/>
          <w:spacing w:val="2"/>
          <w:sz w:val="24"/>
          <w:szCs w:val="24"/>
          <w:highlight w:val="none"/>
          <w:u w:val="single"/>
        </w:rPr>
        <w:t xml:space="preserve">《分部分项工程和单价措施项目清单与计价表》中对应综合单价的偏差大于±15% </w:t>
      </w:r>
      <w:r>
        <w:rPr>
          <w:rFonts w:hint="eastAsia" w:ascii="宋体" w:hAnsi="宋体" w:eastAsia="宋体" w:cs="宋体"/>
          <w:color w:val="auto"/>
          <w:spacing w:val="2"/>
          <w:sz w:val="24"/>
          <w:szCs w:val="24"/>
          <w:highlight w:val="none"/>
          <w:u w:val="none"/>
        </w:rPr>
        <w:t>的清</w:t>
      </w:r>
      <w:r>
        <w:rPr>
          <w:rFonts w:hint="eastAsia" w:ascii="宋体" w:hAnsi="宋体" w:eastAsia="宋体" w:cs="宋体"/>
          <w:color w:val="auto"/>
          <w:spacing w:val="-3"/>
          <w:sz w:val="24"/>
          <w:szCs w:val="24"/>
          <w:highlight w:val="none"/>
          <w:u w:val="none"/>
        </w:rPr>
        <w:t>单项目</w:t>
      </w:r>
      <w:r>
        <w:rPr>
          <w:rFonts w:hint="eastAsia" w:ascii="宋体" w:hAnsi="宋体" w:eastAsia="宋体" w:cs="宋体"/>
          <w:color w:val="auto"/>
          <w:spacing w:val="-3"/>
          <w:sz w:val="24"/>
          <w:szCs w:val="24"/>
          <w:highlight w:val="none"/>
        </w:rPr>
        <w:t>，视为不平衡报价项目。</w:t>
      </w:r>
    </w:p>
    <w:p w14:paraId="6667C2B2">
      <w:pPr>
        <w:spacing w:before="146" w:line="330" w:lineRule="auto"/>
        <w:ind w:left="10" w:right="65" w:firstLine="478"/>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4.2.5 </w:t>
      </w:r>
      <w:r>
        <w:rPr>
          <w:rFonts w:hint="eastAsia" w:ascii="宋体" w:hAnsi="宋体" w:eastAsia="宋体" w:cs="宋体"/>
          <w:color w:val="auto"/>
          <w:spacing w:val="-3"/>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18570B36">
      <w:pPr>
        <w:spacing w:before="34" w:line="326" w:lineRule="auto"/>
        <w:ind w:left="12" w:right="65" w:firstLine="47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4.2.6 合同履行过程中，被认定为错漏项的清单项目，结算时按照第三章“拟签订</w:t>
      </w:r>
      <w:r>
        <w:rPr>
          <w:rFonts w:hint="eastAsia" w:ascii="宋体" w:hAnsi="宋体" w:eastAsia="宋体" w:cs="宋体"/>
          <w:b/>
          <w:bCs/>
          <w:color w:val="auto"/>
          <w:spacing w:val="-6"/>
          <w:sz w:val="24"/>
          <w:szCs w:val="24"/>
          <w:highlight w:val="none"/>
        </w:rPr>
        <w:t>合同的主要条款</w:t>
      </w:r>
      <w:r>
        <w:rPr>
          <w:rFonts w:hint="eastAsia" w:ascii="宋体" w:hAnsi="宋体" w:eastAsia="宋体" w:cs="宋体"/>
          <w:color w:val="auto"/>
          <w:spacing w:val="-77"/>
          <w:sz w:val="24"/>
          <w:szCs w:val="24"/>
          <w:highlight w:val="none"/>
        </w:rPr>
        <w:t xml:space="preserve"> </w:t>
      </w:r>
      <w:r>
        <w:rPr>
          <w:rFonts w:hint="eastAsia" w:ascii="宋体" w:hAnsi="宋体" w:eastAsia="宋体" w:cs="宋体"/>
          <w:b/>
          <w:bCs/>
          <w:color w:val="auto"/>
          <w:spacing w:val="-6"/>
          <w:sz w:val="24"/>
          <w:szCs w:val="24"/>
          <w:highlight w:val="none"/>
        </w:rPr>
        <w:t>”规定处理。</w:t>
      </w:r>
    </w:p>
    <w:p w14:paraId="4BAA745B">
      <w:pPr>
        <w:spacing w:before="33" w:line="317" w:lineRule="auto"/>
        <w:ind w:left="12" w:right="38" w:firstLine="476"/>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4.2.7  合同履行过程中，合同约定的调</w:t>
      </w:r>
      <w:r>
        <w:rPr>
          <w:rFonts w:hint="eastAsia" w:ascii="宋体" w:hAnsi="宋体" w:eastAsia="宋体" w:cs="宋体"/>
          <w:b/>
          <w:bCs/>
          <w:color w:val="auto"/>
          <w:spacing w:val="-1"/>
          <w:sz w:val="24"/>
          <w:szCs w:val="24"/>
          <w:highlight w:val="none"/>
        </w:rPr>
        <w:t>整因素（如工程量偏差、工程变更、项目特</w:t>
      </w:r>
      <w:r>
        <w:rPr>
          <w:rFonts w:hint="eastAsia" w:ascii="宋体" w:hAnsi="宋体" w:eastAsia="宋体" w:cs="宋体"/>
          <w:b/>
          <w:bCs/>
          <w:color w:val="auto"/>
          <w:spacing w:val="-4"/>
          <w:sz w:val="24"/>
          <w:szCs w:val="24"/>
          <w:highlight w:val="none"/>
        </w:rPr>
        <w:t>征不符、招标工程量清单缺项等）出现时，被认定为不平衡报价的清单项目以及</w:t>
      </w:r>
      <w:r>
        <w:rPr>
          <w:rFonts w:hint="eastAsia" w:ascii="宋体" w:hAnsi="宋体" w:eastAsia="宋体" w:cs="宋体"/>
          <w:b/>
          <w:bCs/>
          <w:color w:val="auto"/>
          <w:spacing w:val="-5"/>
          <w:sz w:val="24"/>
          <w:szCs w:val="24"/>
          <w:highlight w:val="none"/>
        </w:rPr>
        <w:t>采用被</w:t>
      </w:r>
      <w:r>
        <w:rPr>
          <w:rFonts w:hint="eastAsia" w:ascii="宋体" w:hAnsi="宋体" w:eastAsia="宋体" w:cs="宋体"/>
          <w:b/>
          <w:bCs/>
          <w:color w:val="auto"/>
          <w:spacing w:val="-3"/>
          <w:sz w:val="24"/>
          <w:szCs w:val="24"/>
          <w:highlight w:val="none"/>
        </w:rPr>
        <w:t>认定为不平衡报价的清单项目的价格作为取价（或参照取</w:t>
      </w:r>
      <w:r>
        <w:rPr>
          <w:rFonts w:hint="eastAsia" w:ascii="宋体" w:hAnsi="宋体" w:eastAsia="宋体" w:cs="宋体"/>
          <w:b/>
          <w:bCs/>
          <w:color w:val="auto"/>
          <w:spacing w:val="-4"/>
          <w:sz w:val="24"/>
          <w:szCs w:val="24"/>
          <w:highlight w:val="none"/>
        </w:rPr>
        <w:t>价）依据的变更、新增项目，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rPr>
        <w:t>按照第三章“拟签订合同的主要条款</w:t>
      </w:r>
      <w:r>
        <w:rPr>
          <w:rFonts w:hint="eastAsia" w:ascii="宋体" w:hAnsi="宋体" w:eastAsia="宋体" w:cs="宋体"/>
          <w:color w:val="auto"/>
          <w:spacing w:val="-86"/>
          <w:sz w:val="24"/>
          <w:szCs w:val="24"/>
          <w:highlight w:val="none"/>
        </w:rPr>
        <w:t xml:space="preserve"> </w:t>
      </w:r>
      <w:r>
        <w:rPr>
          <w:rFonts w:hint="eastAsia" w:ascii="宋体" w:hAnsi="宋体" w:eastAsia="宋体" w:cs="宋体"/>
          <w:b/>
          <w:bCs/>
          <w:color w:val="auto"/>
          <w:spacing w:val="-3"/>
          <w:sz w:val="24"/>
          <w:szCs w:val="24"/>
          <w:highlight w:val="none"/>
        </w:rPr>
        <w:t>”有关规定调整</w:t>
      </w:r>
      <w:r>
        <w:rPr>
          <w:rFonts w:hint="eastAsia" w:ascii="宋体" w:hAnsi="宋体" w:eastAsia="宋体" w:cs="宋体"/>
          <w:b/>
          <w:bCs/>
          <w:color w:val="auto"/>
          <w:spacing w:val="-4"/>
          <w:sz w:val="24"/>
          <w:szCs w:val="24"/>
          <w:highlight w:val="none"/>
        </w:rPr>
        <w:t>合同价款。</w:t>
      </w:r>
    </w:p>
    <w:p w14:paraId="7CD25D1B">
      <w:pPr>
        <w:spacing w:before="87" w:line="276"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4.3  </w:t>
      </w:r>
      <w:r>
        <w:rPr>
          <w:rFonts w:hint="eastAsia" w:ascii="宋体" w:hAnsi="宋体" w:eastAsia="宋体" w:cs="宋体"/>
          <w:color w:val="auto"/>
          <w:sz w:val="24"/>
          <w:szCs w:val="24"/>
          <w:highlight w:val="none"/>
        </w:rPr>
        <w:t>本招标项目合同计价方式为：</w:t>
      </w:r>
      <w:r>
        <w:rPr>
          <w:rFonts w:hint="eastAsia" w:ascii="宋体" w:hAnsi="宋体" w:eastAsia="宋体" w:cs="宋体"/>
          <w:color w:val="auto"/>
          <w:sz w:val="24"/>
          <w:szCs w:val="24"/>
          <w:highlight w:val="none"/>
          <w:u w:val="single"/>
        </w:rPr>
        <w:t xml:space="preserve"> 单价 </w:t>
      </w:r>
      <w:r>
        <w:rPr>
          <w:rFonts w:hint="eastAsia" w:ascii="宋体" w:hAnsi="宋体" w:eastAsia="宋体" w:cs="宋体"/>
          <w:color w:val="auto"/>
          <w:spacing w:val="-1"/>
          <w:sz w:val="24"/>
          <w:szCs w:val="24"/>
          <w:highlight w:val="none"/>
        </w:rPr>
        <w:t>合同。</w:t>
      </w:r>
    </w:p>
    <w:p w14:paraId="76B2DE78">
      <w:pPr>
        <w:spacing w:before="120" w:line="298" w:lineRule="auto"/>
        <w:ind w:left="11" w:right="28"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 xml:space="preserve">4.4  </w:t>
      </w:r>
      <w:r>
        <w:rPr>
          <w:rFonts w:hint="eastAsia" w:ascii="宋体" w:hAnsi="宋体" w:eastAsia="宋体" w:cs="宋体"/>
          <w:color w:val="auto"/>
          <w:spacing w:val="-4"/>
          <w:sz w:val="24"/>
          <w:szCs w:val="24"/>
          <w:highlight w:val="none"/>
        </w:rPr>
        <w:t>合同的标的、质量、履行期限条款和合同的价款、单</w:t>
      </w:r>
      <w:r>
        <w:rPr>
          <w:rFonts w:hint="eastAsia" w:ascii="宋体" w:hAnsi="宋体" w:eastAsia="宋体" w:cs="宋体"/>
          <w:color w:val="auto"/>
          <w:spacing w:val="-5"/>
          <w:sz w:val="24"/>
          <w:szCs w:val="24"/>
          <w:highlight w:val="none"/>
        </w:rPr>
        <w:t>价、比例条款等主要条款，</w:t>
      </w:r>
      <w:r>
        <w:rPr>
          <w:rFonts w:hint="eastAsia" w:ascii="宋体" w:hAnsi="宋体" w:eastAsia="宋体" w:cs="宋体"/>
          <w:color w:val="auto"/>
          <w:spacing w:val="-2"/>
          <w:sz w:val="24"/>
          <w:szCs w:val="24"/>
          <w:highlight w:val="none"/>
        </w:rPr>
        <w:t>应当与招标文件、中标人的投标文件的内容一致。中标人在签订合同时不得向招标人提出附加条件。</w:t>
      </w:r>
    </w:p>
    <w:p w14:paraId="3216B78F">
      <w:pPr>
        <w:spacing w:before="158" w:line="298" w:lineRule="auto"/>
        <w:ind w:left="12" w:right="9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4.5  </w:t>
      </w:r>
      <w:r>
        <w:rPr>
          <w:rFonts w:hint="eastAsia" w:ascii="宋体" w:hAnsi="宋体" w:eastAsia="宋体" w:cs="宋体"/>
          <w:color w:val="auto"/>
          <w:spacing w:val="-3"/>
          <w:sz w:val="24"/>
          <w:szCs w:val="24"/>
          <w:highlight w:val="none"/>
        </w:rPr>
        <w:t>若中标人在领取中标通知书之日起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30</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4"/>
          <w:sz w:val="24"/>
          <w:szCs w:val="24"/>
          <w:highlight w:val="none"/>
        </w:rPr>
        <w:t>天内仍未签订合同，招标人发出第一次提</w:t>
      </w:r>
      <w:r>
        <w:rPr>
          <w:rFonts w:hint="eastAsia" w:ascii="宋体" w:hAnsi="宋体" w:eastAsia="宋体" w:cs="宋体"/>
          <w:color w:val="auto"/>
          <w:spacing w:val="1"/>
          <w:sz w:val="24"/>
          <w:szCs w:val="24"/>
          <w:highlight w:val="none"/>
        </w:rPr>
        <w:t>醒函；在领取中标通知书之日起</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40</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天内仍未签订，招标人发出第二次提醒函；在</w:t>
      </w:r>
      <w:r>
        <w:rPr>
          <w:rFonts w:hint="eastAsia" w:ascii="宋体" w:hAnsi="宋体" w:eastAsia="宋体" w:cs="宋体"/>
          <w:color w:val="auto"/>
          <w:sz w:val="24"/>
          <w:szCs w:val="24"/>
          <w:highlight w:val="none"/>
        </w:rPr>
        <w:t>领取</w:t>
      </w:r>
      <w:r>
        <w:rPr>
          <w:rFonts w:hint="eastAsia" w:ascii="宋体" w:hAnsi="宋体" w:eastAsia="宋体" w:cs="宋体"/>
          <w:color w:val="auto"/>
          <w:spacing w:val="-1"/>
          <w:sz w:val="24"/>
          <w:szCs w:val="24"/>
          <w:highlight w:val="none"/>
        </w:rPr>
        <w:t>中标通知书之日起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45 天内仍未签订，视其放弃中标。</w:t>
      </w:r>
    </w:p>
    <w:p w14:paraId="5EE5AD08">
      <w:pPr>
        <w:spacing w:before="155" w:line="299" w:lineRule="auto"/>
        <w:ind w:left="12" w:right="82"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4.6  </w:t>
      </w:r>
      <w:r>
        <w:rPr>
          <w:rFonts w:hint="eastAsia" w:ascii="宋体" w:hAnsi="宋体" w:eastAsia="宋体" w:cs="宋体"/>
          <w:color w:val="auto"/>
          <w:sz w:val="24"/>
          <w:szCs w:val="24"/>
          <w:highlight w:val="none"/>
        </w:rPr>
        <w:t>在书面合同订立之日起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 个工作日内，由中标人或招标代理机构将合同上传至</w:t>
      </w:r>
      <w:r>
        <w:rPr>
          <w:rFonts w:hint="eastAsia" w:ascii="宋体" w:hAnsi="宋体" w:eastAsia="宋体" w:cs="宋体"/>
          <w:color w:val="auto"/>
          <w:spacing w:val="-2"/>
          <w:sz w:val="24"/>
          <w:szCs w:val="24"/>
          <w:highlight w:val="none"/>
        </w:rPr>
        <w:t>建设工程交易系统，并发起退还投标保证的申请。韶关市公共资源交易中心在收到申请之日起</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3 个工作日内，将投标保证金（或银行保函）退还给中标人和其他中标候选人。</w:t>
      </w:r>
    </w:p>
    <w:p w14:paraId="50E4C5D3">
      <w:pPr>
        <w:spacing w:before="78" w:line="220" w:lineRule="auto"/>
        <w:ind w:left="489"/>
        <w:outlineLvl w:val="2"/>
        <w:rPr>
          <w:rFonts w:hint="eastAsia" w:ascii="宋体" w:hAnsi="宋体" w:eastAsia="宋体" w:cs="宋体"/>
          <w:color w:val="auto"/>
          <w:sz w:val="24"/>
          <w:szCs w:val="24"/>
          <w:highlight w:val="none"/>
        </w:rPr>
      </w:pPr>
      <w:bookmarkStart w:id="156" w:name="_Toc15277"/>
      <w:r>
        <w:rPr>
          <w:rFonts w:hint="eastAsia" w:ascii="宋体" w:hAnsi="宋体" w:eastAsia="宋体" w:cs="宋体"/>
          <w:b/>
          <w:bCs/>
          <w:color w:val="auto"/>
          <w:spacing w:val="-6"/>
          <w:sz w:val="24"/>
          <w:szCs w:val="24"/>
          <w:highlight w:val="none"/>
        </w:rPr>
        <w:t>5</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6"/>
          <w:sz w:val="24"/>
          <w:szCs w:val="24"/>
          <w:highlight w:val="none"/>
        </w:rPr>
        <w:t>．放弃中标的处理</w:t>
      </w:r>
      <w:bookmarkEnd w:id="156"/>
    </w:p>
    <w:p w14:paraId="6E06DC57">
      <w:pPr>
        <w:spacing w:before="150" w:line="319" w:lineRule="auto"/>
        <w:ind w:left="12" w:right="91" w:firstLine="47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5.1</w:t>
      </w:r>
      <w:r>
        <w:rPr>
          <w:rFonts w:hint="eastAsia" w:ascii="宋体" w:hAnsi="宋体" w:eastAsia="宋体" w:cs="宋体"/>
          <w:b/>
          <w:bCs/>
          <w:color w:val="auto"/>
          <w:spacing w:val="19"/>
          <w:w w:val="101"/>
          <w:sz w:val="24"/>
          <w:szCs w:val="24"/>
          <w:highlight w:val="none"/>
        </w:rPr>
        <w:t xml:space="preserve">  </w:t>
      </w:r>
      <w:r>
        <w:rPr>
          <w:rFonts w:hint="eastAsia" w:ascii="宋体" w:hAnsi="宋体" w:eastAsia="宋体" w:cs="宋体"/>
          <w:color w:val="auto"/>
          <w:spacing w:val="-1"/>
          <w:sz w:val="24"/>
          <w:szCs w:val="24"/>
          <w:highlight w:val="none"/>
        </w:rPr>
        <w:t>中标人无正当理由放弃中标的，取消其中标资格，其投标保证不予退还，给招</w:t>
      </w:r>
      <w:r>
        <w:rPr>
          <w:rFonts w:hint="eastAsia" w:ascii="宋体" w:hAnsi="宋体" w:eastAsia="宋体" w:cs="宋体"/>
          <w:color w:val="auto"/>
          <w:spacing w:val="-2"/>
          <w:sz w:val="24"/>
          <w:szCs w:val="24"/>
          <w:highlight w:val="none"/>
        </w:rPr>
        <w:t>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招标人重新招标的，招标人可不接受该弃标人再次投标。同时，</w:t>
      </w:r>
      <w:r>
        <w:rPr>
          <w:rFonts w:hint="eastAsia" w:ascii="宋体" w:hAnsi="宋体" w:eastAsia="宋体" w:cs="宋体"/>
          <w:b/>
          <w:bCs/>
          <w:color w:val="auto"/>
          <w:spacing w:val="-2"/>
          <w:sz w:val="24"/>
          <w:szCs w:val="24"/>
          <w:highlight w:val="none"/>
        </w:rPr>
        <w:t>招</w:t>
      </w:r>
      <w:r>
        <w:rPr>
          <w:rFonts w:hint="eastAsia" w:ascii="宋体" w:hAnsi="宋体" w:eastAsia="宋体" w:cs="宋体"/>
          <w:b/>
          <w:bCs/>
          <w:color w:val="auto"/>
          <w:spacing w:val="-3"/>
          <w:sz w:val="24"/>
          <w:szCs w:val="24"/>
          <w:highlight w:val="none"/>
        </w:rPr>
        <w:t>标人应将该弃标人的失信行为向行政监督部门报告。</w:t>
      </w:r>
    </w:p>
    <w:p w14:paraId="2BA20C54">
      <w:pPr>
        <w:spacing w:before="79" w:line="298" w:lineRule="auto"/>
        <w:ind w:left="10" w:right="91" w:firstLine="479"/>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5"/>
          <w:sz w:val="24"/>
          <w:szCs w:val="24"/>
          <w:highlight w:val="none"/>
        </w:rPr>
        <w:t>5.2</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5"/>
          <w:sz w:val="24"/>
          <w:szCs w:val="24"/>
          <w:highlight w:val="none"/>
        </w:rPr>
        <w:t>中标人因不可抗力提出不能履行合同的，须在领取中标通知书之日起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10</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天</w:t>
      </w:r>
      <w:r>
        <w:rPr>
          <w:rFonts w:hint="eastAsia" w:ascii="宋体" w:hAnsi="宋体" w:eastAsia="宋体" w:cs="宋体"/>
          <w:color w:val="auto"/>
          <w:spacing w:val="-6"/>
          <w:sz w:val="24"/>
          <w:szCs w:val="24"/>
          <w:highlight w:val="none"/>
        </w:rPr>
        <w:t>内提</w:t>
      </w:r>
      <w:r>
        <w:rPr>
          <w:rFonts w:hint="eastAsia" w:ascii="宋体" w:hAnsi="宋体" w:eastAsia="宋体" w:cs="宋体"/>
          <w:color w:val="auto"/>
          <w:spacing w:val="-2"/>
          <w:sz w:val="24"/>
          <w:szCs w:val="24"/>
          <w:highlight w:val="none"/>
        </w:rPr>
        <w:t>供有关证明文件或资料，其投标保证予以退还，招标人可按照评标委员会提出的中标候选人名单排序依次确定其他中标候选人为中标人。如果招标人认为其他中标候选人的条</w:t>
      </w:r>
    </w:p>
    <w:p w14:paraId="3DE08D10">
      <w:pPr>
        <w:spacing w:before="79" w:line="298" w:lineRule="auto"/>
        <w:ind w:right="91"/>
        <w:rPr>
          <w:rFonts w:hint="eastAsia" w:ascii="宋体" w:hAnsi="宋体" w:eastAsia="宋体" w:cs="宋体"/>
          <w:color w:val="auto"/>
          <w:sz w:val="24"/>
          <w:szCs w:val="24"/>
          <w:highlight w:val="none"/>
        </w:rPr>
      </w:pPr>
      <w:bookmarkStart w:id="157" w:name="bookmark84"/>
      <w:bookmarkEnd w:id="157"/>
      <w:r>
        <w:rPr>
          <w:rFonts w:hint="eastAsia" w:ascii="宋体" w:hAnsi="宋体" w:eastAsia="宋体" w:cs="宋体"/>
          <w:color w:val="auto"/>
          <w:spacing w:val="-2"/>
          <w:sz w:val="24"/>
          <w:szCs w:val="24"/>
          <w:highlight w:val="none"/>
        </w:rPr>
        <w:t>件明显不利于招标人的，也可以重新招标</w:t>
      </w:r>
      <w:r>
        <w:rPr>
          <w:rFonts w:hint="eastAsia" w:ascii="宋体" w:hAnsi="宋体" w:eastAsia="宋体" w:cs="宋体"/>
          <w:color w:val="auto"/>
          <w:spacing w:val="-1"/>
          <w:sz w:val="24"/>
          <w:szCs w:val="24"/>
          <w:highlight w:val="none"/>
        </w:rPr>
        <w:t>。</w:t>
      </w:r>
    </w:p>
    <w:p w14:paraId="1D761A65">
      <w:pPr>
        <w:pStyle w:val="13"/>
        <w:rPr>
          <w:rFonts w:hint="eastAsia" w:ascii="宋体" w:hAnsi="宋体" w:eastAsia="宋体" w:cs="宋体"/>
          <w:color w:val="auto"/>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17797B7">
      <w:pPr>
        <w:spacing w:before="78" w:line="219" w:lineRule="auto"/>
        <w:ind w:left="2923"/>
        <w:outlineLvl w:val="0"/>
        <w:rPr>
          <w:rFonts w:hint="eastAsia" w:ascii="宋体" w:hAnsi="宋体" w:eastAsia="宋体" w:cs="宋体"/>
          <w:color w:val="auto"/>
          <w:sz w:val="24"/>
          <w:szCs w:val="24"/>
          <w:highlight w:val="none"/>
        </w:rPr>
      </w:pPr>
      <w:bookmarkStart w:id="158" w:name="bookmark86"/>
      <w:bookmarkEnd w:id="158"/>
      <w:bookmarkStart w:id="159" w:name="_Toc28650"/>
      <w:r>
        <w:rPr>
          <w:rFonts w:hint="eastAsia" w:ascii="宋体" w:hAnsi="宋体" w:eastAsia="宋体" w:cs="宋体"/>
          <w:b/>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拟签订合同的主要条款</w:t>
      </w:r>
      <w:bookmarkEnd w:id="159"/>
    </w:p>
    <w:p w14:paraId="18C2F405">
      <w:pPr>
        <w:pStyle w:val="5"/>
        <w:spacing w:line="257" w:lineRule="auto"/>
        <w:rPr>
          <w:rFonts w:hint="eastAsia" w:ascii="宋体" w:hAnsi="宋体" w:eastAsia="宋体" w:cs="宋体"/>
          <w:color w:val="auto"/>
          <w:highlight w:val="none"/>
        </w:rPr>
      </w:pPr>
    </w:p>
    <w:p w14:paraId="576285A0">
      <w:pPr>
        <w:pStyle w:val="5"/>
        <w:spacing w:line="257" w:lineRule="auto"/>
        <w:rPr>
          <w:rFonts w:hint="eastAsia" w:ascii="宋体" w:hAnsi="宋体" w:eastAsia="宋体" w:cs="宋体"/>
          <w:color w:val="auto"/>
          <w:highlight w:val="none"/>
        </w:rPr>
      </w:pPr>
    </w:p>
    <w:p w14:paraId="67A7BE51">
      <w:pPr>
        <w:spacing w:before="78" w:line="220" w:lineRule="auto"/>
        <w:ind w:left="498"/>
        <w:outlineLvl w:val="2"/>
        <w:rPr>
          <w:rFonts w:hint="eastAsia" w:ascii="宋体" w:hAnsi="宋体" w:eastAsia="宋体" w:cs="宋体"/>
          <w:color w:val="auto"/>
          <w:sz w:val="24"/>
          <w:szCs w:val="24"/>
          <w:highlight w:val="none"/>
        </w:rPr>
      </w:pPr>
      <w:bookmarkStart w:id="160" w:name="_Toc11124"/>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．工程承包方式</w:t>
      </w:r>
      <w:bookmarkEnd w:id="160"/>
    </w:p>
    <w:p w14:paraId="321F0381">
      <w:pPr>
        <w:spacing w:before="153" w:line="299" w:lineRule="auto"/>
        <w:ind w:left="11" w:right="295" w:firstLine="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1.1  </w:t>
      </w:r>
      <w:r>
        <w:rPr>
          <w:rFonts w:hint="eastAsia" w:ascii="宋体" w:hAnsi="宋体" w:eastAsia="宋体" w:cs="宋体"/>
          <w:color w:val="auto"/>
          <w:sz w:val="24"/>
          <w:szCs w:val="24"/>
          <w:highlight w:val="none"/>
        </w:rPr>
        <w:t>承包人以中标价按包工包料、包质量、包安全包文明施工、包工期</w:t>
      </w:r>
      <w:r>
        <w:rPr>
          <w:rFonts w:hint="eastAsia" w:ascii="宋体" w:hAnsi="宋体" w:eastAsia="宋体" w:cs="宋体"/>
          <w:color w:val="auto"/>
          <w:spacing w:val="-1"/>
          <w:sz w:val="24"/>
          <w:szCs w:val="24"/>
          <w:highlight w:val="none"/>
        </w:rPr>
        <w:t>方式总承包</w:t>
      </w:r>
      <w:r>
        <w:rPr>
          <w:rFonts w:hint="eastAsia" w:ascii="宋体" w:hAnsi="宋体" w:eastAsia="宋体" w:cs="宋体"/>
          <w:color w:val="auto"/>
          <w:spacing w:val="-2"/>
          <w:sz w:val="24"/>
          <w:szCs w:val="24"/>
          <w:highlight w:val="none"/>
        </w:rPr>
        <w:t>施工，不允许转包和违法分包，如果确需分包须与发包人协商，在得到发包人和监理单</w:t>
      </w:r>
      <w:r>
        <w:rPr>
          <w:rFonts w:hint="eastAsia" w:ascii="宋体" w:hAnsi="宋体" w:eastAsia="宋体" w:cs="宋体"/>
          <w:color w:val="auto"/>
          <w:spacing w:val="-1"/>
          <w:sz w:val="24"/>
          <w:szCs w:val="24"/>
          <w:highlight w:val="none"/>
        </w:rPr>
        <w:t>位同意后报建设行政主管部门备案。</w:t>
      </w:r>
    </w:p>
    <w:p w14:paraId="5AF904C4">
      <w:pPr>
        <w:spacing w:before="153"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1.1.1  </w:t>
      </w:r>
      <w:r>
        <w:rPr>
          <w:rFonts w:hint="eastAsia" w:ascii="宋体" w:hAnsi="宋体" w:eastAsia="宋体" w:cs="宋体"/>
          <w:color w:val="auto"/>
          <w:spacing w:val="-1"/>
          <w:sz w:val="24"/>
          <w:szCs w:val="24"/>
          <w:highlight w:val="none"/>
        </w:rPr>
        <w:t>包工包料：材料符合招标文件要求并报验使用；办理用工保险。</w:t>
      </w:r>
    </w:p>
    <w:p w14:paraId="244AA982">
      <w:pPr>
        <w:spacing w:before="156"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1.1.2  </w:t>
      </w:r>
      <w:r>
        <w:rPr>
          <w:rFonts w:hint="eastAsia" w:ascii="宋体" w:hAnsi="宋体" w:eastAsia="宋体" w:cs="宋体"/>
          <w:color w:val="auto"/>
          <w:spacing w:val="-1"/>
          <w:sz w:val="24"/>
          <w:szCs w:val="24"/>
          <w:highlight w:val="none"/>
        </w:rPr>
        <w:t>包质量：符合招标文件要求。</w:t>
      </w:r>
    </w:p>
    <w:p w14:paraId="5A923DB9">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1.1.3  </w:t>
      </w:r>
      <w:r>
        <w:rPr>
          <w:rFonts w:hint="eastAsia" w:ascii="宋体" w:hAnsi="宋体" w:eastAsia="宋体" w:cs="宋体"/>
          <w:color w:val="auto"/>
          <w:spacing w:val="-1"/>
          <w:sz w:val="24"/>
          <w:szCs w:val="24"/>
          <w:highlight w:val="none"/>
        </w:rPr>
        <w:t>包安全包文明施工：符合招标文件要求。</w:t>
      </w:r>
    </w:p>
    <w:p w14:paraId="6B4705CE">
      <w:pPr>
        <w:spacing w:before="154"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1.1.4  </w:t>
      </w:r>
      <w:r>
        <w:rPr>
          <w:rFonts w:hint="eastAsia" w:ascii="宋体" w:hAnsi="宋体" w:eastAsia="宋体" w:cs="宋体"/>
          <w:color w:val="auto"/>
          <w:spacing w:val="-1"/>
          <w:sz w:val="24"/>
          <w:szCs w:val="24"/>
          <w:highlight w:val="none"/>
        </w:rPr>
        <w:t>包工期：本招标项目施工必须在招标工期内完成。</w:t>
      </w:r>
    </w:p>
    <w:p w14:paraId="1A5E69D1">
      <w:pPr>
        <w:pStyle w:val="5"/>
        <w:spacing w:line="257" w:lineRule="auto"/>
        <w:rPr>
          <w:rFonts w:hint="eastAsia" w:ascii="宋体" w:hAnsi="宋体" w:eastAsia="宋体" w:cs="宋体"/>
          <w:color w:val="auto"/>
          <w:highlight w:val="none"/>
        </w:rPr>
      </w:pPr>
    </w:p>
    <w:p w14:paraId="0674E788">
      <w:pPr>
        <w:pStyle w:val="5"/>
        <w:spacing w:line="257" w:lineRule="auto"/>
        <w:rPr>
          <w:rFonts w:hint="eastAsia" w:ascii="宋体" w:hAnsi="宋体" w:eastAsia="宋体" w:cs="宋体"/>
          <w:color w:val="auto"/>
          <w:highlight w:val="none"/>
        </w:rPr>
      </w:pPr>
    </w:p>
    <w:p w14:paraId="2E5BEC9B">
      <w:pPr>
        <w:spacing w:before="78" w:line="220" w:lineRule="auto"/>
        <w:ind w:left="488"/>
        <w:outlineLvl w:val="2"/>
        <w:rPr>
          <w:rFonts w:hint="eastAsia" w:ascii="宋体" w:hAnsi="宋体" w:eastAsia="宋体" w:cs="宋体"/>
          <w:color w:val="auto"/>
          <w:sz w:val="24"/>
          <w:szCs w:val="24"/>
          <w:highlight w:val="none"/>
        </w:rPr>
      </w:pPr>
      <w:bookmarkStart w:id="161" w:name="bookmark88"/>
      <w:bookmarkEnd w:id="161"/>
      <w:bookmarkStart w:id="162" w:name="_Toc17990"/>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．工程结算原则</w:t>
      </w:r>
      <w:bookmarkEnd w:id="162"/>
    </w:p>
    <w:p w14:paraId="1223D895">
      <w:pPr>
        <w:spacing w:before="153"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2.1 </w:t>
      </w:r>
      <w:r>
        <w:rPr>
          <w:rFonts w:hint="eastAsia" w:ascii="宋体" w:hAnsi="宋体" w:eastAsia="宋体" w:cs="宋体"/>
          <w:color w:val="auto"/>
          <w:spacing w:val="-1"/>
          <w:sz w:val="24"/>
          <w:szCs w:val="24"/>
          <w:highlight w:val="none"/>
        </w:rPr>
        <w:t>承包人的投标总价为中标价，即为签约合同价。</w:t>
      </w:r>
    </w:p>
    <w:p w14:paraId="736745CE">
      <w:pPr>
        <w:spacing w:before="155" w:line="319" w:lineRule="auto"/>
        <w:ind w:left="12" w:right="231"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2.2 </w:t>
      </w:r>
      <w:r>
        <w:rPr>
          <w:rFonts w:hint="eastAsia" w:ascii="宋体" w:hAnsi="宋体" w:eastAsia="宋体" w:cs="宋体"/>
          <w:color w:val="auto"/>
          <w:spacing w:val="2"/>
          <w:sz w:val="24"/>
          <w:szCs w:val="24"/>
          <w:highlight w:val="none"/>
        </w:rPr>
        <w:t>招标工程量清单标明的工程量是投标人投标报价的</w:t>
      </w:r>
      <w:r>
        <w:rPr>
          <w:rFonts w:hint="eastAsia" w:ascii="宋体" w:hAnsi="宋体" w:eastAsia="宋体" w:cs="宋体"/>
          <w:color w:val="auto"/>
          <w:spacing w:val="1"/>
          <w:sz w:val="24"/>
          <w:szCs w:val="24"/>
          <w:highlight w:val="none"/>
        </w:rPr>
        <w:t>共同基础，竣工结算的工程</w:t>
      </w:r>
      <w:r>
        <w:rPr>
          <w:rFonts w:hint="eastAsia" w:ascii="宋体" w:hAnsi="宋体" w:eastAsia="宋体" w:cs="宋体"/>
          <w:color w:val="auto"/>
          <w:spacing w:val="-5"/>
          <w:sz w:val="24"/>
          <w:szCs w:val="24"/>
          <w:highlight w:val="none"/>
        </w:rPr>
        <w:t>量按</w:t>
      </w:r>
      <w:bookmarkStart w:id="163" w:name="OLE_LINK28"/>
      <w:r>
        <w:rPr>
          <w:rFonts w:hint="eastAsia" w:ascii="宋体" w:hAnsi="宋体" w:eastAsia="宋体" w:cs="宋体"/>
          <w:color w:val="auto"/>
          <w:spacing w:val="-5"/>
          <w:sz w:val="24"/>
          <w:szCs w:val="24"/>
          <w:highlight w:val="none"/>
          <w:lang w:eastAsia="zh-CN"/>
        </w:rPr>
        <w:t>《建设工程工程量清单计价标准》（GB/T50500-2024）</w:t>
      </w:r>
      <w:r>
        <w:rPr>
          <w:rFonts w:hint="eastAsia" w:ascii="宋体" w:hAnsi="宋体" w:eastAsia="宋体" w:cs="宋体"/>
          <w:color w:val="auto"/>
          <w:spacing w:val="-5"/>
          <w:sz w:val="24"/>
          <w:szCs w:val="24"/>
          <w:highlight w:val="none"/>
        </w:rPr>
        <w:t>对工程计量的规定进行计量，</w:t>
      </w:r>
      <w:r>
        <w:rPr>
          <w:rFonts w:hint="eastAsia" w:ascii="宋体" w:hAnsi="宋体" w:eastAsia="宋体" w:cs="宋体"/>
          <w:color w:val="auto"/>
          <w:spacing w:val="-2"/>
          <w:sz w:val="24"/>
          <w:szCs w:val="24"/>
          <w:highlight w:val="none"/>
        </w:rPr>
        <w:t>必须以承包人完成合同工程应予计量的工程量确定。施</w:t>
      </w:r>
      <w:bookmarkEnd w:id="163"/>
      <w:r>
        <w:rPr>
          <w:rFonts w:hint="eastAsia" w:ascii="宋体" w:hAnsi="宋体" w:eastAsia="宋体" w:cs="宋体"/>
          <w:color w:val="auto"/>
          <w:spacing w:val="-2"/>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w:t>
      </w:r>
      <w:r>
        <w:rPr>
          <w:rFonts w:hint="eastAsia" w:ascii="宋体" w:hAnsi="宋体" w:eastAsia="宋体" w:cs="宋体"/>
          <w:color w:val="auto"/>
          <w:spacing w:val="-1"/>
          <w:sz w:val="24"/>
          <w:szCs w:val="24"/>
          <w:highlight w:val="none"/>
        </w:rPr>
        <w:t>的工程量，发包人不予计量。</w:t>
      </w:r>
    </w:p>
    <w:p w14:paraId="405945F7">
      <w:pPr>
        <w:spacing w:before="38" w:line="299" w:lineRule="auto"/>
        <w:ind w:left="12" w:right="183" w:firstLine="4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color w:val="auto"/>
          <w:sz w:val="24"/>
          <w:szCs w:val="24"/>
          <w:highlight w:val="none"/>
        </w:rPr>
        <w:t>施工合同履行期间，若出现下列情形的，发、承包双方应当按照以下规定调整</w:t>
      </w:r>
      <w:r>
        <w:rPr>
          <w:rFonts w:hint="eastAsia" w:ascii="宋体" w:hAnsi="宋体" w:eastAsia="宋体" w:cs="宋体"/>
          <w:color w:val="auto"/>
          <w:spacing w:val="-3"/>
          <w:sz w:val="24"/>
          <w:szCs w:val="24"/>
          <w:highlight w:val="none"/>
        </w:rPr>
        <w:t>合同价款：</w:t>
      </w:r>
    </w:p>
    <w:p w14:paraId="39597A97">
      <w:pPr>
        <w:spacing w:before="227"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2.3.1  </w:t>
      </w:r>
      <w:r>
        <w:rPr>
          <w:rFonts w:hint="eastAsia" w:ascii="宋体" w:hAnsi="宋体" w:eastAsia="宋体" w:cs="宋体"/>
          <w:color w:val="auto"/>
          <w:spacing w:val="-1"/>
          <w:sz w:val="24"/>
          <w:szCs w:val="24"/>
          <w:highlight w:val="none"/>
        </w:rPr>
        <w:t>法律法规变化</w:t>
      </w:r>
    </w:p>
    <w:p w14:paraId="147CCECC">
      <w:pPr>
        <w:spacing w:before="156" w:line="298"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2.3.1.1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基准日之后，因国家法律、法规、规章和政策发生变化引起工程造价增减变</w:t>
      </w:r>
      <w:r>
        <w:rPr>
          <w:rFonts w:hint="eastAsia" w:ascii="宋体" w:hAnsi="宋体" w:eastAsia="宋体" w:cs="宋体"/>
          <w:color w:val="auto"/>
          <w:spacing w:val="-2"/>
          <w:sz w:val="24"/>
          <w:szCs w:val="24"/>
          <w:highlight w:val="none"/>
        </w:rPr>
        <w:t>化时，发、承包双方应按照省级建设主管部门（或省级行业主管部门）或其授权的工程</w:t>
      </w:r>
      <w:r>
        <w:rPr>
          <w:rFonts w:hint="eastAsia" w:ascii="宋体" w:hAnsi="宋体" w:eastAsia="宋体" w:cs="宋体"/>
          <w:color w:val="auto"/>
          <w:spacing w:val="-1"/>
          <w:sz w:val="24"/>
          <w:szCs w:val="24"/>
          <w:highlight w:val="none"/>
        </w:rPr>
        <w:t>造价管理机构据此发布的最新规定调整合同价款。</w:t>
      </w:r>
    </w:p>
    <w:p w14:paraId="0EF35067">
      <w:pPr>
        <w:spacing w:before="157" w:line="325" w:lineRule="auto"/>
        <w:ind w:left="12" w:right="183"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注：本招标文件所称“基准日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11"/>
          <w:sz w:val="24"/>
          <w:szCs w:val="24"/>
          <w:highlight w:val="none"/>
        </w:rPr>
        <w:t>”，均指投标文</w:t>
      </w:r>
      <w:r>
        <w:rPr>
          <w:rFonts w:hint="eastAsia" w:ascii="宋体" w:hAnsi="宋体" w:eastAsia="宋体" w:cs="宋体"/>
          <w:b/>
          <w:bCs/>
          <w:color w:val="auto"/>
          <w:spacing w:val="-12"/>
          <w:sz w:val="24"/>
          <w:szCs w:val="24"/>
          <w:highlight w:val="none"/>
        </w:rPr>
        <w:t>件递交截止时间（见第一章第二节“重</w:t>
      </w:r>
      <w:r>
        <w:rPr>
          <w:rFonts w:hint="eastAsia" w:ascii="宋体" w:hAnsi="宋体" w:eastAsia="宋体" w:cs="宋体"/>
          <w:b/>
          <w:bCs/>
          <w:color w:val="auto"/>
          <w:spacing w:val="-5"/>
          <w:sz w:val="24"/>
          <w:szCs w:val="24"/>
          <w:highlight w:val="none"/>
        </w:rPr>
        <w:t>要事项时间地点一览表</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5"/>
          <w:sz w:val="24"/>
          <w:szCs w:val="24"/>
          <w:highlight w:val="none"/>
        </w:rPr>
        <w:t>”）前</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5"/>
          <w:sz w:val="24"/>
          <w:szCs w:val="24"/>
          <w:highlight w:val="none"/>
        </w:rPr>
        <w:t>28 天。</w:t>
      </w:r>
    </w:p>
    <w:p w14:paraId="3843B34F">
      <w:pPr>
        <w:spacing w:before="33" w:line="299" w:lineRule="auto"/>
        <w:ind w:left="11"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2.3.1.2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1"/>
          <w:sz w:val="24"/>
          <w:szCs w:val="24"/>
          <w:highlight w:val="none"/>
        </w:rPr>
        <w:t>因承包人原因导致工程延误，本章第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z w:val="24"/>
          <w:szCs w:val="24"/>
          <w:highlight w:val="none"/>
        </w:rPr>
        <w:t xml:space="preserve">.3.1.1 </w:t>
      </w:r>
      <w:r>
        <w:rPr>
          <w:rFonts w:hint="eastAsia" w:ascii="宋体" w:hAnsi="宋体" w:eastAsia="宋体" w:cs="宋体"/>
          <w:color w:val="auto"/>
          <w:sz w:val="24"/>
          <w:szCs w:val="24"/>
          <w:highlight w:val="none"/>
        </w:rPr>
        <w:t>子目中的法定机构根据国家法</w:t>
      </w:r>
      <w:r>
        <w:rPr>
          <w:rFonts w:hint="eastAsia" w:ascii="宋体" w:hAnsi="宋体" w:eastAsia="宋体" w:cs="宋体"/>
          <w:color w:val="auto"/>
          <w:spacing w:val="-3"/>
          <w:sz w:val="24"/>
          <w:szCs w:val="24"/>
          <w:highlight w:val="none"/>
        </w:rPr>
        <w:t>律法规变化发布新规的时间在合同工程原定竣工时间之后的，合同价款调增的不予调整，</w:t>
      </w:r>
      <w:r>
        <w:rPr>
          <w:rFonts w:hint="eastAsia" w:ascii="宋体" w:hAnsi="宋体" w:eastAsia="宋体" w:cs="宋体"/>
          <w:color w:val="auto"/>
          <w:spacing w:val="-1"/>
          <w:sz w:val="24"/>
          <w:szCs w:val="24"/>
          <w:highlight w:val="none"/>
        </w:rPr>
        <w:t>合同价款调减的予以调整。</w:t>
      </w:r>
    </w:p>
    <w:p w14:paraId="62AB8147">
      <w:pPr>
        <w:spacing w:before="155"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2.3.2  </w:t>
      </w:r>
      <w:r>
        <w:rPr>
          <w:rFonts w:hint="eastAsia" w:ascii="宋体" w:hAnsi="宋体" w:eastAsia="宋体" w:cs="宋体"/>
          <w:color w:val="auto"/>
          <w:spacing w:val="-1"/>
          <w:sz w:val="24"/>
          <w:szCs w:val="24"/>
          <w:highlight w:val="none"/>
        </w:rPr>
        <w:t>工程量偏差或变化</w:t>
      </w:r>
    </w:p>
    <w:p w14:paraId="532DCB65">
      <w:pPr>
        <w:spacing w:before="158" w:line="309"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2.3.2.1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合同履行期间，当应予计算的实际工程量与招标工程量清单出现偏差或因工程变更引起已标价工程量清单项目的工程数量发生变化时，工程量偏差或变化在</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15%以</w:t>
      </w:r>
      <w:r>
        <w:rPr>
          <w:rFonts w:hint="eastAsia" w:ascii="宋体" w:hAnsi="宋体" w:eastAsia="宋体" w:cs="宋体"/>
          <w:color w:val="auto"/>
          <w:spacing w:val="-4"/>
          <w:sz w:val="24"/>
          <w:szCs w:val="24"/>
          <w:highlight w:val="none"/>
        </w:rPr>
        <w:t>内（含</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15%）的，其综合单价不予调整；工程量偏差或变化超过</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15%的，按照以下规定</w:t>
      </w:r>
      <w:r>
        <w:rPr>
          <w:rFonts w:hint="eastAsia" w:ascii="宋体" w:hAnsi="宋体" w:eastAsia="宋体" w:cs="宋体"/>
          <w:color w:val="auto"/>
          <w:spacing w:val="-3"/>
          <w:sz w:val="24"/>
          <w:szCs w:val="24"/>
          <w:highlight w:val="none"/>
        </w:rPr>
        <w:t>调整：</w:t>
      </w:r>
    </w:p>
    <w:p w14:paraId="5ECB7C9A">
      <w:pPr>
        <w:spacing w:before="78" w:line="327" w:lineRule="auto"/>
        <w:ind w:left="12" w:firstLine="478"/>
        <w:jc w:val="both"/>
        <w:rPr>
          <w:rFonts w:hint="eastAsia" w:ascii="宋体" w:hAnsi="宋体" w:eastAsia="宋体" w:cs="宋体"/>
          <w:color w:val="auto"/>
          <w:sz w:val="24"/>
          <w:szCs w:val="24"/>
          <w:highlight w:val="none"/>
        </w:rPr>
      </w:pPr>
      <w:bookmarkStart w:id="164" w:name="bookmark142"/>
      <w:bookmarkEnd w:id="164"/>
      <w:r>
        <w:rPr>
          <w:rFonts w:hint="eastAsia" w:ascii="宋体" w:hAnsi="宋体" w:eastAsia="宋体" w:cs="宋体"/>
          <w:color w:val="auto"/>
          <w:spacing w:val="-3"/>
          <w:sz w:val="24"/>
          <w:szCs w:val="24"/>
          <w:highlight w:val="none"/>
        </w:rPr>
        <w:t>对于合理报价的清单项目，当工程量增加超过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15%时，增加部分的工程量的综合单</w:t>
      </w:r>
      <w:r>
        <w:rPr>
          <w:rFonts w:hint="eastAsia" w:ascii="宋体" w:hAnsi="宋体" w:eastAsia="宋体" w:cs="宋体"/>
          <w:color w:val="auto"/>
          <w:spacing w:val="-7"/>
          <w:sz w:val="24"/>
          <w:szCs w:val="24"/>
          <w:highlight w:val="none"/>
        </w:rPr>
        <w:t>价以</w:t>
      </w:r>
      <w:r>
        <w:rPr>
          <w:rFonts w:hint="eastAsia" w:ascii="宋体" w:hAnsi="宋体" w:eastAsia="宋体" w:cs="宋体"/>
          <w:color w:val="auto"/>
          <w:spacing w:val="-3"/>
          <w:sz w:val="24"/>
          <w:szCs w:val="24"/>
          <w:highlight w:val="none"/>
        </w:rPr>
        <w:t>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r>
        <w:rPr>
          <w:rFonts w:hint="eastAsia" w:ascii="宋体" w:hAnsi="宋体" w:eastAsia="宋体" w:cs="宋体"/>
          <w:color w:val="auto"/>
          <w:spacing w:val="-1"/>
          <w:sz w:val="24"/>
          <w:szCs w:val="24"/>
          <w:highlight w:val="none"/>
        </w:rPr>
        <w:t>。</w:t>
      </w:r>
    </w:p>
    <w:p w14:paraId="2FD65AA7">
      <w:pPr>
        <w:spacing w:before="97" w:line="324" w:lineRule="auto"/>
        <w:ind w:left="13" w:right="179"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对于按照第二章“</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 条被认定为不平衡报价的清单项目，其综合</w:t>
      </w:r>
      <w:r>
        <w:rPr>
          <w:rFonts w:hint="eastAsia" w:ascii="宋体" w:hAnsi="宋体" w:eastAsia="宋体" w:cs="宋体"/>
          <w:b/>
          <w:bCs/>
          <w:color w:val="auto"/>
          <w:spacing w:val="-3"/>
          <w:sz w:val="24"/>
          <w:szCs w:val="24"/>
          <w:highlight w:val="none"/>
        </w:rPr>
        <w:t>单价按照以下方法调整：</w:t>
      </w:r>
    </w:p>
    <w:p w14:paraId="334E0CDC">
      <w:pPr>
        <w:spacing w:before="97" w:line="324" w:lineRule="auto"/>
        <w:ind w:left="13" w:right="179" w:firstLine="477"/>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以</w:t>
      </w:r>
      <w:r>
        <w:rPr>
          <w:rFonts w:hint="eastAsia" w:ascii="宋体" w:hAnsi="宋体" w:eastAsia="宋体" w:cs="宋体"/>
          <w:b/>
          <w:bCs/>
          <w:color w:val="auto"/>
          <w:spacing w:val="-4"/>
          <w:sz w:val="24"/>
          <w:szCs w:val="24"/>
          <w:highlight w:val="none"/>
          <w:lang w:val="en-US" w:eastAsia="zh-CN"/>
        </w:rPr>
        <w:t>最高投标限价</w:t>
      </w:r>
      <w:r>
        <w:rPr>
          <w:rFonts w:hint="eastAsia" w:ascii="宋体" w:hAnsi="宋体" w:eastAsia="宋体" w:cs="宋体"/>
          <w:b/>
          <w:bCs/>
          <w:color w:val="auto"/>
          <w:spacing w:val="-4"/>
          <w:sz w:val="24"/>
          <w:szCs w:val="24"/>
          <w:highlight w:val="none"/>
        </w:rPr>
        <w:t>中《分部分项工程和单价措施项目清单与计价表》子目相对应综合单价×（1-中标下浮率）。</w:t>
      </w:r>
    </w:p>
    <w:p w14:paraId="34B51C76">
      <w:pPr>
        <w:spacing w:before="97" w:line="324" w:lineRule="auto"/>
        <w:ind w:left="13" w:right="179" w:firstLine="477"/>
        <w:rPr>
          <w:rFonts w:hint="eastAsia" w:ascii="宋体" w:hAnsi="宋体" w:eastAsia="宋体" w:cs="宋体"/>
          <w:b/>
          <w:bCs/>
          <w:color w:val="auto"/>
          <w:spacing w:val="-4"/>
          <w:sz w:val="24"/>
          <w:szCs w:val="24"/>
          <w:highlight w:val="none"/>
        </w:rPr>
      </w:pPr>
      <w:bookmarkStart w:id="165" w:name="_Toc12035"/>
      <w:bookmarkStart w:id="166" w:name="_Toc18478"/>
      <w:bookmarkStart w:id="167" w:name="_Toc30068"/>
      <w:r>
        <w:rPr>
          <w:rFonts w:hint="eastAsia" w:ascii="宋体" w:hAnsi="宋体" w:eastAsia="宋体" w:cs="宋体"/>
          <w:b/>
          <w:bCs/>
          <w:color w:val="auto"/>
          <w:spacing w:val="-4"/>
          <w:sz w:val="24"/>
          <w:szCs w:val="24"/>
          <w:highlight w:val="none"/>
        </w:rPr>
        <w:t>中标下浮率=[1-（中标价-中标</w:t>
      </w:r>
      <w:r>
        <w:rPr>
          <w:rFonts w:hint="eastAsia" w:ascii="宋体" w:hAnsi="宋体" w:eastAsia="宋体" w:cs="宋体"/>
          <w:b/>
          <w:bCs/>
          <w:color w:val="auto"/>
          <w:spacing w:val="-4"/>
          <w:sz w:val="24"/>
          <w:szCs w:val="24"/>
          <w:highlight w:val="none"/>
          <w:lang w:eastAsia="zh-CN"/>
        </w:rPr>
        <w:t>安全生产措施费</w:t>
      </w:r>
      <w:r>
        <w:rPr>
          <w:rFonts w:hint="eastAsia" w:ascii="宋体" w:hAnsi="宋体" w:eastAsia="宋体" w:cs="宋体"/>
          <w:b/>
          <w:bCs/>
          <w:color w:val="auto"/>
          <w:spacing w:val="-4"/>
          <w:sz w:val="24"/>
          <w:szCs w:val="24"/>
          <w:highlight w:val="none"/>
        </w:rPr>
        <w:t>-暂列金额-暂估价）/（</w:t>
      </w:r>
      <w:bookmarkEnd w:id="165"/>
      <w:bookmarkEnd w:id="166"/>
      <w:bookmarkStart w:id="168" w:name="_Toc13602"/>
      <w:bookmarkStart w:id="169" w:name="_Toc15512"/>
      <w:r>
        <w:rPr>
          <w:rFonts w:hint="eastAsia" w:ascii="宋体" w:hAnsi="宋体" w:eastAsia="宋体" w:cs="宋体"/>
          <w:b/>
          <w:bCs/>
          <w:color w:val="auto"/>
          <w:spacing w:val="-4"/>
          <w:sz w:val="24"/>
          <w:szCs w:val="24"/>
          <w:highlight w:val="none"/>
          <w:lang w:val="en-US" w:eastAsia="zh-CN"/>
        </w:rPr>
        <w:t>最高投标限价</w:t>
      </w:r>
      <w:r>
        <w:rPr>
          <w:rFonts w:hint="eastAsia" w:ascii="宋体" w:hAnsi="宋体" w:eastAsia="宋体" w:cs="宋体"/>
          <w:b/>
          <w:bCs/>
          <w:color w:val="auto"/>
          <w:spacing w:val="-4"/>
          <w:sz w:val="24"/>
          <w:szCs w:val="24"/>
          <w:highlight w:val="none"/>
        </w:rPr>
        <w:t>-</w:t>
      </w:r>
      <w:r>
        <w:rPr>
          <w:rFonts w:hint="eastAsia" w:ascii="宋体" w:hAnsi="宋体" w:eastAsia="宋体" w:cs="宋体"/>
          <w:b/>
          <w:bCs/>
          <w:color w:val="auto"/>
          <w:spacing w:val="-4"/>
          <w:sz w:val="24"/>
          <w:szCs w:val="24"/>
          <w:highlight w:val="none"/>
          <w:lang w:val="en-US" w:eastAsia="zh-CN"/>
        </w:rPr>
        <w:t>投标限价</w:t>
      </w:r>
      <w:r>
        <w:rPr>
          <w:rFonts w:hint="eastAsia" w:ascii="宋体" w:hAnsi="宋体" w:eastAsia="宋体" w:cs="宋体"/>
          <w:b/>
          <w:bCs/>
          <w:color w:val="auto"/>
          <w:spacing w:val="-4"/>
          <w:sz w:val="24"/>
          <w:szCs w:val="24"/>
          <w:highlight w:val="none"/>
          <w:lang w:eastAsia="zh-CN"/>
        </w:rPr>
        <w:t>安全生产措施费</w:t>
      </w:r>
      <w:r>
        <w:rPr>
          <w:rFonts w:hint="eastAsia" w:ascii="宋体" w:hAnsi="宋体" w:eastAsia="宋体" w:cs="宋体"/>
          <w:b/>
          <w:bCs/>
          <w:color w:val="auto"/>
          <w:spacing w:val="-4"/>
          <w:sz w:val="24"/>
          <w:szCs w:val="24"/>
          <w:highlight w:val="none"/>
        </w:rPr>
        <w:t>-暂列金额-暂估价）] ×100%</w:t>
      </w:r>
      <w:bookmarkEnd w:id="167"/>
      <w:bookmarkEnd w:id="168"/>
      <w:bookmarkEnd w:id="169"/>
    </w:p>
    <w:p w14:paraId="19229930">
      <w:pPr>
        <w:spacing w:before="123" w:line="301" w:lineRule="auto"/>
        <w:ind w:left="10" w:right="116" w:firstLine="4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若修正后的该部分《分部分项工程和单价措施项目清单与计价表》总金额大于原投</w:t>
      </w:r>
      <w:r>
        <w:rPr>
          <w:rFonts w:hint="eastAsia" w:ascii="宋体" w:hAnsi="宋体" w:eastAsia="宋体" w:cs="宋体"/>
          <w:color w:val="auto"/>
          <w:spacing w:val="-1"/>
          <w:sz w:val="24"/>
          <w:szCs w:val="24"/>
          <w:highlight w:val="none"/>
        </w:rPr>
        <w:t>标报价中的该部分总金额，则从投标报价需</w:t>
      </w:r>
      <w:r>
        <w:rPr>
          <w:rFonts w:hint="eastAsia" w:ascii="宋体" w:hAnsi="宋体" w:eastAsia="宋体" w:cs="宋体"/>
          <w:color w:val="auto"/>
          <w:spacing w:val="-2"/>
          <w:sz w:val="24"/>
          <w:szCs w:val="24"/>
          <w:highlight w:val="none"/>
        </w:rPr>
        <w:t>调高的综合单价中选择偏离最大的清单开始</w:t>
      </w:r>
      <w:r>
        <w:rPr>
          <w:rFonts w:hint="eastAsia" w:ascii="宋体" w:hAnsi="宋体" w:eastAsia="宋体" w:cs="宋体"/>
          <w:color w:val="auto"/>
          <w:spacing w:val="-1"/>
          <w:sz w:val="24"/>
          <w:szCs w:val="24"/>
          <w:highlight w:val="none"/>
        </w:rPr>
        <w:t>调整，调整幅度逐步减少，直至修正后的该</w:t>
      </w:r>
      <w:r>
        <w:rPr>
          <w:rFonts w:hint="eastAsia" w:ascii="宋体" w:hAnsi="宋体" w:eastAsia="宋体" w:cs="宋体"/>
          <w:color w:val="auto"/>
          <w:spacing w:val="-2"/>
          <w:sz w:val="24"/>
          <w:szCs w:val="24"/>
          <w:highlight w:val="none"/>
        </w:rPr>
        <w:t>部分《分部分项工程和单价措施项目清单与</w:t>
      </w:r>
      <w:r>
        <w:rPr>
          <w:rFonts w:hint="eastAsia" w:ascii="宋体" w:hAnsi="宋体" w:eastAsia="宋体" w:cs="宋体"/>
          <w:color w:val="auto"/>
          <w:spacing w:val="-1"/>
          <w:sz w:val="24"/>
          <w:szCs w:val="24"/>
          <w:highlight w:val="none"/>
        </w:rPr>
        <w:t>计价表》总金额与原投标报价中的该部分总</w:t>
      </w:r>
      <w:r>
        <w:rPr>
          <w:rFonts w:hint="eastAsia" w:ascii="宋体" w:hAnsi="宋体" w:eastAsia="宋体" w:cs="宋体"/>
          <w:color w:val="auto"/>
          <w:spacing w:val="-2"/>
          <w:sz w:val="24"/>
          <w:szCs w:val="24"/>
          <w:highlight w:val="none"/>
        </w:rPr>
        <w:t>金额一致；若修正后的该部分《分部分项工</w:t>
      </w:r>
      <w:r>
        <w:rPr>
          <w:rFonts w:hint="eastAsia" w:ascii="宋体" w:hAnsi="宋体" w:eastAsia="宋体" w:cs="宋体"/>
          <w:color w:val="auto"/>
          <w:spacing w:val="-1"/>
          <w:sz w:val="24"/>
          <w:szCs w:val="24"/>
          <w:highlight w:val="none"/>
        </w:rPr>
        <w:t>程和单价措施项目清单与计价表》总金额小</w:t>
      </w:r>
      <w:r>
        <w:rPr>
          <w:rFonts w:hint="eastAsia" w:ascii="宋体" w:hAnsi="宋体" w:eastAsia="宋体" w:cs="宋体"/>
          <w:color w:val="auto"/>
          <w:spacing w:val="-2"/>
          <w:sz w:val="24"/>
          <w:szCs w:val="24"/>
          <w:highlight w:val="none"/>
        </w:rPr>
        <w:t>于原投标报价中的该部分总金额，则从投标</w:t>
      </w:r>
      <w:r>
        <w:rPr>
          <w:rFonts w:hint="eastAsia" w:ascii="宋体" w:hAnsi="宋体" w:eastAsia="宋体" w:cs="宋体"/>
          <w:color w:val="auto"/>
          <w:spacing w:val="-1"/>
          <w:sz w:val="24"/>
          <w:szCs w:val="24"/>
          <w:highlight w:val="none"/>
        </w:rPr>
        <w:t>报价需调低的综合单价中选择偏离最大的清</w:t>
      </w:r>
      <w:r>
        <w:rPr>
          <w:rFonts w:hint="eastAsia" w:ascii="宋体" w:hAnsi="宋体" w:eastAsia="宋体" w:cs="宋体"/>
          <w:color w:val="auto"/>
          <w:spacing w:val="-2"/>
          <w:sz w:val="24"/>
          <w:szCs w:val="24"/>
          <w:highlight w:val="none"/>
        </w:rPr>
        <w:t>单开始调整，调整幅度逐步减少，直至修正</w:t>
      </w:r>
      <w:r>
        <w:rPr>
          <w:rFonts w:hint="eastAsia" w:ascii="宋体" w:hAnsi="宋体" w:eastAsia="宋体" w:cs="宋体"/>
          <w:color w:val="auto"/>
          <w:spacing w:val="-1"/>
          <w:sz w:val="24"/>
          <w:szCs w:val="24"/>
          <w:highlight w:val="none"/>
        </w:rPr>
        <w:t>后的该部分《分部分项工程和单价措施项目</w:t>
      </w:r>
      <w:r>
        <w:rPr>
          <w:rFonts w:hint="eastAsia" w:ascii="宋体" w:hAnsi="宋体" w:eastAsia="宋体" w:cs="宋体"/>
          <w:color w:val="auto"/>
          <w:spacing w:val="-2"/>
          <w:sz w:val="24"/>
          <w:szCs w:val="24"/>
          <w:highlight w:val="none"/>
        </w:rPr>
        <w:t>清单与计价表》总金额与原投标报价中的该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部分总金额一致。修正后的总造价应与总中标价保持一致，形成《不平衡报价修正报告》，</w:t>
      </w:r>
      <w:r>
        <w:rPr>
          <w:rFonts w:hint="eastAsia" w:ascii="宋体" w:hAnsi="宋体" w:eastAsia="宋体" w:cs="宋体"/>
          <w:color w:val="auto"/>
          <w:spacing w:val="-1"/>
          <w:sz w:val="24"/>
          <w:szCs w:val="24"/>
          <w:highlight w:val="none"/>
        </w:rPr>
        <w:t>并由招标人和中标人共同签章确认。</w:t>
      </w:r>
    </w:p>
    <w:p w14:paraId="462E95C5">
      <w:pPr>
        <w:spacing w:before="129" w:line="299" w:lineRule="auto"/>
        <w:ind w:left="12" w:right="17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2.3.2.2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如果工程量出现本章第</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1"/>
          <w:sz w:val="24"/>
          <w:szCs w:val="24"/>
          <w:highlight w:val="none"/>
        </w:rPr>
        <w:t xml:space="preserve">2.3.2.1 </w:t>
      </w:r>
      <w:r>
        <w:rPr>
          <w:rFonts w:hint="eastAsia" w:ascii="宋体" w:hAnsi="宋体" w:eastAsia="宋体" w:cs="宋体"/>
          <w:color w:val="auto"/>
          <w:spacing w:val="1"/>
          <w:sz w:val="24"/>
          <w:szCs w:val="24"/>
          <w:highlight w:val="none"/>
        </w:rPr>
        <w:t>子目的变化，且该变化引起相关措施项目相</w:t>
      </w:r>
      <w:r>
        <w:rPr>
          <w:rFonts w:hint="eastAsia" w:ascii="宋体" w:hAnsi="宋体" w:eastAsia="宋体" w:cs="宋体"/>
          <w:color w:val="auto"/>
          <w:spacing w:val="-2"/>
          <w:sz w:val="24"/>
          <w:szCs w:val="24"/>
          <w:highlight w:val="none"/>
        </w:rPr>
        <w:t>应发生变化时，按系数或单一总价方式计价的，工程量增加的措施项目费调增，工程量</w:t>
      </w:r>
      <w:r>
        <w:rPr>
          <w:rFonts w:hint="eastAsia" w:ascii="宋体" w:hAnsi="宋体" w:eastAsia="宋体" w:cs="宋体"/>
          <w:color w:val="auto"/>
          <w:spacing w:val="-1"/>
          <w:sz w:val="24"/>
          <w:szCs w:val="24"/>
          <w:highlight w:val="none"/>
        </w:rPr>
        <w:t>减少的措施项目费调减。</w:t>
      </w:r>
    </w:p>
    <w:p w14:paraId="3A458329">
      <w:pPr>
        <w:spacing w:before="154" w:line="221"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2.3.3  </w:t>
      </w:r>
      <w:r>
        <w:rPr>
          <w:rFonts w:hint="eastAsia" w:ascii="宋体" w:hAnsi="宋体" w:eastAsia="宋体" w:cs="宋体"/>
          <w:color w:val="auto"/>
          <w:spacing w:val="-1"/>
          <w:sz w:val="24"/>
          <w:szCs w:val="24"/>
          <w:highlight w:val="none"/>
        </w:rPr>
        <w:t>工程变更</w:t>
      </w:r>
    </w:p>
    <w:p w14:paraId="5B016685">
      <w:pPr>
        <w:spacing w:before="153" w:line="279" w:lineRule="auto"/>
        <w:ind w:left="19" w:right="179" w:firstLine="468"/>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合同履行期间，因工程变更引起已标价工程量清单项目发生变化时，按照以下规定调整：</w:t>
      </w:r>
    </w:p>
    <w:p w14:paraId="58684E03">
      <w:pPr>
        <w:numPr>
          <w:ilvl w:val="0"/>
          <w:numId w:val="3"/>
        </w:numPr>
        <w:spacing w:before="78" w:line="360" w:lineRule="auto"/>
        <w:ind w:firstLine="242" w:firstLineChars="100"/>
        <w:rPr>
          <w:rFonts w:hint="eastAsia" w:ascii="宋体" w:hAnsi="宋体" w:eastAsia="宋体" w:cs="宋体"/>
          <w:b/>
          <w:bCs/>
          <w:color w:val="auto"/>
          <w:spacing w:val="-2"/>
          <w:sz w:val="24"/>
          <w:szCs w:val="24"/>
          <w:highlight w:val="none"/>
        </w:rPr>
      </w:pPr>
      <w:r>
        <w:rPr>
          <w:rFonts w:hint="eastAsia" w:ascii="宋体" w:hAnsi="宋体" w:eastAsia="宋体" w:cs="宋体"/>
          <w:color w:val="auto"/>
          <w:spacing w:val="1"/>
          <w:sz w:val="24"/>
          <w:szCs w:val="24"/>
          <w:highlight w:val="none"/>
        </w:rPr>
        <w:t>已标价工程量清单中有适用于变更工程项目的，采用该项目的单价。</w:t>
      </w:r>
      <w:r>
        <w:rPr>
          <w:rFonts w:hint="eastAsia" w:ascii="宋体" w:hAnsi="宋体" w:eastAsia="宋体" w:cs="宋体"/>
          <w:b/>
          <w:bCs/>
          <w:color w:val="auto"/>
          <w:spacing w:val="1"/>
          <w:sz w:val="24"/>
          <w:szCs w:val="24"/>
          <w:highlight w:val="none"/>
        </w:rPr>
        <w:t>但如果</w:t>
      </w:r>
      <w:bookmarkStart w:id="170" w:name="bookmark143"/>
      <w:bookmarkEnd w:id="170"/>
      <w:r>
        <w:rPr>
          <w:rFonts w:hint="eastAsia" w:ascii="宋体" w:hAnsi="宋体" w:eastAsia="宋体" w:cs="宋体"/>
          <w:b/>
          <w:bCs/>
          <w:color w:val="auto"/>
          <w:spacing w:val="-7"/>
          <w:sz w:val="24"/>
          <w:szCs w:val="24"/>
          <w:highlight w:val="none"/>
        </w:rPr>
        <w:t>被采用的项目属于按照第二章“中标人须知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7"/>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8"/>
          <w:sz w:val="24"/>
          <w:szCs w:val="24"/>
          <w:highlight w:val="none"/>
        </w:rPr>
        <w:t>4.2 条被认定为不平衡报价的清单项目，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2"/>
          <w:sz w:val="24"/>
          <w:szCs w:val="24"/>
          <w:highlight w:val="none"/>
        </w:rPr>
        <w:t>变更工程项目的单价按照</w:t>
      </w:r>
      <w:r>
        <w:rPr>
          <w:rFonts w:hint="eastAsia" w:ascii="宋体" w:hAnsi="宋体" w:eastAsia="宋体" w:cs="宋体"/>
          <w:b/>
          <w:bCs/>
          <w:color w:val="auto"/>
          <w:spacing w:val="-7"/>
          <w:sz w:val="24"/>
          <w:szCs w:val="24"/>
          <w:highlight w:val="none"/>
        </w:rPr>
        <w:t>本章 2.3.2.1 的</w:t>
      </w:r>
      <w:r>
        <w:rPr>
          <w:rFonts w:hint="eastAsia" w:ascii="宋体" w:hAnsi="宋体" w:eastAsia="宋体" w:cs="宋体"/>
          <w:b/>
          <w:bCs/>
          <w:color w:val="auto"/>
          <w:spacing w:val="-2"/>
          <w:sz w:val="24"/>
          <w:szCs w:val="24"/>
          <w:highlight w:val="none"/>
        </w:rPr>
        <w:t>方法调整。】</w:t>
      </w:r>
    </w:p>
    <w:p w14:paraId="1FFE96C7">
      <w:pPr>
        <w:numPr>
          <w:ilvl w:val="0"/>
          <w:numId w:val="0"/>
        </w:numPr>
        <w:spacing w:before="78" w:line="360" w:lineRule="auto"/>
        <w:ind w:firstLine="237" w:firstLineChars="1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已标价工程量清单中没有适用但有类似于变更工程项目的，可在合理范围内</w:t>
      </w:r>
      <w:r>
        <w:rPr>
          <w:rFonts w:hint="eastAsia" w:ascii="宋体" w:hAnsi="宋体" w:eastAsia="宋体" w:cs="宋体"/>
          <w:color w:val="auto"/>
          <w:spacing w:val="-3"/>
          <w:sz w:val="24"/>
          <w:szCs w:val="24"/>
          <w:highlight w:val="none"/>
        </w:rPr>
        <w:t>参照类似项目的单价。</w:t>
      </w:r>
      <w:r>
        <w:rPr>
          <w:rFonts w:hint="eastAsia" w:ascii="宋体" w:hAnsi="宋体" w:eastAsia="宋体" w:cs="宋体"/>
          <w:b/>
          <w:bCs/>
          <w:color w:val="auto"/>
          <w:spacing w:val="-3"/>
          <w:sz w:val="24"/>
          <w:szCs w:val="24"/>
          <w:highlight w:val="none"/>
        </w:rPr>
        <w:t>但如果被参考的类似项目属于按照第二章“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5"/>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4"/>
          <w:sz w:val="24"/>
          <w:szCs w:val="24"/>
          <w:highlight w:val="none"/>
        </w:rPr>
        <w:t>条被认定为不平衡报价的清单项目，变更工程项目的单价按照本章2.3.2.1 的方法调整。</w:t>
      </w:r>
    </w:p>
    <w:p w14:paraId="2EC69646">
      <w:pPr>
        <w:numPr>
          <w:ilvl w:val="0"/>
          <w:numId w:val="0"/>
        </w:numPr>
        <w:spacing w:before="38" w:line="310" w:lineRule="auto"/>
        <w:ind w:right="81" w:rightChars="0" w:firstLine="242" w:firstLineChars="1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已标价工程量清单中没有适用也没有类似于变更工程项目的，由承包人根据</w:t>
      </w:r>
      <w:r>
        <w:rPr>
          <w:rFonts w:hint="eastAsia" w:ascii="宋体" w:hAnsi="宋体" w:eastAsia="宋体" w:cs="宋体"/>
          <w:color w:val="auto"/>
          <w:spacing w:val="-2"/>
          <w:sz w:val="24"/>
          <w:szCs w:val="24"/>
          <w:highlight w:val="none"/>
        </w:rPr>
        <w:t>变更工程资料、计量规则、计价办法、施工当月项目所在地工程造价管理机构发布的价格信息和中标下浮率提出变更工程项目的单价，报发包人确认后调整。中标下浮率的计算公式如下：</w:t>
      </w:r>
    </w:p>
    <w:p w14:paraId="1D2418AA">
      <w:pPr>
        <w:spacing w:before="126" w:line="314" w:lineRule="auto"/>
        <w:ind w:left="29" w:right="21" w:firstLine="50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中标下浮率=[1-（中标价-中标</w:t>
      </w:r>
      <w:r>
        <w:rPr>
          <w:rFonts w:hint="eastAsia" w:ascii="宋体" w:hAnsi="宋体" w:eastAsia="宋体" w:cs="宋体"/>
          <w:b/>
          <w:bCs/>
          <w:color w:val="auto"/>
          <w:spacing w:val="-2"/>
          <w:sz w:val="24"/>
          <w:szCs w:val="24"/>
          <w:highlight w:val="none"/>
          <w:lang w:eastAsia="zh-CN"/>
        </w:rPr>
        <w:t>安全生产措施费</w:t>
      </w:r>
      <w:r>
        <w:rPr>
          <w:rFonts w:hint="eastAsia" w:ascii="宋体" w:hAnsi="宋体" w:eastAsia="宋体" w:cs="宋体"/>
          <w:b/>
          <w:bCs/>
          <w:color w:val="auto"/>
          <w:spacing w:val="-2"/>
          <w:sz w:val="24"/>
          <w:szCs w:val="24"/>
          <w:highlight w:val="none"/>
        </w:rPr>
        <w:t>-暂列</w:t>
      </w:r>
      <w:r>
        <w:rPr>
          <w:rFonts w:hint="eastAsia" w:ascii="宋体" w:hAnsi="宋体" w:eastAsia="宋体" w:cs="宋体"/>
          <w:b/>
          <w:bCs/>
          <w:color w:val="auto"/>
          <w:spacing w:val="-3"/>
          <w:sz w:val="24"/>
          <w:szCs w:val="24"/>
          <w:highlight w:val="none"/>
        </w:rPr>
        <w:t>金额-暂估价）/（</w:t>
      </w:r>
      <w:r>
        <w:rPr>
          <w:rFonts w:hint="eastAsia" w:ascii="宋体" w:hAnsi="宋体" w:eastAsia="宋体" w:cs="宋体"/>
          <w:b/>
          <w:bCs/>
          <w:color w:val="auto"/>
          <w:spacing w:val="-3"/>
          <w:sz w:val="24"/>
          <w:szCs w:val="24"/>
          <w:highlight w:val="none"/>
          <w:lang w:val="en-US" w:eastAsia="zh-CN"/>
        </w:rPr>
        <w:t>最高投标限价</w:t>
      </w:r>
      <w:r>
        <w:rPr>
          <w:rFonts w:hint="eastAsia" w:ascii="宋体" w:hAnsi="宋体" w:eastAsia="宋体" w:cs="宋体"/>
          <w:b/>
          <w:bCs/>
          <w:color w:val="auto"/>
          <w:spacing w:val="-3"/>
          <w:sz w:val="24"/>
          <w:szCs w:val="24"/>
          <w:highlight w:val="none"/>
        </w:rPr>
        <w:t>-</w:t>
      </w:r>
      <w:r>
        <w:rPr>
          <w:rFonts w:hint="eastAsia" w:ascii="宋体" w:hAnsi="宋体" w:eastAsia="宋体" w:cs="宋体"/>
          <w:b/>
          <w:bCs/>
          <w:color w:val="auto"/>
          <w:spacing w:val="-3"/>
          <w:sz w:val="24"/>
          <w:szCs w:val="24"/>
          <w:highlight w:val="none"/>
          <w:lang w:val="en-US" w:eastAsia="zh-CN"/>
        </w:rPr>
        <w:t>投标限价</w:t>
      </w:r>
      <w:r>
        <w:rPr>
          <w:rFonts w:hint="eastAsia" w:ascii="宋体" w:hAnsi="宋体" w:eastAsia="宋体" w:cs="宋体"/>
          <w:b/>
          <w:bCs/>
          <w:color w:val="auto"/>
          <w:spacing w:val="-3"/>
          <w:sz w:val="24"/>
          <w:szCs w:val="24"/>
          <w:highlight w:val="none"/>
          <w:lang w:eastAsia="zh-CN"/>
        </w:rPr>
        <w:t>安全生产措施费</w:t>
      </w:r>
      <w:r>
        <w:rPr>
          <w:rFonts w:hint="eastAsia" w:ascii="宋体" w:hAnsi="宋体" w:eastAsia="宋体" w:cs="宋体"/>
          <w:b/>
          <w:bCs/>
          <w:color w:val="auto"/>
          <w:spacing w:val="-3"/>
          <w:sz w:val="24"/>
          <w:szCs w:val="24"/>
          <w:highlight w:val="none"/>
        </w:rPr>
        <w:t>-暂列金额-暂估价）]</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3"/>
          <w:sz w:val="24"/>
          <w:szCs w:val="24"/>
          <w:highlight w:val="none"/>
        </w:rPr>
        <w:t>×100%</w:t>
      </w:r>
    </w:p>
    <w:p w14:paraId="06528A34">
      <w:pPr>
        <w:spacing w:before="145" w:line="309" w:lineRule="auto"/>
        <w:ind w:right="81" w:firstLine="242" w:firstLineChars="1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snapToGrid w:val="0"/>
          <w:color w:val="auto"/>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10532EC7">
      <w:pPr>
        <w:spacing w:before="156" w:line="309" w:lineRule="auto"/>
        <w:ind w:left="7" w:right="81"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2.3.3.2</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工程变更引起施工方案改变并使措施项目发生变化时，承包人提出调整措施</w:t>
      </w:r>
      <w:r>
        <w:rPr>
          <w:rFonts w:hint="eastAsia" w:ascii="宋体" w:hAnsi="宋体" w:eastAsia="宋体" w:cs="宋体"/>
          <w:color w:val="auto"/>
          <w:spacing w:val="-2"/>
          <w:sz w:val="24"/>
          <w:szCs w:val="24"/>
          <w:highlight w:val="none"/>
        </w:rPr>
        <w:t>项目费的，应事先将拟实施的方案提交发包人确认，并应详细说明与原方案措施项目相比的变化情况。拟实施的方案经发、承包双方确认后执行，并按照本章下列规定调整措施项目费：</w:t>
      </w:r>
    </w:p>
    <w:p w14:paraId="569C2CBB">
      <w:pPr>
        <w:spacing w:before="152" w:line="220"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eastAsia="zh-CN"/>
        </w:rPr>
        <w:t>安全生产措施费</w:t>
      </w:r>
      <w:r>
        <w:rPr>
          <w:rFonts w:hint="eastAsia" w:ascii="宋体" w:hAnsi="宋体" w:eastAsia="宋体" w:cs="宋体"/>
          <w:color w:val="auto"/>
          <w:spacing w:val="-1"/>
          <w:sz w:val="24"/>
          <w:szCs w:val="24"/>
          <w:highlight w:val="none"/>
        </w:rPr>
        <w:t>应按照实际发生变化的措施项目计算。</w:t>
      </w:r>
    </w:p>
    <w:p w14:paraId="2E9060E0">
      <w:pPr>
        <w:spacing w:before="156" w:line="309" w:lineRule="auto"/>
        <w:ind w:left="7" w:right="81" w:firstLine="477"/>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3"/>
          <w:sz w:val="24"/>
          <w:szCs w:val="24"/>
          <w:highlight w:val="none"/>
        </w:rPr>
        <w:t>采用单价计算的措施项目费，应按照实际发生变化的措施项目，按本章第 2.3.3.1 子目的规定确定单价。</w:t>
      </w:r>
    </w:p>
    <w:p w14:paraId="0AD057C6">
      <w:pPr>
        <w:spacing w:before="154" w:line="360" w:lineRule="auto"/>
        <w:ind w:left="8"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（3）按总价或系数计算的措施项目费，应按照实际发生变化的措施项目费调整并</w:t>
      </w:r>
      <w:r>
        <w:rPr>
          <w:rFonts w:hint="eastAsia" w:ascii="宋体" w:hAnsi="宋体" w:eastAsia="宋体" w:cs="宋体"/>
          <w:color w:val="auto"/>
          <w:spacing w:val="-3"/>
          <w:sz w:val="24"/>
          <w:szCs w:val="24"/>
          <w:highlight w:val="none"/>
        </w:rPr>
        <w:t>考虑中标下浮率因素，即调整金额＝按照实际变化调整后的金额×（ 1-中标下浮率）。</w:t>
      </w:r>
    </w:p>
    <w:p w14:paraId="77DA1A91">
      <w:pPr>
        <w:spacing w:before="157" w:line="324" w:lineRule="auto"/>
        <w:ind w:left="21" w:right="81" w:firstLine="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如果承包人未事先将拟实施的方案提交发包人确认，视为工程变更不引起措施项目费的调整或承包人放弃调整措施项目费的权利。</w:t>
      </w:r>
    </w:p>
    <w:p w14:paraId="51A82710">
      <w:pPr>
        <w:spacing w:before="35" w:line="309" w:lineRule="auto"/>
        <w:ind w:right="81"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当因非承包人原因，发包人提出的工程变更删减了合同中的某项原定工作或</w:t>
      </w:r>
      <w:r>
        <w:rPr>
          <w:rFonts w:hint="eastAsia" w:ascii="宋体" w:hAnsi="宋体" w:eastAsia="宋体" w:cs="宋体"/>
          <w:color w:val="auto"/>
          <w:spacing w:val="-2"/>
          <w:sz w:val="24"/>
          <w:szCs w:val="24"/>
          <w:highlight w:val="none"/>
        </w:rPr>
        <w:t>工程，致使承包人发生的费用或（和）得到的收益不能被包括在其他已支付或应支付的项目中，也未被包含在任何替代的工作或工程中时，承包人有权提出并应得到合理的费用及利润补偿。</w:t>
      </w:r>
    </w:p>
    <w:p w14:paraId="5DD9B8AD">
      <w:pPr>
        <w:spacing w:before="155" w:line="220"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2.3.4  </w:t>
      </w:r>
      <w:r>
        <w:rPr>
          <w:rFonts w:hint="eastAsia" w:ascii="宋体" w:hAnsi="宋体" w:eastAsia="宋体" w:cs="宋体"/>
          <w:color w:val="auto"/>
          <w:spacing w:val="-1"/>
          <w:sz w:val="24"/>
          <w:szCs w:val="24"/>
          <w:highlight w:val="none"/>
        </w:rPr>
        <w:t>项目特征不符</w:t>
      </w:r>
    </w:p>
    <w:p w14:paraId="30FB5B62">
      <w:pPr>
        <w:spacing w:before="78" w:line="331" w:lineRule="auto"/>
        <w:ind w:left="8" w:right="108" w:firstLine="480"/>
        <w:jc w:val="both"/>
        <w:rPr>
          <w:rFonts w:hint="eastAsia" w:ascii="宋体" w:hAnsi="宋体" w:eastAsia="宋体" w:cs="宋体"/>
          <w:color w:val="auto"/>
          <w:sz w:val="24"/>
          <w:szCs w:val="24"/>
          <w:highlight w:val="none"/>
        </w:rPr>
      </w:pPr>
      <w:bookmarkStart w:id="171" w:name="bookmark144"/>
      <w:bookmarkEnd w:id="171"/>
      <w:r>
        <w:rPr>
          <w:rFonts w:hint="eastAsia" w:ascii="宋体" w:hAnsi="宋体" w:eastAsia="宋体" w:cs="宋体"/>
          <w:color w:val="auto"/>
          <w:spacing w:val="-2"/>
          <w:sz w:val="24"/>
          <w:szCs w:val="24"/>
          <w:highlight w:val="none"/>
        </w:rPr>
        <w:t>承包人应按照发包人提供的设计图纸实施合同工程，若在合同履行期间出现设计图纸（含设计变更）与招标工程量清单任一项目的特征描述不符，且该变化引起该项目工</w:t>
      </w:r>
      <w:r>
        <w:rPr>
          <w:rFonts w:hint="eastAsia" w:ascii="宋体" w:hAnsi="宋体" w:eastAsia="宋体" w:cs="宋体"/>
          <w:color w:val="auto"/>
          <w:sz w:val="24"/>
          <w:szCs w:val="24"/>
          <w:highlight w:val="none"/>
        </w:rPr>
        <w:t>程造价增减变化的，应按照实际施工的项目特征，并按本章第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z w:val="24"/>
          <w:szCs w:val="24"/>
          <w:highlight w:val="none"/>
        </w:rPr>
        <w:t xml:space="preserve">2.3.3 </w:t>
      </w:r>
      <w:r>
        <w:rPr>
          <w:rFonts w:hint="eastAsia" w:ascii="宋体" w:hAnsi="宋体" w:eastAsia="宋体" w:cs="宋体"/>
          <w:color w:val="auto"/>
          <w:sz w:val="24"/>
          <w:szCs w:val="24"/>
          <w:highlight w:val="none"/>
        </w:rPr>
        <w:t>目相</w:t>
      </w:r>
      <w:r>
        <w:rPr>
          <w:rFonts w:hint="eastAsia" w:ascii="宋体" w:hAnsi="宋体" w:eastAsia="宋体" w:cs="宋体"/>
          <w:color w:val="auto"/>
          <w:spacing w:val="-1"/>
          <w:sz w:val="24"/>
          <w:szCs w:val="24"/>
          <w:highlight w:val="none"/>
        </w:rPr>
        <w:t>关条款的规定重新确定相应工程量清单项目的综合单价，并调整合同价款。</w:t>
      </w:r>
    </w:p>
    <w:p w14:paraId="22BA953A">
      <w:pPr>
        <w:spacing w:before="38" w:line="221"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2.3.5  </w:t>
      </w:r>
      <w:r>
        <w:rPr>
          <w:rFonts w:hint="eastAsia" w:ascii="宋体" w:hAnsi="宋体" w:eastAsia="宋体" w:cs="宋体"/>
          <w:color w:val="auto"/>
          <w:spacing w:val="-1"/>
          <w:sz w:val="24"/>
          <w:szCs w:val="24"/>
          <w:highlight w:val="none"/>
        </w:rPr>
        <w:t>招标工程量清单缺项</w:t>
      </w:r>
    </w:p>
    <w:p w14:paraId="2B67D3AB">
      <w:pPr>
        <w:spacing w:before="152" w:line="278" w:lineRule="auto"/>
        <w:ind w:left="9" w:right="56"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2.3.5.1</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合同履行期间，由于招标</w:t>
      </w:r>
      <w:r>
        <w:rPr>
          <w:rFonts w:hint="eastAsia" w:ascii="宋体" w:hAnsi="宋体" w:eastAsia="宋体" w:cs="宋体"/>
          <w:color w:val="auto"/>
          <w:spacing w:val="-2"/>
          <w:sz w:val="24"/>
          <w:szCs w:val="24"/>
          <w:highlight w:val="none"/>
        </w:rPr>
        <w:t>工程量清单中缺项，新增分部分项工程清单项目，</w:t>
      </w:r>
      <w:r>
        <w:rPr>
          <w:rFonts w:hint="eastAsia" w:ascii="宋体" w:hAnsi="宋体" w:eastAsia="宋体" w:cs="宋体"/>
          <w:color w:val="auto"/>
          <w:spacing w:val="-1"/>
          <w:sz w:val="24"/>
          <w:szCs w:val="24"/>
          <w:highlight w:val="none"/>
        </w:rPr>
        <w:t>应按照本章第</w:t>
      </w:r>
      <w:r>
        <w:rPr>
          <w:rFonts w:hint="eastAsia" w:ascii="宋体" w:hAnsi="宋体" w:eastAsia="宋体" w:cs="宋体"/>
          <w:color w:val="auto"/>
          <w:spacing w:val="-39"/>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子目的规定确定单价，并调整合同价款。</w:t>
      </w:r>
    </w:p>
    <w:p w14:paraId="274C8995">
      <w:pPr>
        <w:spacing w:before="157" w:line="219"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新增分部分项工程清单项目后，引起</w:t>
      </w:r>
      <w:r>
        <w:rPr>
          <w:rFonts w:hint="eastAsia" w:ascii="宋体" w:hAnsi="宋体" w:eastAsia="宋体" w:cs="宋体"/>
          <w:color w:val="auto"/>
          <w:spacing w:val="-2"/>
          <w:sz w:val="24"/>
          <w:szCs w:val="24"/>
          <w:highlight w:val="none"/>
        </w:rPr>
        <w:t>措施项目发生变化的，应按照本章第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z w:val="24"/>
          <w:szCs w:val="24"/>
          <w:highlight w:val="none"/>
        </w:rPr>
        <w:t xml:space="preserve">3.3.2 </w:t>
      </w:r>
      <w:r>
        <w:rPr>
          <w:rFonts w:hint="eastAsia" w:ascii="宋体" w:hAnsi="宋体" w:eastAsia="宋体" w:cs="宋体"/>
          <w:color w:val="auto"/>
          <w:sz w:val="24"/>
          <w:szCs w:val="24"/>
          <w:highlight w:val="none"/>
        </w:rPr>
        <w:t>子目的规定，在承包人提交的实施方案被发包人批准后调整</w:t>
      </w:r>
      <w:r>
        <w:rPr>
          <w:rFonts w:hint="eastAsia" w:ascii="宋体" w:hAnsi="宋体" w:eastAsia="宋体" w:cs="宋体"/>
          <w:color w:val="auto"/>
          <w:spacing w:val="-1"/>
          <w:sz w:val="24"/>
          <w:szCs w:val="24"/>
          <w:highlight w:val="none"/>
        </w:rPr>
        <w:t>合同价款。</w:t>
      </w:r>
    </w:p>
    <w:p w14:paraId="3AF785EB">
      <w:pPr>
        <w:spacing w:before="156" w:line="279" w:lineRule="auto"/>
        <w:ind w:left="13" w:right="108" w:firstLine="471"/>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4"/>
          <w:sz w:val="24"/>
          <w:szCs w:val="24"/>
          <w:highlight w:val="none"/>
        </w:rPr>
        <w:t>2.3.5.3</w:t>
      </w:r>
      <w:r>
        <w:rPr>
          <w:rFonts w:hint="eastAsia" w:ascii="宋体" w:hAnsi="宋体" w:eastAsia="宋体" w:cs="宋体"/>
          <w:b/>
          <w:bCs/>
          <w:color w:val="auto"/>
          <w:spacing w:val="-4"/>
          <w:sz w:val="24"/>
          <w:szCs w:val="24"/>
          <w:highlight w:val="none"/>
        </w:rPr>
        <w:fldChar w:fldCharType="end"/>
      </w:r>
      <w:r>
        <w:rPr>
          <w:rFonts w:hint="eastAsia" w:ascii="宋体" w:hAnsi="宋体" w:eastAsia="宋体" w:cs="宋体"/>
          <w:b/>
          <w:bCs/>
          <w:color w:val="auto"/>
          <w:spacing w:val="22"/>
          <w:w w:val="101"/>
          <w:sz w:val="24"/>
          <w:szCs w:val="24"/>
          <w:highlight w:val="none"/>
        </w:rPr>
        <w:t xml:space="preserve">  </w:t>
      </w:r>
      <w:r>
        <w:rPr>
          <w:rFonts w:hint="eastAsia" w:ascii="宋体" w:hAnsi="宋体" w:eastAsia="宋体" w:cs="宋体"/>
          <w:color w:val="auto"/>
          <w:spacing w:val="-4"/>
          <w:sz w:val="24"/>
          <w:szCs w:val="24"/>
          <w:highlight w:val="none"/>
        </w:rPr>
        <w:t>由于招标工程量清单中措施项目缺项，承包人应将新增措施项目实施方案提</w:t>
      </w:r>
      <w:r>
        <w:rPr>
          <w:rFonts w:hint="eastAsia" w:ascii="宋体" w:hAnsi="宋体" w:eastAsia="宋体" w:cs="宋体"/>
          <w:color w:val="auto"/>
          <w:spacing w:val="-1"/>
          <w:sz w:val="24"/>
          <w:szCs w:val="24"/>
          <w:highlight w:val="none"/>
        </w:rPr>
        <w:t>交发包人批准后，按照本章第</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 xml:space="preserve">2.3.3.2 </w:t>
      </w:r>
      <w:r>
        <w:rPr>
          <w:rFonts w:hint="eastAsia" w:ascii="宋体" w:hAnsi="宋体" w:eastAsia="宋体" w:cs="宋体"/>
          <w:color w:val="auto"/>
          <w:spacing w:val="-1"/>
          <w:sz w:val="24"/>
          <w:szCs w:val="24"/>
          <w:highlight w:val="none"/>
        </w:rPr>
        <w:t>子目的规定调整合同价款。</w:t>
      </w:r>
    </w:p>
    <w:p w14:paraId="7A0B8670">
      <w:pPr>
        <w:spacing w:before="154" w:line="219"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2.3.6  </w:t>
      </w:r>
      <w:r>
        <w:rPr>
          <w:rFonts w:hint="eastAsia" w:ascii="宋体" w:hAnsi="宋体" w:eastAsia="宋体" w:cs="宋体"/>
          <w:color w:val="auto"/>
          <w:spacing w:val="-1"/>
          <w:sz w:val="24"/>
          <w:szCs w:val="24"/>
          <w:highlight w:val="none"/>
        </w:rPr>
        <w:t>物价变化</w:t>
      </w:r>
    </w:p>
    <w:p w14:paraId="72D8A7B6">
      <w:pPr>
        <w:spacing w:before="156" w:line="315" w:lineRule="auto"/>
        <w:ind w:left="8" w:right="108"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合同履行期间，项目所在地工程造价管理机构发布的动态人工调整系数发生变化时，如果承包人投标报价中人工费（以下简称“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中标人工费</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等于或超过施工当</w:t>
      </w:r>
      <w:r>
        <w:rPr>
          <w:rFonts w:hint="eastAsia" w:ascii="宋体" w:hAnsi="宋体" w:eastAsia="宋体" w:cs="宋体"/>
          <w:color w:val="auto"/>
          <w:spacing w:val="-2"/>
          <w:sz w:val="24"/>
          <w:szCs w:val="24"/>
          <w:highlight w:val="none"/>
        </w:rPr>
        <w:t>月经动态调整后的定额人工费，该清单项目中标人工费不予调整；如果中标人工费低于施工当月经动态调整后的定额人工费，该清单项目中标人工费可以调整，相关费用按有</w:t>
      </w:r>
      <w:r>
        <w:rPr>
          <w:rFonts w:hint="eastAsia" w:ascii="宋体" w:hAnsi="宋体" w:eastAsia="宋体" w:cs="宋体"/>
          <w:color w:val="auto"/>
          <w:spacing w:val="-1"/>
          <w:sz w:val="24"/>
          <w:szCs w:val="24"/>
          <w:highlight w:val="none"/>
        </w:rPr>
        <w:t>关规定进行相应调整。结算人工费调整公式为：</w:t>
      </w:r>
    </w:p>
    <w:p w14:paraId="5ECFF448">
      <w:pPr>
        <w:spacing w:before="153" w:line="220" w:lineRule="auto"/>
        <w:ind w:left="494"/>
        <w:rPr>
          <w:rFonts w:hint="eastAsia" w:ascii="宋体" w:hAnsi="宋体" w:eastAsia="宋体" w:cs="宋体"/>
          <w:color w:val="auto"/>
          <w:sz w:val="15"/>
          <w:szCs w:val="15"/>
          <w:highlight w:val="none"/>
        </w:rPr>
      </w:pPr>
      <w:r>
        <w:rPr>
          <w:rFonts w:hint="eastAsia" w:ascii="宋体" w:hAnsi="宋体" w:eastAsia="宋体" w:cs="宋体"/>
          <w:color w:val="auto"/>
          <w:spacing w:val="-1"/>
          <w:sz w:val="24"/>
          <w:szCs w:val="24"/>
          <w:highlight w:val="none"/>
        </w:rPr>
        <w:t>结算人工费＝中标人工费×F</w:t>
      </w:r>
      <w:r>
        <w:rPr>
          <w:rFonts w:hint="eastAsia" w:ascii="宋体" w:hAnsi="宋体" w:eastAsia="宋体" w:cs="宋体"/>
          <w:color w:val="auto"/>
          <w:spacing w:val="-1"/>
          <w:position w:val="-1"/>
          <w:sz w:val="15"/>
          <w:szCs w:val="15"/>
          <w:highlight w:val="none"/>
        </w:rPr>
        <w:t>1</w:t>
      </w:r>
    </w:p>
    <w:p w14:paraId="0C68F581">
      <w:pPr>
        <w:spacing w:before="152"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式中，F</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23"/>
          <w:w w:val="101"/>
          <w:position w:val="-1"/>
          <w:sz w:val="15"/>
          <w:szCs w:val="15"/>
          <w:highlight w:val="none"/>
        </w:rPr>
        <w:t xml:space="preserve"> </w:t>
      </w:r>
      <w:r>
        <w:rPr>
          <w:rFonts w:hint="eastAsia" w:ascii="宋体" w:hAnsi="宋体" w:eastAsia="宋体" w:cs="宋体"/>
          <w:color w:val="auto"/>
          <w:spacing w:val="-1"/>
          <w:sz w:val="24"/>
          <w:szCs w:val="24"/>
          <w:highlight w:val="none"/>
        </w:rPr>
        <w:t>为施工当月项目所在地工程造价管理机构发布的动态人工调整系数。</w:t>
      </w:r>
    </w:p>
    <w:p w14:paraId="517B4879">
      <w:pPr>
        <w:spacing w:before="119" w:line="324" w:lineRule="auto"/>
        <w:ind w:left="1" w:right="108"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fldChar w:fldCharType="begin"/>
      </w:r>
      <w:r>
        <w:rPr>
          <w:rFonts w:hint="eastAsia" w:ascii="宋体" w:hAnsi="宋体" w:eastAsia="宋体" w:cs="宋体"/>
          <w:b/>
          <w:bCs/>
          <w:color w:val="auto"/>
          <w:spacing w:val="-1"/>
          <w:sz w:val="24"/>
          <w:szCs w:val="24"/>
          <w:highlight w:val="none"/>
        </w:rPr>
        <w:instrText xml:space="preserve"> HYPERLINK "2.3.6.2" </w:instrText>
      </w:r>
      <w:r>
        <w:rPr>
          <w:rFonts w:hint="eastAsia" w:ascii="宋体" w:hAnsi="宋体" w:eastAsia="宋体" w:cs="宋体"/>
          <w:b/>
          <w:bCs/>
          <w:color w:val="auto"/>
          <w:spacing w:val="-1"/>
          <w:sz w:val="24"/>
          <w:szCs w:val="24"/>
          <w:highlight w:val="none"/>
        </w:rPr>
        <w:fldChar w:fldCharType="separate"/>
      </w:r>
      <w:r>
        <w:rPr>
          <w:rFonts w:hint="eastAsia" w:ascii="宋体" w:hAnsi="宋体" w:eastAsia="宋体" w:cs="宋体"/>
          <w:b/>
          <w:bCs/>
          <w:color w:val="auto"/>
          <w:spacing w:val="-1"/>
          <w:sz w:val="24"/>
          <w:szCs w:val="24"/>
          <w:highlight w:val="none"/>
        </w:rPr>
        <w:t>2.3.6.2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本招标项目约定，材料、工程设备</w:t>
      </w:r>
      <w:r>
        <w:rPr>
          <w:rFonts w:hint="eastAsia" w:ascii="宋体" w:hAnsi="宋体" w:eastAsia="宋体" w:cs="宋体"/>
          <w:color w:val="auto"/>
          <w:spacing w:val="-2"/>
          <w:sz w:val="24"/>
          <w:szCs w:val="24"/>
          <w:highlight w:val="none"/>
        </w:rPr>
        <w:t>单价涨跌风险幅度值</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rPr>
        <w:t>A 为</w:t>
      </w:r>
      <w:r>
        <w:rPr>
          <w:rFonts w:hint="eastAsia" w:ascii="宋体" w:hAnsi="宋体" w:eastAsia="宋体" w:cs="宋体"/>
          <w:color w:val="auto"/>
          <w:spacing w:val="-2"/>
          <w:sz w:val="24"/>
          <w:szCs w:val="24"/>
          <w:highlight w:val="none"/>
          <w:u w:val="single"/>
        </w:rPr>
        <w:t xml:space="preserve"> 5% </w:t>
      </w:r>
      <w:r>
        <w:rPr>
          <w:rFonts w:hint="eastAsia" w:ascii="宋体" w:hAnsi="宋体" w:eastAsia="宋体" w:cs="宋体"/>
          <w:color w:val="auto"/>
          <w:spacing w:val="-2"/>
          <w:sz w:val="24"/>
          <w:szCs w:val="24"/>
          <w:highlight w:val="none"/>
        </w:rPr>
        <w:t>。合同履</w:t>
      </w:r>
      <w:r>
        <w:rPr>
          <w:rFonts w:hint="eastAsia" w:ascii="宋体" w:hAnsi="宋体" w:eastAsia="宋体" w:cs="宋体"/>
          <w:color w:val="auto"/>
          <w:spacing w:val="-1"/>
          <w:sz w:val="24"/>
          <w:szCs w:val="24"/>
          <w:highlight w:val="none"/>
        </w:rPr>
        <w:t>行期间，当《承包人提供主要材料和工程设备一览表》（</w:t>
      </w:r>
      <w:r>
        <w:rPr>
          <w:rFonts w:hint="eastAsia" w:ascii="宋体" w:hAnsi="宋体" w:eastAsia="宋体" w:cs="宋体"/>
          <w:color w:val="auto"/>
          <w:spacing w:val="-2"/>
          <w:sz w:val="24"/>
          <w:szCs w:val="24"/>
          <w:highlight w:val="none"/>
        </w:rPr>
        <w:t>详见招标工程量清单）中的材</w:t>
      </w:r>
      <w:r>
        <w:rPr>
          <w:rFonts w:hint="eastAsia" w:ascii="宋体" w:hAnsi="宋体" w:eastAsia="宋体" w:cs="宋体"/>
          <w:color w:val="auto"/>
          <w:spacing w:val="-3"/>
          <w:sz w:val="24"/>
          <w:szCs w:val="24"/>
          <w:highlight w:val="none"/>
        </w:rPr>
        <w:t>料、工程设备单价涨跌幅度等于或低于</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A 值时，该材料、工程设备单价不予调整；超过</w:t>
      </w:r>
      <w:r>
        <w:rPr>
          <w:rFonts w:hint="eastAsia" w:ascii="宋体" w:hAnsi="宋体" w:eastAsia="宋体" w:cs="宋体"/>
          <w:color w:val="auto"/>
          <w:sz w:val="24"/>
          <w:szCs w:val="24"/>
          <w:highlight w:val="none"/>
        </w:rPr>
        <w:t>A 值时，其超过部分可以调整。相关费用按有关规定进行相</w:t>
      </w:r>
      <w:r>
        <w:rPr>
          <w:rFonts w:hint="eastAsia" w:ascii="宋体" w:hAnsi="宋体" w:eastAsia="宋体" w:cs="宋体"/>
          <w:color w:val="auto"/>
          <w:spacing w:val="-1"/>
          <w:sz w:val="24"/>
          <w:szCs w:val="24"/>
          <w:highlight w:val="none"/>
        </w:rPr>
        <w:t>应调整。</w:t>
      </w:r>
    </w:p>
    <w:p w14:paraId="0987C0D3">
      <w:pPr>
        <w:spacing w:before="126" w:line="295" w:lineRule="auto"/>
        <w:ind w:left="11" w:right="108" w:firstLine="477"/>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4A35002C">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25" o:spt="75" type="#_x0000_t75" style="height:33.95pt;width:200.95pt;" o:ole="t" filled="f" o:preferrelative="t" stroked="f" coordsize="21600,21600">
            <v:path/>
            <v:fill on="f" focussize="0,0"/>
            <v:stroke on="f"/>
            <v:imagedata r:id="rId30" embosscolor="#FFFFFF" o:title=""/>
            <o:lock v:ext="edit" grouping="f" rotation="f" text="f" aspectratio="t"/>
            <w10:wrap type="none"/>
            <w10:anchorlock/>
          </v:shape>
          <o:OLEObject Type="Embed" ProgID="Equation.KSEE3" ShapeID="_x0000_i1025" DrawAspect="Content" ObjectID="_1468075725" r:id="rId29">
            <o:LockedField>false</o:LockedField>
          </o:OLEObject>
        </w:object>
      </w:r>
    </w:p>
    <w:p w14:paraId="42124E52">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26" o:spt="75" type="#_x0000_t75" style="height:33.95pt;width:198.95pt;" o:ole="t" filled="f" o:preferrelative="t" stroked="f" coordsize="21600,21600">
            <v:path/>
            <v:fill on="f" focussize="0,0"/>
            <v:stroke on="f"/>
            <v:imagedata r:id="rId32" embosscolor="#FFFFFF" o:title=""/>
            <o:lock v:ext="edit" grouping="f" rotation="f" text="f" aspectratio="t"/>
            <w10:wrap type="none"/>
            <w10:anchorlock/>
          </v:shape>
          <o:OLEObject Type="Embed" ProgID="Equation.KSEE3" ShapeID="_x0000_i1026" DrawAspect="Content" ObjectID="_1468075726" r:id="rId31">
            <o:LockedField>false</o:LockedField>
          </o:OLEObject>
        </w:object>
      </w:r>
    </w:p>
    <w:p w14:paraId="61CF2B76">
      <w:pPr>
        <w:keepNext w:val="0"/>
        <w:keepLines w:val="0"/>
        <w:pageBreakBefore w:val="0"/>
        <w:wordWrap w:val="0"/>
        <w:overflowPunct/>
        <w:topLinePunct w:val="0"/>
        <w:bidi w:val="0"/>
        <w:adjustRightInd w:val="0"/>
        <w:snapToGrid w:val="0"/>
        <w:spacing w:before="360" w:beforeLines="150" w:after="240" w:afterLines="100" w:line="440" w:lineRule="exact"/>
        <w:ind w:firstLine="482" w:firstLineChars="2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lang w:eastAsia="zh-CN"/>
        </w:rPr>
        <w:t>b</w:t>
      </w:r>
      <w:r>
        <w:rPr>
          <w:rFonts w:hint="eastAsia" w:ascii="宋体" w:hAnsi="宋体" w:eastAsia="宋体" w:cs="宋体"/>
          <w:snapToGrid w:val="0"/>
          <w:color w:val="auto"/>
          <w:kern w:val="0"/>
          <w:sz w:val="24"/>
          <w:szCs w:val="24"/>
          <w:highlight w:val="none"/>
          <w:lang w:eastAsia="zh-CN"/>
        </w:rPr>
        <w:t>．如果中标单价高于基准单价，该材料、工程设备的结算单价调整公式为：</w:t>
      </w:r>
    </w:p>
    <w:p w14:paraId="7D84134C">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27" o:spt="75" type="#_x0000_t75" style="height:33.95pt;width:198.95pt;" o:ole="t" filled="f" o:preferrelative="t" stroked="f" coordsize="21600,21600">
            <v:path/>
            <v:fill on="f" focussize="0,0"/>
            <v:stroke on="f"/>
            <v:imagedata r:id="rId34" embosscolor="#FFFFFF" o:title=""/>
            <o:lock v:ext="edit" grouping="f" rotation="f" text="f" aspectratio="t"/>
            <w10:wrap type="none"/>
            <w10:anchorlock/>
          </v:shape>
          <o:OLEObject Type="Embed" ProgID="Equation.KSEE3" ShapeID="_x0000_i1027" DrawAspect="Content" ObjectID="_1468075727" r:id="rId33">
            <o:LockedField>false</o:LockedField>
          </o:OLEObject>
        </w:object>
      </w:r>
    </w:p>
    <w:p w14:paraId="2CE4A337">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28" o:spt="75" type="#_x0000_t75" style="height:33.95pt;width:200.95pt;" o:ole="t" filled="f" o:preferrelative="t" stroked="f" coordsize="21600,21600">
            <v:path/>
            <v:fill on="f" focussize="0,0"/>
            <v:stroke on="f"/>
            <v:imagedata r:id="rId36" embosscolor="#FFFFFF" o:title=""/>
            <o:lock v:ext="edit" grouping="f" rotation="f" text="f" aspectratio="t"/>
            <w10:wrap type="none"/>
            <w10:anchorlock/>
          </v:shape>
          <o:OLEObject Type="Embed" ProgID="Equation.KSEE3" ShapeID="_x0000_i1028" DrawAspect="Content" ObjectID="_1468075728" r:id="rId35">
            <o:LockedField>false</o:LockedField>
          </o:OLEObject>
        </w:object>
      </w:r>
    </w:p>
    <w:p w14:paraId="44B8FF61">
      <w:pPr>
        <w:keepNext w:val="0"/>
        <w:keepLines w:val="0"/>
        <w:pageBreakBefore w:val="0"/>
        <w:wordWrap w:val="0"/>
        <w:overflowPunct/>
        <w:topLinePunct w:val="0"/>
        <w:bidi w:val="0"/>
        <w:adjustRightInd w:val="0"/>
        <w:snapToGrid w:val="0"/>
        <w:spacing w:before="360" w:beforeLines="150" w:after="240" w:afterLines="100" w:line="440" w:lineRule="exact"/>
        <w:ind w:firstLine="482"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b/>
          <w:bCs/>
          <w:snapToGrid w:val="0"/>
          <w:color w:val="auto"/>
          <w:kern w:val="0"/>
          <w:sz w:val="24"/>
          <w:szCs w:val="24"/>
          <w:highlight w:val="none"/>
          <w:lang w:eastAsia="zh-CN"/>
        </w:rPr>
        <w:t>c</w:t>
      </w:r>
      <w:r>
        <w:rPr>
          <w:rFonts w:hint="eastAsia" w:ascii="宋体" w:hAnsi="宋体" w:eastAsia="宋体" w:cs="宋体"/>
          <w:snapToGrid w:val="0"/>
          <w:color w:val="auto"/>
          <w:kern w:val="0"/>
          <w:sz w:val="24"/>
          <w:szCs w:val="24"/>
          <w:highlight w:val="none"/>
          <w:lang w:eastAsia="zh-CN"/>
        </w:rPr>
        <w:t>．如果中标单价等于基准单价，该材料、工程设备的结算单价调整公式为：</w:t>
      </w:r>
    </w:p>
    <w:p w14:paraId="3EFFAAEF">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29" o:spt="75" type="#_x0000_t75" style="height:33.95pt;width:200.95pt;" o:ole="t" filled="f" o:preferrelative="t" stroked="f" coordsize="21600,21600">
            <v:path/>
            <v:fill on="f" focussize="0,0"/>
            <v:stroke on="f"/>
            <v:imagedata r:id="rId38" embosscolor="#FFFFFF" o:title=""/>
            <o:lock v:ext="edit" grouping="f" rotation="f" text="f" aspectratio="t"/>
            <w10:wrap type="none"/>
            <w10:anchorlock/>
          </v:shape>
          <o:OLEObject Type="Embed" ProgID="Equation.KSEE3" ShapeID="_x0000_i1029" DrawAspect="Content" ObjectID="_1468075729" r:id="rId37">
            <o:LockedField>false</o:LockedField>
          </o:OLEObject>
        </w:object>
      </w:r>
    </w:p>
    <w:p w14:paraId="60C70D77">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0" o:spt="75" type="#_x0000_t75" style="height:33.95pt;width:200.95pt;" o:ole="t" filled="f" o:preferrelative="t" stroked="f" coordsize="21600,21600">
            <v:path/>
            <v:fill on="f" focussize="0,0"/>
            <v:stroke on="f"/>
            <v:imagedata r:id="rId40" embosscolor="#FFFFFF" o:title=""/>
            <o:lock v:ext="edit" grouping="f" rotation="f" text="f" aspectratio="t"/>
            <w10:wrap type="none"/>
            <w10:anchorlock/>
          </v:shape>
          <o:OLEObject Type="Embed" ProgID="Equation.KSEE3" ShapeID="_x0000_i1030" DrawAspect="Content" ObjectID="_1468075730" r:id="rId39">
            <o:LockedField>false</o:LockedField>
          </o:OLEObject>
        </w:object>
      </w:r>
    </w:p>
    <w:p w14:paraId="12ED0B13">
      <w:pPr>
        <w:spacing w:before="78" w:line="330" w:lineRule="auto"/>
        <w:ind w:right="59"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理机构发布的材料、工程设备单价；A 为合同约定的材料</w:t>
      </w:r>
      <w:r>
        <w:rPr>
          <w:rFonts w:hint="eastAsia" w:ascii="宋体" w:hAnsi="宋体" w:eastAsia="宋体" w:cs="宋体"/>
          <w:color w:val="auto"/>
          <w:spacing w:val="-2"/>
          <w:sz w:val="24"/>
          <w:szCs w:val="24"/>
          <w:highlight w:val="none"/>
        </w:rPr>
        <w:t>、工程设备单价涨跌风险幅度</w:t>
      </w:r>
      <w:r>
        <w:rPr>
          <w:rFonts w:hint="eastAsia" w:ascii="宋体" w:hAnsi="宋体" w:eastAsia="宋体" w:cs="宋体"/>
          <w:color w:val="auto"/>
          <w:spacing w:val="-5"/>
          <w:sz w:val="24"/>
          <w:szCs w:val="24"/>
          <w:highlight w:val="none"/>
        </w:rPr>
        <w:t>值。</w:t>
      </w:r>
    </w:p>
    <w:p w14:paraId="755EFEF5">
      <w:pPr>
        <w:spacing w:before="33" w:line="299" w:lineRule="auto"/>
        <w:ind w:right="5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合同履行期间，当《发包人提供材料和工程设备一览表》（详见招标工程量</w:t>
      </w:r>
      <w:r>
        <w:rPr>
          <w:rFonts w:hint="eastAsia" w:ascii="宋体" w:hAnsi="宋体" w:eastAsia="宋体" w:cs="宋体"/>
          <w:color w:val="auto"/>
          <w:spacing w:val="-2"/>
          <w:sz w:val="24"/>
          <w:szCs w:val="24"/>
          <w:highlight w:val="none"/>
        </w:rPr>
        <w:t>清单）中的材料、工程设备单价发生变化时，由发包人按照实际变化调整，并列入合同</w:t>
      </w:r>
      <w:r>
        <w:rPr>
          <w:rFonts w:hint="eastAsia" w:ascii="宋体" w:hAnsi="宋体" w:eastAsia="宋体" w:cs="宋体"/>
          <w:color w:val="auto"/>
          <w:spacing w:val="-4"/>
          <w:sz w:val="24"/>
          <w:szCs w:val="24"/>
          <w:highlight w:val="none"/>
        </w:rPr>
        <w:t>价款。</w:t>
      </w:r>
    </w:p>
    <w:p w14:paraId="50EF4FD8">
      <w:pPr>
        <w:spacing w:before="121" w:line="308" w:lineRule="auto"/>
        <w:ind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2.3.6.4</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本招标项目约定，施工机具台班单价涨跌风险幅度值</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3"/>
          <w:sz w:val="24"/>
          <w:szCs w:val="24"/>
          <w:highlight w:val="none"/>
        </w:rPr>
        <w:t>B</w:t>
      </w:r>
      <w:r>
        <w:rPr>
          <w:rFonts w:hint="eastAsia" w:ascii="宋体" w:hAnsi="宋体" w:eastAsia="宋体" w:cs="宋体"/>
          <w:color w:val="auto"/>
          <w:spacing w:val="-4"/>
          <w:sz w:val="24"/>
          <w:szCs w:val="24"/>
          <w:highlight w:val="none"/>
        </w:rPr>
        <w:t xml:space="preserve"> 为</w:t>
      </w:r>
      <w:r>
        <w:rPr>
          <w:rFonts w:hint="eastAsia" w:ascii="宋体" w:hAnsi="宋体" w:eastAsia="宋体" w:cs="宋体"/>
          <w:color w:val="auto"/>
          <w:spacing w:val="14"/>
          <w:sz w:val="24"/>
          <w:szCs w:val="24"/>
          <w:highlight w:val="none"/>
          <w:u w:val="single"/>
        </w:rPr>
        <w:t xml:space="preserve">  </w:t>
      </w:r>
      <w:r>
        <w:rPr>
          <w:rFonts w:hint="eastAsia" w:ascii="宋体" w:hAnsi="宋体" w:eastAsia="宋体" w:cs="宋体"/>
          <w:color w:val="auto"/>
          <w:spacing w:val="-4"/>
          <w:sz w:val="24"/>
          <w:szCs w:val="24"/>
          <w:highlight w:val="none"/>
          <w:u w:val="single"/>
        </w:rPr>
        <w:t xml:space="preserve">10%  </w:t>
      </w:r>
      <w:r>
        <w:rPr>
          <w:rFonts w:hint="eastAsia" w:ascii="宋体" w:hAnsi="宋体" w:eastAsia="宋体" w:cs="宋体"/>
          <w:color w:val="auto"/>
          <w:spacing w:val="-4"/>
          <w:sz w:val="24"/>
          <w:szCs w:val="24"/>
          <w:highlight w:val="none"/>
        </w:rPr>
        <w:t>。合同履行</w:t>
      </w:r>
      <w:r>
        <w:rPr>
          <w:rFonts w:hint="eastAsia" w:ascii="宋体" w:hAnsi="宋体" w:eastAsia="宋体" w:cs="宋体"/>
          <w:color w:val="auto"/>
          <w:spacing w:val="-7"/>
          <w:sz w:val="24"/>
          <w:szCs w:val="24"/>
          <w:highlight w:val="none"/>
        </w:rPr>
        <w:t>期间，当施工机具台班单价涨跌幅度等于或低于</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B 值时，该施工机具台班单价不予调</w:t>
      </w:r>
      <w:r>
        <w:rPr>
          <w:rFonts w:hint="eastAsia" w:ascii="宋体" w:hAnsi="宋体" w:eastAsia="宋体" w:cs="宋体"/>
          <w:color w:val="auto"/>
          <w:spacing w:val="-8"/>
          <w:sz w:val="24"/>
          <w:szCs w:val="24"/>
          <w:highlight w:val="none"/>
        </w:rPr>
        <w:t>整；</w:t>
      </w:r>
      <w:r>
        <w:rPr>
          <w:rFonts w:hint="eastAsia" w:ascii="宋体" w:hAnsi="宋体" w:eastAsia="宋体" w:cs="宋体"/>
          <w:color w:val="auto"/>
          <w:sz w:val="24"/>
          <w:szCs w:val="24"/>
          <w:highlight w:val="none"/>
        </w:rPr>
        <w:t>超过</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z w:val="24"/>
          <w:szCs w:val="24"/>
          <w:highlight w:val="none"/>
        </w:rPr>
        <w:t>B 值时，其超过部分可以调整。相关费</w:t>
      </w:r>
      <w:r>
        <w:rPr>
          <w:rFonts w:hint="eastAsia" w:ascii="宋体" w:hAnsi="宋体" w:eastAsia="宋体" w:cs="宋体"/>
          <w:color w:val="auto"/>
          <w:spacing w:val="-1"/>
          <w:sz w:val="24"/>
          <w:szCs w:val="24"/>
          <w:highlight w:val="none"/>
        </w:rPr>
        <w:t>用按有关规定进行相应调整。</w:t>
      </w:r>
    </w:p>
    <w:p w14:paraId="4B3FCE27">
      <w:pPr>
        <w:spacing w:before="153" w:line="278" w:lineRule="auto"/>
        <w:ind w:left="42" w:right="59" w:firstLine="4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color w:val="auto"/>
          <w:spacing w:val="-1"/>
          <w:sz w:val="24"/>
          <w:szCs w:val="24"/>
          <w:highlight w:val="none"/>
        </w:rPr>
        <w:t>．如果承包人投标报价中施工机具台班单价（以下简称“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中标单价</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）低于基准</w:t>
      </w:r>
      <w:r>
        <w:rPr>
          <w:rFonts w:hint="eastAsia" w:ascii="宋体" w:hAnsi="宋体" w:eastAsia="宋体" w:cs="宋体"/>
          <w:color w:val="auto"/>
          <w:spacing w:val="-3"/>
          <w:sz w:val="24"/>
          <w:szCs w:val="24"/>
          <w:highlight w:val="none"/>
        </w:rPr>
        <w:t>日当月项目所在地工程造价管理机构发布的对应施工机具台班单价（以下简称“基准单</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”），该施工机具台班的结算单价调整公式为：</w:t>
      </w:r>
    </w:p>
    <w:p w14:paraId="1BA767E6">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42" embosscolor="#FFFFFF" o:title=""/>
            <o:lock v:ext="edit" grouping="f" rotation="f" text="f" aspectratio="t"/>
            <w10:wrap type="none"/>
            <w10:anchorlock/>
          </v:shape>
          <o:OLEObject Type="Embed" ProgID="Equation.KSEE3" ShapeID="_x0000_i1031" DrawAspect="Content" ObjectID="_1468075731" r:id="rId41">
            <o:LockedField>false</o:LockedField>
          </o:OLEObject>
        </w:object>
      </w:r>
    </w:p>
    <w:p w14:paraId="1B433DC1">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44" embosscolor="#FFFFFF" o:title=""/>
            <o:lock v:ext="edit" grouping="f" rotation="f" text="f" aspectratio="t"/>
            <w10:wrap type="none"/>
            <w10:anchorlock/>
          </v:shape>
          <o:OLEObject Type="Embed" ProgID="Equation.KSEE3" ShapeID="_x0000_i1032" DrawAspect="Content" ObjectID="_1468075732" r:id="rId43">
            <o:LockedField>false</o:LockedField>
          </o:OLEObject>
        </w:object>
      </w:r>
    </w:p>
    <w:p w14:paraId="3AAE2DB8">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6CB52AF9">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46" embosscolor="#FFFFFF" o:title=""/>
            <o:lock v:ext="edit" grouping="f" rotation="f" text="f" aspectratio="t"/>
            <w10:wrap type="none"/>
            <w10:anchorlock/>
          </v:shape>
          <o:OLEObject Type="Embed" ProgID="Equation.KSEE3" ShapeID="_x0000_i1033" DrawAspect="Content" ObjectID="_1468075733" r:id="rId45">
            <o:LockedField>false</o:LockedField>
          </o:OLEObject>
        </w:object>
      </w:r>
    </w:p>
    <w:p w14:paraId="4B79A669">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48" embosscolor="#FFFFFF" o:title=""/>
            <o:lock v:ext="edit" grouping="f" rotation="f" text="f" aspectratio="t"/>
            <w10:wrap type="none"/>
            <w10:anchorlock/>
          </v:shape>
          <o:OLEObject Type="Embed" ProgID="Equation.KSEE3" ShapeID="_x0000_i1034" DrawAspect="Content" ObjectID="_1468075734" r:id="rId47">
            <o:LockedField>false</o:LockedField>
          </o:OLEObject>
        </w:object>
      </w:r>
    </w:p>
    <w:p w14:paraId="44DDEBC6">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6440CB84">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50" embosscolor="#FFFFFF" o:title=""/>
            <o:lock v:ext="edit" grouping="f" rotation="f" text="f" aspectratio="t"/>
            <w10:wrap type="none"/>
            <w10:anchorlock/>
          </v:shape>
          <o:OLEObject Type="Embed" ProgID="Equation.KSEE3" ShapeID="_x0000_i1035" DrawAspect="Content" ObjectID="_1468075735" r:id="rId49">
            <o:LockedField>false</o:LockedField>
          </o:OLEObject>
        </w:object>
      </w:r>
    </w:p>
    <w:p w14:paraId="0E7F0EB6">
      <w:pPr>
        <w:spacing w:before="79" w:line="324" w:lineRule="auto"/>
        <w:ind w:left="11" w:right="65" w:firstLine="504"/>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33.95pt;width:200.95pt;" o:ole="t" filled="f" o:preferrelative="t" stroked="f" coordsize="21600,21600">
            <v:path/>
            <v:fill on="f" focussize="0,0"/>
            <v:stroke on="f"/>
            <v:imagedata r:id="rId52" embosscolor="#FFFFFF" o:title=""/>
            <o:lock v:ext="edit" grouping="f" rotation="f" text="f" aspectratio="t"/>
            <w10:wrap type="none"/>
            <w10:anchorlock/>
          </v:shape>
          <o:OLEObject Type="Embed" ProgID="Equation.KSEE3" ShapeID="_x0000_i1036" DrawAspect="Content" ObjectID="_1468075736" r:id="rId51">
            <o:LockedField>false</o:LockedField>
          </o:OLEObject>
        </w:object>
      </w:r>
    </w:p>
    <w:p w14:paraId="56B6FE6F">
      <w:pPr>
        <w:spacing w:before="79" w:line="324" w:lineRule="auto"/>
        <w:ind w:left="11" w:right="65" w:firstLine="5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理机构发布的施工机具台班单价；B 为合同约定的施工机具台班单价</w:t>
      </w:r>
      <w:r>
        <w:rPr>
          <w:rFonts w:hint="eastAsia" w:ascii="宋体" w:hAnsi="宋体" w:eastAsia="宋体" w:cs="宋体"/>
          <w:color w:val="auto"/>
          <w:spacing w:val="-2"/>
          <w:sz w:val="24"/>
          <w:szCs w:val="24"/>
          <w:highlight w:val="none"/>
        </w:rPr>
        <w:t>涨跌风险幅度值。</w:t>
      </w:r>
    </w:p>
    <w:p w14:paraId="4DEE83A9">
      <w:pPr>
        <w:spacing w:before="39" w:line="219"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2.3.7  </w:t>
      </w:r>
      <w:r>
        <w:rPr>
          <w:rFonts w:hint="eastAsia" w:ascii="宋体" w:hAnsi="宋体" w:eastAsia="宋体" w:cs="宋体"/>
          <w:color w:val="auto"/>
          <w:spacing w:val="-1"/>
          <w:sz w:val="24"/>
          <w:szCs w:val="24"/>
          <w:highlight w:val="none"/>
        </w:rPr>
        <w:t>暂估价和暂列金额</w:t>
      </w:r>
    </w:p>
    <w:p w14:paraId="1761F11D">
      <w:pPr>
        <w:spacing w:before="154" w:line="299" w:lineRule="auto"/>
        <w:ind w:left="7" w:right="57" w:firstLine="477"/>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2.3.7.1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snapToGrid w:val="0"/>
          <w:color w:val="auto"/>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kern w:val="0"/>
          <w:sz w:val="24"/>
          <w:szCs w:val="24"/>
          <w:highlight w:val="none"/>
          <w:lang w:eastAsia="zh-CN"/>
        </w:rPr>
        <w:t>8.5</w:t>
      </w:r>
      <w:r>
        <w:rPr>
          <w:rFonts w:hint="eastAsia" w:ascii="宋体" w:hAnsi="宋体" w:eastAsia="宋体" w:cs="宋体"/>
          <w:snapToGrid w:val="0"/>
          <w:color w:val="auto"/>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62B37795">
      <w:pPr>
        <w:spacing w:before="153" w:line="315" w:lineRule="auto"/>
        <w:ind w:left="8" w:right="2" w:firstLine="476"/>
        <w:rPr>
          <w:rFonts w:hint="eastAsia" w:ascii="宋体" w:hAnsi="宋体" w:eastAsia="宋体" w:cs="宋体"/>
          <w:color w:val="auto"/>
          <w:spacing w:val="-3"/>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8"/>
          <w:sz w:val="24"/>
          <w:szCs w:val="24"/>
          <w:highlight w:val="none"/>
        </w:rPr>
        <w:t>2.3.7.2</w:t>
      </w:r>
      <w:r>
        <w:rPr>
          <w:rFonts w:hint="eastAsia" w:ascii="宋体" w:hAnsi="宋体" w:eastAsia="宋体" w:cs="宋体"/>
          <w:b/>
          <w:bCs/>
          <w:color w:val="auto"/>
          <w:spacing w:val="-8"/>
          <w:sz w:val="24"/>
          <w:szCs w:val="24"/>
          <w:highlight w:val="none"/>
        </w:rPr>
        <w:fldChar w:fldCharType="end"/>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暂列金额由发包人掌握和使用。暂列金额项目若有发</w:t>
      </w:r>
      <w:r>
        <w:rPr>
          <w:rFonts w:hint="eastAsia" w:ascii="宋体" w:hAnsi="宋体" w:eastAsia="宋体" w:cs="宋体"/>
          <w:color w:val="auto"/>
          <w:spacing w:val="-9"/>
          <w:sz w:val="24"/>
          <w:szCs w:val="24"/>
          <w:highlight w:val="none"/>
        </w:rPr>
        <w:t>生，按第一章第三节“投</w:t>
      </w:r>
      <w:r>
        <w:rPr>
          <w:rFonts w:hint="eastAsia" w:ascii="宋体" w:hAnsi="宋体" w:eastAsia="宋体" w:cs="宋体"/>
          <w:color w:val="auto"/>
          <w:spacing w:val="-5"/>
          <w:sz w:val="24"/>
          <w:szCs w:val="24"/>
          <w:highlight w:val="none"/>
        </w:rPr>
        <w:t>标人须知正文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 xml:space="preserve">8.6 </w:t>
      </w:r>
      <w:r>
        <w:rPr>
          <w:rFonts w:hint="eastAsia" w:ascii="宋体" w:hAnsi="宋体" w:eastAsia="宋体" w:cs="宋体"/>
          <w:color w:val="auto"/>
          <w:spacing w:val="-5"/>
          <w:sz w:val="24"/>
          <w:szCs w:val="24"/>
          <w:highlight w:val="none"/>
        </w:rPr>
        <w:t>条的规定确定材料供应商（或工程设备供</w:t>
      </w:r>
      <w:r>
        <w:rPr>
          <w:rFonts w:hint="eastAsia" w:ascii="宋体" w:hAnsi="宋体" w:eastAsia="宋体" w:cs="宋体"/>
          <w:color w:val="auto"/>
          <w:spacing w:val="-6"/>
          <w:sz w:val="24"/>
          <w:szCs w:val="24"/>
          <w:highlight w:val="none"/>
        </w:rPr>
        <w:t>应商、服务供应商）后，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材料（或工程设备、服务）的合同价款从暂列金额中支付。暂列金额扣除已发生的暂列</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
          <w:sz w:val="24"/>
          <w:szCs w:val="24"/>
          <w:highlight w:val="none"/>
        </w:rPr>
        <w:t>金额项目合同价款、已发生的合同约定调整因素出现时的调整价款、已发生的索赔以及</w:t>
      </w:r>
      <w:r>
        <w:rPr>
          <w:rFonts w:hint="eastAsia" w:ascii="宋体" w:hAnsi="宋体" w:eastAsia="宋体" w:cs="宋体"/>
          <w:color w:val="auto"/>
          <w:spacing w:val="-1"/>
          <w:sz w:val="24"/>
          <w:szCs w:val="24"/>
          <w:highlight w:val="none"/>
        </w:rPr>
        <w:t>现场签证确认等的费用后，余额（若有）归发包人所有。</w:t>
      </w:r>
    </w:p>
    <w:p w14:paraId="3BC5BFCD">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2.3.8</w:t>
      </w:r>
      <w:r>
        <w:rPr>
          <w:rFonts w:hint="eastAsia" w:ascii="宋体" w:hAnsi="宋体" w:eastAsia="宋体" w:cs="宋体"/>
          <w:color w:val="auto"/>
          <w:spacing w:val="-8"/>
          <w:sz w:val="24"/>
          <w:szCs w:val="24"/>
          <w:highlight w:val="none"/>
        </w:rPr>
        <w:t xml:space="preserve"> 预算包干费按照分部分项的人工费与施工机具费之和及投标费率计取。本招标项目的预算包干内容包括：施工雨水、污水的排除；因地形影响造成的场内料具二次运输；20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米以内挖土方的塌方；日间照明施工增加费(不包括地下室和特殊工程)；完工清场后的垃圾外运；地上(地下)设施，建筑物的临时保护设施费和二次加工基地设施费；雨季施工增加费；己完工程及设备保护等。</w:t>
      </w:r>
    </w:p>
    <w:p w14:paraId="36D45BDE">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w:t>
      </w:r>
      <w:r>
        <w:rPr>
          <w:rFonts w:hint="eastAsia" w:ascii="宋体" w:hAnsi="宋体" w:eastAsia="宋体" w:cs="宋体"/>
          <w:b/>
          <w:bCs/>
          <w:color w:val="auto"/>
          <w:spacing w:val="-8"/>
          <w:sz w:val="24"/>
          <w:szCs w:val="24"/>
          <w:highlight w:val="none"/>
          <w:lang w:val="en-US" w:eastAsia="zh-CN"/>
        </w:rPr>
        <w:t>9</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其余事项（如不可抗力、索赔、现场签证等）的调整原则按照</w:t>
      </w:r>
      <w:r>
        <w:rPr>
          <w:rFonts w:hint="eastAsia" w:ascii="宋体" w:hAnsi="宋体" w:eastAsia="宋体" w:cs="宋体"/>
          <w:color w:val="auto"/>
          <w:spacing w:val="-8"/>
          <w:sz w:val="24"/>
          <w:szCs w:val="24"/>
          <w:highlight w:val="none"/>
          <w:lang w:eastAsia="zh-CN"/>
        </w:rPr>
        <w:t>《建设工程工程量清单计价标准》（GB/T50500-2024）</w:t>
      </w:r>
      <w:r>
        <w:rPr>
          <w:rFonts w:hint="eastAsia" w:ascii="宋体" w:hAnsi="宋体" w:eastAsia="宋体" w:cs="宋体"/>
          <w:color w:val="auto"/>
          <w:spacing w:val="-8"/>
          <w:sz w:val="24"/>
          <w:szCs w:val="24"/>
          <w:highlight w:val="none"/>
        </w:rPr>
        <w:t>有关规定执行。</w:t>
      </w:r>
    </w:p>
    <w:p w14:paraId="53C4A6DB">
      <w:pPr>
        <w:spacing w:before="156" w:line="299" w:lineRule="auto"/>
        <w:ind w:left="12" w:right="65" w:firstLine="55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  </w:t>
      </w:r>
      <w:r>
        <w:rPr>
          <w:rFonts w:hint="eastAsia" w:ascii="宋体" w:hAnsi="宋体" w:eastAsia="宋体" w:cs="宋体"/>
          <w:color w:val="auto"/>
          <w:sz w:val="24"/>
          <w:szCs w:val="24"/>
          <w:highlight w:val="none"/>
        </w:rPr>
        <w:t>凡将引起合同价款调增的事项，承包人必须于拟实施</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14</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天前，将详细的</w:t>
      </w:r>
      <w:r>
        <w:rPr>
          <w:rFonts w:hint="eastAsia" w:ascii="宋体" w:hAnsi="宋体" w:eastAsia="宋体" w:cs="宋体"/>
          <w:color w:val="auto"/>
          <w:spacing w:val="-1"/>
          <w:sz w:val="24"/>
          <w:szCs w:val="24"/>
          <w:highlight w:val="none"/>
        </w:rPr>
        <w:t>报价</w:t>
      </w:r>
      <w:r>
        <w:rPr>
          <w:rFonts w:hint="eastAsia" w:ascii="宋体" w:hAnsi="宋体" w:eastAsia="宋体" w:cs="宋体"/>
          <w:color w:val="auto"/>
          <w:spacing w:val="-2"/>
          <w:sz w:val="24"/>
          <w:szCs w:val="24"/>
          <w:highlight w:val="none"/>
        </w:rPr>
        <w:t>书（含拟实施项目名称、变更部位、理由、预计造价等）报监理单位审核和发包人批准后方可实施。</w:t>
      </w:r>
    </w:p>
    <w:p w14:paraId="09E54BFD">
      <w:pPr>
        <w:spacing w:before="153" w:line="279" w:lineRule="auto"/>
        <w:ind w:left="9" w:right="102"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承包人不得以不完全了解现场情况为理由，提出额外付</w:t>
      </w:r>
      <w:r>
        <w:rPr>
          <w:rFonts w:hint="eastAsia" w:ascii="宋体" w:hAnsi="宋体" w:eastAsia="宋体" w:cs="宋体"/>
          <w:color w:val="auto"/>
          <w:sz w:val="24"/>
          <w:szCs w:val="24"/>
          <w:highlight w:val="none"/>
        </w:rPr>
        <w:t>款或延长工期等要求。</w:t>
      </w:r>
      <w:r>
        <w:rPr>
          <w:rFonts w:hint="eastAsia" w:ascii="宋体" w:hAnsi="宋体" w:eastAsia="宋体" w:cs="宋体"/>
          <w:color w:val="auto"/>
          <w:spacing w:val="-1"/>
          <w:sz w:val="24"/>
          <w:szCs w:val="24"/>
          <w:highlight w:val="none"/>
        </w:rPr>
        <w:t>对此类要求，发包人不作任何考虑及答复。</w:t>
      </w:r>
    </w:p>
    <w:p w14:paraId="4878C6BA">
      <w:pPr>
        <w:spacing w:before="154" w:line="279" w:lineRule="auto"/>
        <w:ind w:left="10" w:right="63"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2.6 </w:t>
      </w:r>
      <w:r>
        <w:rPr>
          <w:rFonts w:hint="eastAsia" w:ascii="宋体" w:hAnsi="宋体" w:eastAsia="宋体" w:cs="宋体"/>
          <w:color w:val="auto"/>
          <w:spacing w:val="2"/>
          <w:sz w:val="24"/>
          <w:szCs w:val="24"/>
          <w:highlight w:val="none"/>
        </w:rPr>
        <w:t>承包人已标价工程量清单中漏报、错报或少报的清单项目</w:t>
      </w:r>
      <w:r>
        <w:rPr>
          <w:rFonts w:hint="eastAsia" w:ascii="宋体" w:hAnsi="宋体" w:eastAsia="宋体" w:cs="宋体"/>
          <w:color w:val="auto"/>
          <w:spacing w:val="1"/>
          <w:sz w:val="24"/>
          <w:szCs w:val="24"/>
          <w:highlight w:val="none"/>
        </w:rPr>
        <w:t>，其价格均视为已经</w:t>
      </w:r>
      <w:r>
        <w:rPr>
          <w:rFonts w:hint="eastAsia" w:ascii="宋体" w:hAnsi="宋体" w:eastAsia="宋体" w:cs="宋体"/>
          <w:color w:val="auto"/>
          <w:spacing w:val="-1"/>
          <w:sz w:val="24"/>
          <w:szCs w:val="24"/>
          <w:highlight w:val="none"/>
        </w:rPr>
        <w:t>包含在其它清单项目中，竣工结算时不得重新组价和调整。</w:t>
      </w:r>
    </w:p>
    <w:p w14:paraId="68E693AD">
      <w:pPr>
        <w:spacing w:before="155" w:line="299" w:lineRule="auto"/>
        <w:ind w:left="12" w:right="65"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  </w:t>
      </w:r>
      <w:r>
        <w:rPr>
          <w:rFonts w:hint="eastAsia" w:ascii="宋体" w:hAnsi="宋体" w:eastAsia="宋体" w:cs="宋体"/>
          <w:color w:val="auto"/>
          <w:sz w:val="24"/>
          <w:szCs w:val="24"/>
          <w:highlight w:val="none"/>
        </w:rPr>
        <w:t>项目完工后，发、承包双方和受其委托具备相应资质的工程造价咨询单位必须</w:t>
      </w:r>
      <w:r>
        <w:rPr>
          <w:rFonts w:hint="eastAsia" w:ascii="宋体" w:hAnsi="宋体" w:eastAsia="宋体" w:cs="宋体"/>
          <w:color w:val="auto"/>
          <w:spacing w:val="-1"/>
          <w:sz w:val="24"/>
          <w:szCs w:val="24"/>
          <w:highlight w:val="none"/>
        </w:rPr>
        <w:t>按照</w:t>
      </w:r>
      <w:r>
        <w:rPr>
          <w:rFonts w:hint="eastAsia" w:ascii="宋体" w:hAnsi="宋体" w:eastAsia="宋体" w:cs="宋体"/>
          <w:color w:val="auto"/>
          <w:spacing w:val="-1"/>
          <w:sz w:val="24"/>
          <w:szCs w:val="24"/>
          <w:highlight w:val="none"/>
          <w:lang w:eastAsia="zh-CN"/>
        </w:rPr>
        <w:t>《建设工程工程量清单计价标准》（GB/T50500-2024）</w:t>
      </w:r>
      <w:r>
        <w:rPr>
          <w:rFonts w:hint="eastAsia" w:ascii="宋体" w:hAnsi="宋体" w:eastAsia="宋体" w:cs="宋体"/>
          <w:color w:val="auto"/>
          <w:spacing w:val="-1"/>
          <w:sz w:val="24"/>
          <w:szCs w:val="24"/>
          <w:highlight w:val="none"/>
        </w:rPr>
        <w:t>和国家、省、市的有关规定</w:t>
      </w:r>
      <w:r>
        <w:rPr>
          <w:rFonts w:hint="eastAsia" w:ascii="宋体" w:hAnsi="宋体" w:eastAsia="宋体" w:cs="宋体"/>
          <w:color w:val="auto"/>
          <w:spacing w:val="-2"/>
          <w:sz w:val="24"/>
          <w:szCs w:val="24"/>
          <w:highlight w:val="none"/>
        </w:rPr>
        <w:t>办理竣工结算。</w:t>
      </w:r>
    </w:p>
    <w:p w14:paraId="495105D2">
      <w:pPr>
        <w:spacing w:before="152" w:line="319" w:lineRule="auto"/>
        <w:ind w:left="8" w:right="38" w:firstLine="55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2.8  </w:t>
      </w:r>
      <w:r>
        <w:rPr>
          <w:rFonts w:hint="eastAsia" w:ascii="宋体" w:hAnsi="宋体" w:eastAsia="宋体" w:cs="宋体"/>
          <w:color w:val="auto"/>
          <w:spacing w:val="-1"/>
          <w:sz w:val="24"/>
          <w:szCs w:val="24"/>
          <w:highlight w:val="none"/>
        </w:rPr>
        <w:t>承包人已标价工程量清单中没有的材料（或工程设备</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
          <w:sz w:val="24"/>
          <w:szCs w:val="24"/>
          <w:highlight w:val="none"/>
        </w:rPr>
        <w:t>承包人在使</w:t>
      </w:r>
      <w:r>
        <w:rPr>
          <w:rFonts w:hint="eastAsia" w:ascii="宋体" w:hAnsi="宋体" w:eastAsia="宋体" w:cs="宋体"/>
          <w:color w:val="auto"/>
          <w:spacing w:val="-2"/>
          <w:sz w:val="24"/>
          <w:szCs w:val="24"/>
          <w:highlight w:val="none"/>
        </w:rPr>
        <w:t>用前必须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将材料（或工程设备）样板、材料合格证明（或产品合格证书）、材料（或工程设备）检验报告提交给监理单位和发包人审核。发</w:t>
      </w:r>
      <w:r>
        <w:rPr>
          <w:rFonts w:hint="eastAsia" w:ascii="宋体" w:hAnsi="宋体" w:eastAsia="宋体" w:cs="宋体"/>
          <w:color w:val="auto"/>
          <w:spacing w:val="-2"/>
          <w:sz w:val="24"/>
          <w:szCs w:val="24"/>
          <w:highlight w:val="none"/>
        </w:rPr>
        <w:t>包人审定并确定价格后，承包人方可采购和</w:t>
      </w:r>
      <w:r>
        <w:rPr>
          <w:rFonts w:hint="eastAsia" w:ascii="宋体" w:hAnsi="宋体" w:eastAsia="宋体" w:cs="宋体"/>
          <w:color w:val="auto"/>
          <w:spacing w:val="-1"/>
          <w:sz w:val="24"/>
          <w:szCs w:val="24"/>
          <w:highlight w:val="none"/>
        </w:rPr>
        <w:t>使用。如果在交货验收和使用过程中发现货</w:t>
      </w:r>
      <w:r>
        <w:rPr>
          <w:rFonts w:hint="eastAsia" w:ascii="宋体" w:hAnsi="宋体" w:eastAsia="宋体" w:cs="宋体"/>
          <w:color w:val="auto"/>
          <w:spacing w:val="-2"/>
          <w:sz w:val="24"/>
          <w:szCs w:val="24"/>
          <w:highlight w:val="none"/>
        </w:rPr>
        <w:t>不对板，监理单位和发包人有权拒用，并要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求承包人立即进行更换。更换后的材料（或</w:t>
      </w:r>
      <w:r>
        <w:rPr>
          <w:rFonts w:hint="eastAsia" w:ascii="宋体" w:hAnsi="宋体" w:eastAsia="宋体" w:cs="宋体"/>
          <w:color w:val="auto"/>
          <w:spacing w:val="-2"/>
          <w:sz w:val="24"/>
          <w:szCs w:val="24"/>
          <w:highlight w:val="none"/>
        </w:rPr>
        <w:t>工程设备）应再次进行检查和检验。由此增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加的费用和（或）工期延误由承包人承担。</w:t>
      </w:r>
    </w:p>
    <w:p w14:paraId="43D57B6B">
      <w:pPr>
        <w:spacing w:before="152" w:line="319" w:lineRule="auto"/>
        <w:ind w:left="8" w:right="38" w:firstLine="55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 xml:space="preserve">2.9 </w:t>
      </w:r>
      <w:r>
        <w:rPr>
          <w:rFonts w:hint="eastAsia" w:ascii="宋体" w:hAnsi="宋体" w:eastAsia="宋体" w:cs="宋体"/>
          <w:color w:val="auto"/>
          <w:spacing w:val="-1"/>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w:t>
      </w:r>
      <w:r>
        <w:rPr>
          <w:rFonts w:hint="eastAsia" w:ascii="宋体" w:hAnsi="宋体" w:eastAsia="宋体" w:cs="宋体"/>
          <w:color w:val="auto"/>
          <w:spacing w:val="-1"/>
          <w:sz w:val="24"/>
          <w:szCs w:val="24"/>
          <w:highlight w:val="none"/>
          <w:lang w:val="en-US" w:eastAsia="zh-CN"/>
        </w:rPr>
        <w:t>造价通、</w:t>
      </w:r>
      <w:r>
        <w:rPr>
          <w:rFonts w:hint="eastAsia" w:ascii="宋体" w:hAnsi="宋体" w:eastAsia="宋体" w:cs="宋体"/>
          <w:color w:val="auto"/>
          <w:spacing w:val="-1"/>
          <w:sz w:val="24"/>
          <w:szCs w:val="24"/>
          <w:highlight w:val="none"/>
        </w:rPr>
        <w:t>电商平台价格（优先从京东、国美、苏宁等大型电商平台查询取其平均价）；若以上方式均无法确定材料价格 的，则采用厂商报价或市场询价等方式取得有合法依据的市场价格，报发包人确认。</w:t>
      </w:r>
    </w:p>
    <w:p w14:paraId="7EF5DFB7">
      <w:pPr>
        <w:pStyle w:val="27"/>
        <w:snapToGrid w:val="0"/>
        <w:spacing w:line="440" w:lineRule="exact"/>
        <w:ind w:firstLine="480"/>
        <w:jc w:val="both"/>
        <w:outlineLvl w:val="2"/>
        <w:rPr>
          <w:rStyle w:val="18"/>
          <w:rFonts w:hint="eastAsia" w:ascii="宋体" w:hAnsi="宋体" w:eastAsia="宋体" w:cs="宋体"/>
          <w:b/>
          <w:bCs/>
          <w:color w:val="auto"/>
          <w:sz w:val="24"/>
          <w:szCs w:val="24"/>
          <w:highlight w:val="none"/>
        </w:rPr>
      </w:pPr>
      <w:bookmarkStart w:id="172" w:name="_Toc19181"/>
      <w:bookmarkStart w:id="173" w:name="_Toc1816"/>
      <w:r>
        <w:rPr>
          <w:rStyle w:val="18"/>
          <w:rFonts w:hint="eastAsia" w:ascii="宋体" w:hAnsi="宋体" w:eastAsia="宋体" w:cs="宋体"/>
          <w:b/>
          <w:bCs/>
          <w:color w:val="auto"/>
          <w:sz w:val="24"/>
          <w:szCs w:val="24"/>
          <w:highlight w:val="none"/>
        </w:rPr>
        <w:t>3. 工程付款办法</w:t>
      </w:r>
      <w:bookmarkEnd w:id="172"/>
      <w:bookmarkEnd w:id="173"/>
    </w:p>
    <w:p w14:paraId="3ED54697">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3.1</w:t>
      </w:r>
      <w:r>
        <w:rPr>
          <w:rFonts w:hint="eastAsia" w:ascii="宋体" w:hAnsi="宋体" w:eastAsia="宋体" w:cs="宋体"/>
          <w:snapToGrid w:val="0"/>
          <w:color w:val="auto"/>
          <w:kern w:val="0"/>
          <w:sz w:val="24"/>
          <w:szCs w:val="20"/>
          <w:highlight w:val="none"/>
          <w:lang w:eastAsia="zh-CN"/>
        </w:rPr>
        <w:t xml:space="preserve"> 本工程 </w:t>
      </w:r>
      <w:r>
        <w:rPr>
          <w:rFonts w:hint="eastAsia" w:ascii="宋体" w:hAnsi="宋体" w:eastAsia="宋体" w:cs="宋体"/>
          <w:snapToGrid w:val="0"/>
          <w:color w:val="auto"/>
          <w:kern w:val="0"/>
          <w:sz w:val="24"/>
          <w:szCs w:val="20"/>
          <w:highlight w:val="none"/>
          <w:u w:val="single"/>
          <w:lang w:eastAsia="zh-CN"/>
        </w:rPr>
        <w:t>支付</w:t>
      </w:r>
      <w:r>
        <w:rPr>
          <w:rFonts w:hint="eastAsia" w:ascii="宋体" w:hAnsi="宋体" w:eastAsia="宋体" w:cs="宋体"/>
          <w:snapToGrid w:val="0"/>
          <w:color w:val="auto"/>
          <w:kern w:val="0"/>
          <w:sz w:val="24"/>
          <w:szCs w:val="20"/>
          <w:highlight w:val="none"/>
          <w:lang w:eastAsia="zh-CN"/>
        </w:rPr>
        <w:t xml:space="preserve"> 施工预付款。</w:t>
      </w:r>
    </w:p>
    <w:p w14:paraId="762898CE">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snapToGrid w:val="0"/>
          <w:color w:val="auto"/>
          <w:kern w:val="0"/>
          <w:sz w:val="24"/>
          <w:szCs w:val="20"/>
          <w:highlight w:val="none"/>
          <w:lang w:eastAsia="zh-CN"/>
        </w:rPr>
        <w:t xml:space="preserve"> 施工预付款必须专用于合同工程，并按以下原则支付和抵扣：</w:t>
      </w:r>
    </w:p>
    <w:p w14:paraId="2EF1BABB">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3.2.1</w:t>
      </w:r>
      <w:r>
        <w:rPr>
          <w:rFonts w:hint="eastAsia" w:ascii="宋体" w:hAnsi="宋体" w:eastAsia="宋体" w:cs="宋体"/>
          <w:snapToGrid w:val="0"/>
          <w:color w:val="auto"/>
          <w:kern w:val="0"/>
          <w:sz w:val="24"/>
          <w:szCs w:val="20"/>
          <w:highlight w:val="none"/>
          <w:lang w:eastAsia="zh-CN"/>
        </w:rPr>
        <w:t xml:space="preserve"> 施工预付款支付比例为：按施工合同价的 30% 支付。</w:t>
      </w:r>
    </w:p>
    <w:p w14:paraId="7D382B72">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3.2.2</w:t>
      </w:r>
      <w:r>
        <w:rPr>
          <w:rFonts w:hint="eastAsia" w:ascii="宋体" w:hAnsi="宋体" w:eastAsia="宋体" w:cs="宋体"/>
          <w:snapToGrid w:val="0"/>
          <w:color w:val="auto"/>
          <w:kern w:val="0"/>
          <w:sz w:val="24"/>
          <w:szCs w:val="20"/>
          <w:highlight w:val="none"/>
          <w:lang w:eastAsia="zh-CN"/>
        </w:rPr>
        <w:t xml:space="preserve"> 本招标项目</w:t>
      </w:r>
      <w:r>
        <w:rPr>
          <w:rFonts w:hint="eastAsia" w:ascii="宋体" w:hAnsi="宋体" w:eastAsia="宋体" w:cs="宋体"/>
          <w:b/>
          <w:bCs/>
          <w:snapToGrid w:val="0"/>
          <w:color w:val="auto"/>
          <w:kern w:val="0"/>
          <w:sz w:val="24"/>
          <w:szCs w:val="20"/>
          <w:highlight w:val="none"/>
          <w:u w:val="single"/>
          <w:lang w:eastAsia="zh-CN"/>
        </w:rPr>
        <w:t xml:space="preserve"> </w:t>
      </w:r>
      <w:r>
        <w:rPr>
          <w:rFonts w:hint="eastAsia" w:ascii="宋体" w:hAnsi="宋体" w:eastAsia="宋体" w:cs="宋体"/>
          <w:b/>
          <w:bCs/>
          <w:snapToGrid w:val="0"/>
          <w:color w:val="auto"/>
          <w:kern w:val="0"/>
          <w:sz w:val="24"/>
          <w:szCs w:val="20"/>
          <w:highlight w:val="none"/>
          <w:u w:val="single"/>
          <w:lang w:val="en-US" w:eastAsia="zh-CN"/>
        </w:rPr>
        <w:t>不</w:t>
      </w:r>
      <w:r>
        <w:rPr>
          <w:rFonts w:hint="eastAsia" w:ascii="宋体" w:hAnsi="宋体" w:eastAsia="宋体" w:cs="宋体"/>
          <w:b/>
          <w:bCs/>
          <w:snapToGrid w:val="0"/>
          <w:color w:val="auto"/>
          <w:kern w:val="0"/>
          <w:sz w:val="24"/>
          <w:szCs w:val="20"/>
          <w:highlight w:val="none"/>
          <w:u w:val="single"/>
          <w:lang w:eastAsia="zh-CN"/>
        </w:rPr>
        <w:t xml:space="preserve">要求 </w:t>
      </w:r>
      <w:r>
        <w:rPr>
          <w:rFonts w:hint="eastAsia" w:ascii="宋体" w:hAnsi="宋体" w:eastAsia="宋体" w:cs="宋体"/>
          <w:snapToGrid w:val="0"/>
          <w:color w:val="auto"/>
          <w:kern w:val="0"/>
          <w:sz w:val="24"/>
          <w:szCs w:val="20"/>
          <w:highlight w:val="none"/>
          <w:lang w:eastAsia="zh-CN"/>
        </w:rPr>
        <w:t>承包人提供与预付款等额的预付款保函。</w:t>
      </w:r>
    </w:p>
    <w:p w14:paraId="0959CB1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3.2.3</w:t>
      </w:r>
      <w:r>
        <w:rPr>
          <w:rFonts w:hint="eastAsia" w:ascii="宋体" w:hAnsi="宋体" w:eastAsia="宋体" w:cs="宋体"/>
          <w:snapToGrid w:val="0"/>
          <w:color w:val="auto"/>
          <w:kern w:val="0"/>
          <w:sz w:val="24"/>
          <w:szCs w:val="20"/>
          <w:highlight w:val="none"/>
          <w:lang w:eastAsia="zh-CN"/>
        </w:rPr>
        <w:t xml:space="preserve"> 承包人应在签订合同后，具备施工条件的前提下，向发包人提交预付款支付申请。发包人应对在收到支付申请的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天内进行核实后向承包人发出预付款支付证书，并在签发支付证书后的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天内向承包人支付预付款。凡未签订合同或不具备施工条件的工程，发包人不得预付工程款。</w:t>
      </w:r>
    </w:p>
    <w:p w14:paraId="7979A073">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b/>
          <w:bCs/>
          <w:snapToGrid w:val="0"/>
          <w:color w:val="auto"/>
          <w:kern w:val="0"/>
          <w:sz w:val="24"/>
          <w:szCs w:val="20"/>
          <w:highlight w:val="none"/>
          <w:lang w:val="en-US" w:eastAsia="zh-CN"/>
        </w:rPr>
        <w:t>4</w:t>
      </w:r>
      <w:r>
        <w:rPr>
          <w:rFonts w:hint="eastAsia" w:ascii="宋体" w:hAnsi="宋体" w:eastAsia="宋体" w:cs="宋体"/>
          <w:snapToGrid w:val="0"/>
          <w:color w:val="auto"/>
          <w:kern w:val="0"/>
          <w:sz w:val="24"/>
          <w:szCs w:val="20"/>
          <w:highlight w:val="none"/>
          <w:lang w:eastAsia="zh-CN"/>
        </w:rPr>
        <w:t xml:space="preserve"> 发包人没有按时支付预付款的，承包人可催告发包人支付；发包人在付款期满后的 7 天内仍未支付的，承包人可在付款期满后的第 8 天起暂停施工。发包人应向承包人支付应付款的利息（从付款期满后之日起计算，利率按同期银行贷款利率计算），并承担违约责任。</w:t>
      </w:r>
    </w:p>
    <w:p w14:paraId="4F91BE0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val="en-US" w:eastAsia="zh-CN"/>
        </w:rPr>
        <w:t>3.2.5</w:t>
      </w:r>
      <w:r>
        <w:rPr>
          <w:rFonts w:hint="eastAsia" w:ascii="宋体" w:hAnsi="宋体" w:eastAsia="宋体" w:cs="宋体"/>
          <w:snapToGrid w:val="0"/>
          <w:color w:val="auto"/>
          <w:kern w:val="0"/>
          <w:sz w:val="24"/>
          <w:szCs w:val="20"/>
          <w:highlight w:val="none"/>
          <w:lang w:val="en-US" w:eastAsia="zh-CN"/>
        </w:rPr>
        <w:t xml:space="preserve"> 预付款应从每支付期应支付给承包人的工程进度款中扣回，直到扣回的金额达到合同约定的预付款金额为止。</w:t>
      </w:r>
    </w:p>
    <w:p w14:paraId="7C85AB2A">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3.3</w:t>
      </w:r>
      <w:r>
        <w:rPr>
          <w:rFonts w:hint="eastAsia" w:ascii="宋体" w:hAnsi="宋体" w:eastAsia="宋体" w:cs="宋体"/>
          <w:snapToGrid w:val="0"/>
          <w:color w:val="auto"/>
          <w:kern w:val="0"/>
          <w:sz w:val="24"/>
          <w:szCs w:val="20"/>
          <w:highlight w:val="none"/>
          <w:lang w:eastAsia="zh-CN"/>
        </w:rPr>
        <w:t xml:space="preserve"> 施工过程中按月支付工程进度款：承包人每月按工程实际完成工程量（含变更及增加工程）申报，承包人必须将《已完成工程量报表》和《工程付款申请书》于当月26 日前报监理单位核实。经监理单位审核、发包人审定后的工程进度款（指已经按照合同约定，扣除该支付期内因承包人违约而应扣除的管理费），于申报次月支付。</w:t>
      </w:r>
    </w:p>
    <w:p w14:paraId="40E808ED">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3.4</w:t>
      </w:r>
      <w:r>
        <w:rPr>
          <w:rFonts w:hint="eastAsia" w:ascii="宋体" w:hAnsi="宋体" w:eastAsia="宋体" w:cs="宋体"/>
          <w:snapToGrid w:val="0"/>
          <w:color w:val="auto"/>
          <w:kern w:val="0"/>
          <w:sz w:val="24"/>
          <w:szCs w:val="20"/>
          <w:highlight w:val="none"/>
          <w:lang w:eastAsia="zh-CN"/>
        </w:rPr>
        <w:t xml:space="preserve"> 每月的工程进度款按工程实际完成工程量的 80% 申请支付，工程进度款中的作业工人工资款项由发包人单独足额拨付到承包人的工资专户。</w:t>
      </w:r>
    </w:p>
    <w:p w14:paraId="68132803">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5</w:t>
      </w:r>
      <w:r>
        <w:rPr>
          <w:rFonts w:hint="eastAsia" w:ascii="宋体" w:hAnsi="宋体" w:eastAsia="宋体" w:cs="宋体"/>
          <w:snapToGrid w:val="0"/>
          <w:color w:val="auto"/>
          <w:kern w:val="0"/>
          <w:sz w:val="24"/>
          <w:szCs w:val="20"/>
          <w:highlight w:val="none"/>
          <w:lang w:eastAsia="zh-CN"/>
        </w:rPr>
        <w:t xml:space="preserve"> 措施项目费中的“安全生产措施费”拨付按照《建设工程工程量清单计价标准》（GB/T50500-2024）执行，按照项目所在地的建设行政主管部门有关规定支付。发生一般事故及以上等级重大安全事故的，发包人可扣除承包人金额相当于所有“安全生产措施费”的工程管理费。</w:t>
      </w:r>
    </w:p>
    <w:p w14:paraId="43830EA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6</w:t>
      </w:r>
      <w:r>
        <w:rPr>
          <w:rFonts w:hint="eastAsia" w:ascii="宋体" w:hAnsi="宋体" w:eastAsia="宋体" w:cs="宋体"/>
          <w:snapToGrid w:val="0"/>
          <w:color w:val="auto"/>
          <w:kern w:val="0"/>
          <w:sz w:val="24"/>
          <w:szCs w:val="20"/>
          <w:highlight w:val="none"/>
          <w:lang w:eastAsia="zh-CN"/>
        </w:rPr>
        <w:t xml:space="preserve"> 变更工程造价必须经监理单位核实，并经发包人核定后方可支付。</w:t>
      </w:r>
    </w:p>
    <w:p w14:paraId="1437942E">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 xml:space="preserve"> 结算审核完成后，</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支付至合同价格的97%，剩余3%转为质量保证金；承包人提交了等额质量保证担保或质量保证保险的，</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一次性结清合同价格。</w:t>
      </w:r>
    </w:p>
    <w:p w14:paraId="2FC9E08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8</w:t>
      </w:r>
      <w:r>
        <w:rPr>
          <w:rFonts w:hint="eastAsia" w:ascii="宋体" w:hAnsi="宋体" w:eastAsia="宋体" w:cs="宋体"/>
          <w:snapToGrid w:val="0"/>
          <w:color w:val="auto"/>
          <w:kern w:val="0"/>
          <w:sz w:val="24"/>
          <w:szCs w:val="20"/>
          <w:highlight w:val="none"/>
          <w:lang w:eastAsia="zh-CN"/>
        </w:rPr>
        <w:t>本招标项目缺陷责任期为</w:t>
      </w:r>
      <w:r>
        <w:rPr>
          <w:rFonts w:hint="eastAsia" w:ascii="宋体" w:hAnsi="宋体" w:eastAsia="宋体" w:cs="宋体"/>
          <w:snapToGrid w:val="0"/>
          <w:color w:val="auto"/>
          <w:kern w:val="0"/>
          <w:sz w:val="24"/>
          <w:szCs w:val="20"/>
          <w:highlight w:val="none"/>
          <w:u w:val="single"/>
          <w:lang w:val="en-US" w:eastAsia="zh-CN"/>
        </w:rPr>
        <w:t>2</w:t>
      </w:r>
      <w:r>
        <w:rPr>
          <w:rFonts w:hint="eastAsia" w:ascii="宋体" w:hAnsi="宋体" w:eastAsia="宋体" w:cs="宋体"/>
          <w:snapToGrid w:val="0"/>
          <w:color w:val="auto"/>
          <w:kern w:val="0"/>
          <w:sz w:val="24"/>
          <w:szCs w:val="20"/>
          <w:highlight w:val="none"/>
          <w:lang w:eastAsia="zh-CN"/>
        </w:rPr>
        <w:t xml:space="preserve"> 年（自通过竣工验收之日起计）。缺陷责任期到期后，承包人向发包人申请退还质量保证。发包人收到退还申请后，于</w:t>
      </w:r>
      <w:r>
        <w:rPr>
          <w:rFonts w:hint="eastAsia" w:ascii="宋体" w:hAnsi="宋体" w:eastAsia="宋体" w:cs="宋体"/>
          <w:snapToGrid w:val="0"/>
          <w:color w:val="auto"/>
          <w:kern w:val="0"/>
          <w:sz w:val="24"/>
          <w:szCs w:val="20"/>
          <w:highlight w:val="none"/>
          <w:u w:val="single"/>
          <w:lang w:eastAsia="zh-CN"/>
        </w:rPr>
        <w:t>14</w:t>
      </w:r>
      <w:r>
        <w:rPr>
          <w:rFonts w:hint="eastAsia" w:ascii="宋体" w:hAnsi="宋体" w:eastAsia="宋体" w:cs="宋体"/>
          <w:snapToGrid w:val="0"/>
          <w:color w:val="auto"/>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kern w:val="0"/>
          <w:sz w:val="24"/>
          <w:szCs w:val="20"/>
          <w:highlight w:val="none"/>
          <w:u w:val="single"/>
          <w:lang w:eastAsia="zh-CN"/>
        </w:rPr>
        <w:t xml:space="preserve"> 14 </w:t>
      </w:r>
      <w:r>
        <w:rPr>
          <w:rFonts w:hint="eastAsia" w:ascii="宋体" w:hAnsi="宋体" w:eastAsia="宋体" w:cs="宋体"/>
          <w:snapToGrid w:val="0"/>
          <w:color w:val="auto"/>
          <w:kern w:val="0"/>
          <w:sz w:val="24"/>
          <w:szCs w:val="20"/>
          <w:highlight w:val="none"/>
          <w:lang w:eastAsia="zh-CN"/>
        </w:rPr>
        <w:t>天内将应返保证金（或银行保函）退还承包人。</w:t>
      </w:r>
    </w:p>
    <w:p w14:paraId="6144186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3.9</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b/>
          <w:bCs/>
          <w:snapToGrid w:val="0"/>
          <w:color w:val="auto"/>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6505E55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10</w:t>
      </w:r>
      <w:r>
        <w:rPr>
          <w:rFonts w:hint="eastAsia" w:ascii="宋体" w:hAnsi="宋体" w:eastAsia="宋体" w:cs="宋体"/>
          <w:snapToGrid w:val="0"/>
          <w:color w:val="auto"/>
          <w:kern w:val="0"/>
          <w:sz w:val="24"/>
          <w:szCs w:val="20"/>
          <w:highlight w:val="none"/>
          <w:lang w:eastAsia="zh-CN"/>
        </w:rPr>
        <w:t>暂列金额支付方式：</w:t>
      </w:r>
      <w:r>
        <w:rPr>
          <w:rFonts w:hint="eastAsia" w:ascii="宋体" w:hAnsi="宋体" w:eastAsia="宋体" w:cs="宋体"/>
          <w:snapToGrid w:val="0"/>
          <w:color w:val="auto"/>
          <w:kern w:val="0"/>
          <w:sz w:val="24"/>
          <w:szCs w:val="20"/>
          <w:highlight w:val="none"/>
          <w:u w:val="single"/>
          <w:lang w:val="en-US"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委托的全过程造价咨询公司审核、发包人确认后支付至该部分实际完成工程量的80％，其余部分待结算完成审核后支付至97%，剩余3%为工程质量保修金。</w:t>
      </w:r>
    </w:p>
    <w:p w14:paraId="7F957426">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u w:val="single"/>
          <w:lang w:eastAsia="zh-CN"/>
        </w:rPr>
      </w:pPr>
      <w:r>
        <w:rPr>
          <w:rFonts w:hint="eastAsia" w:ascii="宋体" w:hAnsi="宋体" w:eastAsia="宋体" w:cs="宋体"/>
          <w:b/>
          <w:bCs/>
          <w:snapToGrid w:val="0"/>
          <w:color w:val="auto"/>
          <w:kern w:val="0"/>
          <w:sz w:val="24"/>
          <w:szCs w:val="20"/>
          <w:highlight w:val="none"/>
          <w:lang w:eastAsia="zh-CN"/>
        </w:rPr>
        <w:t>3.11</w:t>
      </w:r>
      <w:r>
        <w:rPr>
          <w:rFonts w:hint="eastAsia" w:ascii="宋体" w:hAnsi="宋体" w:eastAsia="宋体" w:cs="宋体"/>
          <w:snapToGrid w:val="0"/>
          <w:color w:val="auto"/>
          <w:kern w:val="0"/>
          <w:sz w:val="24"/>
          <w:szCs w:val="20"/>
          <w:highlight w:val="none"/>
          <w:lang w:eastAsia="zh-CN"/>
        </w:rPr>
        <w:t xml:space="preserve"> 材料暂估价、专业工程暂估价支付方式：</w:t>
      </w:r>
      <w:r>
        <w:rPr>
          <w:rFonts w:hint="eastAsia" w:ascii="宋体" w:hAnsi="宋体" w:eastAsia="宋体" w:cs="宋体"/>
          <w:snapToGrid w:val="0"/>
          <w:color w:val="auto"/>
          <w:kern w:val="0"/>
          <w:sz w:val="24"/>
          <w:szCs w:val="20"/>
          <w:highlight w:val="none"/>
          <w:u w:val="single"/>
          <w:lang w:eastAsia="zh-CN"/>
        </w:rPr>
        <w:t>材料暂估价、专业工程暂估价与每个月的工程进度款一并报送，但需要列明详细项目内容，该部分材料暂估价、专业工程暂估价按该部分实际完成工程量的50%支付，工程竣工验收合格后支付至8</w:t>
      </w:r>
      <w:r>
        <w:rPr>
          <w:rFonts w:hint="eastAsia" w:ascii="宋体" w:hAnsi="宋体" w:eastAsia="宋体" w:cs="宋体"/>
          <w:snapToGrid w:val="0"/>
          <w:color w:val="auto"/>
          <w:kern w:val="0"/>
          <w:sz w:val="24"/>
          <w:szCs w:val="20"/>
          <w:highlight w:val="none"/>
          <w:u w:val="single"/>
          <w:lang w:val="en-US" w:eastAsia="zh-CN"/>
        </w:rPr>
        <w:t>0</w:t>
      </w:r>
      <w:r>
        <w:rPr>
          <w:rFonts w:hint="eastAsia" w:ascii="宋体" w:hAnsi="宋体" w:eastAsia="宋体" w:cs="宋体"/>
          <w:snapToGrid w:val="0"/>
          <w:color w:val="auto"/>
          <w:kern w:val="0"/>
          <w:sz w:val="24"/>
          <w:szCs w:val="20"/>
          <w:highlight w:val="none"/>
          <w:u w:val="single"/>
          <w:lang w:eastAsia="zh-CN"/>
        </w:rPr>
        <w:t>%，剩余部分结算完成后支付至审定造价的97%，剩余3%为工程质量保修金。</w:t>
      </w:r>
    </w:p>
    <w:p w14:paraId="14ED915F">
      <w:pPr>
        <w:spacing w:before="154" w:line="212" w:lineRule="auto"/>
        <w:ind w:left="486"/>
        <w:outlineLvl w:val="2"/>
        <w:rPr>
          <w:rFonts w:hint="eastAsia" w:ascii="宋体" w:hAnsi="宋体" w:eastAsia="宋体" w:cs="宋体"/>
          <w:b/>
          <w:bCs/>
          <w:color w:val="auto"/>
          <w:spacing w:val="-7"/>
          <w:sz w:val="24"/>
          <w:szCs w:val="24"/>
          <w:highlight w:val="none"/>
        </w:rPr>
      </w:pPr>
      <w:bookmarkStart w:id="174" w:name="_Toc17742"/>
      <w:r>
        <w:rPr>
          <w:rFonts w:hint="eastAsia" w:ascii="宋体" w:hAnsi="宋体" w:eastAsia="宋体" w:cs="宋体"/>
          <w:b/>
          <w:bCs/>
          <w:color w:val="auto"/>
          <w:spacing w:val="-7"/>
          <w:sz w:val="24"/>
          <w:szCs w:val="24"/>
          <w:highlight w:val="none"/>
        </w:rPr>
        <w:t>4</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7"/>
          <w:sz w:val="24"/>
          <w:szCs w:val="24"/>
          <w:highlight w:val="none"/>
        </w:rPr>
        <w:t>．其他专用合同条款</w:t>
      </w:r>
      <w:bookmarkEnd w:id="174"/>
    </w:p>
    <w:p w14:paraId="5C1D047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 </w:t>
      </w:r>
      <w:r>
        <w:rPr>
          <w:rFonts w:hint="eastAsia" w:ascii="宋体" w:hAnsi="宋体" w:eastAsia="宋体" w:cs="宋体"/>
          <w:bCs/>
          <w:snapToGrid w:val="0"/>
          <w:color w:val="auto"/>
          <w:kern w:val="0"/>
          <w:sz w:val="24"/>
          <w:szCs w:val="24"/>
          <w:highlight w:val="none"/>
          <w:lang w:val="en-US" w:eastAsia="zh-CN"/>
        </w:rPr>
        <w:t xml:space="preserve">专业工程分包 </w:t>
      </w:r>
    </w:p>
    <w:p w14:paraId="1C6574B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3537943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w:t>
      </w:r>
      <w:r>
        <w:rPr>
          <w:rFonts w:hint="eastAsia" w:ascii="宋体" w:hAnsi="宋体" w:eastAsia="宋体" w:cs="宋体"/>
          <w:bCs/>
          <w:snapToGrid w:val="0"/>
          <w:color w:val="auto"/>
          <w:kern w:val="0"/>
          <w:sz w:val="24"/>
          <w:szCs w:val="24"/>
          <w:highlight w:val="none"/>
          <w:lang w:val="en-US" w:eastAsia="zh-CN"/>
        </w:rPr>
        <w:t xml:space="preserve"> 工人工资支付专用账户 </w:t>
      </w:r>
    </w:p>
    <w:p w14:paraId="6168C53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096B32A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721A46E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按韶关市人力资源和社会保障局 韶关市住房和城乡建设管理局 韶关市交通运输局韶关市水务局 韶关市金融工作局 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401FFBB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08358EC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4.2.3 承包人应在工资专户开立后 2 个工作日内，将开户银行及其账号、开户协议等资料提交给发包人。 </w:t>
      </w:r>
    </w:p>
    <w:p w14:paraId="70A5289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（1）用人单位应当在建设项目动工前，在建设项目所在地商业银行设立工人工资支付专用账户。 </w:t>
      </w:r>
    </w:p>
    <w:p w14:paraId="504AC62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（2）用人单位应当在用工之日起 15 日内为每一位工人办理个人银行账户。</w:t>
      </w:r>
    </w:p>
    <w:p w14:paraId="0CD84194">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 并保存两年以上备查。 </w:t>
      </w:r>
    </w:p>
    <w:p w14:paraId="00E2E17F">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（4）用人单位应当按照“及时支付，按实结算”的原则，在规定日期前通过银行工人 工资支付专用账户将工人工资直接支付到工人的个人银行账户，并按月将工人工资支付 明细表报施工总承包单位和建设单位备案。</w:t>
      </w:r>
    </w:p>
    <w:p w14:paraId="3B3FBB6E">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2A4F258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0DEB1CA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4.3</w:t>
      </w:r>
      <w:r>
        <w:rPr>
          <w:rFonts w:hint="eastAsia" w:ascii="宋体" w:hAnsi="宋体" w:eastAsia="宋体" w:cs="宋体"/>
          <w:bCs/>
          <w:snapToGrid w:val="0"/>
          <w:color w:val="auto"/>
          <w:kern w:val="0"/>
          <w:sz w:val="24"/>
          <w:szCs w:val="24"/>
          <w:highlight w:val="none"/>
          <w:lang w:val="en-US" w:eastAsia="zh-CN"/>
        </w:rPr>
        <w:t xml:space="preserve"> 诚信登记 </w:t>
      </w:r>
    </w:p>
    <w:p w14:paraId="3DC9A8B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根据资质管理规定，许可机关应当建立、健全建筑业企业信用档案管理制度，包括企业基本信息、资质、业绩、工程质量和安全、合同履约、社会投诉和违法行为等情况。 </w:t>
      </w:r>
    </w:p>
    <w:p w14:paraId="1EE4EE6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w:t>
      </w:r>
      <w:r>
        <w:rPr>
          <w:rFonts w:hint="eastAsia" w:ascii="宋体" w:hAnsi="宋体" w:eastAsia="宋体" w:cs="宋体"/>
          <w:bCs/>
          <w:snapToGrid w:val="0"/>
          <w:color w:val="auto"/>
          <w:kern w:val="0"/>
          <w:sz w:val="24"/>
          <w:szCs w:val="24"/>
          <w:highlight w:val="none"/>
          <w:lang w:val="en-US" w:eastAsia="zh-CN"/>
        </w:rPr>
        <w:t xml:space="preserve"> 工期进度 </w:t>
      </w:r>
    </w:p>
    <w:p w14:paraId="3568AEA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4.4.1</w:t>
      </w:r>
      <w:r>
        <w:rPr>
          <w:rFonts w:hint="eastAsia" w:ascii="宋体" w:hAnsi="宋体" w:eastAsia="宋体" w:cs="宋体"/>
          <w:bCs/>
          <w:snapToGrid w:val="0"/>
          <w:color w:val="auto"/>
          <w:kern w:val="0"/>
          <w:sz w:val="24"/>
          <w:szCs w:val="24"/>
          <w:highlight w:val="none"/>
          <w:lang w:val="en-US" w:eastAsia="zh-CN"/>
        </w:rPr>
        <w:t xml:space="preserve"> 本招标项目施工标准工期为</w:t>
      </w:r>
      <w:r>
        <w:rPr>
          <w:rFonts w:hint="eastAsia" w:ascii="宋体" w:hAnsi="宋体" w:eastAsia="宋体" w:cs="宋体"/>
          <w:bCs/>
          <w:snapToGrid w:val="0"/>
          <w:color w:val="auto"/>
          <w:kern w:val="0"/>
          <w:sz w:val="24"/>
          <w:szCs w:val="24"/>
          <w:highlight w:val="none"/>
          <w:u w:val="single"/>
          <w:lang w:val="en-US" w:eastAsia="zh-CN"/>
        </w:rPr>
        <w:t>90</w:t>
      </w:r>
      <w:r>
        <w:rPr>
          <w:rFonts w:hint="eastAsia" w:ascii="宋体" w:hAnsi="宋体" w:eastAsia="宋体" w:cs="宋体"/>
          <w:bCs/>
          <w:snapToGrid w:val="0"/>
          <w:color w:val="auto"/>
          <w:kern w:val="0"/>
          <w:sz w:val="24"/>
          <w:szCs w:val="24"/>
          <w:highlight w:val="none"/>
          <w:lang w:val="en-US" w:eastAsia="zh-CN"/>
        </w:rPr>
        <w:t xml:space="preserve">个日历天，招标工期为90个日历天，承包人必须在招标工期内完成招标范围内的全部内容。 </w:t>
      </w:r>
    </w:p>
    <w:p w14:paraId="468C100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4.4.2</w:t>
      </w:r>
      <w:r>
        <w:rPr>
          <w:rFonts w:hint="eastAsia" w:ascii="宋体" w:hAnsi="宋体" w:eastAsia="宋体" w:cs="宋体"/>
          <w:bCs/>
          <w:snapToGrid w:val="0"/>
          <w:color w:val="auto"/>
          <w:kern w:val="0"/>
          <w:sz w:val="24"/>
          <w:szCs w:val="24"/>
          <w:highlight w:val="none"/>
          <w:lang w:val="en-US" w:eastAsia="zh-CN"/>
        </w:rPr>
        <w:t xml:space="preserve"> 施工工期从承包人收到监理单位签发的开工令之日起计，至竣工验收合格之日止。 </w:t>
      </w:r>
    </w:p>
    <w:p w14:paraId="1F494E7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4.4.3</w:t>
      </w:r>
      <w:r>
        <w:rPr>
          <w:rFonts w:hint="eastAsia" w:ascii="宋体" w:hAnsi="宋体" w:eastAsia="宋体" w:cs="宋体"/>
          <w:bCs/>
          <w:snapToGrid w:val="0"/>
          <w:color w:val="auto"/>
          <w:kern w:val="0"/>
          <w:sz w:val="24"/>
          <w:szCs w:val="24"/>
          <w:highlight w:val="none"/>
          <w:lang w:val="en-US" w:eastAsia="zh-CN"/>
        </w:rPr>
        <w:t xml:space="preserve"> 工期奖罚 </w:t>
      </w:r>
    </w:p>
    <w:p w14:paraId="2D46A26D">
      <w:pPr>
        <w:adjustRightInd w:val="0"/>
        <w:snapToGrid w:val="0"/>
        <w:spacing w:line="440" w:lineRule="exact"/>
        <w:ind w:firstLine="480" w:firstLineChars="200"/>
        <w:rPr>
          <w:rFonts w:hint="default" w:ascii="宋体" w:hAnsi="宋体" w:eastAsia="宋体" w:cs="宋体"/>
          <w:bCs/>
          <w:snapToGrid w:val="0"/>
          <w:color w:val="auto"/>
          <w:kern w:val="0"/>
          <w:sz w:val="24"/>
          <w:szCs w:val="24"/>
          <w:highlight w:val="none"/>
          <w:u w:val="single"/>
          <w:lang w:val="en-US"/>
        </w:rPr>
      </w:pPr>
      <w:r>
        <w:rPr>
          <w:rFonts w:hint="eastAsia" w:ascii="宋体" w:hAnsi="宋体" w:eastAsia="宋体" w:cs="宋体"/>
          <w:bCs/>
          <w:snapToGrid w:val="0"/>
          <w:color w:val="auto"/>
          <w:kern w:val="0"/>
          <w:sz w:val="24"/>
          <w:szCs w:val="24"/>
          <w:highlight w:val="none"/>
          <w:lang w:val="en-US" w:eastAsia="zh-CN"/>
        </w:rPr>
        <w:t>□竣工验收合格交付使用每提前</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天竣工；奖</w:t>
      </w:r>
      <w:r>
        <w:rPr>
          <w:rFonts w:hint="eastAsia" w:ascii="宋体" w:hAnsi="宋体" w:eastAsia="宋体" w:cs="宋体"/>
          <w:bCs/>
          <w:snapToGrid w:val="0"/>
          <w:color w:val="auto"/>
          <w:kern w:val="0"/>
          <w:sz w:val="24"/>
          <w:szCs w:val="24"/>
          <w:highlight w:val="none"/>
          <w:u w:val="single"/>
          <w:lang w:val="en-US" w:eastAsia="zh-CN"/>
        </w:rPr>
        <w:t>/</w:t>
      </w:r>
    </w:p>
    <w:p w14:paraId="7A76D35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元，奖励金额不超过合同价款的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145B0BE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6028FD4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□按施工合同期约定,因承包人原因延误工期</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天内不处罚， 自第壹天起每延误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天竣工,罚元。处罚金额不超过合同价款的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2%～5%）且不超过万元，累计延误工期达到</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天，报请建设行政主管部门作不良行为记录，非承包方原因或不可抗力造成延误的除外。 </w:t>
      </w:r>
    </w:p>
    <w:p w14:paraId="20B64EE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5D770C1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093132E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（3）承包人在进场后7天内提交施工进度计划，并注明主要施工节点时间，送监理单位及发包人审核后，作为工期考核的阶段性指标。</w:t>
      </w:r>
    </w:p>
    <w:p w14:paraId="6782B79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w:t>
      </w:r>
      <w:r>
        <w:rPr>
          <w:rFonts w:hint="eastAsia" w:ascii="宋体" w:hAnsi="宋体" w:eastAsia="宋体" w:cs="宋体"/>
          <w:bCs/>
          <w:snapToGrid w:val="0"/>
          <w:color w:val="auto"/>
          <w:kern w:val="0"/>
          <w:sz w:val="24"/>
          <w:szCs w:val="24"/>
          <w:highlight w:val="none"/>
          <w:lang w:val="en-US" w:eastAsia="zh-CN"/>
        </w:rPr>
        <w:t xml:space="preserve"> 项目管理机构 </w:t>
      </w:r>
    </w:p>
    <w:p w14:paraId="7E371B7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4.5.1</w:t>
      </w:r>
      <w:r>
        <w:rPr>
          <w:rFonts w:hint="eastAsia" w:ascii="宋体" w:hAnsi="宋体" w:eastAsia="宋体" w:cs="宋体"/>
          <w:bCs/>
          <w:snapToGrid w:val="0"/>
          <w:color w:val="auto"/>
          <w:kern w:val="0"/>
          <w:sz w:val="24"/>
          <w:szCs w:val="24"/>
          <w:highlight w:val="none"/>
          <w:lang w:val="en-US" w:eastAsia="zh-CN"/>
        </w:rPr>
        <w:t xml:space="preserve"> 承包人派驻的项目管理班子成员必须为其投标文件确定的人员，否则发包人有权终止合同。 </w:t>
      </w:r>
    </w:p>
    <w:p w14:paraId="0B63195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4.5.2</w:t>
      </w:r>
      <w:r>
        <w:rPr>
          <w:rFonts w:hint="eastAsia" w:ascii="宋体" w:hAnsi="宋体" w:eastAsia="宋体" w:cs="宋体"/>
          <w:bCs/>
          <w:snapToGrid w:val="0"/>
          <w:color w:val="auto"/>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2D19C16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w:t>
      </w:r>
      <w:r>
        <w:rPr>
          <w:rFonts w:hint="eastAsia" w:ascii="宋体" w:hAnsi="宋体" w:eastAsia="宋体" w:cs="宋体"/>
          <w:bCs/>
          <w:snapToGrid w:val="0"/>
          <w:color w:val="auto"/>
          <w:kern w:val="0"/>
          <w:sz w:val="24"/>
          <w:szCs w:val="24"/>
          <w:highlight w:val="none"/>
          <w:lang w:val="en-US" w:eastAsia="zh-CN"/>
        </w:rPr>
        <w:t xml:space="preserve"> 现场管理 </w:t>
      </w:r>
    </w:p>
    <w:p w14:paraId="2439C23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4.6.1</w:t>
      </w:r>
      <w:r>
        <w:rPr>
          <w:rFonts w:hint="eastAsia" w:ascii="宋体" w:hAnsi="宋体" w:eastAsia="宋体" w:cs="宋体"/>
          <w:bCs/>
          <w:snapToGrid w:val="0"/>
          <w:color w:val="auto"/>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44D7ED5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4.6.2</w:t>
      </w:r>
      <w:r>
        <w:rPr>
          <w:rFonts w:hint="eastAsia" w:ascii="宋体" w:hAnsi="宋体" w:eastAsia="宋体" w:cs="宋体"/>
          <w:bCs/>
          <w:snapToGrid w:val="0"/>
          <w:color w:val="auto"/>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 </w:t>
      </w:r>
    </w:p>
    <w:p w14:paraId="1DC2966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4.6.3</w:t>
      </w:r>
      <w:r>
        <w:rPr>
          <w:rFonts w:hint="eastAsia" w:ascii="宋体" w:hAnsi="宋体" w:eastAsia="宋体" w:cs="宋体"/>
          <w:bCs/>
          <w:snapToGrid w:val="0"/>
          <w:color w:val="auto"/>
          <w:kern w:val="0"/>
          <w:sz w:val="24"/>
          <w:szCs w:val="24"/>
          <w:highlight w:val="none"/>
          <w:lang w:val="en-US" w:eastAsia="zh-CN"/>
        </w:rPr>
        <w:t xml:space="preserve"> 为保证施工现场的环境卫生，承包人在本招标项目施工过程中，所有的车辆必须按发包人规定的行车路线行驶。 </w:t>
      </w:r>
    </w:p>
    <w:p w14:paraId="3E56F6C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4.7</w:t>
      </w:r>
      <w:r>
        <w:rPr>
          <w:rFonts w:hint="eastAsia" w:ascii="宋体" w:hAnsi="宋体" w:eastAsia="宋体" w:cs="宋体"/>
          <w:bCs/>
          <w:snapToGrid w:val="0"/>
          <w:color w:val="auto"/>
          <w:kern w:val="0"/>
          <w:sz w:val="24"/>
          <w:szCs w:val="24"/>
          <w:highlight w:val="none"/>
          <w:lang w:val="en-US" w:eastAsia="zh-CN"/>
        </w:rPr>
        <w:t xml:space="preserve"> 监督实施 </w:t>
      </w:r>
    </w:p>
    <w:p w14:paraId="30E055E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6B699EA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4.8</w:t>
      </w:r>
      <w:r>
        <w:rPr>
          <w:rFonts w:hint="eastAsia" w:ascii="宋体" w:hAnsi="宋体" w:eastAsia="宋体" w:cs="宋体"/>
          <w:bCs/>
          <w:snapToGrid w:val="0"/>
          <w:color w:val="auto"/>
          <w:kern w:val="0"/>
          <w:sz w:val="24"/>
          <w:szCs w:val="24"/>
          <w:highlight w:val="none"/>
          <w:lang w:val="en-US" w:eastAsia="zh-CN"/>
        </w:rPr>
        <w:t xml:space="preserve"> 主材的采购和使用 </w:t>
      </w:r>
    </w:p>
    <w:p w14:paraId="6DCD78B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2208078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4.9 </w:t>
      </w:r>
      <w:r>
        <w:rPr>
          <w:rFonts w:hint="eastAsia" w:ascii="宋体" w:hAnsi="宋体" w:eastAsia="宋体" w:cs="宋体"/>
          <w:bCs/>
          <w:snapToGrid w:val="0"/>
          <w:color w:val="auto"/>
          <w:kern w:val="0"/>
          <w:sz w:val="24"/>
          <w:szCs w:val="24"/>
          <w:highlight w:val="none"/>
          <w:lang w:val="en-US" w:eastAsia="zh-CN"/>
        </w:rPr>
        <w:t xml:space="preserve">竣工资料移交 </w:t>
      </w:r>
    </w:p>
    <w:p w14:paraId="4E2EC4C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项目竣工验收时，承包人应向监理单位和发包人提供符合国家档案部门备案要求的，编制成册的竣工图及有关的技术档案资料（含声像档案）一式份。 </w:t>
      </w:r>
    </w:p>
    <w:p w14:paraId="6D8E3EA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w:t>
      </w:r>
      <w:r>
        <w:rPr>
          <w:rFonts w:hint="eastAsia" w:ascii="宋体" w:hAnsi="宋体" w:eastAsia="宋体" w:cs="宋体"/>
          <w:bCs/>
          <w:snapToGrid w:val="0"/>
          <w:color w:val="auto"/>
          <w:kern w:val="0"/>
          <w:sz w:val="24"/>
          <w:szCs w:val="24"/>
          <w:highlight w:val="none"/>
          <w:lang w:val="en-US" w:eastAsia="zh-CN"/>
        </w:rPr>
        <w:t xml:space="preserve"> 质量保证</w:t>
      </w:r>
    </w:p>
    <w:p w14:paraId="063E578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4.10.1</w:t>
      </w:r>
      <w:r>
        <w:rPr>
          <w:rFonts w:hint="eastAsia" w:ascii="宋体" w:hAnsi="宋体" w:eastAsia="宋体" w:cs="宋体"/>
          <w:bCs/>
          <w:snapToGrid w:val="0"/>
          <w:color w:val="auto"/>
          <w:kern w:val="0"/>
          <w:sz w:val="24"/>
          <w:szCs w:val="24"/>
          <w:highlight w:val="none"/>
          <w:lang w:val="en-US" w:eastAsia="zh-CN"/>
        </w:rPr>
        <w:t xml:space="preserve"> 本招标项目缺陷责任期为</w:t>
      </w:r>
      <w:r>
        <w:rPr>
          <w:rFonts w:hint="eastAsia" w:ascii="宋体" w:hAnsi="宋体" w:eastAsia="宋体" w:cs="宋体"/>
          <w:bCs/>
          <w:snapToGrid w:val="0"/>
          <w:color w:val="auto"/>
          <w:kern w:val="0"/>
          <w:sz w:val="24"/>
          <w:szCs w:val="24"/>
          <w:highlight w:val="none"/>
          <w:u w:val="single"/>
          <w:lang w:val="en-US" w:eastAsia="zh-CN"/>
        </w:rPr>
        <w:t>2</w:t>
      </w:r>
      <w:r>
        <w:rPr>
          <w:rFonts w:hint="eastAsia" w:ascii="宋体" w:hAnsi="宋体" w:eastAsia="宋体" w:cs="宋体"/>
          <w:bCs/>
          <w:snapToGrid w:val="0"/>
          <w:color w:val="auto"/>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kern w:val="0"/>
          <w:sz w:val="24"/>
          <w:szCs w:val="24"/>
          <w:highlight w:val="none"/>
          <w:u w:val="single"/>
          <w:lang w:val="en-US" w:eastAsia="zh-CN"/>
        </w:rPr>
        <w:t>3%</w:t>
      </w:r>
      <w:r>
        <w:rPr>
          <w:rFonts w:hint="eastAsia" w:ascii="宋体" w:hAnsi="宋体" w:eastAsia="宋体" w:cs="宋体"/>
          <w:bCs/>
          <w:snapToGrid w:val="0"/>
          <w:color w:val="auto"/>
          <w:kern w:val="0"/>
          <w:sz w:val="24"/>
          <w:szCs w:val="24"/>
          <w:highlight w:val="none"/>
          <w:lang w:val="en-US" w:eastAsia="zh-CN"/>
        </w:rPr>
        <w:t xml:space="preserve">的质量保证。 </w:t>
      </w:r>
    </w:p>
    <w:p w14:paraId="1899CC7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4.10.2</w:t>
      </w:r>
      <w:r>
        <w:rPr>
          <w:rFonts w:hint="eastAsia" w:ascii="宋体" w:hAnsi="宋体" w:eastAsia="宋体" w:cs="宋体"/>
          <w:bCs/>
          <w:snapToGrid w:val="0"/>
          <w:color w:val="auto"/>
          <w:kern w:val="0"/>
          <w:sz w:val="24"/>
          <w:szCs w:val="24"/>
          <w:highlight w:val="none"/>
          <w:lang w:val="en-US" w:eastAsia="zh-CN"/>
        </w:rPr>
        <w:t xml:space="preserve"> 质量保证的形式包括质量保证金、质量保证担保、质量保证保险三种，由承包人自主选择。 </w:t>
      </w:r>
    </w:p>
    <w:p w14:paraId="106D1C6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（1）采用质量保证金形式的，在结清审定总造价时一次性扣留相应金额作为质量保证金。 </w:t>
      </w:r>
    </w:p>
    <w:p w14:paraId="142351F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3F9BDB8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4.10.3</w:t>
      </w:r>
      <w:r>
        <w:rPr>
          <w:rFonts w:hint="eastAsia" w:ascii="宋体" w:hAnsi="宋体" w:eastAsia="宋体" w:cs="宋体"/>
          <w:bCs/>
          <w:snapToGrid w:val="0"/>
          <w:color w:val="auto"/>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104426E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由他人原因造成的缺陷，发包人负责组织维修，承包人不承担费用，且发包人不得从质量保证中扣除费用。 </w:t>
      </w:r>
    </w:p>
    <w:p w14:paraId="10554C6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4.10.4</w:t>
      </w:r>
      <w:r>
        <w:rPr>
          <w:rFonts w:hint="eastAsia" w:ascii="宋体" w:hAnsi="宋体" w:eastAsia="宋体" w:cs="宋体"/>
          <w:bCs/>
          <w:snapToGrid w:val="0"/>
          <w:color w:val="auto"/>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3BF6F76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4.11</w:t>
      </w:r>
      <w:r>
        <w:rPr>
          <w:rFonts w:hint="eastAsia" w:ascii="宋体" w:hAnsi="宋体" w:eastAsia="宋体" w:cs="宋体"/>
          <w:bCs/>
          <w:snapToGrid w:val="0"/>
          <w:color w:val="auto"/>
          <w:kern w:val="0"/>
          <w:sz w:val="24"/>
          <w:szCs w:val="24"/>
          <w:highlight w:val="none"/>
          <w:lang w:val="en-US" w:eastAsia="zh-CN"/>
        </w:rPr>
        <w:t xml:space="preserve"> 不良行为处理 </w:t>
      </w:r>
    </w:p>
    <w:p w14:paraId="792AE99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41C2048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（1）转包、违法分包或违反投标承诺分包工程的； </w:t>
      </w:r>
    </w:p>
    <w:p w14:paraId="4B97BE0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1F2AD72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（3）投标文件确定的大型机械设备没有进入施工现场的； </w:t>
      </w:r>
    </w:p>
    <w:p w14:paraId="209C6F9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（4）与建设单位、监理单位串通，签认虚假工程量或工程造价的； </w:t>
      </w:r>
    </w:p>
    <w:p w14:paraId="6567155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（5）项目经理施工现场管理不到位的； </w:t>
      </w:r>
    </w:p>
    <w:p w14:paraId="6CA8153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（6）项目经理在非本人资格证书注册单位从事工程项目施工管理的； </w:t>
      </w:r>
    </w:p>
    <w:p w14:paraId="2F254430">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（7）项目经理同时承担超过一项工程项目的； </w:t>
      </w:r>
    </w:p>
    <w:p w14:paraId="1E7D3C0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（8）违反有关法律、法规、规章规定的其它行为。 </w:t>
      </w:r>
    </w:p>
    <w:p w14:paraId="20359D0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4.12 </w:t>
      </w:r>
      <w:r>
        <w:rPr>
          <w:rFonts w:hint="eastAsia" w:ascii="宋体" w:hAnsi="宋体" w:eastAsia="宋体" w:cs="宋体"/>
          <w:bCs/>
          <w:snapToGrid w:val="0"/>
          <w:color w:val="auto"/>
          <w:kern w:val="0"/>
          <w:sz w:val="24"/>
          <w:szCs w:val="24"/>
          <w:highlight w:val="none"/>
          <w:lang w:val="en-US" w:eastAsia="zh-CN"/>
        </w:rPr>
        <w:t xml:space="preserve">信用评价条款内容 </w:t>
      </w:r>
    </w:p>
    <w:p w14:paraId="01349B3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07B139A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4.13</w:t>
      </w:r>
      <w:r>
        <w:rPr>
          <w:rFonts w:hint="eastAsia" w:ascii="宋体" w:hAnsi="宋体" w:eastAsia="宋体" w:cs="宋体"/>
          <w:bCs/>
          <w:snapToGrid w:val="0"/>
          <w:color w:val="auto"/>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2F2A61D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2EEF2EB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4.14</w:t>
      </w:r>
      <w:r>
        <w:rPr>
          <w:rFonts w:hint="eastAsia" w:ascii="宋体" w:hAnsi="宋体" w:eastAsia="宋体" w:cs="宋体"/>
          <w:bCs/>
          <w:snapToGrid w:val="0"/>
          <w:color w:val="auto"/>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3203FFF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4.15</w:t>
      </w:r>
      <w:r>
        <w:rPr>
          <w:rFonts w:hint="eastAsia" w:ascii="宋体" w:hAnsi="宋体" w:eastAsia="宋体" w:cs="宋体"/>
          <w:bCs/>
          <w:snapToGrid w:val="0"/>
          <w:color w:val="auto"/>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kern w:val="2"/>
          <w:sz w:val="24"/>
          <w:szCs w:val="24"/>
          <w:highlight w:val="none"/>
          <w:u w:val="single"/>
          <w:shd w:val="clear" w:color="auto" w:fill="FFFFFF"/>
          <w:lang w:val="en-US" w:eastAsia="zh-CN" w:bidi="ar-SA"/>
        </w:rPr>
        <w:t xml:space="preserve"> 壹 </w:t>
      </w:r>
      <w:r>
        <w:rPr>
          <w:rFonts w:hint="eastAsia" w:ascii="宋体" w:hAnsi="宋体" w:eastAsia="宋体" w:cs="宋体"/>
          <w:bCs/>
          <w:snapToGrid w:val="0"/>
          <w:color w:val="auto"/>
          <w:kern w:val="0"/>
          <w:sz w:val="24"/>
          <w:szCs w:val="24"/>
          <w:highlight w:val="none"/>
          <w:lang w:val="en-US" w:eastAsia="zh-CN"/>
        </w:rPr>
        <w:t xml:space="preserve">万元/次。承包人对建筑垃圾须按《韶关市建筑垃圾管理条例》（2021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02E46E9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4.16 </w:t>
      </w:r>
      <w:r>
        <w:rPr>
          <w:rFonts w:hint="eastAsia" w:ascii="宋体" w:hAnsi="宋体" w:eastAsia="宋体" w:cs="宋体"/>
          <w:bCs/>
          <w:snapToGrid w:val="0"/>
          <w:color w:val="auto"/>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165D335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4.17</w:t>
      </w:r>
      <w:r>
        <w:rPr>
          <w:rFonts w:hint="eastAsia" w:ascii="宋体" w:hAnsi="宋体" w:eastAsia="宋体" w:cs="宋体"/>
          <w:bCs/>
          <w:snapToGrid w:val="0"/>
          <w:color w:val="auto"/>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w:t>
      </w:r>
    </w:p>
    <w:p w14:paraId="61DB69C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4.17.1 </w:t>
      </w:r>
      <w:r>
        <w:rPr>
          <w:rFonts w:hint="eastAsia" w:ascii="宋体" w:hAnsi="宋体" w:eastAsia="宋体" w:cs="宋体"/>
          <w:bCs/>
          <w:snapToGrid w:val="0"/>
          <w:color w:val="auto"/>
          <w:kern w:val="0"/>
          <w:sz w:val="24"/>
          <w:szCs w:val="24"/>
          <w:highlight w:val="none"/>
          <w:lang w:val="en-US" w:eastAsia="zh-CN"/>
        </w:rPr>
        <w:t>承包人在施工阶段应做好水土保持工作，相关费用承包人自行考虑在投标报价中。</w:t>
      </w:r>
    </w:p>
    <w:p w14:paraId="1F052D6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4.18</w:t>
      </w:r>
      <w:r>
        <w:rPr>
          <w:rFonts w:hint="eastAsia" w:ascii="宋体" w:hAnsi="宋体" w:eastAsia="宋体" w:cs="宋体"/>
          <w:bCs/>
          <w:snapToGrid w:val="0"/>
          <w:color w:val="auto"/>
          <w:kern w:val="0"/>
          <w:sz w:val="24"/>
          <w:szCs w:val="24"/>
          <w:highlight w:val="none"/>
          <w:lang w:val="en-US" w:eastAsia="zh-CN"/>
        </w:rPr>
        <w:t xml:space="preserve"> 承包人中标后必须按规定及时缴交工人工资保证金、环保噪声排污费等。 </w:t>
      </w:r>
    </w:p>
    <w:p w14:paraId="79D3B5F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4.19</w:t>
      </w:r>
      <w:r>
        <w:rPr>
          <w:rFonts w:hint="eastAsia" w:ascii="宋体" w:hAnsi="宋体" w:eastAsia="宋体" w:cs="宋体"/>
          <w:bCs/>
          <w:snapToGrid w:val="0"/>
          <w:color w:val="auto"/>
          <w:kern w:val="0"/>
          <w:sz w:val="24"/>
          <w:szCs w:val="24"/>
          <w:highlight w:val="none"/>
          <w:lang w:val="en-US" w:eastAsia="zh-CN"/>
        </w:rPr>
        <w:t xml:space="preserve"> 工程质量保修期按《中华人民共和国建筑法》、《建设工程质量管理条例》等相关规定实施。 </w:t>
      </w:r>
    </w:p>
    <w:p w14:paraId="37369DD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4.20</w:t>
      </w:r>
      <w:r>
        <w:rPr>
          <w:rFonts w:hint="eastAsia" w:ascii="宋体" w:hAnsi="宋体" w:eastAsia="宋体" w:cs="宋体"/>
          <w:bCs/>
          <w:snapToGrid w:val="0"/>
          <w:color w:val="auto"/>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6CB98F7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6548489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承包人应在项目所在地住建管理部门办理诚信登记，发包人将严格按住建管理部门诚信登记管理办法对承包人履约情况进行考核。 </w:t>
      </w:r>
    </w:p>
    <w:p w14:paraId="22D1EF1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w:t>
      </w:r>
      <w:r>
        <w:rPr>
          <w:rFonts w:hint="eastAsia" w:ascii="宋体" w:hAnsi="宋体" w:eastAsia="宋体" w:cs="宋体"/>
          <w:bCs/>
          <w:snapToGrid w:val="0"/>
          <w:color w:val="auto"/>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7AF3775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质量违约</w:t>
      </w:r>
    </w:p>
    <w:p w14:paraId="1FBA56D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w:t>
      </w:r>
      <w:r>
        <w:rPr>
          <w:rFonts w:hint="eastAsia" w:ascii="宋体" w:hAnsi="宋体" w:eastAsia="宋体" w:cs="宋体"/>
          <w:bCs/>
          <w:snapToGrid w:val="0"/>
          <w:color w:val="auto"/>
          <w:kern w:val="0"/>
          <w:sz w:val="24"/>
          <w:szCs w:val="24"/>
          <w:highlight w:val="none"/>
          <w:lang w:val="en-US" w:eastAsia="zh-CN"/>
        </w:rPr>
        <w:t xml:space="preserve">材料违约处理：若发现材料不符合国家标准或发包人在技术规范中规定的标准， </w:t>
      </w:r>
    </w:p>
    <w:p w14:paraId="53FEAF4E">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视为承包人违约，按现行《建设工程质量管理条例》处理。 </w:t>
      </w:r>
    </w:p>
    <w:p w14:paraId="5820FAD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4.24.1.1</w:t>
      </w:r>
      <w:r>
        <w:rPr>
          <w:rFonts w:hint="eastAsia" w:ascii="宋体" w:hAnsi="宋体" w:eastAsia="宋体" w:cs="宋体"/>
          <w:bCs/>
          <w:snapToGrid w:val="0"/>
          <w:color w:val="auto"/>
          <w:kern w:val="0"/>
          <w:sz w:val="24"/>
          <w:szCs w:val="24"/>
          <w:highlight w:val="none"/>
          <w:lang w:val="en-US" w:eastAsia="zh-CN"/>
        </w:rPr>
        <w:t xml:space="preserve"> 成品采购项目在采购前，承包人必须先行书面征求监理人、发包人的同意并 </w:t>
      </w:r>
    </w:p>
    <w:p w14:paraId="3E1BB57D">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一起看样定版后方能实施。未经监理人、发包人同意擅自先行采购和实施的，否则因不符 </w:t>
      </w:r>
    </w:p>
    <w:p w14:paraId="264FBF1F">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合设计要求返工造成的费用由承包人承担。</w:t>
      </w:r>
    </w:p>
    <w:p w14:paraId="1856B194">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w:t>
      </w:r>
      <w:r>
        <w:rPr>
          <w:rFonts w:hint="eastAsia" w:ascii="宋体" w:hAnsi="宋体" w:eastAsia="宋体" w:cs="宋体"/>
          <w:b w:val="0"/>
          <w:bCs/>
          <w:snapToGrid w:val="0"/>
          <w:color w:val="auto"/>
          <w:kern w:val="0"/>
          <w:sz w:val="24"/>
          <w:szCs w:val="24"/>
          <w:highlight w:val="none"/>
          <w:lang w:val="en-US" w:eastAsia="zh-CN"/>
        </w:rPr>
        <w:t xml:space="preserve">工程质量违约： </w:t>
      </w:r>
    </w:p>
    <w:p w14:paraId="1FA9BD16">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4.24.2.1</w:t>
      </w:r>
      <w:r>
        <w:rPr>
          <w:rFonts w:hint="eastAsia" w:ascii="宋体" w:hAnsi="宋体" w:eastAsia="宋体" w:cs="宋体"/>
          <w:b w:val="0"/>
          <w:bCs/>
          <w:snapToGrid w:val="0"/>
          <w:color w:val="auto"/>
          <w:kern w:val="0"/>
          <w:sz w:val="24"/>
          <w:szCs w:val="24"/>
          <w:highlight w:val="none"/>
          <w:lang w:val="en-US" w:eastAsia="zh-CN"/>
        </w:rPr>
        <w:t xml:space="preserve"> 在施工过程中经监理单位日常巡查或抽检发现未达到合格标准，责令承包人进 </w:t>
      </w:r>
    </w:p>
    <w:p w14:paraId="6291371E">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行整改，如未按规定时间进行整改或整改不到位的，每次按 5000元缴纳违约金给发包人，在进度款或结算款中一并扣除。 </w:t>
      </w:r>
    </w:p>
    <w:p w14:paraId="5165993D">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4.24.2.2</w:t>
      </w:r>
      <w:r>
        <w:rPr>
          <w:rFonts w:hint="eastAsia" w:ascii="宋体" w:hAnsi="宋体" w:eastAsia="宋体" w:cs="宋体"/>
          <w:b w:val="0"/>
          <w:bCs/>
          <w:snapToGrid w:val="0"/>
          <w:color w:val="auto"/>
          <w:kern w:val="0"/>
          <w:sz w:val="24"/>
          <w:szCs w:val="24"/>
          <w:highlight w:val="none"/>
          <w:lang w:val="en-US" w:eastAsia="zh-CN"/>
        </w:rPr>
        <w:t xml:space="preserve"> 工程质量标准须达到《建筑工程施工质量验收统一标准》(GB50300-2013)和《建筑与市政工程施工质量控制通用规范》（GB55032-2022）合格。如未达到合格标准，除无偿返工至合格外，还要按合同价款的1%向招标人支付质量违约金，工期不予顺延。</w:t>
      </w:r>
    </w:p>
    <w:p w14:paraId="684892DB">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 w:val="0"/>
          <w:bCs/>
          <w:snapToGrid w:val="0"/>
          <w:color w:val="auto"/>
          <w:kern w:val="0"/>
          <w:sz w:val="24"/>
          <w:szCs w:val="24"/>
          <w:highlight w:val="none"/>
          <w:lang w:val="en-US" w:eastAsia="zh-CN"/>
        </w:rPr>
        <w:t xml:space="preserve"> 重大责任事故违约 </w:t>
      </w:r>
    </w:p>
    <w:p w14:paraId="168C0F89">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4.25.1</w:t>
      </w:r>
      <w:r>
        <w:rPr>
          <w:rFonts w:hint="eastAsia" w:ascii="宋体" w:hAnsi="宋体" w:eastAsia="宋体" w:cs="宋体"/>
          <w:b w:val="0"/>
          <w:bCs/>
          <w:snapToGrid w:val="0"/>
          <w:color w:val="auto"/>
          <w:kern w:val="0"/>
          <w:sz w:val="24"/>
          <w:szCs w:val="24"/>
          <w:highlight w:val="none"/>
          <w:lang w:val="en-US" w:eastAsia="zh-CN"/>
        </w:rPr>
        <w:t xml:space="preserve"> 承包人因违反国家安全质量法规及合同有关条款约定,出现火灾、坍塌、人员重 </w:t>
      </w:r>
    </w:p>
    <w:p w14:paraId="71B1084E">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伤、死亡等重大责任事故,则承包人应承担全部损失,并按相关法规接受行政处罚；如造成发 </w:t>
      </w:r>
    </w:p>
    <w:p w14:paraId="3D389385">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包人及对第三人利益的损害,该等损害赔偿责任均由承包人承担。 </w:t>
      </w:r>
    </w:p>
    <w:p w14:paraId="4D811B4F">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w:t>
      </w:r>
      <w:r>
        <w:rPr>
          <w:rFonts w:hint="eastAsia" w:ascii="宋体" w:hAnsi="宋体" w:eastAsia="宋体" w:cs="宋体"/>
          <w:b w:val="0"/>
          <w:bCs/>
          <w:snapToGrid w:val="0"/>
          <w:color w:val="auto"/>
          <w:kern w:val="0"/>
          <w:sz w:val="24"/>
          <w:szCs w:val="24"/>
          <w:highlight w:val="none"/>
          <w:lang w:val="en-US" w:eastAsia="zh-CN"/>
        </w:rPr>
        <w:t xml:space="preserve"> 用工违约 </w:t>
      </w:r>
    </w:p>
    <w:p w14:paraId="136E50C6">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4.26.1</w:t>
      </w:r>
      <w:r>
        <w:rPr>
          <w:rFonts w:hint="eastAsia" w:ascii="宋体" w:hAnsi="宋体" w:eastAsia="宋体" w:cs="宋体"/>
          <w:b w:val="0"/>
          <w:bCs/>
          <w:snapToGrid w:val="0"/>
          <w:color w:val="auto"/>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按人民币10000元/次从工程进度款中扣除。承包人必须无条件确保民工工资得到及时发放，无拖欠民工工资现象，并采取发包人认为切实可行的措施确保无劳资纠纷事件发生，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2倍向发包人支付违约金。违约金在下期进度款中扣除。未在下期进度款扣除或承包人在发包人处已经无款可扣的，起计逾期支付利息。发包人可以在承包人其他任何款项中扣除所垫付的工资和相应的违约金与利息。承包人对提供的资料真实性负责，如发现虚假不实情况，承包人须向发包人支付违约金20000元/次。</w:t>
      </w:r>
    </w:p>
    <w:p w14:paraId="1F06C52B">
      <w:pPr>
        <w:pStyle w:val="2"/>
        <w:ind w:firstLine="482" w:firstLineChars="200"/>
        <w:rPr>
          <w:rFonts w:hint="default" w:ascii="宋体" w:hAnsi="宋体" w:eastAsia="宋体" w:cs="宋体"/>
          <w:b w:val="0"/>
          <w:bCs/>
          <w:snapToGrid w:val="0"/>
          <w:color w:val="auto"/>
          <w:kern w:val="0"/>
          <w:sz w:val="24"/>
          <w:szCs w:val="24"/>
          <w:highlight w:val="none"/>
          <w:lang w:val="en-US" w:eastAsia="zh-CN" w:bidi="ar-SA"/>
        </w:rPr>
      </w:pPr>
      <w:r>
        <w:rPr>
          <w:rFonts w:hint="eastAsia" w:ascii="宋体" w:hAnsi="宋体" w:eastAsia="宋体" w:cs="宋体"/>
          <w:b/>
          <w:bCs w:val="0"/>
          <w:snapToGrid w:val="0"/>
          <w:color w:val="auto"/>
          <w:kern w:val="0"/>
          <w:sz w:val="24"/>
          <w:szCs w:val="24"/>
          <w:highlight w:val="none"/>
          <w:lang w:val="en-US" w:eastAsia="zh-CN"/>
        </w:rPr>
        <w:t>4.26.2</w:t>
      </w:r>
      <w:r>
        <w:rPr>
          <w:rFonts w:hint="eastAsia" w:ascii="宋体" w:hAnsi="宋体" w:eastAsia="宋体" w:cs="宋体"/>
          <w:b w:val="0"/>
          <w:bCs/>
          <w:snapToGrid w:val="0"/>
          <w:color w:val="auto"/>
          <w:kern w:val="0"/>
          <w:sz w:val="24"/>
          <w:szCs w:val="24"/>
          <w:highlight w:val="none"/>
          <w:lang w:val="en-US" w:eastAsia="zh-CN" w:bidi="ar-SA"/>
        </w:rPr>
        <w:t>承包人应积极落实有关部门关于用工实名制管理工作的要求，未按规定落实农民工工资专户及实用工实名制要求，经有关部门警告或处罚的，按违约金人民币10000元/次从工程进度款中扣除。</w:t>
      </w:r>
    </w:p>
    <w:p w14:paraId="31E15BC9">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w:t>
      </w:r>
      <w:r>
        <w:rPr>
          <w:rFonts w:hint="eastAsia" w:ascii="宋体" w:hAnsi="宋体" w:eastAsia="宋体" w:cs="宋体"/>
          <w:b w:val="0"/>
          <w:bCs/>
          <w:snapToGrid w:val="0"/>
          <w:color w:val="auto"/>
          <w:kern w:val="0"/>
          <w:sz w:val="24"/>
          <w:szCs w:val="24"/>
          <w:highlight w:val="none"/>
          <w:lang w:val="en-US" w:eastAsia="zh-CN"/>
        </w:rPr>
        <w:t xml:space="preserve"> 安全文明施工违约 </w:t>
      </w:r>
    </w:p>
    <w:p w14:paraId="0D67FDCC">
      <w:pPr>
        <w:adjustRightInd w:val="0"/>
        <w:snapToGrid w:val="0"/>
        <w:spacing w:line="440" w:lineRule="exact"/>
        <w:ind w:firstLine="482" w:firstLineChars="20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4.27.1</w:t>
      </w:r>
      <w:r>
        <w:rPr>
          <w:rFonts w:hint="eastAsia" w:ascii="宋体" w:hAnsi="宋体" w:eastAsia="宋体" w:cs="宋体"/>
          <w:b w:val="0"/>
          <w:bCs/>
          <w:snapToGrid w:val="0"/>
          <w:color w:val="auto"/>
          <w:kern w:val="0"/>
          <w:sz w:val="24"/>
          <w:szCs w:val="24"/>
          <w:highlight w:val="none"/>
          <w:lang w:val="en-US" w:eastAsia="zh-CN"/>
        </w:rPr>
        <w:t>承包人应严格遵守国家、省、市有关防火、爆破和施工安全以及文明施工、深夜施工、环卫和城市管理等规定，建立规章制度和防护措施，并组织施工。</w:t>
      </w:r>
    </w:p>
    <w:p w14:paraId="5BACEA0D">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承包人现场施工人员存在野蛮施工行为，经现场发包人（含监理单位）管理人员确认后，承包人须按10000元/次缴纳违约金；如因野蛮施工行为，引起投诉或网络问政的，承包人须按5000元/次缴纳违约金；并承担因野蛮施工行为所造成的全部责任。</w:t>
      </w:r>
    </w:p>
    <w:p w14:paraId="4B743746">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 </w:t>
      </w:r>
      <w:r>
        <w:rPr>
          <w:rFonts w:hint="eastAsia" w:ascii="宋体" w:hAnsi="宋体" w:eastAsia="宋体" w:cs="宋体"/>
          <w:b w:val="0"/>
          <w:bCs/>
          <w:snapToGrid w:val="0"/>
          <w:color w:val="auto"/>
          <w:kern w:val="0"/>
          <w:sz w:val="24"/>
          <w:szCs w:val="24"/>
          <w:highlight w:val="none"/>
          <w:lang w:val="en-US" w:eastAsia="zh-CN"/>
        </w:rPr>
        <w:t xml:space="preserve">   </w:t>
      </w: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 xml:space="preserve">3 </w:t>
      </w:r>
      <w:r>
        <w:rPr>
          <w:rFonts w:hint="eastAsia" w:ascii="宋体" w:hAnsi="宋体" w:eastAsia="宋体" w:cs="宋体"/>
          <w:b w:val="0"/>
          <w:bCs/>
          <w:snapToGrid w:val="0"/>
          <w:color w:val="auto"/>
          <w:kern w:val="0"/>
          <w:sz w:val="24"/>
          <w:szCs w:val="24"/>
          <w:highlight w:val="none"/>
          <w:lang w:val="en-US" w:eastAsia="zh-CN"/>
        </w:rPr>
        <w:t>承包人现场施工人员未按相关规定佩戴安全帽和反光衣进入施工区域的，经现场发包人（监理单位）管理人员确认后，承包人须按100元/人/次缴纳违约金。</w:t>
      </w:r>
    </w:p>
    <w:p w14:paraId="68ADE33F">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4.27.4</w:t>
      </w:r>
      <w:r>
        <w:rPr>
          <w:rFonts w:hint="eastAsia" w:ascii="宋体" w:hAnsi="宋体" w:eastAsia="宋体" w:cs="宋体"/>
          <w:b w:val="0"/>
          <w:bCs/>
          <w:snapToGrid w:val="0"/>
          <w:color w:val="auto"/>
          <w:kern w:val="0"/>
          <w:sz w:val="24"/>
          <w:szCs w:val="24"/>
          <w:highlight w:val="none"/>
          <w:lang w:val="en-US" w:eastAsia="zh-CN"/>
        </w:rPr>
        <w:t>承包人施工现场发生工伤或其他责任事故的，承包人按下列标准缴纳违约金：</w:t>
      </w:r>
    </w:p>
    <w:p w14:paraId="41A9936F">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①一次事故或全年累计死亡3人及以上：项目部必须撤换项目经理、主管安全副经理和安全主管，一次或全年累计缴纳违约金100万元人民币；</w:t>
      </w:r>
    </w:p>
    <w:p w14:paraId="4854B395">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②一次事故或全年累计死亡2人：安全第一责任人在韶关市地区建设范围内公开检查；承包人必须撤换项目主管安全副经理或安全主管；一次或全年累计缴纳违约金60万元人民币；</w:t>
      </w:r>
    </w:p>
    <w:p w14:paraId="2CC35E50">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③全年死亡1人：安全第一责任人在韶关市地区建设范围内公开检查，并报其上级单位；承包人必须撤换项目安全主管；缴纳违约金30万元人民币。</w:t>
      </w:r>
    </w:p>
    <w:p w14:paraId="08472B43">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④重伤事故、造成10人及以上集体中毒住院、经济损失重大的火灾、设备及交通事故，缴纳违约金30万元人民币。</w:t>
      </w:r>
    </w:p>
    <w:p w14:paraId="39B95C62">
      <w:pPr>
        <w:adjustRightInd w:val="0"/>
        <w:snapToGrid w:val="0"/>
        <w:spacing w:line="440" w:lineRule="exact"/>
        <w:ind w:firstLine="480" w:firstLineChars="200"/>
        <w:rPr>
          <w:rFonts w:hint="default"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⑤因施工造成的道路交通中断、通讯中断、管线漏水漏气等全部责任事故，由承包人承担责任，并缴纳违约金1万元人民币。</w:t>
      </w:r>
    </w:p>
    <w:p w14:paraId="06F3FA0D">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val="0"/>
          <w:bCs/>
          <w:snapToGrid w:val="0"/>
          <w:color w:val="auto"/>
          <w:kern w:val="0"/>
          <w:sz w:val="24"/>
          <w:szCs w:val="24"/>
          <w:highlight w:val="none"/>
          <w:lang w:val="en-US" w:eastAsia="zh-CN"/>
        </w:rPr>
        <w:t xml:space="preserve"> 其他违约 </w:t>
      </w:r>
    </w:p>
    <w:p w14:paraId="556B7AEA">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.1</w:t>
      </w:r>
      <w:r>
        <w:rPr>
          <w:rFonts w:hint="default" w:ascii="宋体" w:hAnsi="宋体" w:eastAsia="宋体" w:cs="宋体"/>
          <w:b w:val="0"/>
          <w:bCs/>
          <w:snapToGrid w:val="0"/>
          <w:color w:val="auto"/>
          <w:kern w:val="0"/>
          <w:sz w:val="24"/>
          <w:szCs w:val="24"/>
          <w:highlight w:val="none"/>
          <w:lang w:val="en-US" w:eastAsia="zh-CN"/>
        </w:rPr>
        <w:t xml:space="preserve"> 承包人安排在施工场地的主要管理人员（主要指项目经理、项目技术负责人和专 </w:t>
      </w:r>
    </w:p>
    <w:p w14:paraId="005260FA">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w:t>
      </w:r>
      <w:r>
        <w:rPr>
          <w:rFonts w:hint="eastAsia" w:ascii="宋体" w:hAnsi="宋体" w:eastAsia="宋体" w:cs="宋体"/>
          <w:b w:val="0"/>
          <w:bCs/>
          <w:snapToGrid w:val="0"/>
          <w:color w:val="auto"/>
          <w:kern w:val="0"/>
          <w:sz w:val="24"/>
          <w:szCs w:val="24"/>
          <w:highlight w:val="none"/>
          <w:lang w:val="en-US" w:eastAsia="zh-CN"/>
        </w:rPr>
        <w:t>在日常检查及相关会议中主要管理人员不到岗，按 500元/人/次缴纳违约金给发包人。</w:t>
      </w:r>
    </w:p>
    <w:p w14:paraId="2C71E73D">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中标人施工资料必须与形象进度同步</w:t>
      </w:r>
      <w:r>
        <w:rPr>
          <w:rFonts w:hint="eastAsia" w:ascii="宋体" w:hAnsi="宋体" w:eastAsia="宋体" w:cs="宋体"/>
          <w:b w:val="0"/>
          <w:bCs/>
          <w:snapToGrid w:val="0"/>
          <w:color w:val="auto"/>
          <w:kern w:val="0"/>
          <w:sz w:val="24"/>
          <w:szCs w:val="24"/>
          <w:highlight w:val="none"/>
          <w:lang w:val="en-US" w:eastAsia="zh-CN"/>
        </w:rPr>
        <w:t>，如发包人在日常检查中发现不同步的现象的，视为违约并扣除违约金2000元/每次</w:t>
      </w:r>
      <w:r>
        <w:rPr>
          <w:rFonts w:hint="default" w:ascii="宋体" w:hAnsi="宋体" w:eastAsia="宋体" w:cs="宋体"/>
          <w:b w:val="0"/>
          <w:bCs/>
          <w:snapToGrid w:val="0"/>
          <w:color w:val="auto"/>
          <w:kern w:val="0"/>
          <w:sz w:val="24"/>
          <w:szCs w:val="24"/>
          <w:highlight w:val="none"/>
          <w:lang w:val="en-US" w:eastAsia="zh-CN"/>
        </w:rPr>
        <w:t xml:space="preserve">。 </w:t>
      </w:r>
    </w:p>
    <w:p w14:paraId="7C6E826D">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.3</w:t>
      </w:r>
      <w:r>
        <w:rPr>
          <w:rFonts w:hint="default" w:ascii="宋体" w:hAnsi="宋体" w:eastAsia="宋体" w:cs="宋体"/>
          <w:b w:val="0"/>
          <w:bCs/>
          <w:snapToGrid w:val="0"/>
          <w:color w:val="auto"/>
          <w:kern w:val="0"/>
          <w:sz w:val="24"/>
          <w:szCs w:val="24"/>
          <w:highlight w:val="none"/>
          <w:lang w:val="en-US" w:eastAsia="zh-CN"/>
        </w:rPr>
        <w:t xml:space="preserve"> 承包人没有正当合理的理由中途退场，可扣除承包人已递交的所有履约风险保证 </w:t>
      </w:r>
    </w:p>
    <w:p w14:paraId="5469FC0A">
      <w:pPr>
        <w:adjustRightInd w:val="0"/>
        <w:snapToGrid w:val="0"/>
        <w:spacing w:line="440" w:lineRule="exact"/>
        <w:rPr>
          <w:rFonts w:hint="default" w:ascii="宋体" w:hAnsi="宋体" w:eastAsia="宋体" w:cs="宋体"/>
          <w:bCs/>
          <w:snapToGrid w:val="0"/>
          <w:color w:val="auto"/>
          <w:kern w:val="0"/>
          <w:sz w:val="24"/>
          <w:szCs w:val="24"/>
          <w:highlight w:val="none"/>
          <w:lang w:val="en-US" w:eastAsia="zh-CN" w:bidi="ar-SA"/>
        </w:rPr>
      </w:pPr>
      <w:r>
        <w:rPr>
          <w:rFonts w:hint="default" w:ascii="宋体" w:hAnsi="宋体" w:eastAsia="宋体" w:cs="宋体"/>
          <w:b w:val="0"/>
          <w:bCs/>
          <w:snapToGrid w:val="0"/>
          <w:color w:val="auto"/>
          <w:kern w:val="0"/>
          <w:sz w:val="24"/>
          <w:szCs w:val="24"/>
          <w:highlight w:val="none"/>
          <w:lang w:val="en-US" w:eastAsia="zh-CN"/>
        </w:rPr>
        <w:t>金。承包人因上述违约行为而须缴纳的违约金在工程进度款中或结算时一并扣除。</w:t>
      </w:r>
    </w:p>
    <w:p w14:paraId="6A648A4D">
      <w:pPr>
        <w:adjustRightInd w:val="0"/>
        <w:snapToGrid w:val="0"/>
        <w:spacing w:line="440" w:lineRule="exact"/>
        <w:ind w:firstLine="482" w:firstLineChars="20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5.其他合同条款由招标人与中标人自行协商约定</w:t>
      </w:r>
    </w:p>
    <w:p w14:paraId="7C4623E6">
      <w:pPr>
        <w:pStyle w:val="13"/>
        <w:rPr>
          <w:rFonts w:hint="eastAsia" w:ascii="宋体" w:hAnsi="宋体" w:eastAsia="宋体" w:cs="宋体"/>
          <w:color w:val="auto"/>
          <w:sz w:val="24"/>
          <w:szCs w:val="24"/>
          <w:highlight w:val="none"/>
          <w:lang w:eastAsia="zh-CN"/>
        </w:rPr>
      </w:pPr>
    </w:p>
    <w:p w14:paraId="4DFE53C9">
      <w:pPr>
        <w:pStyle w:val="13"/>
        <w:rPr>
          <w:rFonts w:hint="eastAsia" w:ascii="宋体" w:hAnsi="宋体" w:eastAsia="宋体" w:cs="宋体"/>
          <w:color w:val="auto"/>
          <w:sz w:val="24"/>
          <w:szCs w:val="24"/>
          <w:highlight w:val="none"/>
          <w:lang w:eastAsia="zh-CN"/>
        </w:rPr>
      </w:pPr>
    </w:p>
    <w:p w14:paraId="3E568560">
      <w:pPr>
        <w:pStyle w:val="13"/>
        <w:rPr>
          <w:rFonts w:hint="eastAsia" w:ascii="宋体" w:hAnsi="宋体" w:eastAsia="宋体" w:cs="宋体"/>
          <w:color w:val="auto"/>
          <w:sz w:val="24"/>
          <w:szCs w:val="24"/>
          <w:highlight w:val="none"/>
          <w:lang w:eastAsia="zh-CN"/>
        </w:rPr>
      </w:pPr>
    </w:p>
    <w:p w14:paraId="6BC728EA">
      <w:pPr>
        <w:pStyle w:val="13"/>
        <w:rPr>
          <w:rFonts w:hint="eastAsia" w:ascii="宋体" w:hAnsi="宋体" w:eastAsia="宋体" w:cs="宋体"/>
          <w:color w:val="auto"/>
          <w:sz w:val="24"/>
          <w:szCs w:val="24"/>
          <w:highlight w:val="none"/>
          <w:lang w:eastAsia="zh-CN"/>
        </w:rPr>
      </w:pPr>
    </w:p>
    <w:p w14:paraId="5306A8B0">
      <w:pPr>
        <w:pStyle w:val="13"/>
        <w:rPr>
          <w:rFonts w:hint="eastAsia" w:ascii="宋体" w:hAnsi="宋体" w:eastAsia="宋体" w:cs="宋体"/>
          <w:color w:val="auto"/>
          <w:sz w:val="24"/>
          <w:szCs w:val="24"/>
          <w:highlight w:val="none"/>
          <w:lang w:eastAsia="zh-CN"/>
        </w:rPr>
      </w:pPr>
    </w:p>
    <w:p w14:paraId="46B08A14">
      <w:pPr>
        <w:pStyle w:val="13"/>
        <w:rPr>
          <w:rFonts w:hint="eastAsia" w:ascii="宋体" w:hAnsi="宋体" w:eastAsia="宋体" w:cs="宋体"/>
          <w:color w:val="auto"/>
          <w:sz w:val="24"/>
          <w:szCs w:val="24"/>
          <w:highlight w:val="none"/>
          <w:lang w:eastAsia="zh-CN"/>
        </w:rPr>
      </w:pPr>
    </w:p>
    <w:p w14:paraId="3C505BD8">
      <w:pPr>
        <w:pStyle w:val="13"/>
        <w:rPr>
          <w:rFonts w:hint="eastAsia" w:ascii="宋体" w:hAnsi="宋体" w:eastAsia="宋体" w:cs="宋体"/>
          <w:color w:val="auto"/>
          <w:sz w:val="24"/>
          <w:szCs w:val="24"/>
          <w:highlight w:val="none"/>
          <w:lang w:eastAsia="zh-CN"/>
        </w:rPr>
      </w:pPr>
    </w:p>
    <w:p w14:paraId="004B8632">
      <w:pPr>
        <w:pStyle w:val="13"/>
        <w:rPr>
          <w:rFonts w:hint="eastAsia" w:ascii="宋体" w:hAnsi="宋体" w:eastAsia="宋体" w:cs="宋体"/>
          <w:color w:val="auto"/>
          <w:sz w:val="24"/>
          <w:szCs w:val="24"/>
          <w:highlight w:val="none"/>
          <w:lang w:eastAsia="zh-CN"/>
        </w:rPr>
      </w:pPr>
    </w:p>
    <w:p w14:paraId="421CDFB8">
      <w:pPr>
        <w:pStyle w:val="13"/>
        <w:rPr>
          <w:rFonts w:hint="eastAsia" w:ascii="宋体" w:hAnsi="宋体" w:eastAsia="宋体" w:cs="宋体"/>
          <w:color w:val="auto"/>
          <w:sz w:val="24"/>
          <w:szCs w:val="24"/>
          <w:highlight w:val="none"/>
          <w:lang w:eastAsia="zh-CN"/>
        </w:rPr>
      </w:pPr>
    </w:p>
    <w:p w14:paraId="1B0A485E">
      <w:pPr>
        <w:pStyle w:val="13"/>
        <w:rPr>
          <w:rFonts w:hint="eastAsia" w:ascii="宋体" w:hAnsi="宋体" w:eastAsia="宋体" w:cs="宋体"/>
          <w:color w:val="auto"/>
          <w:sz w:val="24"/>
          <w:szCs w:val="24"/>
          <w:highlight w:val="none"/>
          <w:lang w:eastAsia="zh-CN"/>
        </w:rPr>
      </w:pPr>
    </w:p>
    <w:p w14:paraId="31EC0AD8">
      <w:pPr>
        <w:pStyle w:val="13"/>
        <w:rPr>
          <w:rFonts w:hint="eastAsia" w:ascii="宋体" w:hAnsi="宋体" w:eastAsia="宋体" w:cs="宋体"/>
          <w:color w:val="auto"/>
          <w:sz w:val="24"/>
          <w:szCs w:val="24"/>
          <w:highlight w:val="none"/>
          <w:lang w:eastAsia="zh-CN"/>
        </w:rPr>
      </w:pPr>
    </w:p>
    <w:p w14:paraId="66B5C808">
      <w:pPr>
        <w:pStyle w:val="13"/>
        <w:rPr>
          <w:rFonts w:hint="eastAsia" w:ascii="宋体" w:hAnsi="宋体" w:eastAsia="宋体" w:cs="宋体"/>
          <w:color w:val="auto"/>
          <w:sz w:val="24"/>
          <w:szCs w:val="24"/>
          <w:highlight w:val="none"/>
          <w:lang w:eastAsia="zh-CN"/>
        </w:rPr>
      </w:pPr>
    </w:p>
    <w:p w14:paraId="583829D7">
      <w:pPr>
        <w:pStyle w:val="13"/>
        <w:rPr>
          <w:rFonts w:hint="eastAsia" w:ascii="宋体" w:hAnsi="宋体" w:eastAsia="宋体" w:cs="宋体"/>
          <w:color w:val="auto"/>
          <w:sz w:val="24"/>
          <w:szCs w:val="24"/>
          <w:highlight w:val="none"/>
          <w:lang w:eastAsia="zh-CN"/>
        </w:rPr>
      </w:pPr>
    </w:p>
    <w:p w14:paraId="377AC66F">
      <w:pPr>
        <w:pStyle w:val="13"/>
        <w:rPr>
          <w:rFonts w:hint="eastAsia" w:ascii="宋体" w:hAnsi="宋体" w:eastAsia="宋体" w:cs="宋体"/>
          <w:color w:val="auto"/>
          <w:sz w:val="24"/>
          <w:szCs w:val="24"/>
          <w:highlight w:val="none"/>
          <w:lang w:eastAsia="zh-CN"/>
        </w:rPr>
      </w:pPr>
    </w:p>
    <w:p w14:paraId="76CEFEBC">
      <w:pPr>
        <w:pStyle w:val="13"/>
        <w:rPr>
          <w:rFonts w:hint="eastAsia" w:ascii="宋体" w:hAnsi="宋体" w:eastAsia="宋体" w:cs="宋体"/>
          <w:color w:val="auto"/>
          <w:sz w:val="24"/>
          <w:szCs w:val="24"/>
          <w:highlight w:val="none"/>
          <w:lang w:eastAsia="zh-CN"/>
        </w:rPr>
      </w:pPr>
    </w:p>
    <w:p w14:paraId="2ABA16B8">
      <w:pPr>
        <w:pStyle w:val="13"/>
        <w:rPr>
          <w:rFonts w:hint="eastAsia" w:ascii="宋体" w:hAnsi="宋体" w:eastAsia="宋体" w:cs="宋体"/>
          <w:color w:val="auto"/>
          <w:sz w:val="24"/>
          <w:szCs w:val="24"/>
          <w:highlight w:val="none"/>
          <w:lang w:eastAsia="zh-CN"/>
        </w:rPr>
      </w:pPr>
    </w:p>
    <w:p w14:paraId="39058450">
      <w:pPr>
        <w:pStyle w:val="13"/>
        <w:rPr>
          <w:rFonts w:hint="eastAsia" w:ascii="宋体" w:hAnsi="宋体" w:eastAsia="宋体" w:cs="宋体"/>
          <w:color w:val="auto"/>
          <w:sz w:val="24"/>
          <w:szCs w:val="24"/>
          <w:highlight w:val="none"/>
          <w:lang w:eastAsia="zh-CN"/>
        </w:rPr>
      </w:pPr>
    </w:p>
    <w:p w14:paraId="4D3AD649">
      <w:pPr>
        <w:jc w:val="center"/>
        <w:rPr>
          <w:rFonts w:hint="eastAsia" w:ascii="宋体" w:hAnsi="宋体" w:eastAsia="宋体" w:cs="宋体"/>
          <w:color w:val="auto"/>
          <w:highlight w:val="none"/>
        </w:rPr>
      </w:pPr>
      <w:bookmarkStart w:id="175" w:name="bookmark96"/>
      <w:bookmarkEnd w:id="175"/>
      <w:bookmarkStart w:id="176" w:name="_Toc26138"/>
      <w:r>
        <w:rPr>
          <w:rFonts w:hint="eastAsia" w:ascii="宋体" w:hAnsi="宋体" w:eastAsia="宋体" w:cs="宋体"/>
          <w:b/>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技术要求</w:t>
      </w:r>
      <w:bookmarkEnd w:id="176"/>
    </w:p>
    <w:p w14:paraId="1BEE406B">
      <w:pPr>
        <w:pStyle w:val="5"/>
        <w:spacing w:line="257" w:lineRule="auto"/>
        <w:rPr>
          <w:rFonts w:hint="eastAsia" w:ascii="宋体" w:hAnsi="宋体" w:eastAsia="宋体" w:cs="宋体"/>
          <w:color w:val="auto"/>
          <w:highlight w:val="none"/>
        </w:rPr>
      </w:pPr>
    </w:p>
    <w:p w14:paraId="26EEF920">
      <w:pPr>
        <w:spacing w:before="78" w:line="221" w:lineRule="auto"/>
        <w:ind w:left="125"/>
        <w:outlineLvl w:val="2"/>
        <w:rPr>
          <w:rFonts w:hint="eastAsia" w:ascii="宋体" w:hAnsi="宋体" w:eastAsia="宋体" w:cs="宋体"/>
          <w:color w:val="auto"/>
          <w:sz w:val="24"/>
          <w:szCs w:val="24"/>
          <w:highlight w:val="none"/>
        </w:rPr>
      </w:pPr>
      <w:bookmarkStart w:id="177" w:name="_Toc10155"/>
      <w:bookmarkStart w:id="178" w:name="_Toc6424"/>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1"/>
          <w:sz w:val="24"/>
          <w:szCs w:val="24"/>
          <w:highlight w:val="none"/>
        </w:rPr>
        <w:t>房屋建筑工程建设项目</w:t>
      </w:r>
      <w:bookmarkEnd w:id="177"/>
      <w:bookmarkEnd w:id="178"/>
    </w:p>
    <w:p w14:paraId="74191D8B">
      <w:pPr>
        <w:spacing w:before="152"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房屋建筑工程建设项目必须执行的现行技术规范，包括且不限于：</w:t>
      </w:r>
    </w:p>
    <w:p w14:paraId="764F9C24">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（1）《建筑工程施工质量验收统一标准》；</w:t>
      </w:r>
    </w:p>
    <w:p w14:paraId="3D97DAF5">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（2）《建筑地基基础工程施工质量验收规范》；</w:t>
      </w:r>
    </w:p>
    <w:p w14:paraId="07825F40">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（3）《砌体工程施工质量验收规范》；</w:t>
      </w:r>
    </w:p>
    <w:p w14:paraId="03DC3C06">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（4）《混凝土结构工程施工质量验收规范》；</w:t>
      </w:r>
    </w:p>
    <w:p w14:paraId="72468155">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（5）《屋面工程质量验收规范》；</w:t>
      </w:r>
    </w:p>
    <w:p w14:paraId="103F47F3">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（6）《地下防水工程质量验收规范》；</w:t>
      </w:r>
    </w:p>
    <w:p w14:paraId="5DC83FC3">
      <w:pPr>
        <w:spacing w:before="156"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（7）《建筑地面工程施工质量验收规范》；</w:t>
      </w:r>
    </w:p>
    <w:p w14:paraId="43596E31">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（8）《建筑装饰装修工程施工质量验收规范》；</w:t>
      </w:r>
    </w:p>
    <w:p w14:paraId="4986A705">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（9）《建筑给排水及采暖工程施工质量验收规范》；</w:t>
      </w:r>
    </w:p>
    <w:p w14:paraId="01CDB6E9">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（10）《建筑电气工程施工质量验收规范》；</w:t>
      </w:r>
    </w:p>
    <w:p w14:paraId="4F06D4A9">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（11）《住建部绿色建筑评价标准》；</w:t>
      </w:r>
    </w:p>
    <w:p w14:paraId="7E77E296">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（12）《建筑节能与可再生能源利用通用规范》（GB55015-2021）；</w:t>
      </w:r>
    </w:p>
    <w:p w14:paraId="08EFAED6">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（13）《建筑环境通用规范》；</w:t>
      </w:r>
    </w:p>
    <w:p w14:paraId="1CB7D962">
      <w:pPr>
        <w:spacing w:before="153" w:line="219" w:lineRule="auto"/>
        <w:ind w:left="130"/>
        <w:rPr>
          <w:rFonts w:hint="eastAsia" w:ascii="宋体" w:hAnsi="宋体" w:eastAsia="宋体" w:cs="宋体"/>
          <w:color w:val="auto"/>
          <w:spacing w:val="-1"/>
          <w:sz w:val="24"/>
          <w:szCs w:val="24"/>
          <w:highlight w:val="none"/>
        </w:rPr>
      </w:pPr>
      <w:bookmarkStart w:id="179" w:name="_Toc12084"/>
      <w:bookmarkStart w:id="180" w:name="_Toc16294"/>
      <w:r>
        <w:rPr>
          <w:rFonts w:hint="eastAsia" w:ascii="宋体" w:hAnsi="宋体" w:eastAsia="宋体" w:cs="宋体"/>
          <w:color w:val="auto"/>
          <w:spacing w:val="-1"/>
          <w:sz w:val="24"/>
          <w:szCs w:val="24"/>
          <w:highlight w:val="none"/>
        </w:rPr>
        <w:t>（14）《建筑与市政工程无障碍通用规范》 GB 55019-2021；</w:t>
      </w:r>
      <w:bookmarkEnd w:id="179"/>
      <w:bookmarkEnd w:id="180"/>
    </w:p>
    <w:p w14:paraId="4C9047FB">
      <w:pPr>
        <w:spacing w:before="153" w:line="219" w:lineRule="auto"/>
        <w:ind w:left="130"/>
        <w:rPr>
          <w:rFonts w:hint="eastAsia" w:ascii="宋体" w:hAnsi="宋体" w:eastAsia="宋体" w:cs="宋体"/>
          <w:color w:val="auto"/>
          <w:spacing w:val="-1"/>
          <w:sz w:val="24"/>
          <w:szCs w:val="24"/>
          <w:highlight w:val="none"/>
        </w:rPr>
      </w:pPr>
      <w:bookmarkStart w:id="181" w:name="_Toc15158"/>
      <w:bookmarkStart w:id="182" w:name="_Toc1177"/>
      <w:r>
        <w:rPr>
          <w:rFonts w:hint="eastAsia" w:ascii="宋体" w:hAnsi="宋体" w:eastAsia="宋体" w:cs="宋体"/>
          <w:color w:val="auto"/>
          <w:spacing w:val="-1"/>
          <w:sz w:val="24"/>
          <w:szCs w:val="24"/>
          <w:highlight w:val="none"/>
        </w:rPr>
        <w:t>（15）《建筑防火通用规范》GB 55037-2022;</w:t>
      </w:r>
      <w:bookmarkEnd w:id="181"/>
      <w:bookmarkEnd w:id="182"/>
    </w:p>
    <w:p w14:paraId="15325915">
      <w:pPr>
        <w:spacing w:before="153" w:line="219" w:lineRule="auto"/>
        <w:ind w:left="130"/>
        <w:rPr>
          <w:rFonts w:hint="eastAsia" w:ascii="宋体" w:hAnsi="宋体" w:eastAsia="宋体" w:cs="宋体"/>
          <w:color w:val="auto"/>
          <w:spacing w:val="-1"/>
          <w:sz w:val="24"/>
          <w:szCs w:val="24"/>
          <w:highlight w:val="none"/>
        </w:rPr>
      </w:pPr>
      <w:bookmarkStart w:id="183" w:name="_Toc2461"/>
      <w:bookmarkStart w:id="184" w:name="_Toc24233"/>
      <w:r>
        <w:rPr>
          <w:rFonts w:hint="eastAsia" w:ascii="宋体" w:hAnsi="宋体" w:eastAsia="宋体" w:cs="宋体"/>
          <w:color w:val="auto"/>
          <w:spacing w:val="-1"/>
          <w:sz w:val="24"/>
          <w:szCs w:val="24"/>
          <w:highlight w:val="none"/>
        </w:rPr>
        <w:t>（16）《建筑与市政工程抗震通用规范》GB55002-2001;</w:t>
      </w:r>
      <w:bookmarkEnd w:id="183"/>
      <w:bookmarkEnd w:id="184"/>
    </w:p>
    <w:p w14:paraId="113963B3">
      <w:pPr>
        <w:spacing w:before="153" w:line="219" w:lineRule="auto"/>
        <w:ind w:left="130"/>
        <w:rPr>
          <w:rFonts w:hint="eastAsia" w:ascii="宋体" w:hAnsi="宋体" w:eastAsia="宋体" w:cs="宋体"/>
          <w:color w:val="auto"/>
          <w:spacing w:val="-1"/>
          <w:sz w:val="24"/>
          <w:szCs w:val="24"/>
          <w:highlight w:val="none"/>
        </w:rPr>
      </w:pPr>
      <w:bookmarkStart w:id="185" w:name="_Toc5777"/>
      <w:bookmarkStart w:id="186" w:name="_Toc8109"/>
      <w:r>
        <w:rPr>
          <w:rFonts w:hint="eastAsia" w:ascii="宋体" w:hAnsi="宋体" w:eastAsia="宋体" w:cs="宋体"/>
          <w:color w:val="auto"/>
          <w:spacing w:val="-1"/>
          <w:sz w:val="24"/>
          <w:szCs w:val="24"/>
          <w:highlight w:val="none"/>
        </w:rPr>
        <w:t>（17）《建筑与市政地基基础通用规范》GB55003-2001;</w:t>
      </w:r>
      <w:bookmarkEnd w:id="185"/>
      <w:bookmarkEnd w:id="186"/>
    </w:p>
    <w:p w14:paraId="012A99F0">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（18）《广东省住房和城乡建设厅绿色施工导则》；</w:t>
      </w:r>
    </w:p>
    <w:p w14:paraId="7662205F">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（19）《广东省建筑工程绿色施工评价标准》；</w:t>
      </w:r>
    </w:p>
    <w:p w14:paraId="3E342D69">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（20）《广东省建筑节能与绿色建筑工程施工质量验收规范》</w:t>
      </w:r>
    </w:p>
    <w:p w14:paraId="7B024488">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（21）其他现行国家、广东省关于房建工程的施工及验收规范、定额</w:t>
      </w:r>
      <w:r>
        <w:rPr>
          <w:rFonts w:hint="eastAsia" w:ascii="宋体" w:hAnsi="宋体" w:eastAsia="宋体" w:cs="宋体"/>
          <w:color w:val="auto"/>
          <w:spacing w:val="-6"/>
          <w:sz w:val="24"/>
          <w:szCs w:val="24"/>
          <w:highlight w:val="none"/>
        </w:rPr>
        <w:t>、规程、标准。</w:t>
      </w:r>
    </w:p>
    <w:p w14:paraId="1E4C76B5">
      <w:pPr>
        <w:pStyle w:val="5"/>
        <w:spacing w:line="257" w:lineRule="auto"/>
        <w:rPr>
          <w:rFonts w:hint="eastAsia" w:ascii="宋体" w:hAnsi="宋体" w:eastAsia="宋体" w:cs="宋体"/>
          <w:color w:val="auto"/>
          <w:highlight w:val="none"/>
        </w:rPr>
      </w:pPr>
    </w:p>
    <w:p w14:paraId="73E50222">
      <w:pPr>
        <w:spacing w:before="78" w:line="220" w:lineRule="auto"/>
        <w:ind w:left="115"/>
        <w:outlineLvl w:val="2"/>
        <w:rPr>
          <w:rFonts w:hint="eastAsia" w:ascii="宋体" w:hAnsi="宋体" w:eastAsia="宋体" w:cs="宋体"/>
          <w:color w:val="auto"/>
          <w:sz w:val="24"/>
          <w:szCs w:val="24"/>
          <w:highlight w:val="none"/>
        </w:rPr>
      </w:pPr>
      <w:bookmarkStart w:id="187" w:name="_Toc15652"/>
      <w:bookmarkStart w:id="188" w:name="_Toc12394"/>
      <w:r>
        <w:rPr>
          <w:rFonts w:hint="eastAsia" w:ascii="宋体" w:hAnsi="宋体" w:eastAsia="宋体" w:cs="宋体"/>
          <w:b/>
          <w:bCs/>
          <w:color w:val="auto"/>
          <w:spacing w:val="-5"/>
          <w:sz w:val="24"/>
          <w:szCs w:val="24"/>
          <w:highlight w:val="none"/>
        </w:rPr>
        <w:t>2</w:t>
      </w:r>
      <w:r>
        <w:rPr>
          <w:rFonts w:hint="eastAsia" w:ascii="宋体" w:hAnsi="宋体" w:eastAsia="宋体" w:cs="宋体"/>
          <w:b/>
          <w:bCs/>
          <w:color w:val="auto"/>
          <w:spacing w:val="-18"/>
          <w:sz w:val="24"/>
          <w:szCs w:val="24"/>
          <w:highlight w:val="none"/>
        </w:rPr>
        <w:t xml:space="preserve"> </w:t>
      </w:r>
      <w:r>
        <w:rPr>
          <w:rFonts w:hint="eastAsia" w:ascii="宋体" w:hAnsi="宋体" w:eastAsia="宋体" w:cs="宋体"/>
          <w:b/>
          <w:bCs/>
          <w:color w:val="auto"/>
          <w:spacing w:val="-5"/>
          <w:sz w:val="24"/>
          <w:szCs w:val="24"/>
          <w:highlight w:val="none"/>
        </w:rPr>
        <w:t>．市政基础设施工程建设项目</w:t>
      </w:r>
      <w:bookmarkEnd w:id="187"/>
      <w:bookmarkEnd w:id="188"/>
    </w:p>
    <w:p w14:paraId="5030F461">
      <w:pPr>
        <w:spacing w:before="154" w:line="22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市政基础设施工程建设项目必须执行的现行技术规范，包括且不限于：</w:t>
      </w:r>
    </w:p>
    <w:p w14:paraId="4DE29FC2">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（1）《公路路基施工技术规范》；</w:t>
      </w:r>
    </w:p>
    <w:p w14:paraId="177C7D7F">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（2）《市政道路工程质量检验评定标准》；</w:t>
      </w:r>
    </w:p>
    <w:p w14:paraId="22C565D7">
      <w:pPr>
        <w:spacing w:before="154"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（3）《市政排水管渠工程质量检验评定标准》；</w:t>
      </w:r>
    </w:p>
    <w:p w14:paraId="1157CC7B">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（4）《给水排水管道工程施工及验收规范》；</w:t>
      </w:r>
    </w:p>
    <w:p w14:paraId="1C5E11BA">
      <w:pPr>
        <w:keepNext w:val="0"/>
        <w:keepLines w:val="0"/>
        <w:pageBreakBefore w:val="0"/>
        <w:widowControl w:val="0"/>
        <w:kinsoku w:val="0"/>
        <w:wordWrap/>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（5）《城市道路路基工程施工及验收规范》；</w:t>
      </w:r>
    </w:p>
    <w:p w14:paraId="7A226612">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（6）《水泥砼路面施工及验收规范》；</w:t>
      </w:r>
    </w:p>
    <w:p w14:paraId="5D84B8B8">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（7）《公路水泥砼路面施工技术规范》；</w:t>
      </w:r>
    </w:p>
    <w:p w14:paraId="40C1A6D0">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（8）《埋地硬聚氯乙烯排水管道工程技术规程》；</w:t>
      </w:r>
    </w:p>
    <w:p w14:paraId="7AFCA1A4">
      <w:pPr>
        <w:keepNext w:val="0"/>
        <w:keepLines w:val="0"/>
        <w:pageBreakBefore w:val="0"/>
        <w:widowControl w:val="0"/>
        <w:kinsoku w:val="0"/>
        <w:wordWrap/>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（9）《沥青路面施工及验收规范》；</w:t>
      </w:r>
    </w:p>
    <w:p w14:paraId="243C1F93">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（10）《广东省市政工程施工质量技术资料统一用表》。</w:t>
      </w:r>
    </w:p>
    <w:p w14:paraId="5C78561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89" w:name="_Toc8494"/>
      <w:bookmarkStart w:id="190" w:name="_Toc30781"/>
      <w:r>
        <w:rPr>
          <w:rFonts w:hint="eastAsia" w:ascii="宋体" w:hAnsi="宋体" w:eastAsia="宋体" w:cs="宋体"/>
          <w:color w:val="auto"/>
          <w:spacing w:val="-2"/>
          <w:sz w:val="24"/>
          <w:szCs w:val="24"/>
          <w:highlight w:val="none"/>
        </w:rPr>
        <w:t>（11）《建筑与市政工程无障碍通用规范》 GB 55019-2021；</w:t>
      </w:r>
      <w:bookmarkEnd w:id="189"/>
      <w:bookmarkEnd w:id="190"/>
    </w:p>
    <w:p w14:paraId="52DAE0DC">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1" w:name="_Toc31143"/>
      <w:bookmarkStart w:id="192" w:name="_Toc17383"/>
      <w:r>
        <w:rPr>
          <w:rFonts w:hint="eastAsia" w:ascii="宋体" w:hAnsi="宋体" w:eastAsia="宋体" w:cs="宋体"/>
          <w:color w:val="auto"/>
          <w:spacing w:val="-2"/>
          <w:sz w:val="24"/>
          <w:szCs w:val="24"/>
          <w:highlight w:val="none"/>
        </w:rPr>
        <w:t>（12）《建筑防火通用规范》GB 55037-2022;</w:t>
      </w:r>
      <w:bookmarkEnd w:id="191"/>
      <w:bookmarkEnd w:id="192"/>
    </w:p>
    <w:p w14:paraId="2B83FD10">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3" w:name="_Toc32476"/>
      <w:bookmarkStart w:id="194" w:name="_Toc954"/>
      <w:r>
        <w:rPr>
          <w:rFonts w:hint="eastAsia" w:ascii="宋体" w:hAnsi="宋体" w:eastAsia="宋体" w:cs="宋体"/>
          <w:color w:val="auto"/>
          <w:spacing w:val="-2"/>
          <w:sz w:val="24"/>
          <w:szCs w:val="24"/>
          <w:highlight w:val="none"/>
        </w:rPr>
        <w:t>（13）《建筑与市政工程抗震通用规范》GB55002-2001;</w:t>
      </w:r>
      <w:bookmarkEnd w:id="193"/>
      <w:bookmarkEnd w:id="194"/>
    </w:p>
    <w:p w14:paraId="543E0C60">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5" w:name="_Toc27898"/>
      <w:bookmarkStart w:id="196" w:name="_Toc7185"/>
      <w:r>
        <w:rPr>
          <w:rFonts w:hint="eastAsia" w:ascii="宋体" w:hAnsi="宋体" w:eastAsia="宋体" w:cs="宋体"/>
          <w:color w:val="auto"/>
          <w:spacing w:val="-2"/>
          <w:sz w:val="24"/>
          <w:szCs w:val="24"/>
          <w:highlight w:val="none"/>
        </w:rPr>
        <w:t>（14）《建筑与市政地基基础通用规范》GB55003-2001;</w:t>
      </w:r>
      <w:bookmarkEnd w:id="195"/>
      <w:bookmarkEnd w:id="196"/>
    </w:p>
    <w:p w14:paraId="3CDA99EC">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7" w:name="_Toc17281"/>
      <w:bookmarkStart w:id="198" w:name="_Toc29669"/>
      <w:r>
        <w:rPr>
          <w:rFonts w:hint="eastAsia" w:ascii="宋体" w:hAnsi="宋体" w:eastAsia="宋体" w:cs="宋体"/>
          <w:color w:val="auto"/>
          <w:spacing w:val="-2"/>
          <w:sz w:val="24"/>
          <w:szCs w:val="24"/>
          <w:highlight w:val="none"/>
        </w:rPr>
        <w:t>（15）《城市道路照明设计标准》（CJJ45-2015）；</w:t>
      </w:r>
      <w:bookmarkEnd w:id="197"/>
      <w:bookmarkEnd w:id="198"/>
    </w:p>
    <w:p w14:paraId="10240BBB">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9" w:name="_Toc9161"/>
      <w:bookmarkStart w:id="200" w:name="_Toc31812"/>
      <w:r>
        <w:rPr>
          <w:rFonts w:hint="eastAsia" w:ascii="宋体" w:hAnsi="宋体" w:eastAsia="宋体" w:cs="宋体"/>
          <w:color w:val="auto"/>
          <w:spacing w:val="-2"/>
          <w:sz w:val="24"/>
          <w:szCs w:val="24"/>
          <w:highlight w:val="none"/>
        </w:rPr>
        <w:t>（16）《低压配电设计规范》（GB50054-2011）；</w:t>
      </w:r>
      <w:bookmarkEnd w:id="199"/>
      <w:bookmarkEnd w:id="200"/>
    </w:p>
    <w:p w14:paraId="556AA2FB">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1" w:name="_Toc6405"/>
      <w:bookmarkStart w:id="202" w:name="_Toc18255"/>
      <w:r>
        <w:rPr>
          <w:rFonts w:hint="eastAsia" w:ascii="宋体" w:hAnsi="宋体" w:eastAsia="宋体" w:cs="宋体"/>
          <w:color w:val="auto"/>
          <w:spacing w:val="-2"/>
          <w:sz w:val="24"/>
          <w:szCs w:val="24"/>
          <w:highlight w:val="none"/>
        </w:rPr>
        <w:t>（17）《城市道路照明工程施工及验收规程》（CJJ89-2012）；</w:t>
      </w:r>
      <w:bookmarkEnd w:id="201"/>
      <w:bookmarkEnd w:id="202"/>
    </w:p>
    <w:p w14:paraId="3F0C0460">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（18）《LED 道路照明工程技术规范》（DB44/T 1898-2016）；</w:t>
      </w:r>
    </w:p>
    <w:p w14:paraId="6E32DA5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（19）《灯具第 1 部分：一般要求与试验》（GB7000.1-2015）；</w:t>
      </w:r>
    </w:p>
    <w:p w14:paraId="11201C4C">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（20）《电缆工程电缆设计标准》（GB50217-2018）；</w:t>
      </w:r>
    </w:p>
    <w:p w14:paraId="490CC959">
      <w:pPr>
        <w:keepNext w:val="0"/>
        <w:keepLines w:val="0"/>
        <w:pageBreakBefore w:val="0"/>
        <w:widowControl w:val="0"/>
        <w:kinsoku w:val="0"/>
        <w:wordWrap/>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（21）其他现行国家、广东省关于市政工程的技术及验收规范、定额、规程、标准。</w:t>
      </w:r>
    </w:p>
    <w:p w14:paraId="064D1FBE">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605D9337">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48E42484">
      <w:pPr>
        <w:keepNext w:val="0"/>
        <w:keepLines w:val="0"/>
        <w:pageBreakBefore w:val="0"/>
        <w:widowControl w:val="0"/>
        <w:kinsoku w:val="0"/>
        <w:wordWrap/>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z w:val="24"/>
          <w:szCs w:val="24"/>
          <w:highlight w:val="none"/>
        </w:rPr>
      </w:pPr>
      <w:bookmarkStart w:id="203" w:name="_Toc18496"/>
      <w:bookmarkStart w:id="204" w:name="_Toc9200"/>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．备查要求</w:t>
      </w:r>
      <w:bookmarkEnd w:id="203"/>
      <w:bookmarkEnd w:id="204"/>
    </w:p>
    <w:p w14:paraId="321BDFE1">
      <w:pPr>
        <w:keepNext w:val="0"/>
        <w:keepLines w:val="0"/>
        <w:pageBreakBefore w:val="0"/>
        <w:widowControl w:val="0"/>
        <w:kinsoku w:val="0"/>
        <w:wordWrap/>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pacing w:val="3"/>
          <w:sz w:val="24"/>
          <w:szCs w:val="24"/>
          <w:highlight w:val="none"/>
        </w:rPr>
        <w:t>承包人必须在施工现场准备至少一套上述规范，发包人和监理单位可</w:t>
      </w:r>
      <w:r>
        <w:rPr>
          <w:rFonts w:hint="eastAsia" w:ascii="宋体" w:hAnsi="宋体" w:eastAsia="宋体" w:cs="宋体"/>
          <w:color w:val="auto"/>
          <w:spacing w:val="2"/>
          <w:sz w:val="24"/>
          <w:szCs w:val="24"/>
          <w:highlight w:val="none"/>
        </w:rPr>
        <w:t>随时检查承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包人的上述规范，并监督承包人按规范要求执行。</w:t>
      </w:r>
    </w:p>
    <w:p w14:paraId="23646EE6">
      <w:pPr>
        <w:spacing w:before="78" w:line="219" w:lineRule="auto"/>
        <w:jc w:val="center"/>
        <w:outlineLvl w:val="0"/>
        <w:rPr>
          <w:rFonts w:hint="eastAsia" w:ascii="宋体" w:hAnsi="宋体" w:eastAsia="宋体" w:cs="宋体"/>
          <w:color w:val="auto"/>
          <w:sz w:val="24"/>
          <w:szCs w:val="24"/>
          <w:highlight w:val="none"/>
        </w:rPr>
      </w:pPr>
      <w:bookmarkStart w:id="205" w:name="bookmark146"/>
      <w:bookmarkEnd w:id="205"/>
      <w:bookmarkStart w:id="206" w:name="bookmark100"/>
      <w:bookmarkEnd w:id="206"/>
      <w:bookmarkStart w:id="207" w:name="_Toc23370"/>
      <w:r>
        <w:rPr>
          <w:rFonts w:hint="eastAsia" w:ascii="宋体" w:hAnsi="宋体" w:eastAsia="宋体" w:cs="宋体"/>
          <w:b/>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5"/>
          <w:sz w:val="24"/>
          <w:szCs w:val="24"/>
          <w:highlight w:val="none"/>
        </w:rPr>
        <w:t>图纸和招标工程量清单</w:t>
      </w:r>
      <w:bookmarkEnd w:id="207"/>
    </w:p>
    <w:p w14:paraId="5272F465">
      <w:pPr>
        <w:pStyle w:val="5"/>
        <w:spacing w:line="283" w:lineRule="auto"/>
        <w:rPr>
          <w:rFonts w:hint="eastAsia" w:ascii="宋体" w:hAnsi="宋体" w:eastAsia="宋体" w:cs="宋体"/>
          <w:color w:val="auto"/>
          <w:highlight w:val="none"/>
        </w:rPr>
      </w:pPr>
    </w:p>
    <w:p w14:paraId="03826DAA">
      <w:pPr>
        <w:pStyle w:val="5"/>
        <w:spacing w:line="284" w:lineRule="auto"/>
        <w:rPr>
          <w:rFonts w:hint="eastAsia" w:ascii="宋体" w:hAnsi="宋体" w:eastAsia="宋体" w:cs="宋体"/>
          <w:color w:val="auto"/>
          <w:highlight w:val="none"/>
        </w:rPr>
      </w:pPr>
    </w:p>
    <w:p w14:paraId="073A27B6">
      <w:pPr>
        <w:spacing w:before="78" w:line="219" w:lineRule="auto"/>
        <w:ind w:left="106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□有，另附复印件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有，自行网上下载(浏览)           □无</w:t>
      </w:r>
    </w:p>
    <w:p w14:paraId="461141D0">
      <w:pPr>
        <w:pStyle w:val="5"/>
        <w:spacing w:line="265" w:lineRule="auto"/>
        <w:rPr>
          <w:rFonts w:hint="eastAsia" w:ascii="宋体" w:hAnsi="宋体" w:eastAsia="宋体" w:cs="宋体"/>
          <w:color w:val="auto"/>
          <w:highlight w:val="none"/>
        </w:rPr>
      </w:pPr>
    </w:p>
    <w:p w14:paraId="132212A3">
      <w:pPr>
        <w:spacing w:before="151" w:line="222" w:lineRule="auto"/>
        <w:ind w:left="715"/>
        <w:outlineLvl w:val="2"/>
        <w:rPr>
          <w:rFonts w:hint="eastAsia" w:ascii="宋体" w:hAnsi="宋体" w:eastAsia="宋体" w:cs="宋体"/>
          <w:color w:val="auto"/>
          <w:sz w:val="24"/>
          <w:szCs w:val="24"/>
          <w:highlight w:val="none"/>
        </w:rPr>
      </w:pPr>
      <w:bookmarkStart w:id="208" w:name="_Toc30394"/>
      <w:bookmarkStart w:id="209" w:name="_Toc24446"/>
      <w:r>
        <w:rPr>
          <w:rFonts w:hint="eastAsia" w:ascii="宋体" w:hAnsi="宋体" w:eastAsia="宋体" w:cs="宋体"/>
          <w:b/>
          <w:bCs/>
          <w:color w:val="auto"/>
          <w:spacing w:val="-14"/>
          <w:sz w:val="24"/>
          <w:szCs w:val="24"/>
          <w:highlight w:val="none"/>
        </w:rPr>
        <w:t>1</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14"/>
          <w:sz w:val="24"/>
          <w:szCs w:val="24"/>
          <w:highlight w:val="none"/>
        </w:rPr>
        <w:t>．图纸</w:t>
      </w:r>
      <w:bookmarkEnd w:id="208"/>
      <w:bookmarkEnd w:id="209"/>
    </w:p>
    <w:p w14:paraId="0161C408">
      <w:pPr>
        <w:pStyle w:val="5"/>
        <w:spacing w:line="253" w:lineRule="auto"/>
        <w:ind w:firstLine="660" w:firstLineChars="300"/>
        <w:rPr>
          <w:rFonts w:hint="eastAsia" w:ascii="宋体" w:hAnsi="宋体" w:eastAsia="宋体" w:cs="宋体"/>
          <w:color w:val="auto"/>
          <w:highlight w:val="none"/>
        </w:rPr>
      </w:pPr>
      <w:r>
        <w:rPr>
          <w:rFonts w:hint="eastAsia" w:ascii="宋体" w:hAnsi="宋体" w:eastAsia="宋体" w:cs="宋体"/>
          <w:b w:val="0"/>
          <w:bCs w:val="0"/>
          <w:snapToGrid w:val="0"/>
          <w:color w:val="auto"/>
          <w:kern w:val="0"/>
          <w:sz w:val="22"/>
          <w:szCs w:val="22"/>
          <w:highlight w:val="none"/>
        </w:rPr>
        <w:t>本工程</w:t>
      </w:r>
      <w:r>
        <w:rPr>
          <w:rFonts w:hint="eastAsia" w:ascii="宋体" w:hAnsi="宋体" w:eastAsia="宋体" w:cs="宋体"/>
          <w:b w:val="0"/>
          <w:bCs w:val="0"/>
          <w:snapToGrid w:val="0"/>
          <w:color w:val="auto"/>
          <w:kern w:val="0"/>
          <w:sz w:val="22"/>
          <w:szCs w:val="22"/>
          <w:highlight w:val="none"/>
          <w:lang w:val="en-US" w:eastAsia="zh-CN"/>
        </w:rPr>
        <w:t>图纸</w:t>
      </w:r>
      <w:r>
        <w:rPr>
          <w:rFonts w:hint="eastAsia" w:ascii="宋体" w:hAnsi="宋体" w:eastAsia="宋体" w:cs="宋体"/>
          <w:b w:val="0"/>
          <w:bCs w:val="0"/>
          <w:snapToGrid w:val="0"/>
          <w:color w:val="auto"/>
          <w:kern w:val="0"/>
          <w:sz w:val="22"/>
          <w:szCs w:val="22"/>
          <w:highlight w:val="none"/>
        </w:rPr>
        <w:t>在</w:t>
      </w:r>
      <w:r>
        <w:rPr>
          <w:rFonts w:hint="eastAsia" w:ascii="宋体" w:hAnsi="宋体" w:eastAsia="宋体" w:cs="宋体"/>
          <w:b w:val="0"/>
          <w:bCs w:val="0"/>
          <w:snapToGrid w:val="0"/>
          <w:color w:val="auto"/>
          <w:kern w:val="0"/>
          <w:sz w:val="22"/>
          <w:szCs w:val="22"/>
          <w:highlight w:val="none"/>
          <w:lang w:val="en-US" w:eastAsia="zh-CN"/>
        </w:rPr>
        <w:t>投标截止时间</w:t>
      </w:r>
      <w:r>
        <w:rPr>
          <w:rFonts w:hint="eastAsia" w:ascii="宋体" w:hAnsi="宋体" w:eastAsia="宋体" w:cs="宋体"/>
          <w:b w:val="0"/>
          <w:bCs w:val="0"/>
          <w:snapToGrid w:val="0"/>
          <w:color w:val="auto"/>
          <w:kern w:val="0"/>
          <w:sz w:val="22"/>
          <w:szCs w:val="22"/>
          <w:highlight w:val="none"/>
        </w:rPr>
        <w:t>前15天</w:t>
      </w:r>
      <w:r>
        <w:rPr>
          <w:rFonts w:hint="eastAsia" w:ascii="宋体" w:hAnsi="宋体" w:eastAsia="宋体" w:cs="宋体"/>
          <w:b w:val="0"/>
          <w:bCs w:val="0"/>
          <w:snapToGrid w:val="0"/>
          <w:color w:val="auto"/>
          <w:kern w:val="0"/>
          <w:sz w:val="22"/>
          <w:szCs w:val="22"/>
          <w:highlight w:val="none"/>
          <w:lang w:val="en-US" w:eastAsia="zh-CN"/>
        </w:rPr>
        <w:t>以补充公告的形式在广东省招标投标监管网（https://www.gdzwfw.gov.cn/ztbjg-portal/#/index）、全国公共资源交易平台 （广东省 · 韶关市）（https://ygp.gdzwfw.gov.cn/ggzy-portal/#/440200/index）网站公布，各投标人可在上述网站上自行下载。</w:t>
      </w:r>
    </w:p>
    <w:p w14:paraId="4BE783AD">
      <w:pPr>
        <w:spacing w:before="79" w:line="221" w:lineRule="auto"/>
        <w:ind w:left="705"/>
        <w:outlineLvl w:val="2"/>
        <w:rPr>
          <w:rFonts w:hint="eastAsia" w:ascii="宋体" w:hAnsi="宋体" w:eastAsia="宋体" w:cs="宋体"/>
          <w:color w:val="auto"/>
          <w:sz w:val="24"/>
          <w:szCs w:val="24"/>
          <w:highlight w:val="none"/>
        </w:rPr>
      </w:pPr>
      <w:bookmarkStart w:id="210" w:name="_Toc9064"/>
      <w:bookmarkStart w:id="211" w:name="_Toc14897"/>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．招标工程量清单</w:t>
      </w:r>
      <w:bookmarkEnd w:id="210"/>
      <w:bookmarkEnd w:id="211"/>
    </w:p>
    <w:p w14:paraId="52FD4A9F">
      <w:pPr>
        <w:spacing w:before="117" w:line="312" w:lineRule="auto"/>
        <w:ind w:left="23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2.1 </w:t>
      </w:r>
      <w:r>
        <w:rPr>
          <w:rFonts w:hint="eastAsia" w:ascii="宋体" w:hAnsi="宋体" w:eastAsia="宋体" w:cs="宋体"/>
          <w:snapToGrid w:val="0"/>
          <w:color w:val="auto"/>
          <w:kern w:val="0"/>
          <w:sz w:val="22"/>
          <w:szCs w:val="22"/>
          <w:highlight w:val="none"/>
        </w:rPr>
        <w:t xml:space="preserve"> 本工程招标工程量清单在</w:t>
      </w:r>
      <w:r>
        <w:rPr>
          <w:rFonts w:hint="eastAsia" w:ascii="宋体" w:hAnsi="宋体" w:eastAsia="宋体" w:cs="宋体"/>
          <w:snapToGrid w:val="0"/>
          <w:color w:val="auto"/>
          <w:kern w:val="0"/>
          <w:sz w:val="22"/>
          <w:szCs w:val="22"/>
          <w:highlight w:val="none"/>
          <w:lang w:val="en-US" w:eastAsia="zh-CN"/>
        </w:rPr>
        <w:t>投标截止时间</w:t>
      </w:r>
      <w:r>
        <w:rPr>
          <w:rFonts w:hint="eastAsia" w:ascii="宋体" w:hAnsi="宋体" w:eastAsia="宋体" w:cs="宋体"/>
          <w:snapToGrid w:val="0"/>
          <w:color w:val="auto"/>
          <w:kern w:val="0"/>
          <w:sz w:val="22"/>
          <w:szCs w:val="22"/>
          <w:highlight w:val="none"/>
        </w:rPr>
        <w:t>前15天</w:t>
      </w:r>
      <w:r>
        <w:rPr>
          <w:rFonts w:hint="eastAsia" w:ascii="宋体" w:hAnsi="宋体" w:eastAsia="宋体" w:cs="宋体"/>
          <w:snapToGrid w:val="0"/>
          <w:color w:val="auto"/>
          <w:kern w:val="0"/>
          <w:sz w:val="22"/>
          <w:szCs w:val="22"/>
          <w:highlight w:val="none"/>
          <w:lang w:val="en-US" w:eastAsia="zh-CN"/>
        </w:rPr>
        <w:t>以补充公告的形式在广东省招标投标监管网（https://www.gdzwfw.gov.cn/ztbjg-portal/#/index）、全国公共资源交易平台 （广东省 · 韶关市）（https://ygp.gdzwfw.gov.cn/ggzy-portal/#/440200/index）网站公布，各投标人可在上述网站上自行下载。</w:t>
      </w:r>
    </w:p>
    <w:p w14:paraId="724FE6A2">
      <w:pPr>
        <w:spacing w:before="78" w:line="219" w:lineRule="auto"/>
        <w:ind w:left="478" w:firstLine="239" w:firstLineChars="100"/>
        <w:rPr>
          <w:rFonts w:hint="eastAsia" w:ascii="宋体" w:hAnsi="宋体" w:eastAsia="宋体" w:cs="宋体"/>
          <w:color w:val="auto"/>
          <w:sz w:val="24"/>
          <w:szCs w:val="24"/>
          <w:highlight w:val="none"/>
        </w:rPr>
      </w:pPr>
      <w:bookmarkStart w:id="212" w:name="bookmark147"/>
      <w:bookmarkEnd w:id="212"/>
      <w:r>
        <w:rPr>
          <w:rFonts w:hint="eastAsia" w:ascii="宋体" w:hAnsi="宋体" w:eastAsia="宋体" w:cs="宋体"/>
          <w:b/>
          <w:bCs/>
          <w:color w:val="auto"/>
          <w:spacing w:val="-1"/>
          <w:sz w:val="24"/>
          <w:szCs w:val="24"/>
          <w:highlight w:val="none"/>
        </w:rPr>
        <w:t xml:space="preserve">2.2  </w:t>
      </w:r>
      <w:r>
        <w:rPr>
          <w:rFonts w:hint="eastAsia" w:ascii="宋体" w:hAnsi="宋体" w:eastAsia="宋体" w:cs="宋体"/>
          <w:color w:val="auto"/>
          <w:spacing w:val="-1"/>
          <w:sz w:val="24"/>
          <w:szCs w:val="24"/>
          <w:highlight w:val="none"/>
        </w:rPr>
        <w:t>本工程按照以下依据编制</w:t>
      </w:r>
      <w:r>
        <w:rPr>
          <w:rFonts w:hint="eastAsia" w:ascii="宋体" w:hAnsi="宋体" w:eastAsia="宋体" w:cs="宋体"/>
          <w:color w:val="auto"/>
          <w:spacing w:val="-1"/>
          <w:sz w:val="24"/>
          <w:szCs w:val="24"/>
          <w:highlight w:val="none"/>
          <w:u w:val="single"/>
        </w:rPr>
        <w:t>招标工程量清单</w:t>
      </w:r>
      <w:r>
        <w:rPr>
          <w:rFonts w:hint="eastAsia" w:ascii="宋体" w:hAnsi="宋体" w:eastAsia="宋体" w:cs="宋体"/>
          <w:color w:val="auto"/>
          <w:spacing w:val="-1"/>
          <w:sz w:val="24"/>
          <w:szCs w:val="24"/>
          <w:highlight w:val="none"/>
          <w:u w:val="single"/>
          <w:lang w:eastAsia="zh-CN"/>
        </w:rPr>
        <w:t>、</w:t>
      </w:r>
      <w:r>
        <w:rPr>
          <w:rFonts w:hint="eastAsia" w:ascii="宋体" w:hAnsi="宋体" w:eastAsia="宋体" w:cs="宋体"/>
          <w:color w:val="auto"/>
          <w:spacing w:val="-1"/>
          <w:sz w:val="24"/>
          <w:szCs w:val="24"/>
          <w:highlight w:val="none"/>
          <w:u w:val="single"/>
          <w:lang w:val="en-US" w:eastAsia="zh-CN"/>
        </w:rPr>
        <w:t>最高投标限价</w:t>
      </w:r>
      <w:r>
        <w:rPr>
          <w:rFonts w:hint="eastAsia" w:ascii="宋体" w:hAnsi="宋体" w:eastAsia="宋体" w:cs="宋体"/>
          <w:color w:val="auto"/>
          <w:spacing w:val="-1"/>
          <w:sz w:val="24"/>
          <w:szCs w:val="24"/>
          <w:highlight w:val="none"/>
        </w:rPr>
        <w:t>：</w:t>
      </w:r>
    </w:p>
    <w:p w14:paraId="7C875D52">
      <w:pPr>
        <w:spacing w:before="12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eastAsia="zh-CN"/>
        </w:rPr>
        <w:t>《建设工程工程量清单计价标准》（GB/T50500-2024）</w:t>
      </w:r>
      <w:r>
        <w:rPr>
          <w:rFonts w:hint="eastAsia" w:ascii="宋体" w:hAnsi="宋体" w:eastAsia="宋体" w:cs="宋体"/>
          <w:color w:val="auto"/>
          <w:spacing w:val="4"/>
          <w:sz w:val="24"/>
          <w:szCs w:val="24"/>
          <w:highlight w:val="none"/>
        </w:rPr>
        <w:t>；</w:t>
      </w:r>
    </w:p>
    <w:p w14:paraId="78C71DC4">
      <w:pPr>
        <w:spacing w:before="115" w:line="299" w:lineRule="auto"/>
        <w:ind w:firstLine="49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（2）投标人应对招标人提供的工程量清单进行认真细致的复核。这种复核包括对</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招标人提供的工程量清单中的子目编码、子目名称、子</w:t>
      </w:r>
      <w:r>
        <w:rPr>
          <w:rFonts w:hint="eastAsia" w:ascii="宋体" w:hAnsi="宋体" w:eastAsia="宋体" w:cs="宋体"/>
          <w:color w:val="auto"/>
          <w:spacing w:val="-2"/>
          <w:sz w:val="24"/>
          <w:szCs w:val="24"/>
          <w:highlight w:val="none"/>
        </w:rPr>
        <w:t>目特征描述、计量单位、工程量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的准确性以及可能存在的任何书写、打印错误进行检查</w:t>
      </w:r>
      <w:r>
        <w:rPr>
          <w:rFonts w:hint="eastAsia" w:ascii="宋体" w:hAnsi="宋体" w:eastAsia="宋体" w:cs="宋体"/>
          <w:color w:val="auto"/>
          <w:spacing w:val="-2"/>
          <w:sz w:val="24"/>
          <w:szCs w:val="24"/>
          <w:highlight w:val="none"/>
        </w:rPr>
        <w:t>和复核，特别是对“分部分项工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程量清单与计价表”中每个工作子目的工程量进</w:t>
      </w:r>
      <w:r>
        <w:rPr>
          <w:rFonts w:hint="eastAsia" w:ascii="宋体" w:hAnsi="宋体" w:eastAsia="宋体" w:cs="宋体"/>
          <w:color w:val="auto"/>
          <w:spacing w:val="-2"/>
          <w:sz w:val="24"/>
          <w:szCs w:val="24"/>
          <w:highlight w:val="none"/>
        </w:rPr>
        <w:t>行重新计算和校核。如果投标人经过检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查和复核以后认为招标人提供的工程量清单存在</w:t>
      </w:r>
      <w:r>
        <w:rPr>
          <w:rFonts w:hint="eastAsia" w:ascii="宋体" w:hAnsi="宋体" w:eastAsia="宋体" w:cs="宋体"/>
          <w:color w:val="auto"/>
          <w:spacing w:val="-2"/>
          <w:sz w:val="24"/>
          <w:szCs w:val="24"/>
          <w:highlight w:val="none"/>
        </w:rPr>
        <w:t>差异，则投标人应将此类差异的详细情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况连同按“投标须知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”规定提交的要求招标人澄清的其他</w:t>
      </w:r>
      <w:r>
        <w:rPr>
          <w:rFonts w:hint="eastAsia" w:ascii="宋体" w:hAnsi="宋体" w:eastAsia="宋体" w:cs="宋体"/>
          <w:color w:val="auto"/>
          <w:spacing w:val="-9"/>
          <w:sz w:val="24"/>
          <w:szCs w:val="24"/>
          <w:highlight w:val="none"/>
        </w:rPr>
        <w:t>问题一起提交给招标人，招标人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将根据实际情况决定是否颁发</w:t>
      </w:r>
      <w:r>
        <w:rPr>
          <w:rFonts w:hint="eastAsia" w:ascii="宋体" w:hAnsi="宋体" w:eastAsia="宋体" w:cs="宋体"/>
          <w:color w:val="auto"/>
          <w:spacing w:val="-2"/>
          <w:sz w:val="24"/>
          <w:szCs w:val="24"/>
          <w:highlight w:val="none"/>
          <w:u w:val="single"/>
        </w:rPr>
        <w:t>工程量清单</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8"/>
          <w:sz w:val="24"/>
          <w:szCs w:val="24"/>
          <w:highlight w:val="none"/>
          <w:lang w:val="en-US" w:eastAsia="zh-CN"/>
        </w:rPr>
        <w:t>最高投标限价</w:t>
      </w:r>
      <w:r>
        <w:rPr>
          <w:rFonts w:hint="eastAsia" w:ascii="宋体" w:hAnsi="宋体" w:eastAsia="宋体" w:cs="宋体"/>
          <w:color w:val="auto"/>
          <w:spacing w:val="-8"/>
          <w:sz w:val="24"/>
          <w:szCs w:val="24"/>
          <w:highlight w:val="none"/>
        </w:rPr>
        <w:t>的</w:t>
      </w:r>
      <w:r>
        <w:rPr>
          <w:rFonts w:hint="eastAsia" w:ascii="宋体" w:hAnsi="宋体" w:eastAsia="宋体" w:cs="宋体"/>
          <w:color w:val="auto"/>
          <w:spacing w:val="-2"/>
          <w:sz w:val="24"/>
          <w:szCs w:val="24"/>
          <w:highlight w:val="none"/>
        </w:rPr>
        <w:t>补充和(或)修改文件。</w:t>
      </w:r>
    </w:p>
    <w:p w14:paraId="033DF675">
      <w:pPr>
        <w:spacing w:before="79" w:line="263" w:lineRule="auto"/>
        <w:ind w:left="2" w:right="2"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（3）本招标工程量清单措施项目中的</w:t>
      </w:r>
      <w:r>
        <w:rPr>
          <w:rFonts w:hint="eastAsia" w:ascii="宋体" w:hAnsi="宋体" w:eastAsia="宋体" w:cs="宋体"/>
          <w:b/>
          <w:bCs/>
          <w:color w:val="auto"/>
          <w:spacing w:val="-6"/>
          <w:sz w:val="24"/>
          <w:szCs w:val="24"/>
          <w:highlight w:val="none"/>
          <w:u w:val="single"/>
        </w:rPr>
        <w:t>暂列金额、暂估价</w:t>
      </w:r>
      <w:r>
        <w:rPr>
          <w:rFonts w:hint="eastAsia" w:ascii="宋体" w:hAnsi="宋体" w:eastAsia="宋体" w:cs="宋体"/>
          <w:color w:val="auto"/>
          <w:spacing w:val="-2"/>
          <w:sz w:val="24"/>
          <w:szCs w:val="24"/>
          <w:highlight w:val="none"/>
        </w:rPr>
        <w:t>不得作为竞争性费用，投标报价必须按本招标工程量清</w:t>
      </w:r>
      <w:r>
        <w:rPr>
          <w:rFonts w:hint="eastAsia" w:ascii="宋体" w:hAnsi="宋体" w:eastAsia="宋体" w:cs="宋体"/>
          <w:color w:val="auto"/>
          <w:spacing w:val="-3"/>
          <w:sz w:val="24"/>
          <w:szCs w:val="24"/>
          <w:highlight w:val="none"/>
        </w:rPr>
        <w:t>单规定</w:t>
      </w:r>
      <w:r>
        <w:rPr>
          <w:rFonts w:hint="eastAsia" w:ascii="宋体" w:hAnsi="宋体" w:eastAsia="宋体" w:cs="宋体"/>
          <w:color w:val="auto"/>
          <w:spacing w:val="-2"/>
          <w:sz w:val="24"/>
          <w:szCs w:val="24"/>
          <w:highlight w:val="none"/>
        </w:rPr>
        <w:t>的金额填</w:t>
      </w:r>
      <w:r>
        <w:rPr>
          <w:rFonts w:hint="eastAsia" w:ascii="宋体" w:hAnsi="宋体" w:eastAsia="宋体" w:cs="宋体"/>
          <w:color w:val="auto"/>
          <w:spacing w:val="-3"/>
          <w:sz w:val="24"/>
          <w:szCs w:val="24"/>
          <w:highlight w:val="none"/>
        </w:rPr>
        <w:t>报。</w:t>
      </w:r>
    </w:p>
    <w:p w14:paraId="1707B3B4">
      <w:pPr>
        <w:spacing w:before="118" w:line="265" w:lineRule="auto"/>
        <w:ind w:left="7" w:right="4"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0"/>
          <w:sz w:val="24"/>
          <w:szCs w:val="24"/>
          <w:highlight w:val="none"/>
        </w:rPr>
        <w:t>投标报价使用的表格格式须按照《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578ADF31">
      <w:pPr>
        <w:spacing w:before="107" w:line="286" w:lineRule="auto"/>
        <w:ind w:right="4"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（5）《广东省建设工程计价依据（2018）》。具体包括：《广东省房屋建筑与装</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
          <w:sz w:val="24"/>
          <w:szCs w:val="24"/>
          <w:highlight w:val="none"/>
        </w:rPr>
        <w:t>饰工程综合定额（2018）》《广东省市政工程综合定额</w:t>
      </w:r>
      <w:r>
        <w:rPr>
          <w:rFonts w:hint="eastAsia" w:ascii="宋体" w:hAnsi="宋体" w:eastAsia="宋体" w:cs="宋体"/>
          <w:color w:val="auto"/>
          <w:spacing w:val="-2"/>
          <w:sz w:val="24"/>
          <w:szCs w:val="24"/>
          <w:highlight w:val="none"/>
        </w:rPr>
        <w:t>（2018）》《广东省通用安装工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程综合定额（2018）》《广东省园林绿化工程综合定额</w:t>
      </w:r>
      <w:r>
        <w:rPr>
          <w:rFonts w:hint="eastAsia" w:ascii="宋体" w:hAnsi="宋体" w:eastAsia="宋体" w:cs="宋体"/>
          <w:color w:val="auto"/>
          <w:spacing w:val="-2"/>
          <w:sz w:val="24"/>
          <w:szCs w:val="24"/>
          <w:highlight w:val="none"/>
        </w:rPr>
        <w:t>（2018）》《广东省建设工程施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工机具台班费用编制规则（2018）》等；</w:t>
      </w:r>
    </w:p>
    <w:p w14:paraId="385C0204">
      <w:pPr>
        <w:spacing w:before="146" w:line="221"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（6）施工图及相关资料；</w:t>
      </w:r>
    </w:p>
    <w:p w14:paraId="4FAB769D">
      <w:pPr>
        <w:spacing w:before="153"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（7）招标文件；</w:t>
      </w:r>
    </w:p>
    <w:p w14:paraId="49618376">
      <w:pPr>
        <w:spacing w:before="155"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（8）施工现场情况、地勘水文资料、工程特点及常规施工方案；</w:t>
      </w:r>
    </w:p>
    <w:p w14:paraId="3BAAB8E4">
      <w:pPr>
        <w:spacing w:before="15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（9）与建设工程有关的标准、规范、技术资料、材料设备信息价或市场价格等</w:t>
      </w:r>
      <w:r>
        <w:rPr>
          <w:rFonts w:hint="eastAsia" w:ascii="宋体" w:hAnsi="宋体" w:eastAsia="宋体" w:cs="宋体"/>
          <w:color w:val="auto"/>
          <w:spacing w:val="-2"/>
          <w:sz w:val="24"/>
          <w:szCs w:val="24"/>
          <w:highlight w:val="none"/>
        </w:rPr>
        <w:t>。</w:t>
      </w:r>
    </w:p>
    <w:p w14:paraId="1543008A">
      <w:pPr>
        <w:spacing w:line="219" w:lineRule="auto"/>
        <w:rPr>
          <w:rFonts w:hint="eastAsia" w:ascii="宋体" w:hAnsi="宋体" w:eastAsia="宋体" w:cs="宋体"/>
          <w:color w:val="auto"/>
          <w:sz w:val="24"/>
          <w:szCs w:val="24"/>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79C3B90F">
      <w:pPr>
        <w:pStyle w:val="5"/>
        <w:spacing w:line="304" w:lineRule="auto"/>
        <w:rPr>
          <w:rFonts w:hint="eastAsia" w:ascii="宋体" w:hAnsi="宋体" w:eastAsia="宋体" w:cs="宋体"/>
          <w:color w:val="auto"/>
          <w:highlight w:val="none"/>
        </w:rPr>
      </w:pPr>
    </w:p>
    <w:p w14:paraId="5BB41921">
      <w:pPr>
        <w:spacing w:before="78" w:line="219" w:lineRule="auto"/>
        <w:ind w:left="3357"/>
        <w:outlineLvl w:val="0"/>
        <w:rPr>
          <w:rFonts w:hint="eastAsia" w:ascii="宋体" w:hAnsi="宋体" w:eastAsia="宋体" w:cs="宋体"/>
          <w:color w:val="auto"/>
          <w:sz w:val="24"/>
          <w:szCs w:val="24"/>
          <w:highlight w:val="none"/>
        </w:rPr>
      </w:pPr>
      <w:bookmarkStart w:id="213" w:name="_Toc13354"/>
      <w:r>
        <w:rPr>
          <w:rFonts w:hint="eastAsia" w:ascii="宋体" w:hAnsi="宋体" w:eastAsia="宋体" w:cs="宋体"/>
          <w:b/>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投标文件格式</w:t>
      </w:r>
      <w:bookmarkEnd w:id="213"/>
    </w:p>
    <w:p w14:paraId="25F99CED">
      <w:pPr>
        <w:pStyle w:val="5"/>
        <w:spacing w:line="302" w:lineRule="auto"/>
        <w:jc w:val="right"/>
        <w:rPr>
          <w:rFonts w:hint="eastAsia" w:ascii="宋体" w:hAnsi="宋体" w:eastAsia="宋体" w:cs="宋体"/>
          <w:color w:val="auto"/>
          <w:highlight w:val="none"/>
        </w:rPr>
      </w:pPr>
    </w:p>
    <w:p w14:paraId="582E16A0">
      <w:pPr>
        <w:spacing w:before="78" w:line="220" w:lineRule="auto"/>
        <w:outlineLvl w:val="2"/>
        <w:rPr>
          <w:rFonts w:hint="eastAsia" w:ascii="宋体" w:hAnsi="宋体" w:eastAsia="宋体" w:cs="宋体"/>
          <w:color w:val="auto"/>
          <w:sz w:val="24"/>
          <w:szCs w:val="24"/>
          <w:highlight w:val="none"/>
        </w:rPr>
      </w:pPr>
      <w:bookmarkStart w:id="214" w:name="_Toc10257"/>
      <w:r>
        <w:rPr>
          <w:rFonts w:hint="eastAsia" w:ascii="宋体" w:hAnsi="宋体" w:eastAsia="宋体" w:cs="宋体"/>
          <w:b/>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封面</w:t>
      </w:r>
      <w:bookmarkEnd w:id="214"/>
    </w:p>
    <w:p w14:paraId="337B92A4">
      <w:pPr>
        <w:pStyle w:val="5"/>
        <w:spacing w:line="258" w:lineRule="auto"/>
        <w:rPr>
          <w:rFonts w:hint="eastAsia" w:ascii="宋体" w:hAnsi="宋体" w:eastAsia="宋体" w:cs="宋体"/>
          <w:color w:val="auto"/>
          <w:highlight w:val="none"/>
        </w:rPr>
      </w:pPr>
    </w:p>
    <w:p w14:paraId="24EC8D50">
      <w:pPr>
        <w:pStyle w:val="5"/>
        <w:spacing w:line="259" w:lineRule="auto"/>
        <w:rPr>
          <w:rFonts w:hint="eastAsia" w:ascii="宋体" w:hAnsi="宋体" w:eastAsia="宋体" w:cs="宋体"/>
          <w:color w:val="auto"/>
          <w:highlight w:val="none"/>
        </w:rPr>
      </w:pPr>
    </w:p>
    <w:p w14:paraId="5E09F2E5">
      <w:pPr>
        <w:pStyle w:val="5"/>
        <w:spacing w:line="259" w:lineRule="auto"/>
        <w:rPr>
          <w:rFonts w:hint="eastAsia" w:ascii="宋体" w:hAnsi="宋体" w:eastAsia="宋体" w:cs="宋体"/>
          <w:color w:val="auto"/>
          <w:highlight w:val="none"/>
        </w:rPr>
      </w:pPr>
    </w:p>
    <w:p w14:paraId="01C3DB48">
      <w:pPr>
        <w:spacing w:before="153" w:line="225" w:lineRule="auto"/>
        <w:ind w:left="-1" w:leftChars="0" w:firstLine="0" w:firstLineChars="0"/>
        <w:jc w:val="center"/>
        <w:rPr>
          <w:rFonts w:hint="eastAsia" w:ascii="宋体" w:hAnsi="宋体" w:eastAsia="宋体" w:cs="宋体"/>
          <w:color w:val="auto"/>
          <w:sz w:val="47"/>
          <w:szCs w:val="47"/>
          <w:highlight w:val="none"/>
        </w:rPr>
      </w:pPr>
      <w:r>
        <w:rPr>
          <w:rFonts w:hint="eastAsia" w:ascii="宋体" w:hAnsi="宋体" w:eastAsia="宋体" w:cs="宋体"/>
          <w:b/>
          <w:bCs/>
          <w:color w:val="auto"/>
          <w:spacing w:val="8"/>
          <w:sz w:val="47"/>
          <w:szCs w:val="47"/>
          <w:highlight w:val="none"/>
          <w:u w:val="single"/>
          <w:lang w:val="en-US" w:eastAsia="zh-CN"/>
        </w:rPr>
        <w:t xml:space="preserve">       </w:t>
      </w:r>
      <w:r>
        <w:rPr>
          <w:rFonts w:hint="eastAsia" w:ascii="宋体" w:hAnsi="宋体" w:eastAsia="宋体" w:cs="宋体"/>
          <w:b/>
          <w:bCs/>
          <w:color w:val="auto"/>
          <w:spacing w:val="8"/>
          <w:sz w:val="47"/>
          <w:szCs w:val="47"/>
          <w:highlight w:val="none"/>
          <w:u w:val="single"/>
        </w:rPr>
        <w:t>（项目名称</w:t>
      </w:r>
      <w:r>
        <w:rPr>
          <w:rFonts w:hint="eastAsia" w:ascii="宋体" w:hAnsi="宋体" w:eastAsia="宋体" w:cs="宋体"/>
          <w:b/>
          <w:bCs/>
          <w:color w:val="auto"/>
          <w:spacing w:val="-32"/>
          <w:sz w:val="47"/>
          <w:szCs w:val="47"/>
          <w:highlight w:val="none"/>
          <w:u w:val="single"/>
        </w:rPr>
        <w:t>）</w:t>
      </w:r>
      <w:r>
        <w:rPr>
          <w:rFonts w:hint="eastAsia" w:ascii="宋体" w:hAnsi="宋体" w:eastAsia="宋体" w:cs="宋体"/>
          <w:b/>
          <w:bCs/>
          <w:color w:val="auto"/>
          <w:spacing w:val="-32"/>
          <w:sz w:val="47"/>
          <w:szCs w:val="47"/>
          <w:highlight w:val="none"/>
          <w:u w:val="none"/>
          <w:lang w:val="en-US" w:eastAsia="zh-CN"/>
        </w:rPr>
        <w:t>施工</w:t>
      </w:r>
      <w:r>
        <w:rPr>
          <w:rFonts w:hint="eastAsia" w:ascii="宋体" w:hAnsi="宋体" w:eastAsia="宋体" w:cs="宋体"/>
          <w:b/>
          <w:bCs/>
          <w:color w:val="auto"/>
          <w:spacing w:val="8"/>
          <w:sz w:val="47"/>
          <w:szCs w:val="47"/>
          <w:highlight w:val="none"/>
        </w:rPr>
        <w:t>招标</w:t>
      </w:r>
    </w:p>
    <w:p w14:paraId="3A2693C3">
      <w:pPr>
        <w:pStyle w:val="5"/>
        <w:spacing w:line="247" w:lineRule="auto"/>
        <w:rPr>
          <w:rFonts w:hint="eastAsia" w:ascii="宋体" w:hAnsi="宋体" w:eastAsia="宋体" w:cs="宋体"/>
          <w:color w:val="auto"/>
          <w:highlight w:val="none"/>
        </w:rPr>
      </w:pPr>
    </w:p>
    <w:p w14:paraId="1EC0A8E7">
      <w:pPr>
        <w:pStyle w:val="5"/>
        <w:spacing w:line="247" w:lineRule="auto"/>
        <w:rPr>
          <w:rFonts w:hint="eastAsia" w:ascii="宋体" w:hAnsi="宋体" w:eastAsia="宋体" w:cs="宋体"/>
          <w:color w:val="auto"/>
          <w:highlight w:val="none"/>
        </w:rPr>
      </w:pPr>
    </w:p>
    <w:p w14:paraId="362DDC44">
      <w:pPr>
        <w:pStyle w:val="5"/>
        <w:spacing w:line="247" w:lineRule="auto"/>
        <w:rPr>
          <w:rFonts w:hint="eastAsia" w:ascii="宋体" w:hAnsi="宋体" w:eastAsia="宋体" w:cs="宋体"/>
          <w:color w:val="auto"/>
          <w:highlight w:val="none"/>
        </w:rPr>
      </w:pPr>
    </w:p>
    <w:p w14:paraId="60414805">
      <w:pPr>
        <w:pStyle w:val="5"/>
        <w:spacing w:line="247" w:lineRule="auto"/>
        <w:rPr>
          <w:rFonts w:hint="eastAsia" w:ascii="宋体" w:hAnsi="宋体" w:eastAsia="宋体" w:cs="宋体"/>
          <w:color w:val="auto"/>
          <w:highlight w:val="none"/>
        </w:rPr>
      </w:pPr>
    </w:p>
    <w:p w14:paraId="0AD04100">
      <w:pPr>
        <w:pStyle w:val="5"/>
        <w:spacing w:line="248" w:lineRule="auto"/>
        <w:rPr>
          <w:rFonts w:hint="eastAsia" w:ascii="宋体" w:hAnsi="宋体" w:eastAsia="宋体" w:cs="宋体"/>
          <w:color w:val="auto"/>
          <w:highlight w:val="none"/>
        </w:rPr>
      </w:pPr>
    </w:p>
    <w:p w14:paraId="2AB02676">
      <w:pPr>
        <w:spacing w:before="231" w:line="223" w:lineRule="auto"/>
        <w:jc w:val="center"/>
        <w:rPr>
          <w:rFonts w:hint="eastAsia" w:ascii="宋体" w:hAnsi="宋体" w:eastAsia="宋体" w:cs="宋体"/>
          <w:color w:val="auto"/>
          <w:sz w:val="71"/>
          <w:szCs w:val="71"/>
          <w:highlight w:val="none"/>
        </w:rPr>
      </w:pPr>
      <w:r>
        <w:rPr>
          <w:rFonts w:hint="eastAsia" w:ascii="宋体" w:hAnsi="宋体" w:eastAsia="宋体" w:cs="宋体"/>
          <w:b/>
          <w:bCs/>
          <w:color w:val="auto"/>
          <w:spacing w:val="-26"/>
          <w:sz w:val="71"/>
          <w:szCs w:val="71"/>
          <w:highlight w:val="none"/>
        </w:rPr>
        <w:t>投</w:t>
      </w:r>
      <w:r>
        <w:rPr>
          <w:rFonts w:hint="eastAsia" w:ascii="宋体" w:hAnsi="宋体" w:eastAsia="宋体" w:cs="宋体"/>
          <w:color w:val="auto"/>
          <w:spacing w:val="22"/>
          <w:sz w:val="71"/>
          <w:szCs w:val="71"/>
          <w:highlight w:val="none"/>
        </w:rPr>
        <w:t xml:space="preserve">  </w:t>
      </w:r>
      <w:r>
        <w:rPr>
          <w:rFonts w:hint="eastAsia" w:ascii="宋体" w:hAnsi="宋体" w:eastAsia="宋体" w:cs="宋体"/>
          <w:b/>
          <w:bCs/>
          <w:color w:val="auto"/>
          <w:spacing w:val="-26"/>
          <w:sz w:val="71"/>
          <w:szCs w:val="71"/>
          <w:highlight w:val="none"/>
        </w:rPr>
        <w:t>标</w:t>
      </w:r>
      <w:r>
        <w:rPr>
          <w:rFonts w:hint="eastAsia" w:ascii="宋体" w:hAnsi="宋体" w:eastAsia="宋体" w:cs="宋体"/>
          <w:color w:val="auto"/>
          <w:spacing w:val="23"/>
          <w:sz w:val="71"/>
          <w:szCs w:val="71"/>
          <w:highlight w:val="none"/>
        </w:rPr>
        <w:t xml:space="preserve">  </w:t>
      </w:r>
      <w:r>
        <w:rPr>
          <w:rFonts w:hint="eastAsia" w:ascii="宋体" w:hAnsi="宋体" w:eastAsia="宋体" w:cs="宋体"/>
          <w:b/>
          <w:bCs/>
          <w:color w:val="auto"/>
          <w:spacing w:val="-26"/>
          <w:sz w:val="71"/>
          <w:szCs w:val="71"/>
          <w:highlight w:val="none"/>
        </w:rPr>
        <w:t>文</w:t>
      </w:r>
      <w:r>
        <w:rPr>
          <w:rFonts w:hint="eastAsia" w:ascii="宋体" w:hAnsi="宋体" w:eastAsia="宋体" w:cs="宋体"/>
          <w:color w:val="auto"/>
          <w:spacing w:val="19"/>
          <w:sz w:val="71"/>
          <w:szCs w:val="71"/>
          <w:highlight w:val="none"/>
        </w:rPr>
        <w:t xml:space="preserve">  </w:t>
      </w:r>
      <w:r>
        <w:rPr>
          <w:rFonts w:hint="eastAsia" w:ascii="宋体" w:hAnsi="宋体" w:eastAsia="宋体" w:cs="宋体"/>
          <w:b/>
          <w:bCs/>
          <w:color w:val="auto"/>
          <w:spacing w:val="-26"/>
          <w:sz w:val="71"/>
          <w:szCs w:val="71"/>
          <w:highlight w:val="none"/>
        </w:rPr>
        <w:t>件</w:t>
      </w:r>
    </w:p>
    <w:p w14:paraId="14FDC717">
      <w:pPr>
        <w:pStyle w:val="5"/>
        <w:spacing w:line="293" w:lineRule="auto"/>
        <w:rPr>
          <w:rFonts w:hint="eastAsia" w:ascii="宋体" w:hAnsi="宋体" w:eastAsia="宋体" w:cs="宋体"/>
          <w:color w:val="auto"/>
          <w:highlight w:val="none"/>
        </w:rPr>
      </w:pPr>
    </w:p>
    <w:p w14:paraId="28A25864">
      <w:pPr>
        <w:pStyle w:val="5"/>
        <w:spacing w:line="293" w:lineRule="auto"/>
        <w:rPr>
          <w:rFonts w:hint="eastAsia" w:ascii="宋体" w:hAnsi="宋体" w:eastAsia="宋体" w:cs="宋体"/>
          <w:color w:val="auto"/>
          <w:highlight w:val="none"/>
        </w:rPr>
      </w:pPr>
    </w:p>
    <w:p w14:paraId="4B6F3DF5">
      <w:pPr>
        <w:spacing w:before="152" w:line="223" w:lineRule="auto"/>
        <w:jc w:val="center"/>
        <w:rPr>
          <w:rFonts w:hint="eastAsia" w:ascii="宋体" w:hAnsi="宋体" w:eastAsia="宋体" w:cs="宋体"/>
          <w:b/>
          <w:bCs/>
          <w:color w:val="auto"/>
          <w:spacing w:val="2"/>
          <w:sz w:val="47"/>
          <w:szCs w:val="47"/>
          <w:highlight w:val="none"/>
        </w:rPr>
      </w:pPr>
      <w:bookmarkStart w:id="215" w:name="bookmark105"/>
      <w:bookmarkEnd w:id="215"/>
      <w:r>
        <w:rPr>
          <w:rFonts w:hint="eastAsia" w:ascii="宋体" w:hAnsi="宋体" w:eastAsia="宋体" w:cs="宋体"/>
          <w:b/>
          <w:bCs/>
          <w:color w:val="auto"/>
          <w:spacing w:val="2"/>
          <w:sz w:val="47"/>
          <w:szCs w:val="47"/>
          <w:highlight w:val="none"/>
        </w:rPr>
        <w:t>（商务标书／经济标书／施工组织设计）</w:t>
      </w:r>
    </w:p>
    <w:p w14:paraId="2ABDBBE6">
      <w:pPr>
        <w:bidi w:val="0"/>
        <w:rPr>
          <w:rFonts w:hint="eastAsia"/>
          <w:color w:val="auto"/>
          <w:highlight w:val="none"/>
        </w:rPr>
      </w:pPr>
    </w:p>
    <w:p w14:paraId="1CCC4A43">
      <w:pPr>
        <w:bidi w:val="0"/>
        <w:rPr>
          <w:rFonts w:hint="eastAsia"/>
          <w:color w:val="auto"/>
          <w:highlight w:val="none"/>
        </w:rPr>
      </w:pPr>
    </w:p>
    <w:p w14:paraId="532DDD04">
      <w:pPr>
        <w:bidi w:val="0"/>
        <w:rPr>
          <w:rFonts w:hint="eastAsia"/>
          <w:color w:val="auto"/>
          <w:highlight w:val="none"/>
        </w:rPr>
      </w:pPr>
    </w:p>
    <w:p w14:paraId="05DDCF63">
      <w:pPr>
        <w:bidi w:val="0"/>
        <w:rPr>
          <w:rFonts w:hint="eastAsia"/>
          <w:color w:val="auto"/>
          <w:highlight w:val="none"/>
        </w:rPr>
      </w:pPr>
    </w:p>
    <w:p w14:paraId="7BF71D2C">
      <w:pPr>
        <w:bidi w:val="0"/>
        <w:rPr>
          <w:rFonts w:hint="eastAsia"/>
          <w:color w:val="auto"/>
          <w:highlight w:val="none"/>
        </w:rPr>
      </w:pPr>
    </w:p>
    <w:p w14:paraId="245016CB">
      <w:pPr>
        <w:bidi w:val="0"/>
        <w:rPr>
          <w:rFonts w:hint="eastAsia"/>
          <w:color w:val="auto"/>
          <w:highlight w:val="none"/>
        </w:rPr>
      </w:pPr>
    </w:p>
    <w:p w14:paraId="6127F713">
      <w:pPr>
        <w:bidi w:val="0"/>
        <w:rPr>
          <w:rFonts w:hint="eastAsia"/>
          <w:color w:val="auto"/>
          <w:highlight w:val="none"/>
        </w:rPr>
      </w:pPr>
    </w:p>
    <w:p w14:paraId="24F958D1">
      <w:pPr>
        <w:bidi w:val="0"/>
        <w:rPr>
          <w:rFonts w:hint="eastAsia"/>
          <w:color w:val="auto"/>
          <w:highlight w:val="none"/>
        </w:rPr>
      </w:pPr>
    </w:p>
    <w:p w14:paraId="22EFBB2B">
      <w:pPr>
        <w:pStyle w:val="37"/>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4C331008">
      <w:pPr>
        <w:pStyle w:val="37"/>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2E90D405">
      <w:pPr>
        <w:pStyle w:val="37"/>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6941826">
      <w:pPr>
        <w:pStyle w:val="37"/>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0D9F07F7">
      <w:pPr>
        <w:pStyle w:val="37"/>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5EF9FD70">
      <w:pPr>
        <w:pStyle w:val="37"/>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u w:val="single"/>
        </w:rPr>
      </w:pPr>
    </w:p>
    <w:p w14:paraId="1F5F593F">
      <w:pPr>
        <w:pStyle w:val="37"/>
        <w:widowControl w:val="0"/>
        <w:wordWrap w:val="0"/>
        <w:adjustRightInd w:val="0"/>
        <w:snapToGrid w:val="0"/>
        <w:spacing w:line="360" w:lineRule="auto"/>
        <w:ind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2A9CA233">
      <w:pPr>
        <w:bidi w:val="0"/>
        <w:rPr>
          <w:rFonts w:hint="eastAsia"/>
          <w:color w:val="auto"/>
          <w:highlight w:val="none"/>
        </w:rPr>
      </w:pPr>
    </w:p>
    <w:p w14:paraId="5DA5206E">
      <w:pPr>
        <w:outlineLvl w:val="9"/>
        <w:rPr>
          <w:rFonts w:hint="eastAsia"/>
          <w:color w:val="auto"/>
          <w:highlight w:val="none"/>
        </w:rPr>
      </w:pPr>
    </w:p>
    <w:p w14:paraId="2E684E90">
      <w:pPr>
        <w:spacing w:line="223" w:lineRule="auto"/>
        <w:rPr>
          <w:rFonts w:hint="eastAsia" w:ascii="宋体" w:hAnsi="宋体" w:eastAsia="宋体" w:cs="宋体"/>
          <w:color w:val="auto"/>
          <w:sz w:val="47"/>
          <w:szCs w:val="47"/>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26BE891">
      <w:pPr>
        <w:spacing w:before="78" w:line="220" w:lineRule="auto"/>
        <w:outlineLvl w:val="2"/>
        <w:rPr>
          <w:rFonts w:hint="eastAsia" w:ascii="宋体" w:hAnsi="宋体" w:eastAsia="宋体" w:cs="宋体"/>
          <w:b/>
          <w:bCs/>
          <w:color w:val="auto"/>
          <w:spacing w:val="-4"/>
          <w:sz w:val="24"/>
          <w:szCs w:val="24"/>
          <w:highlight w:val="none"/>
        </w:rPr>
      </w:pPr>
      <w:bookmarkStart w:id="216" w:name="_Toc23059"/>
      <w:r>
        <w:rPr>
          <w:rFonts w:hint="eastAsia" w:ascii="宋体" w:hAnsi="宋体" w:eastAsia="宋体" w:cs="宋体"/>
          <w:b/>
          <w:bCs/>
          <w:color w:val="auto"/>
          <w:spacing w:val="-4"/>
          <w:sz w:val="24"/>
          <w:szCs w:val="24"/>
          <w:highlight w:val="none"/>
        </w:rPr>
        <w:t>格式二 投标函</w:t>
      </w:r>
      <w:bookmarkEnd w:id="216"/>
    </w:p>
    <w:p w14:paraId="40772109">
      <w:pPr>
        <w:pStyle w:val="5"/>
        <w:spacing w:line="261" w:lineRule="auto"/>
        <w:rPr>
          <w:rFonts w:hint="eastAsia" w:ascii="宋体" w:hAnsi="宋体" w:eastAsia="宋体" w:cs="宋体"/>
          <w:color w:val="auto"/>
          <w:highlight w:val="none"/>
        </w:rPr>
      </w:pPr>
    </w:p>
    <w:p w14:paraId="6F295716">
      <w:pPr>
        <w:spacing w:before="97" w:line="221" w:lineRule="auto"/>
        <w:ind w:left="3799"/>
        <w:outlineLvl w:val="9"/>
        <w:rPr>
          <w:rFonts w:hint="eastAsia" w:ascii="宋体" w:hAnsi="宋体" w:eastAsia="宋体" w:cs="宋体"/>
          <w:color w:val="auto"/>
          <w:sz w:val="30"/>
          <w:szCs w:val="30"/>
          <w:highlight w:val="none"/>
        </w:rPr>
      </w:pPr>
      <w:bookmarkStart w:id="217" w:name="bookmark148"/>
      <w:bookmarkEnd w:id="217"/>
      <w:bookmarkStart w:id="218" w:name="_Toc297"/>
      <w:bookmarkStart w:id="219" w:name="_Toc27397"/>
      <w:bookmarkStart w:id="220" w:name="_Toc317"/>
      <w:r>
        <w:rPr>
          <w:rFonts w:hint="eastAsia" w:ascii="宋体" w:hAnsi="宋体" w:eastAsia="宋体" w:cs="宋体"/>
          <w:b/>
          <w:bCs/>
          <w:color w:val="auto"/>
          <w:spacing w:val="-13"/>
          <w:sz w:val="30"/>
          <w:szCs w:val="30"/>
          <w:highlight w:val="none"/>
        </w:rPr>
        <w:t>投</w:t>
      </w:r>
      <w:r>
        <w:rPr>
          <w:rFonts w:hint="eastAsia" w:ascii="宋体" w:hAnsi="宋体" w:eastAsia="宋体" w:cs="宋体"/>
          <w:color w:val="auto"/>
          <w:spacing w:val="6"/>
          <w:sz w:val="30"/>
          <w:szCs w:val="30"/>
          <w:highlight w:val="none"/>
        </w:rPr>
        <w:t xml:space="preserve">  </w:t>
      </w:r>
      <w:r>
        <w:rPr>
          <w:rFonts w:hint="eastAsia" w:ascii="宋体" w:hAnsi="宋体" w:eastAsia="宋体" w:cs="宋体"/>
          <w:b/>
          <w:bCs/>
          <w:color w:val="auto"/>
          <w:spacing w:val="-13"/>
          <w:sz w:val="30"/>
          <w:szCs w:val="30"/>
          <w:highlight w:val="none"/>
        </w:rPr>
        <w:t>标</w:t>
      </w:r>
      <w:r>
        <w:rPr>
          <w:rFonts w:hint="eastAsia" w:ascii="宋体" w:hAnsi="宋体" w:eastAsia="宋体" w:cs="宋体"/>
          <w:color w:val="auto"/>
          <w:spacing w:val="17"/>
          <w:sz w:val="30"/>
          <w:szCs w:val="30"/>
          <w:highlight w:val="none"/>
        </w:rPr>
        <w:t xml:space="preserve">  </w:t>
      </w:r>
      <w:r>
        <w:rPr>
          <w:rFonts w:hint="eastAsia" w:ascii="宋体" w:hAnsi="宋体" w:eastAsia="宋体" w:cs="宋体"/>
          <w:b/>
          <w:bCs/>
          <w:color w:val="auto"/>
          <w:spacing w:val="-13"/>
          <w:sz w:val="30"/>
          <w:szCs w:val="30"/>
          <w:highlight w:val="none"/>
        </w:rPr>
        <w:t>函</w:t>
      </w:r>
      <w:bookmarkEnd w:id="218"/>
      <w:bookmarkEnd w:id="219"/>
      <w:bookmarkEnd w:id="220"/>
    </w:p>
    <w:p w14:paraId="5C6C84D2">
      <w:pPr>
        <w:pStyle w:val="5"/>
        <w:spacing w:line="249" w:lineRule="auto"/>
        <w:rPr>
          <w:rFonts w:hint="eastAsia" w:ascii="宋体" w:hAnsi="宋体" w:eastAsia="宋体" w:cs="宋体"/>
          <w:color w:val="auto"/>
          <w:highlight w:val="none"/>
        </w:rPr>
      </w:pPr>
    </w:p>
    <w:p w14:paraId="3E9AC2B2">
      <w:pPr>
        <w:pStyle w:val="5"/>
        <w:spacing w:line="250" w:lineRule="auto"/>
        <w:rPr>
          <w:rFonts w:hint="eastAsia" w:ascii="宋体" w:hAnsi="宋体" w:eastAsia="宋体" w:cs="宋体"/>
          <w:color w:val="auto"/>
          <w:highlight w:val="none"/>
        </w:rPr>
      </w:pPr>
    </w:p>
    <w:p w14:paraId="495E533E">
      <w:pPr>
        <w:pStyle w:val="5"/>
        <w:spacing w:line="250" w:lineRule="auto"/>
        <w:rPr>
          <w:rFonts w:hint="eastAsia" w:ascii="宋体" w:hAnsi="宋体" w:eastAsia="宋体" w:cs="宋体"/>
          <w:color w:val="auto"/>
          <w:highlight w:val="none"/>
        </w:rPr>
      </w:pPr>
    </w:p>
    <w:p w14:paraId="455F5177">
      <w:pPr>
        <w:spacing w:before="78" w:line="221"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30"/>
          <w:sz w:val="24"/>
          <w:szCs w:val="24"/>
          <w:highlight w:val="none"/>
          <w:u w:val="single"/>
          <w:lang w:val="en-US" w:eastAsia="zh-CN"/>
        </w:rPr>
        <w:t xml:space="preserve">                    </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7"/>
          <w:sz w:val="24"/>
          <w:szCs w:val="24"/>
          <w:highlight w:val="none"/>
        </w:rPr>
        <w:t>招标人名称）</w:t>
      </w:r>
    </w:p>
    <w:p w14:paraId="24E37E18">
      <w:pPr>
        <w:pStyle w:val="5"/>
        <w:spacing w:before="156" w:line="328" w:lineRule="auto"/>
        <w:ind w:left="9" w:right="142" w:firstLine="58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我方考察现场并充分研究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rPr>
        <w:t>以下简称“本项目</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z w:val="24"/>
          <w:szCs w:val="24"/>
          <w:highlight w:val="none"/>
        </w:rPr>
        <w:t>”）施工招标文件</w:t>
      </w:r>
      <w:r>
        <w:rPr>
          <w:rFonts w:hint="eastAsia" w:ascii="宋体" w:hAnsi="宋体" w:eastAsia="宋体" w:cs="宋体"/>
          <w:color w:val="auto"/>
          <w:spacing w:val="-2"/>
          <w:sz w:val="24"/>
          <w:szCs w:val="24"/>
          <w:highlight w:val="none"/>
        </w:rPr>
        <w:t>所有内容后，结合自身资质、能力和特点，愿意接受招标文件的全部内容和条件，兹以</w:t>
      </w:r>
      <w:r>
        <w:rPr>
          <w:rFonts w:hint="eastAsia" w:ascii="宋体" w:hAnsi="宋体" w:eastAsia="宋体" w:cs="宋体"/>
          <w:color w:val="auto"/>
          <w:spacing w:val="-5"/>
          <w:sz w:val="24"/>
          <w:szCs w:val="24"/>
          <w:highlight w:val="none"/>
        </w:rPr>
        <w:t>人民币（大写</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的投标总价竞投本项目施工。</w:t>
      </w:r>
    </w:p>
    <w:p w14:paraId="137DD681">
      <w:pPr>
        <w:spacing w:before="39" w:line="323" w:lineRule="auto"/>
        <w:ind w:right="142" w:firstLine="5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在我方的上述投标总价中，包括：</w:t>
      </w:r>
      <w:r>
        <w:rPr>
          <w:rFonts w:hint="eastAsia" w:ascii="宋体" w:hAnsi="宋体" w:eastAsia="宋体" w:cs="宋体"/>
          <w:color w:val="auto"/>
          <w:spacing w:val="-2"/>
          <w:sz w:val="24"/>
          <w:szCs w:val="24"/>
          <w:highlight w:val="none"/>
          <w:lang w:eastAsia="zh-CN"/>
        </w:rPr>
        <w:t>安全生产措施费</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；暂列金额</w:t>
      </w:r>
      <w:r>
        <w:rPr>
          <w:rFonts w:hint="eastAsia" w:ascii="宋体" w:hAnsi="宋体" w:eastAsia="宋体" w:cs="宋体"/>
          <w:color w:val="auto"/>
          <w:spacing w:val="-2"/>
          <w:sz w:val="24"/>
          <w:szCs w:val="24"/>
          <w:highlight w:val="none"/>
          <w:u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；暂估价</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8"/>
          <w:sz w:val="24"/>
          <w:szCs w:val="24"/>
          <w:highlight w:val="none"/>
        </w:rPr>
        <w:t>。</w:t>
      </w:r>
    </w:p>
    <w:p w14:paraId="22651A12">
      <w:pPr>
        <w:spacing w:before="38" w:line="280" w:lineRule="auto"/>
        <w:ind w:left="13" w:right="142" w:firstLine="5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  如果我方中标，我方保证按照合同约定的开工日期开始本项目的施工</w:t>
      </w:r>
      <w:r>
        <w:rPr>
          <w:rFonts w:hint="eastAsia" w:ascii="宋体" w:hAnsi="宋体" w:eastAsia="宋体" w:cs="宋体"/>
          <w:color w:val="auto"/>
          <w:sz w:val="24"/>
          <w:szCs w:val="24"/>
          <w:highlight w:val="none"/>
        </w:rPr>
        <w:t>，</w:t>
      </w:r>
      <w:bookmarkStart w:id="221" w:name="OLE_LINK34"/>
      <w:r>
        <w:rPr>
          <w:rFonts w:hint="eastAsia" w:ascii="宋体" w:hAnsi="宋体" w:eastAsia="宋体" w:cs="宋体"/>
          <w:color w:val="auto"/>
          <w:sz w:val="24"/>
          <w:szCs w:val="24"/>
          <w:highlight w:val="none"/>
          <w:u w:val="single"/>
          <w:lang w:val="en-US" w:eastAsia="zh-CN"/>
        </w:rPr>
        <w:t xml:space="preserve">     </w:t>
      </w:r>
      <w:bookmarkEnd w:id="221"/>
      <w:r>
        <w:rPr>
          <w:rFonts w:hint="eastAsia" w:ascii="宋体" w:hAnsi="宋体" w:eastAsia="宋体" w:cs="宋体"/>
          <w:color w:val="auto"/>
          <w:sz w:val="24"/>
          <w:szCs w:val="24"/>
          <w:highlight w:val="none"/>
        </w:rPr>
        <w:t xml:space="preserve">个日历 </w:t>
      </w:r>
      <w:r>
        <w:rPr>
          <w:rFonts w:hint="eastAsia" w:ascii="宋体" w:hAnsi="宋体" w:eastAsia="宋体" w:cs="宋体"/>
          <w:color w:val="auto"/>
          <w:spacing w:val="-1"/>
          <w:sz w:val="24"/>
          <w:szCs w:val="24"/>
          <w:highlight w:val="none"/>
        </w:rPr>
        <w:t>天内竣工，并确保工程质量达到</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标准和维修其中的任何缺陷。</w:t>
      </w:r>
    </w:p>
    <w:p w14:paraId="67478108">
      <w:pPr>
        <w:spacing w:before="152" w:line="279" w:lineRule="auto"/>
        <w:ind w:left="11" w:right="142" w:firstLine="5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  本投标函在你方接收我方递交的投标文件之日起、到招标</w:t>
      </w:r>
      <w:r>
        <w:rPr>
          <w:rFonts w:hint="eastAsia" w:ascii="宋体" w:hAnsi="宋体" w:eastAsia="宋体" w:cs="宋体"/>
          <w:color w:val="auto"/>
          <w:sz w:val="24"/>
          <w:szCs w:val="24"/>
          <w:highlight w:val="none"/>
        </w:rPr>
        <w:t>文件规定的投标有效</w:t>
      </w:r>
      <w:r>
        <w:rPr>
          <w:rFonts w:hint="eastAsia" w:ascii="宋体" w:hAnsi="宋体" w:eastAsia="宋体" w:cs="宋体"/>
          <w:color w:val="auto"/>
          <w:spacing w:val="-1"/>
          <w:sz w:val="24"/>
          <w:szCs w:val="24"/>
          <w:highlight w:val="none"/>
        </w:rPr>
        <w:t>期期满前对我方具有约束力。我方随时准备接受你方发出的中标通知书。</w:t>
      </w:r>
    </w:p>
    <w:p w14:paraId="35CA7EC6">
      <w:pPr>
        <w:spacing w:before="156" w:line="279" w:lineRule="auto"/>
        <w:ind w:left="11" w:right="61" w:firstLine="5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．我方在此声明，我方不存在本项目招标</w:t>
      </w:r>
      <w:r>
        <w:rPr>
          <w:rFonts w:hint="eastAsia" w:ascii="宋体" w:hAnsi="宋体" w:eastAsia="宋体" w:cs="宋体"/>
          <w:color w:val="auto"/>
          <w:spacing w:val="-1"/>
          <w:sz w:val="24"/>
          <w:szCs w:val="24"/>
          <w:highlight w:val="none"/>
        </w:rPr>
        <w:t>文件第一章第三节第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2.4</w:t>
      </w:r>
      <w:r>
        <w:rPr>
          <w:rFonts w:hint="eastAsia" w:ascii="宋体" w:hAnsi="宋体" w:eastAsia="宋体" w:cs="宋体"/>
          <w:b/>
          <w:bCs/>
          <w:color w:val="auto"/>
          <w:spacing w:val="16"/>
          <w:w w:val="101"/>
          <w:sz w:val="24"/>
          <w:szCs w:val="24"/>
          <w:highlight w:val="none"/>
        </w:rPr>
        <w:t xml:space="preserve"> </w:t>
      </w:r>
      <w:r>
        <w:rPr>
          <w:rFonts w:hint="eastAsia" w:ascii="宋体" w:hAnsi="宋体" w:eastAsia="宋体" w:cs="宋体"/>
          <w:color w:val="auto"/>
          <w:spacing w:val="-1"/>
          <w:sz w:val="24"/>
          <w:szCs w:val="24"/>
          <w:highlight w:val="none"/>
        </w:rPr>
        <w:t>条“禁止投标</w:t>
      </w:r>
      <w:r>
        <w:rPr>
          <w:rFonts w:hint="eastAsia" w:ascii="宋体" w:hAnsi="宋体" w:eastAsia="宋体" w:cs="宋体"/>
          <w:color w:val="auto"/>
          <w:spacing w:val="-6"/>
          <w:sz w:val="24"/>
          <w:szCs w:val="24"/>
          <w:highlight w:val="none"/>
        </w:rPr>
        <w:t>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6"/>
          <w:sz w:val="24"/>
          <w:szCs w:val="24"/>
          <w:highlight w:val="none"/>
        </w:rPr>
        <w:t>”所列出的任何一种情形，并愿意承担因我</w:t>
      </w:r>
      <w:r>
        <w:rPr>
          <w:rFonts w:hint="eastAsia" w:ascii="宋体" w:hAnsi="宋体" w:eastAsia="宋体" w:cs="宋体"/>
          <w:color w:val="auto"/>
          <w:spacing w:val="-7"/>
          <w:sz w:val="24"/>
          <w:szCs w:val="24"/>
          <w:highlight w:val="none"/>
        </w:rPr>
        <w:t>方就此弄虚作假所引起的一切法律后果。</w:t>
      </w:r>
    </w:p>
    <w:p w14:paraId="2F18F931">
      <w:pPr>
        <w:spacing w:before="153" w:line="280" w:lineRule="auto"/>
        <w:ind w:left="9" w:right="142" w:firstLine="5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
          <w:sz w:val="24"/>
          <w:szCs w:val="24"/>
          <w:highlight w:val="none"/>
        </w:rPr>
        <w:t>．我方在此承诺，所递交投标文件的全部内容均为真实、有效、准确的，并愿意承担因我方就此弄虚作假所引起的一切法律后果，同时理解和同意有可能被要求提供更</w:t>
      </w:r>
    </w:p>
    <w:p w14:paraId="2D6FB3EB">
      <w:pPr>
        <w:spacing w:before="153" w:line="221"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多的资料。</w:t>
      </w:r>
    </w:p>
    <w:p w14:paraId="755C3D5C">
      <w:pPr>
        <w:spacing w:before="153" w:line="326" w:lineRule="auto"/>
        <w:ind w:left="13" w:firstLine="5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  我方理解你方不一定要接纳收到的最低投标总价或任何投标总价的投标人中标，</w:t>
      </w:r>
      <w:r>
        <w:rPr>
          <w:rFonts w:hint="eastAsia" w:ascii="宋体" w:hAnsi="宋体" w:eastAsia="宋体" w:cs="宋体"/>
          <w:color w:val="auto"/>
          <w:spacing w:val="-1"/>
          <w:sz w:val="24"/>
          <w:szCs w:val="24"/>
          <w:highlight w:val="none"/>
        </w:rPr>
        <w:t>也不要求你方解释我方是否中标的原因。</w:t>
      </w:r>
    </w:p>
    <w:p w14:paraId="4481F4C3">
      <w:pPr>
        <w:pStyle w:val="5"/>
        <w:spacing w:line="276" w:lineRule="auto"/>
        <w:rPr>
          <w:rFonts w:hint="eastAsia" w:ascii="宋体" w:hAnsi="宋体" w:eastAsia="宋体" w:cs="宋体"/>
          <w:color w:val="auto"/>
          <w:highlight w:val="none"/>
        </w:rPr>
      </w:pPr>
    </w:p>
    <w:p w14:paraId="4DF09BE3">
      <w:pPr>
        <w:pStyle w:val="5"/>
        <w:spacing w:line="277" w:lineRule="auto"/>
        <w:rPr>
          <w:rFonts w:hint="eastAsia" w:ascii="宋体" w:hAnsi="宋体" w:eastAsia="宋体" w:cs="宋体"/>
          <w:color w:val="auto"/>
          <w:highlight w:val="none"/>
        </w:rPr>
      </w:pPr>
    </w:p>
    <w:p w14:paraId="4768AB7D">
      <w:pPr>
        <w:pStyle w:val="5"/>
        <w:spacing w:line="277" w:lineRule="auto"/>
        <w:rPr>
          <w:rFonts w:hint="eastAsia" w:ascii="宋体" w:hAnsi="宋体" w:eastAsia="宋体" w:cs="宋体"/>
          <w:color w:val="auto"/>
          <w:highlight w:val="none"/>
        </w:rPr>
      </w:pPr>
    </w:p>
    <w:p w14:paraId="11C8B26F">
      <w:pPr>
        <w:spacing w:before="79" w:line="219" w:lineRule="auto"/>
        <w:ind w:firstLine="5856" w:firstLineChars="2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0CD6ECA7">
      <w:pPr>
        <w:pStyle w:val="5"/>
        <w:spacing w:line="256" w:lineRule="auto"/>
        <w:jc w:val="right"/>
        <w:rPr>
          <w:rFonts w:hint="eastAsia" w:ascii="宋体" w:hAnsi="宋体" w:eastAsia="宋体" w:cs="宋体"/>
          <w:color w:val="auto"/>
          <w:highlight w:val="none"/>
        </w:rPr>
      </w:pPr>
    </w:p>
    <w:p w14:paraId="5F356B60">
      <w:pPr>
        <w:pStyle w:val="5"/>
        <w:spacing w:line="256" w:lineRule="auto"/>
        <w:jc w:val="right"/>
        <w:rPr>
          <w:rFonts w:hint="eastAsia" w:ascii="宋体" w:hAnsi="宋体" w:eastAsia="宋体" w:cs="宋体"/>
          <w:color w:val="auto"/>
          <w:highlight w:val="none"/>
        </w:rPr>
      </w:pPr>
    </w:p>
    <w:p w14:paraId="3F84CFD7">
      <w:pPr>
        <w:spacing w:before="78" w:line="219" w:lineRule="auto"/>
        <w:ind w:left="3922"/>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288703E1">
      <w:pPr>
        <w:pStyle w:val="5"/>
        <w:spacing w:line="257" w:lineRule="auto"/>
        <w:rPr>
          <w:rFonts w:hint="eastAsia" w:ascii="宋体" w:hAnsi="宋体" w:eastAsia="宋体" w:cs="宋体"/>
          <w:color w:val="auto"/>
          <w:highlight w:val="none"/>
        </w:rPr>
      </w:pPr>
    </w:p>
    <w:p w14:paraId="1380F6DA">
      <w:pPr>
        <w:pStyle w:val="5"/>
        <w:spacing w:line="257" w:lineRule="auto"/>
        <w:rPr>
          <w:rFonts w:hint="eastAsia" w:ascii="宋体" w:hAnsi="宋体" w:eastAsia="宋体" w:cs="宋体"/>
          <w:color w:val="auto"/>
          <w:highlight w:val="none"/>
        </w:rPr>
      </w:pPr>
    </w:p>
    <w:p w14:paraId="648D062A">
      <w:pPr>
        <w:spacing w:before="79" w:line="220" w:lineRule="auto"/>
        <w:ind w:left="697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日</w:t>
      </w:r>
    </w:p>
    <w:p w14:paraId="25F84C1F">
      <w:pPr>
        <w:spacing w:line="220" w:lineRule="auto"/>
        <w:rPr>
          <w:rFonts w:hint="eastAsia" w:ascii="宋体" w:hAnsi="宋体" w:eastAsia="宋体" w:cs="宋体"/>
          <w:color w:val="auto"/>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E0958F5">
      <w:pPr>
        <w:spacing w:before="78" w:line="220" w:lineRule="auto"/>
        <w:outlineLvl w:val="2"/>
        <w:rPr>
          <w:rFonts w:hint="eastAsia" w:ascii="宋体" w:hAnsi="宋体" w:eastAsia="宋体" w:cs="宋体"/>
          <w:b/>
          <w:bCs/>
          <w:color w:val="auto"/>
          <w:spacing w:val="-4"/>
          <w:sz w:val="24"/>
          <w:szCs w:val="24"/>
          <w:highlight w:val="none"/>
        </w:rPr>
      </w:pPr>
      <w:bookmarkStart w:id="222" w:name="_Toc16728"/>
      <w:r>
        <w:rPr>
          <w:rFonts w:hint="eastAsia" w:ascii="宋体" w:hAnsi="宋体" w:eastAsia="宋体" w:cs="宋体"/>
          <w:b/>
          <w:bCs/>
          <w:color w:val="auto"/>
          <w:spacing w:val="-4"/>
          <w:sz w:val="24"/>
          <w:szCs w:val="24"/>
          <w:highlight w:val="none"/>
        </w:rPr>
        <w:t>格式三 各项承诺一览表</w:t>
      </w:r>
      <w:bookmarkEnd w:id="222"/>
    </w:p>
    <w:p w14:paraId="1CB94A26">
      <w:pPr>
        <w:pStyle w:val="5"/>
        <w:spacing w:line="254" w:lineRule="auto"/>
        <w:rPr>
          <w:rFonts w:hint="eastAsia" w:ascii="宋体" w:hAnsi="宋体" w:eastAsia="宋体" w:cs="宋体"/>
          <w:color w:val="auto"/>
          <w:highlight w:val="none"/>
        </w:rPr>
      </w:pPr>
    </w:p>
    <w:p w14:paraId="5C5CC808">
      <w:pPr>
        <w:spacing w:before="98" w:line="220" w:lineRule="auto"/>
        <w:ind w:left="3581"/>
        <w:outlineLvl w:val="9"/>
        <w:rPr>
          <w:rFonts w:hint="eastAsia" w:ascii="宋体" w:hAnsi="宋体" w:eastAsia="宋体" w:cs="宋体"/>
          <w:color w:val="auto"/>
          <w:sz w:val="30"/>
          <w:szCs w:val="30"/>
          <w:highlight w:val="none"/>
        </w:rPr>
      </w:pPr>
      <w:bookmarkStart w:id="223" w:name="bookmark149"/>
      <w:bookmarkEnd w:id="223"/>
      <w:bookmarkStart w:id="224" w:name="_Toc10326"/>
      <w:bookmarkStart w:id="225" w:name="_Toc4767"/>
      <w:bookmarkStart w:id="226" w:name="_Toc2936"/>
      <w:r>
        <w:rPr>
          <w:rFonts w:hint="eastAsia" w:ascii="宋体" w:hAnsi="宋体" w:eastAsia="宋体" w:cs="宋体"/>
          <w:b/>
          <w:bCs/>
          <w:color w:val="auto"/>
          <w:spacing w:val="-5"/>
          <w:sz w:val="30"/>
          <w:szCs w:val="30"/>
          <w:highlight w:val="none"/>
        </w:rPr>
        <w:t>各项承诺一览表</w:t>
      </w:r>
      <w:bookmarkEnd w:id="224"/>
      <w:bookmarkEnd w:id="225"/>
      <w:bookmarkEnd w:id="226"/>
    </w:p>
    <w:p w14:paraId="41539670">
      <w:pPr>
        <w:spacing w:before="6"/>
        <w:rPr>
          <w:rFonts w:hint="eastAsia" w:ascii="宋体" w:hAnsi="宋体" w:eastAsia="宋体" w:cs="宋体"/>
          <w:color w:val="auto"/>
          <w:highlight w:val="none"/>
        </w:rPr>
      </w:pPr>
    </w:p>
    <w:tbl>
      <w:tblPr>
        <w:tblStyle w:val="14"/>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2AD19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201D8539">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75" w:type="dxa"/>
            <w:vAlign w:val="top"/>
          </w:tcPr>
          <w:p w14:paraId="02ECB3F5">
            <w:pPr>
              <w:keepNext w:val="0"/>
              <w:keepLines w:val="0"/>
              <w:pageBreakBefore w:val="0"/>
              <w:widowControl/>
              <w:kinsoku w:val="0"/>
              <w:wordWrap/>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承诺事项</w:t>
            </w:r>
          </w:p>
        </w:tc>
        <w:tc>
          <w:tcPr>
            <w:tcW w:w="3107" w:type="dxa"/>
            <w:vAlign w:val="top"/>
          </w:tcPr>
          <w:p w14:paraId="6F7F5397">
            <w:pPr>
              <w:keepNext w:val="0"/>
              <w:keepLines w:val="0"/>
              <w:pageBreakBefore w:val="0"/>
              <w:widowControl/>
              <w:kinsoku w:val="0"/>
              <w:wordWrap/>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承诺内容</w:t>
            </w:r>
          </w:p>
        </w:tc>
        <w:tc>
          <w:tcPr>
            <w:tcW w:w="4272" w:type="dxa"/>
            <w:vAlign w:val="top"/>
          </w:tcPr>
          <w:p w14:paraId="677D5E4F">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违约承诺</w:t>
            </w:r>
          </w:p>
        </w:tc>
      </w:tr>
      <w:tr w14:paraId="3192F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C1E924E">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3843DC5">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567931F">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B809A9B">
            <w:pPr>
              <w:keepNext w:val="0"/>
              <w:keepLines w:val="0"/>
              <w:pageBreakBefore w:val="0"/>
              <w:widowControl/>
              <w:kinsoku w:val="0"/>
              <w:wordWrap/>
              <w:overflowPunct/>
              <w:topLinePunct w:val="0"/>
              <w:autoSpaceDE w:val="0"/>
              <w:autoSpaceDN w:val="0"/>
              <w:bidi w:val="0"/>
              <w:adjustRightInd w:val="0"/>
              <w:snapToGrid w:val="0"/>
              <w:spacing w:before="58" w:line="288" w:lineRule="auto"/>
              <w:ind w:left="32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5" w:type="dxa"/>
            <w:vAlign w:val="top"/>
          </w:tcPr>
          <w:p w14:paraId="202857F6">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2E052E3">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CC7E7A1">
            <w:pPr>
              <w:keepNext w:val="0"/>
              <w:keepLines w:val="0"/>
              <w:pageBreakBefore w:val="0"/>
              <w:widowControl/>
              <w:kinsoku w:val="0"/>
              <w:wordWrap/>
              <w:overflowPunct/>
              <w:topLinePunct w:val="0"/>
              <w:autoSpaceDE w:val="0"/>
              <w:autoSpaceDN w:val="0"/>
              <w:bidi w:val="0"/>
              <w:adjustRightInd w:val="0"/>
              <w:snapToGrid w:val="0"/>
              <w:spacing w:before="65" w:line="288" w:lineRule="auto"/>
              <w:ind w:left="57" w:right="50" w:firstLine="1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自愿接受招标</w:t>
            </w:r>
            <w:r>
              <w:rPr>
                <w:rFonts w:hint="eastAsia" w:ascii="宋体" w:hAnsi="宋体" w:eastAsia="宋体" w:cs="宋体"/>
                <w:color w:val="auto"/>
                <w:spacing w:val="8"/>
                <w:sz w:val="24"/>
                <w:szCs w:val="24"/>
                <w:highlight w:val="none"/>
              </w:rPr>
              <w:t>文件条款的承诺</w:t>
            </w:r>
          </w:p>
        </w:tc>
        <w:tc>
          <w:tcPr>
            <w:tcW w:w="3107" w:type="dxa"/>
            <w:vAlign w:val="top"/>
          </w:tcPr>
          <w:p w14:paraId="383434AE">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A0576B6">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我方自愿接受招标文件的</w:t>
            </w:r>
            <w:r>
              <w:rPr>
                <w:rFonts w:hint="eastAsia" w:ascii="宋体" w:hAnsi="宋体" w:eastAsia="宋体" w:cs="宋体"/>
                <w:color w:val="auto"/>
                <w:spacing w:val="7"/>
                <w:sz w:val="24"/>
                <w:szCs w:val="24"/>
                <w:highlight w:val="none"/>
              </w:rPr>
              <w:t>所有条款，所递交的投标文件已</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3"/>
                <w:sz w:val="24"/>
                <w:szCs w:val="24"/>
                <w:highlight w:val="none"/>
              </w:rPr>
              <w:t>经充分响应招标文件的实质性</w:t>
            </w:r>
            <w:r>
              <w:rPr>
                <w:rFonts w:hint="eastAsia" w:ascii="宋体" w:hAnsi="宋体" w:eastAsia="宋体" w:cs="宋体"/>
                <w:color w:val="auto"/>
                <w:spacing w:val="3"/>
                <w:sz w:val="24"/>
                <w:szCs w:val="24"/>
                <w:highlight w:val="none"/>
              </w:rPr>
              <w:t>要求。</w:t>
            </w:r>
          </w:p>
        </w:tc>
        <w:tc>
          <w:tcPr>
            <w:tcW w:w="4272" w:type="dxa"/>
            <w:vAlign w:val="top"/>
          </w:tcPr>
          <w:p w14:paraId="54B9FDB8">
            <w:pPr>
              <w:keepNext w:val="0"/>
              <w:keepLines w:val="0"/>
              <w:pageBreakBefore w:val="0"/>
              <w:widowControl/>
              <w:kinsoku w:val="0"/>
              <w:wordWrap/>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如果我方的投标文件未响应、违反、偏</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0"/>
                <w:sz w:val="24"/>
                <w:szCs w:val="24"/>
                <w:highlight w:val="none"/>
              </w:rPr>
              <w:t>离招标文件的实质性要求，我方接受招标人或其授权的招标代理机构或其组建的评标委</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0"/>
                <w:sz w:val="24"/>
                <w:szCs w:val="24"/>
                <w:highlight w:val="none"/>
              </w:rPr>
              <w:t>员会依据招标文件作出的相应处理，包括否</w:t>
            </w:r>
            <w:r>
              <w:rPr>
                <w:rFonts w:hint="eastAsia" w:ascii="宋体" w:hAnsi="宋体" w:eastAsia="宋体" w:cs="宋体"/>
                <w:color w:val="auto"/>
                <w:spacing w:val="4"/>
                <w:sz w:val="24"/>
                <w:szCs w:val="24"/>
                <w:highlight w:val="none"/>
              </w:rPr>
              <w:t>决投标。</w:t>
            </w:r>
          </w:p>
        </w:tc>
      </w:tr>
      <w:tr w14:paraId="1E9F1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23692BEA">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ED253FA">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4700339">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31D2616">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07EE971">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75" w:type="dxa"/>
            <w:vAlign w:val="top"/>
          </w:tcPr>
          <w:p w14:paraId="3D0B50F0">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432AC96">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B5FA7DB">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42FAEEC">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2" w:right="261" w:firstLine="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无禁止投标</w:t>
            </w:r>
            <w:r>
              <w:rPr>
                <w:rFonts w:hint="eastAsia" w:ascii="宋体" w:hAnsi="宋体" w:eastAsia="宋体" w:cs="宋体"/>
                <w:color w:val="auto"/>
                <w:spacing w:val="8"/>
                <w:sz w:val="24"/>
                <w:szCs w:val="24"/>
                <w:highlight w:val="none"/>
              </w:rPr>
              <w:t>情形的承诺</w:t>
            </w:r>
          </w:p>
        </w:tc>
        <w:tc>
          <w:tcPr>
            <w:tcW w:w="3107" w:type="dxa"/>
            <w:vAlign w:val="top"/>
          </w:tcPr>
          <w:p w14:paraId="69639881">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A37FAEE">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C9F1717">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我方不存在招标文件第一</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8"/>
                <w:sz w:val="24"/>
                <w:szCs w:val="24"/>
                <w:highlight w:val="none"/>
              </w:rPr>
              <w:t>章第三节第</w:t>
            </w:r>
            <w:r>
              <w:rPr>
                <w:rFonts w:hint="eastAsia" w:ascii="宋体" w:hAnsi="宋体" w:eastAsia="宋体" w:cs="宋体"/>
                <w:color w:val="auto"/>
                <w:spacing w:val="-35"/>
                <w:sz w:val="24"/>
                <w:szCs w:val="24"/>
                <w:highlight w:val="none"/>
              </w:rPr>
              <w:t xml:space="preserve"> </w:t>
            </w:r>
            <w:r>
              <w:rPr>
                <w:rFonts w:hint="eastAsia" w:ascii="宋体" w:hAnsi="宋体" w:eastAsia="宋体" w:cs="宋体"/>
                <w:b/>
                <w:bCs/>
                <w:color w:val="auto"/>
                <w:spacing w:val="8"/>
                <w:sz w:val="24"/>
                <w:szCs w:val="24"/>
                <w:highlight w:val="none"/>
              </w:rPr>
              <w:t>2.4</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8"/>
                <w:sz w:val="24"/>
                <w:szCs w:val="24"/>
                <w:highlight w:val="none"/>
              </w:rPr>
              <w:t>条“禁止投标条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款</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6"/>
                <w:sz w:val="24"/>
                <w:szCs w:val="24"/>
                <w:highlight w:val="none"/>
              </w:rPr>
              <w:t>”规定的任何一种情形。</w:t>
            </w:r>
          </w:p>
        </w:tc>
        <w:tc>
          <w:tcPr>
            <w:tcW w:w="4272" w:type="dxa"/>
            <w:vAlign w:val="top"/>
          </w:tcPr>
          <w:p w14:paraId="14703EC3">
            <w:pPr>
              <w:keepNext w:val="0"/>
              <w:keepLines w:val="0"/>
              <w:pageBreakBefore w:val="0"/>
              <w:widowControl/>
              <w:kinsoku w:val="0"/>
              <w:wordWrap/>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如果我方有招标文件第一章第三节第</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1"/>
                <w:sz w:val="24"/>
                <w:szCs w:val="24"/>
                <w:highlight w:val="none"/>
              </w:rPr>
              <w:t xml:space="preserve">4 </w:t>
            </w:r>
            <w:r>
              <w:rPr>
                <w:rFonts w:hint="eastAsia" w:ascii="宋体" w:hAnsi="宋体" w:eastAsia="宋体" w:cs="宋体"/>
                <w:color w:val="auto"/>
                <w:spacing w:val="1"/>
                <w:sz w:val="24"/>
                <w:szCs w:val="24"/>
                <w:highlight w:val="none"/>
              </w:rPr>
              <w:t>条“禁止投标条款</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1"/>
                <w:sz w:val="24"/>
                <w:szCs w:val="24"/>
                <w:highlight w:val="none"/>
              </w:rPr>
              <w:t>”规定的任何一种情形，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我方接受招标人或其授权的招标代理机构或</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其组建的评标委员会依据招标文件作出的相</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应处理以及有关监督部门作出的行政处罚，</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rPr>
              <w:t>并承担由此引起的一切法律后果。</w:t>
            </w:r>
          </w:p>
        </w:tc>
      </w:tr>
      <w:tr w14:paraId="2AC97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5C7E2083">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00C4CDE">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FEDC9ED">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F0663B7">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0AAD4B0">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75" w:type="dxa"/>
            <w:vAlign w:val="top"/>
          </w:tcPr>
          <w:p w14:paraId="060A7C41">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F3BDF1A">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C4F05DF">
            <w:pPr>
              <w:keepNext w:val="0"/>
              <w:keepLines w:val="0"/>
              <w:pageBreakBefore w:val="0"/>
              <w:widowControl/>
              <w:kinsoku w:val="0"/>
              <w:wordWrap/>
              <w:overflowPunct/>
              <w:topLinePunct w:val="0"/>
              <w:autoSpaceDE w:val="0"/>
              <w:autoSpaceDN w:val="0"/>
              <w:bidi w:val="0"/>
              <w:adjustRightInd w:val="0"/>
              <w:snapToGrid w:val="0"/>
              <w:spacing w:before="65" w:line="288" w:lineRule="auto"/>
              <w:ind w:left="1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自觉抵制围标</w:t>
            </w:r>
          </w:p>
          <w:p w14:paraId="4E59FD3F">
            <w:pPr>
              <w:keepNext w:val="0"/>
              <w:keepLines w:val="0"/>
              <w:pageBreakBefore w:val="0"/>
              <w:widowControl/>
              <w:kinsoku w:val="0"/>
              <w:wordWrap/>
              <w:overflowPunct/>
              <w:topLinePunct w:val="0"/>
              <w:autoSpaceDE w:val="0"/>
              <w:autoSpaceDN w:val="0"/>
              <w:bidi w:val="0"/>
              <w:adjustRightInd w:val="0"/>
              <w:snapToGrid w:val="0"/>
              <w:spacing w:before="131" w:line="288" w:lineRule="auto"/>
              <w:ind w:left="2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串标和弄虚</w:t>
            </w:r>
          </w:p>
          <w:p w14:paraId="1065B9A0">
            <w:pPr>
              <w:keepNext w:val="0"/>
              <w:keepLines w:val="0"/>
              <w:pageBreakBefore w:val="0"/>
              <w:widowControl/>
              <w:kinsoku w:val="0"/>
              <w:wordWrap/>
              <w:overflowPunct/>
              <w:topLinePunct w:val="0"/>
              <w:autoSpaceDE w:val="0"/>
              <w:autoSpaceDN w:val="0"/>
              <w:bidi w:val="0"/>
              <w:adjustRightInd w:val="0"/>
              <w:snapToGrid w:val="0"/>
              <w:spacing w:before="133" w:line="288"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作假行为的承诺</w:t>
            </w:r>
          </w:p>
        </w:tc>
        <w:tc>
          <w:tcPr>
            <w:tcW w:w="3107" w:type="dxa"/>
            <w:vAlign w:val="top"/>
          </w:tcPr>
          <w:p w14:paraId="6FC5007A">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F81B9E4">
            <w:pPr>
              <w:keepNext w:val="0"/>
              <w:keepLines w:val="0"/>
              <w:pageBreakBefore w:val="0"/>
              <w:widowControl/>
              <w:kinsoku w:val="0"/>
              <w:wordWrap/>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我方合法正当、诚实守信地</w:t>
            </w:r>
            <w:r>
              <w:rPr>
                <w:rFonts w:hint="eastAsia" w:ascii="宋体" w:hAnsi="宋体" w:eastAsia="宋体" w:cs="宋体"/>
                <w:color w:val="auto"/>
                <w:spacing w:val="7"/>
                <w:sz w:val="24"/>
                <w:szCs w:val="24"/>
                <w:highlight w:val="none"/>
              </w:rPr>
              <w:t>参与投标，不组织、不参加围标串标违法行为，不通过弄虚作假</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行为骗取中标。</w:t>
            </w:r>
          </w:p>
        </w:tc>
        <w:tc>
          <w:tcPr>
            <w:tcW w:w="4272" w:type="dxa"/>
            <w:vAlign w:val="top"/>
          </w:tcPr>
          <w:p w14:paraId="4BBBA8ED">
            <w:pPr>
              <w:keepNext w:val="0"/>
              <w:keepLines w:val="0"/>
              <w:pageBreakBefore w:val="0"/>
              <w:widowControl/>
              <w:kinsoku w:val="0"/>
              <w:wordWrap/>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w:t>
            </w:r>
            <w:r>
              <w:rPr>
                <w:rFonts w:hint="eastAsia" w:ascii="宋体" w:hAnsi="宋体" w:eastAsia="宋体" w:cs="宋体"/>
                <w:color w:val="auto"/>
                <w:spacing w:val="7"/>
                <w:sz w:val="24"/>
                <w:szCs w:val="24"/>
                <w:highlight w:val="none"/>
              </w:rPr>
              <w:t>引起的一切法律后果。</w:t>
            </w:r>
          </w:p>
        </w:tc>
      </w:tr>
      <w:tr w14:paraId="1740A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1FB32838">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E6B85CE">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BAE138E">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905A589">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9E008A5">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4479D83">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675" w:type="dxa"/>
            <w:vAlign w:val="top"/>
          </w:tcPr>
          <w:p w14:paraId="509C2FDA">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A1693AA">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24195C7">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51619C8">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0B402F3">
            <w:pPr>
              <w:keepNext w:val="0"/>
              <w:keepLines w:val="0"/>
              <w:pageBreakBefore w:val="0"/>
              <w:widowControl/>
              <w:kinsoku w:val="0"/>
              <w:wordWrap/>
              <w:overflowPunct/>
              <w:topLinePunct w:val="0"/>
              <w:autoSpaceDE w:val="0"/>
              <w:autoSpaceDN w:val="0"/>
              <w:bidi w:val="0"/>
              <w:adjustRightInd w:val="0"/>
              <w:snapToGrid w:val="0"/>
              <w:spacing w:before="65" w:line="288" w:lineRule="auto"/>
              <w:ind w:left="369" w:right="367" w:firstLine="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任职承诺</w:t>
            </w:r>
          </w:p>
        </w:tc>
        <w:tc>
          <w:tcPr>
            <w:tcW w:w="3107" w:type="dxa"/>
            <w:vAlign w:val="top"/>
          </w:tcPr>
          <w:p w14:paraId="5367ACA4">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56EEA90">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D6C590A">
            <w:pPr>
              <w:keepNext w:val="0"/>
              <w:keepLines w:val="0"/>
              <w:pageBreakBefore w:val="0"/>
              <w:widowControl/>
              <w:kinsoku w:val="0"/>
              <w:wordWrap/>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我方拟派项</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9"/>
                <w:sz w:val="24"/>
                <w:szCs w:val="24"/>
                <w:highlight w:val="none"/>
              </w:rPr>
              <w:t>目经理现阶段</w:t>
            </w:r>
            <w:r>
              <w:rPr>
                <w:rFonts w:hint="eastAsia" w:ascii="宋体" w:hAnsi="宋体" w:eastAsia="宋体" w:cs="宋体"/>
                <w:color w:val="auto"/>
                <w:spacing w:val="7"/>
                <w:sz w:val="24"/>
                <w:szCs w:val="24"/>
                <w:highlight w:val="none"/>
              </w:rPr>
              <w:t>没有担任任何在施（包括已中标</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未开工、已开工未竣工）建设工</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程项目的项目经理。</w:t>
            </w:r>
          </w:p>
        </w:tc>
        <w:tc>
          <w:tcPr>
            <w:tcW w:w="4272" w:type="dxa"/>
            <w:vAlign w:val="top"/>
          </w:tcPr>
          <w:p w14:paraId="46CA46D5">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如果我方拟派项目经理在本项目招标投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标活动期间有担任其他任何在施（包括已中</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标未开工、已开工未竣工）建设工程项目的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项目经理，我方接受招标人或其授权的招标</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代理机构或其组建的评标委员会依据招标文件作出的相应处理以及有关监督部门作出的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行政处罚，并承担由此引起的一切法律后果。</w:t>
            </w:r>
          </w:p>
        </w:tc>
      </w:tr>
      <w:tr w14:paraId="3FA71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36555958">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F7543F8">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981EF00">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75" w:type="dxa"/>
            <w:vAlign w:val="top"/>
          </w:tcPr>
          <w:p w14:paraId="376A80E8">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A64B93E">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7" w:right="261" w:firstLine="10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真实性承诺</w:t>
            </w:r>
          </w:p>
        </w:tc>
        <w:tc>
          <w:tcPr>
            <w:tcW w:w="3107" w:type="dxa"/>
            <w:vAlign w:val="top"/>
          </w:tcPr>
          <w:p w14:paraId="7EF68C87">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9098392">
            <w:pPr>
              <w:keepNext w:val="0"/>
              <w:keepLines w:val="0"/>
              <w:pageBreakBefore w:val="0"/>
              <w:widowControl/>
              <w:kinsoku w:val="0"/>
              <w:wordWrap/>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我方所递交投标文件的全</w:t>
            </w:r>
            <w:r>
              <w:rPr>
                <w:rFonts w:hint="eastAsia" w:ascii="宋体" w:hAnsi="宋体" w:eastAsia="宋体" w:cs="宋体"/>
                <w:color w:val="auto"/>
                <w:spacing w:val="-7"/>
                <w:sz w:val="24"/>
                <w:szCs w:val="24"/>
                <w:highlight w:val="none"/>
              </w:rPr>
              <w:t>部内容均为真实、有效、准确的。</w:t>
            </w:r>
          </w:p>
        </w:tc>
        <w:tc>
          <w:tcPr>
            <w:tcW w:w="4272" w:type="dxa"/>
            <w:vAlign w:val="top"/>
          </w:tcPr>
          <w:p w14:paraId="3AE2E45B">
            <w:pPr>
              <w:keepNext w:val="0"/>
              <w:keepLines w:val="0"/>
              <w:pageBreakBefore w:val="0"/>
              <w:widowControl/>
              <w:kinsoku w:val="0"/>
              <w:wordWrap/>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如果我方递交的投标文件任何内容不真实或无效或不准确，我方接受招标人或其授权的招标代理机构或其组建的评标委员会依</w:t>
            </w:r>
            <w:r>
              <w:rPr>
                <w:rFonts w:hint="eastAsia" w:ascii="宋体" w:hAnsi="宋体" w:eastAsia="宋体" w:cs="宋体"/>
                <w:color w:val="auto"/>
                <w:sz w:val="24"/>
                <w:szCs w:val="24"/>
                <w:highlight w:val="none"/>
              </w:rPr>
              <w:t>据招标文件作出的相应处理，包括否决投标。</w:t>
            </w:r>
          </w:p>
        </w:tc>
      </w:tr>
      <w:tr w14:paraId="341B6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top"/>
          </w:tcPr>
          <w:p w14:paraId="299FFE8D">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491DBDB">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A1F3A42">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p w14:paraId="781C6833">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2336"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3"/>
                          <a:stretch>
                            <a:fillRect/>
                          </a:stretch>
                        </pic:blipFill>
                        <pic:spPr>
                          <a:xfrm>
                            <a:off x="0" y="0"/>
                            <a:ext cx="6350" cy="241300"/>
                          </a:xfrm>
                          <a:prstGeom prst="rect">
                            <a:avLst/>
                          </a:prstGeom>
                          <a:noFill/>
                          <a:ln>
                            <a:noFill/>
                          </a:ln>
                        </pic:spPr>
                      </pic:pic>
                    </a:graphicData>
                  </a:graphic>
                </wp:anchor>
              </w:drawing>
            </w:r>
          </w:p>
        </w:tc>
        <w:tc>
          <w:tcPr>
            <w:tcW w:w="1675" w:type="dxa"/>
            <w:vAlign w:val="top"/>
          </w:tcPr>
          <w:p w14:paraId="76F2B8CB">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8C6FFC4">
            <w:pPr>
              <w:keepNext w:val="0"/>
              <w:keepLines w:val="0"/>
              <w:pageBreakBefore w:val="0"/>
              <w:widowControl/>
              <w:kinsoku w:val="0"/>
              <w:wordWrap/>
              <w:overflowPunct/>
              <w:topLinePunct w:val="0"/>
              <w:autoSpaceDE w:val="0"/>
              <w:autoSpaceDN w:val="0"/>
              <w:bidi w:val="0"/>
              <w:adjustRightInd w:val="0"/>
              <w:snapToGrid w:val="0"/>
              <w:spacing w:before="65" w:line="288" w:lineRule="auto"/>
              <w:ind w:left="3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p>
          <w:p w14:paraId="50B2EC29">
            <w:pPr>
              <w:keepNext w:val="0"/>
              <w:keepLines w:val="0"/>
              <w:pageBreakBefore w:val="0"/>
              <w:widowControl/>
              <w:kinsoku w:val="0"/>
              <w:wordWrap/>
              <w:overflowPunct/>
              <w:topLinePunct w:val="0"/>
              <w:autoSpaceDE w:val="0"/>
              <w:autoSpaceDN w:val="0"/>
              <w:bidi w:val="0"/>
              <w:adjustRightInd w:val="0"/>
              <w:snapToGrid w:val="0"/>
              <w:spacing w:before="132" w:line="288" w:lineRule="auto"/>
              <w:ind w:left="15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信息公开承诺</w:t>
            </w:r>
          </w:p>
        </w:tc>
        <w:tc>
          <w:tcPr>
            <w:tcW w:w="3107" w:type="dxa"/>
            <w:vAlign w:val="top"/>
          </w:tcPr>
          <w:p w14:paraId="5A19DAB6">
            <w:pPr>
              <w:keepNext w:val="0"/>
              <w:keepLines w:val="0"/>
              <w:pageBreakBefore w:val="0"/>
              <w:widowControl/>
              <w:kinsoku w:val="0"/>
              <w:wordWrap/>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我方提供完整的文件。如果</w:t>
            </w:r>
            <w:r>
              <w:rPr>
                <w:rFonts w:hint="eastAsia" w:ascii="宋体" w:hAnsi="宋体" w:eastAsia="宋体" w:cs="宋体"/>
                <w:color w:val="auto"/>
                <w:spacing w:val="7"/>
                <w:sz w:val="24"/>
                <w:szCs w:val="24"/>
                <w:highlight w:val="none"/>
              </w:rPr>
              <w:t>我方成为本项目中标候选人，我</w:t>
            </w:r>
            <w:r>
              <w:rPr>
                <w:rFonts w:hint="eastAsia" w:ascii="宋体" w:hAnsi="宋体" w:eastAsia="宋体" w:cs="宋体"/>
                <w:color w:val="auto"/>
                <w:spacing w:val="23"/>
                <w:sz w:val="24"/>
                <w:szCs w:val="24"/>
                <w:highlight w:val="none"/>
              </w:rPr>
              <w:t>方同意并授权招标人在评标结果公示期内公开我方商务标书</w:t>
            </w:r>
            <w:r>
              <w:rPr>
                <w:rFonts w:hint="eastAsia" w:ascii="宋体" w:hAnsi="宋体" w:eastAsia="宋体" w:cs="宋体"/>
                <w:color w:val="auto"/>
                <w:spacing w:val="3"/>
                <w:sz w:val="24"/>
                <w:szCs w:val="24"/>
                <w:highlight w:val="none"/>
              </w:rPr>
              <w:t>的全部内容。</w:t>
            </w:r>
          </w:p>
        </w:tc>
        <w:tc>
          <w:tcPr>
            <w:tcW w:w="4272" w:type="dxa"/>
            <w:vAlign w:val="top"/>
          </w:tcPr>
          <w:p w14:paraId="78E36DE9">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19050</wp:posOffset>
                      </wp:positionV>
                      <wp:extent cx="2698750" cy="1539875"/>
                      <wp:effectExtent l="3175" t="5715" r="3175" b="16510"/>
                      <wp:wrapNone/>
                      <wp:docPr id="23" name="直接连接符 23"/>
                      <wp:cNvGraphicFramePr/>
                      <a:graphic xmlns:a="http://schemas.openxmlformats.org/drawingml/2006/main">
                        <a:graphicData uri="http://schemas.microsoft.com/office/word/2010/wordprocessingShape">
                          <wps:wsp>
                            <wps:cNvCnPr/>
                            <wps:spPr>
                              <a:xfrm flipV="1">
                                <a:off x="4209415" y="1651000"/>
                                <a:ext cx="2698750" cy="1539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05pt;margin-top:1.5pt;height:121.25pt;width:212.5pt;z-index:251660288;mso-width-relative:page;mso-height-relative:page;" filled="f" stroked="t" coordsize="21600,21600" o:gfxdata="UEsDBAoAAAAAAIdO4kAAAAAAAAAAAAAAAAAEAAAAZHJzL1BLAwQUAAAACACHTuJAlqIdPdQAAAAH&#10;AQAADwAAAGRycy9kb3ducmV2LnhtbE2PzU7DMBCE70i8g7VI3Fo7IeUnxKkQggs3CgeObrw4UeN1&#10;ZLtp8/YsJziOZjTzTbM9+1HMGNMQSEOxViCQumAHcho+P15X9yBSNmTNGAg1LJhg215eNKa24UTv&#10;OO+yE1xCqTYa+pynWsrU9ehNWocJib3vEL3JLKOTNpoTl/tRlkrdSm8G4oXeTPjcY3fYHb2GJxcr&#10;icWbuwvd8jJ/WbXI+aD19VWhHkFkPOe/MPziMzq0zLQPR7JJjBpWBQc13PAhdquyegCx11BWmw3I&#10;tpH/+dsfUEsDBBQAAAAIAIdO4kDUt/KiAgIAANADAAAOAAAAZHJzL2Uyb0RvYy54bWytU8uO0zAU&#10;3SPxD5b3NGmmr4majkSrYYOgEo+969iJJb/k62nan+AHkNjBiuXs+RuGz+A6CQMMm1mwse7L595z&#10;fL2+OhlNjiKAcrai00lOibDc1co2FX339vrZihKIzNZMOysqehZArzZPn6w7X4rCtU7XIhAEsVB2&#10;vqJtjL7MMuCtMAwmzguLSemCYRHd0GR1YB2iG50Veb7IOhdqHxwXABjdDUk6IobHADopFRc7x2+M&#10;sHFADUKziJSgVR7opp9WSsHjaylBRKIrikxjf2ITtA/pzDZrVjaB+VbxcQT2mBEecDJMWWx6D7Vj&#10;kZGboP6BMooHB07GCXcmG4j0iiCLaf5Amzct86LnglKDvxcd/h8sf3XcB6LqihYXlFhm8MXvPt5+&#10;//D5x7dPeN59/UIwgzJ1Hkqs3tp9GD3w+5A4n2QwRGrl3+M+9SogL3Kq6KzIL2fTOSVnTCzm0zwf&#10;BRenSDgWFIvL1XKOb8FTxfwiealXNoAmcB8gvhDOkGRUVCubFGElO76EOJT+Kklh666V1hhnpbak&#10;Q9RiiV0JZ7iqElcETeORLtiGEqYb/AM8hh4SnFZ1up5uQ2gOWx3IkeHmzFbL2fb5ONlfZan3jkE7&#10;1PWpVMZKoyJ+E61MRVfIe2COvLRFeknLQb1kHVx97kXt4/jQvQDjUqZN+tPvb//+i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qIdPdQAAAAHAQAADwAAAAAAAAABACAAAAAiAAAAZHJzL2Rvd25y&#10;ZXYueG1sUEsBAhQAFAAAAAgAh07iQNS38qICAgAA0AMAAA4AAAAAAAAAAQAgAAAAIwEAAGRycy9l&#10;Mm9Eb2MueG1sUEsFBgAAAAAGAAYAWQEAAJcFAAAAAA==&#10;">
                      <v:fill on="f" focussize="0,0"/>
                      <v:stroke weight="1pt" color="#4874CB [3204]" miterlimit="8" joinstyle="miter"/>
                      <v:imagedata o:title=""/>
                      <o:lock v:ext="edit" aspectratio="f"/>
                    </v:line>
                  </w:pict>
                </mc:Fallback>
              </mc:AlternateContent>
            </w:r>
          </w:p>
          <w:p w14:paraId="392C26CB">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6941C36">
            <w:pPr>
              <w:keepNext w:val="0"/>
              <w:keepLines w:val="0"/>
              <w:pageBreakBefore w:val="0"/>
              <w:widowControl/>
              <w:kinsoku w:val="0"/>
              <w:wordWrap/>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z w:val="24"/>
                <w:szCs w:val="24"/>
                <w:highlight w:val="none"/>
              </w:rPr>
            </w:pPr>
          </w:p>
        </w:tc>
      </w:tr>
      <w:tr w14:paraId="01DD8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top"/>
          </w:tcPr>
          <w:p w14:paraId="5F31FD70">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B9A317E">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6935EE9">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6150508">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7C82217">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75" w:type="dxa"/>
            <w:vAlign w:val="top"/>
          </w:tcPr>
          <w:p w14:paraId="2905CBB8">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9E8E655">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7A90461">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58A1876">
            <w:pPr>
              <w:keepNext w:val="0"/>
              <w:keepLines w:val="0"/>
              <w:pageBreakBefore w:val="0"/>
              <w:widowControl/>
              <w:kinsoku w:val="0"/>
              <w:wordWrap/>
              <w:overflowPunct/>
              <w:topLinePunct w:val="0"/>
              <w:autoSpaceDE w:val="0"/>
              <w:autoSpaceDN w:val="0"/>
              <w:bidi w:val="0"/>
              <w:adjustRightInd w:val="0"/>
              <w:snapToGrid w:val="0"/>
              <w:spacing w:before="65" w:line="288" w:lineRule="auto"/>
              <w:ind w:left="281" w:right="158" w:hanging="1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对不正常报价</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的确认承诺</w:t>
            </w:r>
          </w:p>
        </w:tc>
        <w:tc>
          <w:tcPr>
            <w:tcW w:w="3107" w:type="dxa"/>
            <w:vAlign w:val="top"/>
          </w:tcPr>
          <w:p w14:paraId="06FD662B">
            <w:pPr>
              <w:keepNext w:val="0"/>
              <w:keepLines w:val="0"/>
              <w:pageBreakBefore w:val="0"/>
              <w:widowControl/>
              <w:kinsoku w:val="0"/>
              <w:wordWrap/>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如果我方中标，我方接受招</w:t>
            </w:r>
            <w:r>
              <w:rPr>
                <w:rFonts w:hint="eastAsia" w:ascii="宋体" w:hAnsi="宋体" w:eastAsia="宋体" w:cs="宋体"/>
                <w:color w:val="auto"/>
                <w:spacing w:val="23"/>
                <w:sz w:val="24"/>
                <w:szCs w:val="24"/>
                <w:highlight w:val="none"/>
              </w:rPr>
              <w:t>标人在合同订立期间依据招标文件有关条款约定对我方已标价工程量清单中不正常报价的</w:t>
            </w:r>
            <w:r>
              <w:rPr>
                <w:rFonts w:hint="eastAsia" w:ascii="宋体" w:hAnsi="宋体" w:eastAsia="宋体" w:cs="宋体"/>
                <w:color w:val="auto"/>
                <w:spacing w:val="7"/>
                <w:sz w:val="24"/>
                <w:szCs w:val="24"/>
                <w:highlight w:val="none"/>
              </w:rPr>
              <w:t>修正或认定，并按要求签署《不</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8"/>
                <w:sz w:val="24"/>
                <w:szCs w:val="24"/>
                <w:highlight w:val="none"/>
              </w:rPr>
              <w:t>正常报价清单》加以确认。</w:t>
            </w:r>
          </w:p>
        </w:tc>
        <w:tc>
          <w:tcPr>
            <w:tcW w:w="4272" w:type="dxa"/>
            <w:vAlign w:val="top"/>
          </w:tcPr>
          <w:p w14:paraId="22AD53AC">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26035</wp:posOffset>
                      </wp:positionV>
                      <wp:extent cx="2706370" cy="1920875"/>
                      <wp:effectExtent l="3810" t="5080" r="13970" b="17145"/>
                      <wp:wrapNone/>
                      <wp:docPr id="24" name="直接连接符 24"/>
                      <wp:cNvGraphicFramePr/>
                      <a:graphic xmlns:a="http://schemas.openxmlformats.org/drawingml/2006/main">
                        <a:graphicData uri="http://schemas.microsoft.com/office/word/2010/wordprocessingShape">
                          <wps:wsp>
                            <wps:cNvCnPr/>
                            <wps:spPr>
                              <a:xfrm flipV="1">
                                <a:off x="4217670" y="3238500"/>
                                <a:ext cx="2706370" cy="1920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6pt;margin-top:2.05pt;height:151.25pt;width:213.1pt;z-index:251661312;mso-width-relative:page;mso-height-relative:page;" filled="f" stroked="t" coordsize="21600,21600" o:gfxdata="UEsDBAoAAAAAAIdO4kAAAAAAAAAAAAAAAAAEAAAAZHJzL1BLAwQUAAAACACHTuJA7HjHtdIAAAAH&#10;AQAADwAAAGRycy9kb3ducmV2LnhtbE2OwU7DMBBE70j8g7VI3KidEKUoxKkQggs3CgeObrw4UeN1&#10;ZLtp8/csJziOZvTmtbuLn8SCMY2BNBQbBQKpD3Ykp+Hz4/XuAUTKhqyZAqGGFRPsuuur1jQ2nOkd&#10;l312giGUGqNhyHlupEz9gN6kTZiRuPsO0ZvMMTppozkz3E+yVKqW3ozED4OZ8XnA/rg/eQ1PLlYS&#10;ize3Df36snxZtcrlqPXtTaEeQWS85L8x/OqzOnTsdAgnsklMnEseaqgKENxW5bYCcdBwr+oaZNfK&#10;//7dD1BLAwQUAAAACACHTuJAEPHedAQCAADQAwAADgAAAGRycy9lMm9Eb2MueG1srVPNjtMwEL4j&#10;8Q6W7zRp2m1L1HQlWi0XBJVgubuOnVjynzzepn0JXgCJG5w4cudtWB5jx0lYYLnsgRwse+bzN/N9&#10;Ga8vT0aTowignK3odJJTIix3tbJNRa/fXT1bUQKR2ZppZ0VFzwLo5ebpk3XnS1G41ulaBIIkFsrO&#10;V7SN0ZdZBrwVhsHEeWExKV0wLOIxNFkdWIfsRmdFni+yzoXaB8cFAEZ3Q5KOjOExhE5KxcXO8Rsj&#10;bBxYg9AsoiRolQe66buVUvD4RkoQkeiKotLYr1gE94e0Zps1K5vAfKv42AJ7TAsPNBmmLBa9p9qx&#10;yMhNUP9QGcWDAyfjhDuTDUJ6R1DFNH/gzduWedFrQavB35sO/4+Wvz7uA1F1RYs5JZYZ/OO3H7/9&#10;+PD55/dPuN5+/UIwgzZ1HkpEb+0+jCfw+5A0n2QwRGrl3+M89S6gLnKq6LyYLhdLtPpc0VkxW13k&#10;o+HiFAlHQLHMF7ME4IiYPi/y1fIi1coG0kTuA8SXwhmSNhXVyiZHWMmOryAO0F+QFLbuSmmNcVZq&#10;SzpkxRqpAMNRlTgiuDUe5YJtKGG6wTfAY+gpwWlVp+vpNoTmsNWBHBlOzny1nG9fjJ39BUu1dwza&#10;AdenEoyVRkV8JlqZiq7y9I23tUV5ycvBvbQ7uPrcm9rH8Uf3BoxDmSbpz3N/+/dD3N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HjHtdIAAAAHAQAADwAAAAAAAAABACAAAAAiAAAAZHJzL2Rvd25y&#10;ZXYueG1sUEsBAhQAFAAAAAgAh07iQBDx3nQEAgAA0AMAAA4AAAAAAAAAAQAgAAAAIQEAAGRycy9l&#10;Mm9Eb2MueG1sUEsFBgAAAAAGAAYAWQEAAJcFAAAAAA==&#10;">
                      <v:fill on="f" focussize="0,0"/>
                      <v:stroke weight="1pt" color="#4874CB [3204]" miterlimit="8" joinstyle="miter"/>
                      <v:imagedata o:title=""/>
                      <o:lock v:ext="edit" aspectratio="f"/>
                    </v:line>
                  </w:pict>
                </mc:Fallback>
              </mc:AlternateContent>
            </w:r>
          </w:p>
          <w:p w14:paraId="0066156C">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A6753DE">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DA9BECC">
            <w:pPr>
              <w:keepNext w:val="0"/>
              <w:keepLines w:val="0"/>
              <w:pageBreakBefore w:val="0"/>
              <w:widowControl/>
              <w:kinsoku w:val="0"/>
              <w:wordWrap/>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z w:val="24"/>
                <w:szCs w:val="24"/>
                <w:highlight w:val="none"/>
              </w:rPr>
            </w:pPr>
          </w:p>
        </w:tc>
      </w:tr>
      <w:tr w14:paraId="5104A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380C7B4F">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F9D8904">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AB4CAE0">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D1BB948">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75" w:type="dxa"/>
            <w:vAlign w:val="top"/>
          </w:tcPr>
          <w:p w14:paraId="7D001906">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F6BA996">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5221270">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4" w:right="158" w:hanging="10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按时提交履约</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7"/>
                <w:sz w:val="24"/>
                <w:szCs w:val="24"/>
                <w:highlight w:val="none"/>
              </w:rPr>
              <w:t>保证的承诺</w:t>
            </w:r>
          </w:p>
        </w:tc>
        <w:tc>
          <w:tcPr>
            <w:tcW w:w="3107" w:type="dxa"/>
            <w:vAlign w:val="top"/>
          </w:tcPr>
          <w:p w14:paraId="73E670D4">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87B32E1">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招标文件规定的时限内全额提</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交履约保证。</w:t>
            </w:r>
          </w:p>
        </w:tc>
        <w:tc>
          <w:tcPr>
            <w:tcW w:w="4272" w:type="dxa"/>
            <w:vAlign w:val="top"/>
          </w:tcPr>
          <w:p w14:paraId="0E009F96">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如果我方未在招标文件规定的时限内全</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9"/>
                <w:sz w:val="24"/>
                <w:szCs w:val="24"/>
                <w:highlight w:val="none"/>
              </w:rPr>
              <w:t>额提交履约保证，我方接受招标人依据招标文件作出的相应处理以及有关监督部门作出的行政处罚，并承担由此引起的一切法律后</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果。</w:t>
            </w:r>
          </w:p>
        </w:tc>
      </w:tr>
      <w:tr w14:paraId="0474A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E22ABC9">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1246110">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1291D1E">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84B8064">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F667015">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75" w:type="dxa"/>
            <w:vAlign w:val="top"/>
          </w:tcPr>
          <w:p w14:paraId="07453B1B">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D5B1462">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9CD6B2D">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483C356">
            <w:pPr>
              <w:keepNext w:val="0"/>
              <w:keepLines w:val="0"/>
              <w:pageBreakBefore w:val="0"/>
              <w:widowControl/>
              <w:kinsoku w:val="0"/>
              <w:wordWrap/>
              <w:overflowPunct/>
              <w:topLinePunct w:val="0"/>
              <w:autoSpaceDE w:val="0"/>
              <w:autoSpaceDN w:val="0"/>
              <w:bidi w:val="0"/>
              <w:adjustRightInd w:val="0"/>
              <w:snapToGrid w:val="0"/>
              <w:spacing w:before="65" w:line="288" w:lineRule="auto"/>
              <w:ind w:left="492" w:right="158" w:hanging="33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按时签订合同</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
                <w:sz w:val="24"/>
                <w:szCs w:val="24"/>
                <w:highlight w:val="none"/>
              </w:rPr>
              <w:t>的承诺</w:t>
            </w:r>
          </w:p>
        </w:tc>
        <w:tc>
          <w:tcPr>
            <w:tcW w:w="3107" w:type="dxa"/>
            <w:vAlign w:val="top"/>
          </w:tcPr>
          <w:p w14:paraId="2073CD45">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9E0FD20">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如果我方中标，我方保证在 </w:t>
            </w:r>
            <w:r>
              <w:rPr>
                <w:rFonts w:hint="eastAsia" w:ascii="宋体" w:hAnsi="宋体" w:eastAsia="宋体" w:cs="宋体"/>
                <w:color w:val="auto"/>
                <w:spacing w:val="23"/>
                <w:sz w:val="24"/>
                <w:szCs w:val="24"/>
                <w:highlight w:val="none"/>
              </w:rPr>
              <w:t>招标文件规定的时限内与招标</w:t>
            </w:r>
            <w:r>
              <w:rPr>
                <w:rFonts w:hint="eastAsia" w:ascii="宋体" w:hAnsi="宋体" w:eastAsia="宋体" w:cs="宋体"/>
                <w:color w:val="auto"/>
                <w:spacing w:val="7"/>
                <w:sz w:val="24"/>
                <w:szCs w:val="24"/>
                <w:highlight w:val="none"/>
              </w:rPr>
              <w:t>人签订合同，不提出违背或超出</w:t>
            </w:r>
            <w:r>
              <w:rPr>
                <w:rFonts w:hint="eastAsia" w:ascii="宋体" w:hAnsi="宋体" w:eastAsia="宋体" w:cs="宋体"/>
                <w:color w:val="auto"/>
                <w:spacing w:val="8"/>
                <w:sz w:val="24"/>
                <w:szCs w:val="24"/>
                <w:highlight w:val="none"/>
              </w:rPr>
              <w:t>招标文件、中标文件的要求。</w:t>
            </w:r>
          </w:p>
        </w:tc>
        <w:tc>
          <w:tcPr>
            <w:tcW w:w="4272" w:type="dxa"/>
            <w:vAlign w:val="top"/>
          </w:tcPr>
          <w:p w14:paraId="7A295B7C">
            <w:pPr>
              <w:keepNext w:val="0"/>
              <w:keepLines w:val="0"/>
              <w:pageBreakBefore w:val="0"/>
              <w:widowControl/>
              <w:kinsoku w:val="0"/>
              <w:wordWrap/>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如果我方未在招标文件规定的时限内与招标人签订合同，或我方在签订合同过程中</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rPr>
              <w:t>提出违背或超出招标文件、中标文件的要求。</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7"/>
                <w:sz w:val="24"/>
                <w:szCs w:val="24"/>
                <w:highlight w:val="none"/>
              </w:rPr>
              <w:t>我方接受招标人依据招标文件作出的相应处</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理以及有关监督部门作出的行政处罚，并承</w:t>
            </w:r>
            <w:r>
              <w:rPr>
                <w:rFonts w:hint="eastAsia" w:ascii="宋体" w:hAnsi="宋体" w:eastAsia="宋体" w:cs="宋体"/>
                <w:color w:val="auto"/>
                <w:spacing w:val="5"/>
                <w:sz w:val="24"/>
                <w:szCs w:val="24"/>
                <w:highlight w:val="none"/>
              </w:rPr>
              <w:t>担由此引起的一切法律后果。</w:t>
            </w:r>
          </w:p>
        </w:tc>
      </w:tr>
    </w:tbl>
    <w:p w14:paraId="652A6365">
      <w:pPr>
        <w:spacing w:before="78" w:line="219" w:lineRule="auto"/>
        <w:ind w:firstLine="6832" w:firstLineChars="2800"/>
        <w:jc w:val="both"/>
        <w:rPr>
          <w:rFonts w:hint="eastAsia" w:ascii="宋体" w:hAnsi="宋体" w:eastAsia="宋体" w:cs="宋体"/>
          <w:color w:val="auto"/>
          <w:spacing w:val="2"/>
          <w:sz w:val="24"/>
          <w:szCs w:val="24"/>
          <w:highlight w:val="none"/>
        </w:rPr>
      </w:pPr>
    </w:p>
    <w:p w14:paraId="59CA8409">
      <w:pPr>
        <w:spacing w:before="78" w:line="219" w:lineRule="auto"/>
        <w:ind w:firstLine="6832" w:firstLineChars="280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2F9E443C">
      <w:pPr>
        <w:pStyle w:val="5"/>
        <w:spacing w:line="297" w:lineRule="auto"/>
        <w:jc w:val="right"/>
        <w:rPr>
          <w:rFonts w:hint="eastAsia" w:ascii="宋体" w:hAnsi="宋体" w:eastAsia="宋体" w:cs="宋体"/>
          <w:color w:val="auto"/>
          <w:highlight w:val="none"/>
        </w:rPr>
      </w:pPr>
    </w:p>
    <w:p w14:paraId="05404F33">
      <w:pPr>
        <w:spacing w:before="78" w:line="219" w:lineRule="auto"/>
        <w:ind w:left="4366"/>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61123970">
      <w:pPr>
        <w:outlineLvl w:val="9"/>
        <w:rPr>
          <w:rFonts w:hint="eastAsia"/>
          <w:color w:val="auto"/>
          <w:highlight w:val="none"/>
        </w:rPr>
      </w:pPr>
    </w:p>
    <w:p w14:paraId="35E77310">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7E80B408">
      <w:pPr>
        <w:spacing w:line="220" w:lineRule="auto"/>
        <w:jc w:val="right"/>
        <w:rPr>
          <w:rFonts w:hint="eastAsia" w:ascii="宋体" w:hAnsi="宋体" w:eastAsia="宋体" w:cs="宋体"/>
          <w:color w:val="auto"/>
          <w:sz w:val="24"/>
          <w:szCs w:val="24"/>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106C038">
      <w:pPr>
        <w:spacing w:before="78" w:line="220" w:lineRule="auto"/>
        <w:outlineLvl w:val="2"/>
        <w:rPr>
          <w:rFonts w:hint="eastAsia" w:ascii="宋体" w:hAnsi="宋体" w:eastAsia="宋体" w:cs="宋体"/>
          <w:b/>
          <w:bCs/>
          <w:color w:val="auto"/>
          <w:spacing w:val="-4"/>
          <w:sz w:val="24"/>
          <w:szCs w:val="24"/>
          <w:highlight w:val="none"/>
        </w:rPr>
      </w:pPr>
      <w:bookmarkStart w:id="227" w:name="_Toc24663"/>
      <w:r>
        <w:rPr>
          <w:rFonts w:hint="eastAsia" w:ascii="宋体" w:hAnsi="宋体" w:eastAsia="宋体" w:cs="宋体"/>
          <w:b/>
          <w:bCs/>
          <w:color w:val="auto"/>
          <w:spacing w:val="-4"/>
          <w:sz w:val="24"/>
          <w:szCs w:val="24"/>
          <w:highlight w:val="none"/>
        </w:rPr>
        <w:t>格式四 授权委托书</w:t>
      </w:r>
      <w:bookmarkEnd w:id="227"/>
    </w:p>
    <w:p w14:paraId="1B07D8E2">
      <w:pPr>
        <w:pStyle w:val="5"/>
        <w:spacing w:line="351" w:lineRule="auto"/>
        <w:rPr>
          <w:rFonts w:hint="eastAsia" w:ascii="宋体" w:hAnsi="宋体" w:eastAsia="宋体" w:cs="宋体"/>
          <w:color w:val="auto"/>
          <w:highlight w:val="none"/>
        </w:rPr>
      </w:pPr>
    </w:p>
    <w:p w14:paraId="6995BFB7">
      <w:pPr>
        <w:pStyle w:val="5"/>
        <w:spacing w:line="351" w:lineRule="auto"/>
        <w:rPr>
          <w:rFonts w:hint="eastAsia" w:ascii="宋体" w:hAnsi="宋体" w:eastAsia="宋体" w:cs="宋体"/>
          <w:color w:val="auto"/>
          <w:highlight w:val="none"/>
        </w:rPr>
      </w:pPr>
    </w:p>
    <w:p w14:paraId="745C53F9">
      <w:pPr>
        <w:spacing w:before="97" w:line="219" w:lineRule="auto"/>
        <w:ind w:left="3786"/>
        <w:rPr>
          <w:rFonts w:hint="eastAsia" w:ascii="宋体" w:hAnsi="宋体" w:eastAsia="宋体" w:cs="宋体"/>
          <w:color w:val="auto"/>
          <w:sz w:val="30"/>
          <w:szCs w:val="30"/>
          <w:highlight w:val="none"/>
        </w:rPr>
      </w:pPr>
      <w:bookmarkStart w:id="228" w:name="bookmark151"/>
      <w:bookmarkEnd w:id="228"/>
      <w:r>
        <w:rPr>
          <w:rFonts w:hint="eastAsia" w:ascii="宋体" w:hAnsi="宋体" w:eastAsia="宋体" w:cs="宋体"/>
          <w:b/>
          <w:bCs/>
          <w:color w:val="auto"/>
          <w:spacing w:val="-5"/>
          <w:sz w:val="30"/>
          <w:szCs w:val="30"/>
          <w:highlight w:val="none"/>
        </w:rPr>
        <w:t>授权委托书</w:t>
      </w:r>
    </w:p>
    <w:p w14:paraId="7BCA636E">
      <w:pPr>
        <w:pStyle w:val="5"/>
        <w:spacing w:line="250" w:lineRule="auto"/>
        <w:rPr>
          <w:rFonts w:hint="eastAsia" w:ascii="宋体" w:hAnsi="宋体" w:eastAsia="宋体" w:cs="宋体"/>
          <w:color w:val="auto"/>
          <w:highlight w:val="none"/>
        </w:rPr>
      </w:pPr>
    </w:p>
    <w:p w14:paraId="34EDC369">
      <w:pPr>
        <w:pStyle w:val="5"/>
        <w:spacing w:line="250" w:lineRule="auto"/>
        <w:rPr>
          <w:rFonts w:hint="eastAsia" w:ascii="宋体" w:hAnsi="宋体" w:eastAsia="宋体" w:cs="宋体"/>
          <w:color w:val="auto"/>
          <w:highlight w:val="none"/>
        </w:rPr>
      </w:pPr>
    </w:p>
    <w:p w14:paraId="1C4B3FF0">
      <w:pPr>
        <w:pStyle w:val="5"/>
        <w:spacing w:line="251" w:lineRule="auto"/>
        <w:rPr>
          <w:rFonts w:hint="eastAsia" w:ascii="宋体" w:hAnsi="宋体" w:eastAsia="宋体" w:cs="宋体"/>
          <w:color w:val="auto"/>
          <w:highlight w:val="none"/>
        </w:rPr>
      </w:pPr>
    </w:p>
    <w:p w14:paraId="5035B429">
      <w:pPr>
        <w:spacing w:before="78" w:line="330" w:lineRule="auto"/>
        <w:ind w:firstLine="481"/>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8"/>
          <w:highlight w:val="none"/>
          <w:lang w:eastAsia="zh-CN"/>
        </w:rPr>
        <w:t>本人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（投标人名称）的法定代表人，现委托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 w:val="24"/>
          <w:szCs w:val="28"/>
          <w:highlight w:val="none"/>
          <w:u w:val="single"/>
          <w:lang w:eastAsia="zh-CN"/>
        </w:rPr>
        <w:t>（项目名称）</w:t>
      </w:r>
      <w:r>
        <w:rPr>
          <w:rFonts w:hint="eastAsia" w:ascii="宋体" w:hAnsi="宋体" w:eastAsia="宋体" w:cs="宋体"/>
          <w:snapToGrid w:val="0"/>
          <w:color w:val="auto"/>
          <w:kern w:val="0"/>
          <w:sz w:val="24"/>
          <w:szCs w:val="28"/>
          <w:highlight w:val="none"/>
          <w:lang w:eastAsia="zh-CN"/>
        </w:rPr>
        <w:t xml:space="preserve"> 施工投标文件、签订合同和处理有关事宜，其法律后果由我方承担。</w:t>
      </w:r>
    </w:p>
    <w:p w14:paraId="02CC0FEA">
      <w:pPr>
        <w:spacing w:before="32" w:line="320" w:lineRule="auto"/>
        <w:ind w:left="480" w:right="497"/>
        <w:rPr>
          <w:rFonts w:hint="eastAsia" w:ascii="宋体" w:hAnsi="宋体" w:eastAsia="宋体" w:cs="宋体"/>
          <w:color w:val="auto"/>
          <w:spacing w:val="15"/>
          <w:sz w:val="24"/>
          <w:szCs w:val="24"/>
          <w:highlight w:val="none"/>
        </w:rPr>
      </w:pPr>
      <w:r>
        <w:rPr>
          <w:rFonts w:hint="eastAsia" w:ascii="宋体" w:hAnsi="宋体" w:eastAsia="宋体" w:cs="宋体"/>
          <w:color w:val="auto"/>
          <w:spacing w:val="-9"/>
          <w:sz w:val="24"/>
          <w:szCs w:val="24"/>
          <w:highlight w:val="none"/>
        </w:rPr>
        <w:t>委托期限：至</w:t>
      </w:r>
      <w:r>
        <w:rPr>
          <w:rFonts w:hint="eastAsia" w:ascii="宋体" w:hAnsi="宋体" w:eastAsia="宋体" w:cs="宋体"/>
          <w:color w:val="auto"/>
          <w:spacing w:val="-9"/>
          <w:sz w:val="24"/>
          <w:szCs w:val="24"/>
          <w:highlight w:val="none"/>
          <w:u w:val="single"/>
        </w:rPr>
        <w:t xml:space="preserve">     年   月    日</w:t>
      </w:r>
      <w:r>
        <w:rPr>
          <w:rFonts w:hint="eastAsia" w:ascii="宋体" w:hAnsi="宋体" w:eastAsia="宋体" w:cs="宋体"/>
          <w:i/>
          <w:iCs/>
          <w:color w:val="auto"/>
          <w:spacing w:val="-9"/>
          <w:sz w:val="25"/>
          <w:szCs w:val="25"/>
          <w:highlight w:val="none"/>
          <w:u w:val="single"/>
        </w:rPr>
        <w:t>（不得短于招标文件规定的投标有效期）</w:t>
      </w:r>
      <w:r>
        <w:rPr>
          <w:rFonts w:hint="eastAsia" w:ascii="宋体" w:hAnsi="宋体" w:eastAsia="宋体" w:cs="宋体"/>
          <w:color w:val="auto"/>
          <w:spacing w:val="-9"/>
          <w:sz w:val="25"/>
          <w:szCs w:val="25"/>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5"/>
          <w:sz w:val="24"/>
          <w:szCs w:val="24"/>
          <w:highlight w:val="none"/>
        </w:rPr>
        <w:t xml:space="preserve"> </w:t>
      </w:r>
    </w:p>
    <w:p w14:paraId="1D75CE3F">
      <w:pPr>
        <w:spacing w:before="32" w:line="320" w:lineRule="auto"/>
        <w:ind w:left="480" w:right="4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7BF72699">
      <w:pPr>
        <w:pStyle w:val="5"/>
        <w:spacing w:line="276" w:lineRule="auto"/>
        <w:rPr>
          <w:rFonts w:hint="eastAsia" w:ascii="宋体" w:hAnsi="宋体" w:eastAsia="宋体" w:cs="宋体"/>
          <w:color w:val="auto"/>
          <w:highlight w:val="none"/>
        </w:rPr>
      </w:pPr>
    </w:p>
    <w:p w14:paraId="066AD397">
      <w:pPr>
        <w:pStyle w:val="5"/>
        <w:spacing w:line="277" w:lineRule="auto"/>
        <w:rPr>
          <w:rFonts w:hint="eastAsia" w:ascii="宋体" w:hAnsi="宋体" w:eastAsia="宋体" w:cs="宋体"/>
          <w:color w:val="auto"/>
          <w:highlight w:val="none"/>
        </w:rPr>
      </w:pPr>
    </w:p>
    <w:p w14:paraId="5335FB56">
      <w:pPr>
        <w:pStyle w:val="5"/>
        <w:spacing w:line="277" w:lineRule="auto"/>
        <w:rPr>
          <w:rFonts w:hint="eastAsia" w:ascii="宋体" w:hAnsi="宋体" w:eastAsia="宋体" w:cs="宋体"/>
          <w:color w:val="auto"/>
          <w:highlight w:val="none"/>
        </w:rPr>
      </w:pPr>
    </w:p>
    <w:p w14:paraId="031455AD">
      <w:pPr>
        <w:spacing w:before="78" w:line="219" w:lineRule="auto"/>
        <w:ind w:left="3123"/>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  标  人</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4"/>
          <w:sz w:val="24"/>
          <w:szCs w:val="24"/>
          <w:highlight w:val="none"/>
        </w:rPr>
        <w:t>盖单位章）</w:t>
      </w:r>
    </w:p>
    <w:p w14:paraId="726875D3">
      <w:pPr>
        <w:pStyle w:val="5"/>
        <w:spacing w:line="317" w:lineRule="auto"/>
        <w:jc w:val="right"/>
        <w:rPr>
          <w:rFonts w:hint="eastAsia" w:ascii="宋体" w:hAnsi="宋体" w:eastAsia="宋体" w:cs="宋体"/>
          <w:color w:val="auto"/>
          <w:highlight w:val="none"/>
        </w:rPr>
      </w:pPr>
    </w:p>
    <w:p w14:paraId="4BE945CE">
      <w:pPr>
        <w:pStyle w:val="5"/>
        <w:spacing w:line="317" w:lineRule="auto"/>
        <w:jc w:val="right"/>
        <w:rPr>
          <w:rFonts w:hint="eastAsia" w:ascii="宋体" w:hAnsi="宋体" w:eastAsia="宋体" w:cs="宋体"/>
          <w:color w:val="auto"/>
          <w:highlight w:val="none"/>
        </w:rPr>
      </w:pPr>
    </w:p>
    <w:p w14:paraId="2CE9439F">
      <w:pPr>
        <w:pStyle w:val="5"/>
        <w:spacing w:line="317" w:lineRule="auto"/>
        <w:jc w:val="right"/>
        <w:rPr>
          <w:rFonts w:hint="eastAsia" w:ascii="宋体" w:hAnsi="宋体" w:eastAsia="宋体" w:cs="宋体"/>
          <w:color w:val="auto"/>
          <w:highlight w:val="none"/>
        </w:rPr>
      </w:pPr>
    </w:p>
    <w:p w14:paraId="11F36EF9">
      <w:pPr>
        <w:spacing w:before="79" w:line="219" w:lineRule="auto"/>
        <w:ind w:left="3121"/>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签字或盖章）</w:t>
      </w:r>
    </w:p>
    <w:p w14:paraId="4520D8D5">
      <w:pPr>
        <w:pStyle w:val="5"/>
        <w:spacing w:line="317" w:lineRule="auto"/>
        <w:jc w:val="right"/>
        <w:rPr>
          <w:rFonts w:hint="eastAsia" w:ascii="宋体" w:hAnsi="宋体" w:eastAsia="宋体" w:cs="宋体"/>
          <w:color w:val="auto"/>
          <w:highlight w:val="none"/>
        </w:rPr>
      </w:pPr>
    </w:p>
    <w:p w14:paraId="5B567150">
      <w:pPr>
        <w:pStyle w:val="5"/>
        <w:spacing w:line="317" w:lineRule="auto"/>
        <w:jc w:val="right"/>
        <w:rPr>
          <w:rFonts w:hint="eastAsia" w:ascii="宋体" w:hAnsi="宋体" w:eastAsia="宋体" w:cs="宋体"/>
          <w:color w:val="auto"/>
          <w:highlight w:val="none"/>
        </w:rPr>
      </w:pPr>
    </w:p>
    <w:p w14:paraId="23F7475B">
      <w:pPr>
        <w:pStyle w:val="5"/>
        <w:spacing w:line="317" w:lineRule="auto"/>
        <w:jc w:val="right"/>
        <w:rPr>
          <w:rFonts w:hint="eastAsia" w:ascii="宋体" w:hAnsi="宋体" w:eastAsia="宋体" w:cs="宋体"/>
          <w:color w:val="auto"/>
          <w:highlight w:val="none"/>
        </w:rPr>
      </w:pPr>
    </w:p>
    <w:p w14:paraId="477C78CF">
      <w:pPr>
        <w:spacing w:before="78" w:line="219" w:lineRule="auto"/>
        <w:ind w:left="288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16"/>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2"/>
          <w:sz w:val="24"/>
          <w:szCs w:val="24"/>
          <w:highlight w:val="none"/>
        </w:rPr>
        <w:t>签字或盖章）</w:t>
      </w:r>
    </w:p>
    <w:p w14:paraId="2FA55B28">
      <w:pPr>
        <w:pStyle w:val="5"/>
        <w:spacing w:line="256" w:lineRule="auto"/>
        <w:jc w:val="right"/>
        <w:rPr>
          <w:rFonts w:hint="eastAsia" w:ascii="宋体" w:hAnsi="宋体" w:eastAsia="宋体" w:cs="宋体"/>
          <w:color w:val="auto"/>
          <w:highlight w:val="none"/>
        </w:rPr>
      </w:pPr>
    </w:p>
    <w:p w14:paraId="08BB8546">
      <w:pPr>
        <w:pStyle w:val="5"/>
        <w:spacing w:line="256" w:lineRule="auto"/>
        <w:jc w:val="right"/>
        <w:rPr>
          <w:rFonts w:hint="eastAsia" w:ascii="宋体" w:hAnsi="宋体" w:eastAsia="宋体" w:cs="宋体"/>
          <w:color w:val="auto"/>
          <w:highlight w:val="none"/>
        </w:rPr>
      </w:pPr>
    </w:p>
    <w:p w14:paraId="5EA5445A">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3B05CFE5">
      <w:pPr>
        <w:spacing w:before="78" w:line="220" w:lineRule="auto"/>
        <w:ind w:left="4201"/>
        <w:jc w:val="right"/>
        <w:rPr>
          <w:rFonts w:hint="eastAsia" w:ascii="宋体" w:hAnsi="宋体" w:eastAsia="宋体" w:cs="宋体"/>
          <w:color w:val="auto"/>
          <w:sz w:val="24"/>
          <w:szCs w:val="24"/>
          <w:highlight w:val="none"/>
        </w:rPr>
      </w:pPr>
    </w:p>
    <w:p w14:paraId="5F3C3E93">
      <w:pPr>
        <w:spacing w:before="69"/>
        <w:rPr>
          <w:rFonts w:hint="eastAsia" w:ascii="宋体" w:hAnsi="宋体" w:eastAsia="宋体" w:cs="宋体"/>
          <w:color w:val="auto"/>
          <w:highlight w:val="none"/>
        </w:rPr>
      </w:pPr>
    </w:p>
    <w:p w14:paraId="788ACD18">
      <w:pPr>
        <w:spacing w:before="69"/>
        <w:rPr>
          <w:rFonts w:hint="eastAsia" w:ascii="宋体" w:hAnsi="宋体" w:eastAsia="宋体" w:cs="宋体"/>
          <w:color w:val="auto"/>
          <w:highlight w:val="none"/>
        </w:rPr>
      </w:pPr>
    </w:p>
    <w:tbl>
      <w:tblPr>
        <w:tblStyle w:val="14"/>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35D524B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4C14A214">
            <w:pPr>
              <w:pStyle w:val="19"/>
              <w:spacing w:line="245" w:lineRule="auto"/>
              <w:rPr>
                <w:rFonts w:hint="eastAsia" w:ascii="宋体" w:hAnsi="宋体" w:eastAsia="宋体" w:cs="宋体"/>
                <w:color w:val="auto"/>
                <w:highlight w:val="none"/>
              </w:rPr>
            </w:pPr>
          </w:p>
          <w:p w14:paraId="4AD9E0CD">
            <w:pPr>
              <w:pStyle w:val="19"/>
              <w:spacing w:line="245" w:lineRule="auto"/>
              <w:rPr>
                <w:rFonts w:hint="eastAsia" w:ascii="宋体" w:hAnsi="宋体" w:eastAsia="宋体" w:cs="宋体"/>
                <w:color w:val="auto"/>
                <w:highlight w:val="none"/>
              </w:rPr>
            </w:pPr>
          </w:p>
          <w:p w14:paraId="37B01933">
            <w:pPr>
              <w:pStyle w:val="19"/>
              <w:spacing w:line="245" w:lineRule="auto"/>
              <w:rPr>
                <w:rFonts w:hint="eastAsia" w:ascii="宋体" w:hAnsi="宋体" w:eastAsia="宋体" w:cs="宋体"/>
                <w:color w:val="auto"/>
                <w:highlight w:val="none"/>
              </w:rPr>
            </w:pPr>
          </w:p>
          <w:p w14:paraId="17806044">
            <w:pPr>
              <w:pStyle w:val="19"/>
              <w:spacing w:line="245" w:lineRule="auto"/>
              <w:rPr>
                <w:rFonts w:hint="eastAsia" w:ascii="宋体" w:hAnsi="宋体" w:eastAsia="宋体" w:cs="宋体"/>
                <w:color w:val="auto"/>
                <w:highlight w:val="none"/>
              </w:rPr>
            </w:pPr>
          </w:p>
          <w:p w14:paraId="60F45E15">
            <w:pPr>
              <w:pStyle w:val="19"/>
              <w:spacing w:line="245" w:lineRule="auto"/>
              <w:rPr>
                <w:rFonts w:hint="eastAsia" w:ascii="宋体" w:hAnsi="宋体" w:eastAsia="宋体" w:cs="宋体"/>
                <w:color w:val="auto"/>
                <w:highlight w:val="none"/>
              </w:rPr>
            </w:pPr>
          </w:p>
          <w:p w14:paraId="3A223BA6">
            <w:pPr>
              <w:pStyle w:val="19"/>
              <w:spacing w:line="245" w:lineRule="auto"/>
              <w:rPr>
                <w:rFonts w:hint="eastAsia" w:ascii="宋体" w:hAnsi="宋体" w:eastAsia="宋体" w:cs="宋体"/>
                <w:color w:val="auto"/>
                <w:highlight w:val="none"/>
              </w:rPr>
            </w:pPr>
          </w:p>
          <w:p w14:paraId="7DE055F5">
            <w:pPr>
              <w:pStyle w:val="19"/>
              <w:spacing w:line="246" w:lineRule="auto"/>
              <w:rPr>
                <w:rFonts w:hint="eastAsia" w:ascii="宋体" w:hAnsi="宋体" w:eastAsia="宋体" w:cs="宋体"/>
                <w:color w:val="auto"/>
                <w:highlight w:val="none"/>
              </w:rPr>
            </w:pPr>
          </w:p>
          <w:p w14:paraId="0F889BD9">
            <w:pPr>
              <w:spacing w:before="78" w:line="220" w:lineRule="auto"/>
              <w:ind w:left="7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委托代理人身份证</w:t>
            </w:r>
            <w:r>
              <w:rPr>
                <w:rFonts w:hint="eastAsia" w:ascii="宋体" w:hAnsi="宋体" w:eastAsia="宋体" w:cs="宋体"/>
                <w:color w:val="auto"/>
                <w:spacing w:val="-1"/>
                <w:sz w:val="24"/>
                <w:szCs w:val="24"/>
                <w:highlight w:val="none"/>
                <w:lang w:val="en-US" w:eastAsia="zh-CN"/>
              </w:rPr>
              <w:t>彩色扫描件</w:t>
            </w:r>
            <w:r>
              <w:rPr>
                <w:rFonts w:hint="eastAsia" w:ascii="宋体" w:hAnsi="宋体" w:eastAsia="宋体" w:cs="宋体"/>
                <w:color w:val="auto"/>
                <w:spacing w:val="-1"/>
                <w:sz w:val="24"/>
                <w:szCs w:val="24"/>
                <w:highlight w:val="none"/>
              </w:rPr>
              <w:t>正、反面</w:t>
            </w:r>
          </w:p>
        </w:tc>
      </w:tr>
    </w:tbl>
    <w:p w14:paraId="3A476602">
      <w:pPr>
        <w:pStyle w:val="5"/>
        <w:rPr>
          <w:rFonts w:hint="eastAsia" w:ascii="宋体" w:hAnsi="宋体" w:eastAsia="宋体" w:cs="宋体"/>
          <w:color w:val="auto"/>
          <w:highlight w:val="none"/>
        </w:rPr>
      </w:pPr>
    </w:p>
    <w:p w14:paraId="75227B32">
      <w:pPr>
        <w:rPr>
          <w:rFonts w:hint="eastAsia" w:ascii="宋体" w:hAnsi="宋体" w:eastAsia="宋体" w:cs="宋体"/>
          <w:color w:val="auto"/>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5FB39B34">
      <w:pPr>
        <w:spacing w:before="78" w:line="220" w:lineRule="auto"/>
        <w:outlineLvl w:val="2"/>
        <w:rPr>
          <w:rFonts w:hint="eastAsia" w:ascii="宋体" w:hAnsi="宋体" w:eastAsia="宋体" w:cs="宋体"/>
          <w:b/>
          <w:bCs/>
          <w:color w:val="auto"/>
          <w:spacing w:val="-4"/>
          <w:sz w:val="24"/>
          <w:szCs w:val="24"/>
          <w:highlight w:val="none"/>
        </w:rPr>
      </w:pPr>
      <w:bookmarkStart w:id="229" w:name="_Toc24290"/>
      <w:r>
        <w:rPr>
          <w:rFonts w:hint="eastAsia" w:ascii="宋体" w:hAnsi="宋体" w:eastAsia="宋体" w:cs="宋体"/>
          <w:b/>
          <w:bCs/>
          <w:color w:val="auto"/>
          <w:spacing w:val="-4"/>
          <w:sz w:val="24"/>
          <w:szCs w:val="24"/>
          <w:highlight w:val="none"/>
        </w:rPr>
        <w:t>格式五 法定代表人身份证明</w:t>
      </w:r>
      <w:bookmarkEnd w:id="229"/>
    </w:p>
    <w:p w14:paraId="0771E237">
      <w:pPr>
        <w:pStyle w:val="5"/>
        <w:spacing w:line="350" w:lineRule="auto"/>
        <w:rPr>
          <w:rFonts w:hint="eastAsia" w:ascii="宋体" w:hAnsi="宋体" w:eastAsia="宋体" w:cs="宋体"/>
          <w:color w:val="auto"/>
          <w:highlight w:val="none"/>
        </w:rPr>
      </w:pPr>
    </w:p>
    <w:p w14:paraId="2E802A34">
      <w:pPr>
        <w:pStyle w:val="5"/>
        <w:spacing w:line="350" w:lineRule="auto"/>
        <w:rPr>
          <w:rFonts w:hint="eastAsia" w:ascii="宋体" w:hAnsi="宋体" w:eastAsia="宋体" w:cs="宋体"/>
          <w:color w:val="auto"/>
          <w:highlight w:val="none"/>
        </w:rPr>
      </w:pPr>
    </w:p>
    <w:p w14:paraId="54A370D8">
      <w:pPr>
        <w:spacing w:before="98" w:line="220" w:lineRule="auto"/>
        <w:ind w:left="3183"/>
        <w:rPr>
          <w:rFonts w:hint="eastAsia" w:ascii="宋体" w:hAnsi="宋体" w:eastAsia="宋体" w:cs="宋体"/>
          <w:color w:val="auto"/>
          <w:sz w:val="30"/>
          <w:szCs w:val="30"/>
          <w:highlight w:val="none"/>
        </w:rPr>
      </w:pPr>
      <w:bookmarkStart w:id="230" w:name="bookmark152"/>
      <w:bookmarkEnd w:id="230"/>
      <w:r>
        <w:rPr>
          <w:rFonts w:hint="eastAsia" w:ascii="宋体" w:hAnsi="宋体" w:eastAsia="宋体" w:cs="宋体"/>
          <w:b/>
          <w:bCs/>
          <w:color w:val="auto"/>
          <w:spacing w:val="-4"/>
          <w:sz w:val="30"/>
          <w:szCs w:val="30"/>
          <w:highlight w:val="none"/>
        </w:rPr>
        <w:t>法定代表人身份证明</w:t>
      </w:r>
    </w:p>
    <w:p w14:paraId="547AA561">
      <w:pPr>
        <w:pStyle w:val="5"/>
        <w:spacing w:line="250" w:lineRule="auto"/>
        <w:rPr>
          <w:rFonts w:hint="eastAsia" w:ascii="宋体" w:hAnsi="宋体" w:eastAsia="宋体" w:cs="宋体"/>
          <w:color w:val="auto"/>
          <w:highlight w:val="none"/>
        </w:rPr>
      </w:pPr>
    </w:p>
    <w:p w14:paraId="7E98D85A">
      <w:pPr>
        <w:pStyle w:val="5"/>
        <w:spacing w:line="250" w:lineRule="auto"/>
        <w:rPr>
          <w:rFonts w:hint="eastAsia" w:ascii="宋体" w:hAnsi="宋体" w:eastAsia="宋体" w:cs="宋体"/>
          <w:color w:val="auto"/>
          <w:highlight w:val="none"/>
        </w:rPr>
      </w:pPr>
    </w:p>
    <w:p w14:paraId="580E40E1">
      <w:pPr>
        <w:pStyle w:val="5"/>
        <w:spacing w:line="251" w:lineRule="auto"/>
        <w:rPr>
          <w:rFonts w:hint="eastAsia" w:ascii="宋体" w:hAnsi="宋体" w:eastAsia="宋体" w:cs="宋体"/>
          <w:color w:val="auto"/>
          <w:highlight w:val="none"/>
        </w:rPr>
      </w:pPr>
    </w:p>
    <w:p w14:paraId="63D3A821">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14:paraId="2987C8EF">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性别：</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w:t>
      </w:r>
      <w:r>
        <w:rPr>
          <w:rFonts w:hint="eastAsia" w:ascii="宋体" w:hAnsi="宋体" w:eastAsia="宋体" w:cs="宋体"/>
          <w:snapToGrid w:val="0"/>
          <w:color w:val="auto"/>
          <w:kern w:val="0"/>
          <w:sz w:val="24"/>
          <w:szCs w:val="24"/>
          <w:highlight w:val="none"/>
          <w:u w:val="single"/>
        </w:rPr>
        <w:t xml:space="preserve">           </w:t>
      </w:r>
    </w:p>
    <w:p w14:paraId="046A175E">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w:t>
      </w:r>
    </w:p>
    <w:p w14:paraId="76BDA8FB">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 w:val="24"/>
          <w:szCs w:val="24"/>
          <w:highlight w:val="none"/>
        </w:rPr>
        <w:t xml:space="preserve">    特此证明。</w:t>
      </w:r>
    </w:p>
    <w:p w14:paraId="795A7DAC">
      <w:pPr>
        <w:pStyle w:val="5"/>
        <w:spacing w:line="277" w:lineRule="auto"/>
        <w:rPr>
          <w:rFonts w:hint="eastAsia" w:ascii="宋体" w:hAnsi="宋体" w:eastAsia="宋体" w:cs="宋体"/>
          <w:color w:val="auto"/>
          <w:highlight w:val="none"/>
        </w:rPr>
      </w:pPr>
    </w:p>
    <w:p w14:paraId="674AC339">
      <w:pPr>
        <w:pStyle w:val="5"/>
        <w:spacing w:line="277" w:lineRule="auto"/>
        <w:rPr>
          <w:rFonts w:hint="eastAsia" w:ascii="宋体" w:hAnsi="宋体" w:eastAsia="宋体" w:cs="宋体"/>
          <w:color w:val="auto"/>
          <w:highlight w:val="none"/>
        </w:rPr>
      </w:pPr>
    </w:p>
    <w:p w14:paraId="475DD746">
      <w:pPr>
        <w:pStyle w:val="5"/>
        <w:spacing w:line="278" w:lineRule="auto"/>
        <w:rPr>
          <w:rFonts w:hint="eastAsia" w:ascii="宋体" w:hAnsi="宋体" w:eastAsia="宋体" w:cs="宋体"/>
          <w:color w:val="auto"/>
          <w:highlight w:val="none"/>
        </w:rPr>
      </w:pPr>
    </w:p>
    <w:p w14:paraId="6E541B99">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盖单位章）</w:t>
      </w:r>
    </w:p>
    <w:p w14:paraId="2D74D64E">
      <w:pPr>
        <w:pStyle w:val="5"/>
        <w:spacing w:line="317" w:lineRule="auto"/>
        <w:jc w:val="right"/>
        <w:rPr>
          <w:rFonts w:hint="eastAsia" w:ascii="宋体" w:hAnsi="宋体" w:eastAsia="宋体" w:cs="宋体"/>
          <w:color w:val="auto"/>
          <w:highlight w:val="none"/>
        </w:rPr>
      </w:pPr>
    </w:p>
    <w:p w14:paraId="216D5452">
      <w:pPr>
        <w:pStyle w:val="5"/>
        <w:spacing w:line="317" w:lineRule="auto"/>
        <w:jc w:val="right"/>
        <w:rPr>
          <w:rFonts w:hint="eastAsia" w:ascii="宋体" w:hAnsi="宋体" w:eastAsia="宋体" w:cs="宋体"/>
          <w:color w:val="auto"/>
          <w:highlight w:val="none"/>
        </w:rPr>
      </w:pPr>
    </w:p>
    <w:p w14:paraId="0AC743CE">
      <w:pPr>
        <w:pStyle w:val="5"/>
        <w:spacing w:line="317" w:lineRule="auto"/>
        <w:jc w:val="right"/>
        <w:rPr>
          <w:rFonts w:hint="eastAsia" w:ascii="宋体" w:hAnsi="宋体" w:eastAsia="宋体" w:cs="宋体"/>
          <w:color w:val="auto"/>
          <w:highlight w:val="none"/>
        </w:rPr>
      </w:pPr>
    </w:p>
    <w:p w14:paraId="7C3E5A44">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0D596B13">
      <w:pPr>
        <w:pStyle w:val="5"/>
        <w:spacing w:line="257" w:lineRule="auto"/>
        <w:jc w:val="right"/>
        <w:rPr>
          <w:rFonts w:hint="eastAsia" w:ascii="宋体" w:hAnsi="宋体" w:eastAsia="宋体" w:cs="宋体"/>
          <w:color w:val="auto"/>
          <w:highlight w:val="none"/>
        </w:rPr>
      </w:pPr>
    </w:p>
    <w:p w14:paraId="2869D7F8">
      <w:pPr>
        <w:pStyle w:val="5"/>
        <w:spacing w:line="257" w:lineRule="auto"/>
        <w:jc w:val="right"/>
        <w:rPr>
          <w:rFonts w:hint="eastAsia" w:ascii="宋体" w:hAnsi="宋体" w:eastAsia="宋体" w:cs="宋体"/>
          <w:color w:val="auto"/>
          <w:highlight w:val="none"/>
        </w:rPr>
      </w:pPr>
    </w:p>
    <w:p w14:paraId="52C0A5FA">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7E331C29">
      <w:pPr>
        <w:pStyle w:val="5"/>
        <w:spacing w:line="254" w:lineRule="auto"/>
        <w:rPr>
          <w:rFonts w:hint="eastAsia" w:ascii="宋体" w:hAnsi="宋体" w:eastAsia="宋体" w:cs="宋体"/>
          <w:color w:val="auto"/>
          <w:highlight w:val="none"/>
        </w:rPr>
      </w:pPr>
    </w:p>
    <w:p w14:paraId="5723B73F">
      <w:pPr>
        <w:pStyle w:val="5"/>
        <w:spacing w:line="254" w:lineRule="auto"/>
        <w:rPr>
          <w:rFonts w:hint="eastAsia" w:ascii="宋体" w:hAnsi="宋体" w:eastAsia="宋体" w:cs="宋体"/>
          <w:color w:val="auto"/>
          <w:highlight w:val="none"/>
        </w:rPr>
      </w:pPr>
    </w:p>
    <w:p w14:paraId="68E56F4D">
      <w:pPr>
        <w:pStyle w:val="5"/>
        <w:spacing w:line="254" w:lineRule="auto"/>
        <w:rPr>
          <w:rFonts w:hint="eastAsia" w:ascii="宋体" w:hAnsi="宋体" w:eastAsia="宋体" w:cs="宋体"/>
          <w:color w:val="auto"/>
          <w:highlight w:val="none"/>
        </w:rPr>
      </w:pPr>
    </w:p>
    <w:p w14:paraId="6E89971D">
      <w:pPr>
        <w:pStyle w:val="5"/>
        <w:spacing w:line="254" w:lineRule="auto"/>
        <w:rPr>
          <w:rFonts w:hint="eastAsia" w:ascii="宋体" w:hAnsi="宋体" w:eastAsia="宋体" w:cs="宋体"/>
          <w:color w:val="auto"/>
          <w:highlight w:val="none"/>
        </w:rPr>
      </w:pPr>
    </w:p>
    <w:p w14:paraId="5E55EAB3">
      <w:pPr>
        <w:pStyle w:val="5"/>
        <w:spacing w:line="255" w:lineRule="auto"/>
        <w:rPr>
          <w:rFonts w:hint="eastAsia" w:ascii="宋体" w:hAnsi="宋体" w:eastAsia="宋体" w:cs="宋体"/>
          <w:color w:val="auto"/>
          <w:highlight w:val="none"/>
        </w:rPr>
      </w:pPr>
    </w:p>
    <w:p w14:paraId="66A26A3A">
      <w:pPr>
        <w:pStyle w:val="5"/>
        <w:spacing w:line="255" w:lineRule="auto"/>
        <w:rPr>
          <w:rFonts w:hint="eastAsia" w:ascii="宋体" w:hAnsi="宋体" w:eastAsia="宋体" w:cs="宋体"/>
          <w:color w:val="auto"/>
          <w:highlight w:val="none"/>
        </w:rPr>
      </w:pPr>
    </w:p>
    <w:p w14:paraId="0C21F4FA">
      <w:pPr>
        <w:pStyle w:val="5"/>
        <w:spacing w:before="1" w:line="2510" w:lineRule="exact"/>
        <w:ind w:firstLine="2534"/>
        <w:rPr>
          <w:rFonts w:hint="eastAsia" w:ascii="宋体" w:hAnsi="宋体" w:eastAsia="宋体" w:cs="宋体"/>
          <w:color w:val="auto"/>
          <w:highlight w:val="none"/>
        </w:rPr>
      </w:pPr>
      <w:r>
        <w:rPr>
          <w:rFonts w:hint="eastAsia" w:ascii="宋体" w:hAnsi="宋体" w:eastAsia="宋体" w:cs="宋体"/>
          <w:color w:val="auto"/>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4"/>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45DAF1D3">
                              <w:pPr>
                                <w:spacing w:line="249" w:lineRule="auto"/>
                              </w:pPr>
                            </w:p>
                            <w:p w14:paraId="205F6714">
                              <w:pPr>
                                <w:spacing w:line="249" w:lineRule="auto"/>
                              </w:pPr>
                            </w:p>
                            <w:p w14:paraId="11907367">
                              <w:pPr>
                                <w:spacing w:line="249" w:lineRule="auto"/>
                              </w:pPr>
                            </w:p>
                            <w:p w14:paraId="6EBEE9D5">
                              <w:pPr>
                                <w:spacing w:line="249" w:lineRule="auto"/>
                              </w:pPr>
                            </w:p>
                            <w:p w14:paraId="09B6E99F">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4"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5DAF1D3">
                        <w:pPr>
                          <w:spacing w:line="249" w:lineRule="auto"/>
                        </w:pPr>
                      </w:p>
                      <w:p w14:paraId="205F6714">
                        <w:pPr>
                          <w:spacing w:line="249" w:lineRule="auto"/>
                        </w:pPr>
                      </w:p>
                      <w:p w14:paraId="11907367">
                        <w:pPr>
                          <w:spacing w:line="249" w:lineRule="auto"/>
                        </w:pPr>
                      </w:p>
                      <w:p w14:paraId="6EBEE9D5">
                        <w:pPr>
                          <w:spacing w:line="249" w:lineRule="auto"/>
                        </w:pPr>
                      </w:p>
                      <w:p w14:paraId="09B6E99F">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v:textbox>
                </v:shape>
                <w10:wrap type="none"/>
                <w10:anchorlock/>
              </v:group>
            </w:pict>
          </mc:Fallback>
        </mc:AlternateContent>
      </w:r>
    </w:p>
    <w:p w14:paraId="3BD8725D">
      <w:pPr>
        <w:spacing w:line="2510" w:lineRule="exact"/>
        <w:rPr>
          <w:rFonts w:hint="eastAsia" w:ascii="宋体" w:hAnsi="宋体" w:eastAsia="宋体" w:cs="宋体"/>
          <w:color w:val="auto"/>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57CAFFC">
      <w:pPr>
        <w:spacing w:before="78" w:line="220" w:lineRule="auto"/>
        <w:outlineLvl w:val="2"/>
        <w:rPr>
          <w:rFonts w:hint="eastAsia" w:ascii="宋体" w:hAnsi="宋体" w:eastAsia="宋体" w:cs="宋体"/>
          <w:b/>
          <w:bCs/>
          <w:color w:val="auto"/>
          <w:spacing w:val="-4"/>
          <w:sz w:val="24"/>
          <w:szCs w:val="24"/>
          <w:highlight w:val="none"/>
        </w:rPr>
      </w:pPr>
      <w:bookmarkStart w:id="231" w:name="_Toc733"/>
      <w:r>
        <w:rPr>
          <w:rFonts w:hint="eastAsia" w:ascii="宋体" w:hAnsi="宋体" w:eastAsia="宋体" w:cs="宋体"/>
          <w:b/>
          <w:bCs/>
          <w:color w:val="auto"/>
          <w:spacing w:val="-4"/>
          <w:sz w:val="24"/>
          <w:szCs w:val="24"/>
          <w:highlight w:val="none"/>
        </w:rPr>
        <w:t>格式六 联合体协议书</w:t>
      </w:r>
      <w:bookmarkEnd w:id="231"/>
    </w:p>
    <w:p w14:paraId="06892AD8">
      <w:pPr>
        <w:spacing w:before="98" w:line="219" w:lineRule="auto"/>
        <w:ind w:left="3638"/>
        <w:rPr>
          <w:rFonts w:hint="eastAsia" w:ascii="宋体" w:hAnsi="宋体" w:eastAsia="宋体" w:cs="宋体"/>
          <w:color w:val="auto"/>
          <w:sz w:val="30"/>
          <w:szCs w:val="30"/>
          <w:highlight w:val="none"/>
        </w:rPr>
      </w:pPr>
      <w:bookmarkStart w:id="232" w:name="bookmark153"/>
      <w:bookmarkEnd w:id="232"/>
      <w:r>
        <w:rPr>
          <w:rFonts w:hint="eastAsia" w:ascii="宋体" w:hAnsi="宋体" w:eastAsia="宋体" w:cs="宋体"/>
          <w:b/>
          <w:bCs/>
          <w:color w:val="auto"/>
          <w:spacing w:val="-5"/>
          <w:sz w:val="30"/>
          <w:szCs w:val="30"/>
          <w:highlight w:val="none"/>
        </w:rPr>
        <w:t>联合体协议书</w:t>
      </w:r>
    </w:p>
    <w:p w14:paraId="6A2E22A1">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4F5C4556">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12"/>
          <w:sz w:val="24"/>
          <w:szCs w:val="24"/>
          <w:highlight w:val="none"/>
        </w:rPr>
        <w:t>牵头人名称：</w:t>
      </w:r>
      <w:r>
        <w:rPr>
          <w:rFonts w:hint="eastAsia" w:ascii="宋体" w:hAnsi="宋体" w:eastAsia="宋体" w:cs="宋体"/>
          <w:color w:val="auto"/>
          <w:spacing w:val="4"/>
          <w:sz w:val="24"/>
          <w:szCs w:val="24"/>
          <w:highlight w:val="none"/>
        </w:rPr>
        <w:t xml:space="preserve"> </w:t>
      </w:r>
    </w:p>
    <w:p w14:paraId="437C7909">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5C9ABA50">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法定住所：</w:t>
      </w:r>
    </w:p>
    <w:p w14:paraId="642E1A6D">
      <w:pPr>
        <w:outlineLvl w:val="9"/>
        <w:rPr>
          <w:rFonts w:hint="eastAsia"/>
          <w:color w:val="auto"/>
          <w:highlight w:val="none"/>
        </w:rPr>
      </w:pPr>
    </w:p>
    <w:p w14:paraId="57229689">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成员二名称：</w:t>
      </w:r>
      <w:r>
        <w:rPr>
          <w:rFonts w:hint="eastAsia" w:ascii="宋体" w:hAnsi="宋体" w:eastAsia="宋体" w:cs="宋体"/>
          <w:color w:val="auto"/>
          <w:sz w:val="24"/>
          <w:szCs w:val="24"/>
          <w:highlight w:val="none"/>
        </w:rPr>
        <w:t xml:space="preserve"> </w:t>
      </w:r>
    </w:p>
    <w:p w14:paraId="328D5C02">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618E2D13">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法定住所：</w:t>
      </w:r>
    </w:p>
    <w:p w14:paraId="0261CCAA">
      <w:pPr>
        <w:keepNext w:val="0"/>
        <w:keepLines w:val="0"/>
        <w:pageBreakBefore w:val="0"/>
        <w:widowControl/>
        <w:kinsoku w:val="0"/>
        <w:wordWrap/>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29FD1053">
      <w:pPr>
        <w:keepNext w:val="0"/>
        <w:keepLines w:val="0"/>
        <w:pageBreakBefore w:val="0"/>
        <w:widowControl/>
        <w:kinsoku w:val="0"/>
        <w:wordWrap/>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上述各成员单位经过友好协商，自愿组成联合体，</w:t>
      </w:r>
      <w:r>
        <w:rPr>
          <w:rFonts w:hint="eastAsia" w:ascii="宋体" w:hAnsi="宋体" w:eastAsia="宋体" w:cs="宋体"/>
          <w:color w:val="auto"/>
          <w:sz w:val="24"/>
          <w:szCs w:val="24"/>
          <w:highlight w:val="none"/>
        </w:rPr>
        <w:t>共同参加（项目名称</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以下简</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称“本项目</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”）的施工投标并争取赢得本项目施工承包</w:t>
      </w:r>
      <w:r>
        <w:rPr>
          <w:rFonts w:hint="eastAsia" w:ascii="宋体" w:hAnsi="宋体" w:eastAsia="宋体" w:cs="宋体"/>
          <w:color w:val="auto"/>
          <w:spacing w:val="-3"/>
          <w:sz w:val="24"/>
          <w:szCs w:val="24"/>
          <w:highlight w:val="none"/>
        </w:rPr>
        <w:t>合同（以下简称合同）。现就联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合体投标事宜订立如下协议：</w:t>
      </w:r>
    </w:p>
    <w:p w14:paraId="4A1CCF85">
      <w:pPr>
        <w:keepNext w:val="0"/>
        <w:keepLines w:val="0"/>
        <w:pageBreakBefore w:val="0"/>
        <w:widowControl/>
        <w:kinsoku w:val="0"/>
        <w:wordWrap/>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rPr>
        <w:t>某成员单位名称）为联合体牵头人。</w:t>
      </w:r>
    </w:p>
    <w:p w14:paraId="2231B655">
      <w:pPr>
        <w:keepNext w:val="0"/>
        <w:keepLines w:val="0"/>
        <w:pageBreakBefore w:val="0"/>
        <w:widowControl/>
        <w:kinsoku w:val="0"/>
        <w:wordWrap/>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．在本项目投标阶段，联合体牵头人合法代表联合体各成员负责本项目投标</w:t>
      </w:r>
      <w:r>
        <w:rPr>
          <w:rFonts w:hint="eastAsia" w:ascii="宋体" w:hAnsi="宋体" w:eastAsia="宋体" w:cs="宋体"/>
          <w:color w:val="auto"/>
          <w:spacing w:val="-2"/>
          <w:sz w:val="24"/>
          <w:szCs w:val="24"/>
          <w:highlight w:val="none"/>
        </w:rPr>
        <w:t>文件编制活动，代表联合体提交和接收相关的资料、信息及指示，并处理与投标和中标有关</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的一切事务；联合体中标后，联合体牵头人负责合同订立和合同实施阶段的主办、组织</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和协调工作。</w:t>
      </w:r>
    </w:p>
    <w:p w14:paraId="37517FFB">
      <w:pPr>
        <w:keepNext w:val="0"/>
        <w:keepLines w:val="0"/>
        <w:pageBreakBefore w:val="0"/>
        <w:widowControl/>
        <w:kinsoku w:val="0"/>
        <w:wordWrap/>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．联合体将严格按照招标文件的各项要求，递交投标文件，履行</w:t>
      </w:r>
      <w:r>
        <w:rPr>
          <w:rFonts w:hint="eastAsia" w:ascii="宋体" w:hAnsi="宋体" w:eastAsia="宋体" w:cs="宋体"/>
          <w:color w:val="auto"/>
          <w:spacing w:val="-2"/>
          <w:sz w:val="24"/>
          <w:szCs w:val="24"/>
          <w:highlight w:val="none"/>
        </w:rPr>
        <w:t>投标义务和中标后的合同，共同承担合同规定的一切义务和责任，联合体各成员单位按照内部职责的部</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
          <w:sz w:val="24"/>
          <w:szCs w:val="24"/>
          <w:highlight w:val="none"/>
        </w:rPr>
        <w:t>分，承担各自所负的责任和风险，并向招标人承担连带责任。</w:t>
      </w:r>
    </w:p>
    <w:p w14:paraId="547EBAE8">
      <w:pPr>
        <w:keepNext w:val="0"/>
        <w:keepLines w:val="0"/>
        <w:pageBreakBefore w:val="0"/>
        <w:widowControl/>
        <w:kinsoku w:val="0"/>
        <w:wordWrap/>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z w:val="24"/>
          <w:szCs w:val="24"/>
          <w:highlight w:val="none"/>
        </w:rPr>
      </w:pPr>
      <w:bookmarkStart w:id="233" w:name="_Toc32149"/>
      <w:bookmarkStart w:id="234" w:name="_Toc5365"/>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2"/>
          <w:sz w:val="24"/>
          <w:szCs w:val="24"/>
          <w:highlight w:val="none"/>
        </w:rPr>
        <w:t>．联合体各成员单位内部的职责分工如下：。</w:t>
      </w:r>
      <w:bookmarkEnd w:id="233"/>
      <w:bookmarkEnd w:id="234"/>
    </w:p>
    <w:p w14:paraId="3BD8B8C3">
      <w:pPr>
        <w:keepNext w:val="0"/>
        <w:keepLines w:val="0"/>
        <w:pageBreakBefore w:val="0"/>
        <w:widowControl/>
        <w:kinsoku w:val="0"/>
        <w:wordWrap/>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．投标工作和联合体在中标后工程实施过程中的有关费用按</w:t>
      </w:r>
      <w:r>
        <w:rPr>
          <w:rFonts w:hint="eastAsia" w:ascii="宋体" w:hAnsi="宋体" w:eastAsia="宋体" w:cs="宋体"/>
          <w:color w:val="auto"/>
          <w:spacing w:val="-2"/>
          <w:sz w:val="24"/>
          <w:szCs w:val="24"/>
          <w:highlight w:val="none"/>
        </w:rPr>
        <w:t>各自承担的工作量分</w:t>
      </w:r>
      <w:r>
        <w:rPr>
          <w:rFonts w:hint="eastAsia" w:ascii="宋体" w:hAnsi="宋体" w:eastAsia="宋体" w:cs="宋体"/>
          <w:color w:val="auto"/>
          <w:spacing w:val="-5"/>
          <w:sz w:val="24"/>
          <w:szCs w:val="24"/>
          <w:highlight w:val="none"/>
        </w:rPr>
        <w:t>摊。</w:t>
      </w:r>
    </w:p>
    <w:p w14:paraId="4B13B3AE">
      <w:pPr>
        <w:keepNext w:val="0"/>
        <w:keepLines w:val="0"/>
        <w:pageBreakBefore w:val="0"/>
        <w:widowControl/>
        <w:kinsoku w:val="0"/>
        <w:wordWrap/>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．联合体中标后，本联合体协议是合同的附件，对联合体各成</w:t>
      </w:r>
      <w:r>
        <w:rPr>
          <w:rFonts w:hint="eastAsia" w:ascii="宋体" w:hAnsi="宋体" w:eastAsia="宋体" w:cs="宋体"/>
          <w:color w:val="auto"/>
          <w:spacing w:val="-2"/>
          <w:sz w:val="24"/>
          <w:szCs w:val="24"/>
          <w:highlight w:val="none"/>
        </w:rPr>
        <w:t>员单位有合同约束</w:t>
      </w:r>
      <w:r>
        <w:rPr>
          <w:rFonts w:hint="eastAsia" w:ascii="宋体" w:hAnsi="宋体" w:eastAsia="宋体" w:cs="宋体"/>
          <w:color w:val="auto"/>
          <w:spacing w:val="-7"/>
          <w:sz w:val="24"/>
          <w:szCs w:val="24"/>
          <w:highlight w:val="none"/>
        </w:rPr>
        <w:t>力。</w:t>
      </w:r>
    </w:p>
    <w:p w14:paraId="3E95138F">
      <w:pPr>
        <w:keepNext w:val="0"/>
        <w:keepLines w:val="0"/>
        <w:pageBreakBefore w:val="0"/>
        <w:widowControl/>
        <w:kinsoku w:val="0"/>
        <w:wordWrap/>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．本协议书自签署之日起生效，联合体未中标或者中标时合同履行</w:t>
      </w:r>
      <w:r>
        <w:rPr>
          <w:rFonts w:hint="eastAsia" w:ascii="宋体" w:hAnsi="宋体" w:eastAsia="宋体" w:cs="宋体"/>
          <w:color w:val="auto"/>
          <w:spacing w:val="-2"/>
          <w:sz w:val="24"/>
          <w:szCs w:val="24"/>
          <w:highlight w:val="none"/>
        </w:rPr>
        <w:t>完毕后自动失</w:t>
      </w:r>
      <w:r>
        <w:rPr>
          <w:rFonts w:hint="eastAsia" w:ascii="宋体" w:hAnsi="宋体" w:eastAsia="宋体" w:cs="宋体"/>
          <w:color w:val="auto"/>
          <w:spacing w:val="-8"/>
          <w:sz w:val="24"/>
          <w:szCs w:val="24"/>
          <w:highlight w:val="none"/>
        </w:rPr>
        <w:t>效。</w:t>
      </w:r>
    </w:p>
    <w:p w14:paraId="2B66D37D">
      <w:pPr>
        <w:keepNext w:val="0"/>
        <w:keepLines w:val="0"/>
        <w:pageBreakBefore w:val="0"/>
        <w:widowControl/>
        <w:kinsoku w:val="0"/>
        <w:wordWrap/>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z w:val="24"/>
          <w:szCs w:val="24"/>
          <w:highlight w:val="none"/>
        </w:rPr>
      </w:pPr>
      <w:bookmarkStart w:id="235" w:name="_Toc22612"/>
      <w:bookmarkStart w:id="236" w:name="_Toc26708"/>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．本协议书一式份，联合体成员和招标人各执一份。</w:t>
      </w:r>
      <w:bookmarkEnd w:id="235"/>
      <w:bookmarkEnd w:id="236"/>
    </w:p>
    <w:p w14:paraId="71DB59C6">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bookmarkStart w:id="237" w:name="bookmark154"/>
      <w:bookmarkEnd w:id="237"/>
      <w:r>
        <w:rPr>
          <w:rFonts w:hint="eastAsia" w:ascii="宋体" w:hAnsi="宋体" w:eastAsia="宋体" w:cs="宋体"/>
          <w:color w:val="auto"/>
          <w:sz w:val="24"/>
          <w:szCs w:val="24"/>
          <w:highlight w:val="none"/>
        </w:rPr>
        <w:t>牵头人名称</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盖单位章）</w:t>
      </w:r>
    </w:p>
    <w:p w14:paraId="144A14CF">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03B4C2DE">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7EB0D0BB">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盖单位章）</w:t>
      </w:r>
    </w:p>
    <w:p w14:paraId="53FF0EC0">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582F74E8">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43B27761">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69B93B15">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1392498F">
      <w:pPr>
        <w:keepNext w:val="0"/>
        <w:keepLines w:val="0"/>
        <w:pageBreakBefore w:val="0"/>
        <w:widowControl/>
        <w:kinsoku w:val="0"/>
        <w:wordWrap/>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说明：《联合体协议书》</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9"/>
          <w:sz w:val="20"/>
          <w:szCs w:val="20"/>
          <w:highlight w:val="none"/>
        </w:rPr>
        <w:t>由委托代理人签字或盖章的，</w:t>
      </w:r>
      <w:r>
        <w:rPr>
          <w:rFonts w:hint="eastAsia" w:ascii="宋体" w:hAnsi="宋体" w:eastAsia="宋体" w:cs="宋体"/>
          <w:color w:val="auto"/>
          <w:spacing w:val="8"/>
          <w:sz w:val="20"/>
          <w:szCs w:val="20"/>
          <w:highlight w:val="none"/>
        </w:rPr>
        <w:t>应附法定代表人签字或盖章的授权委托</w:t>
      </w:r>
      <w:r>
        <w:rPr>
          <w:rFonts w:hint="eastAsia" w:ascii="宋体" w:hAnsi="宋体" w:eastAsia="宋体" w:cs="宋体"/>
          <w:color w:val="auto"/>
          <w:spacing w:val="-2"/>
          <w:sz w:val="20"/>
          <w:szCs w:val="20"/>
          <w:highlight w:val="none"/>
        </w:rPr>
        <w:t>书。</w:t>
      </w:r>
    </w:p>
    <w:p w14:paraId="744AAD6B">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575C6D8F">
      <w:pPr>
        <w:spacing w:before="78" w:line="220" w:lineRule="auto"/>
        <w:outlineLvl w:val="2"/>
        <w:rPr>
          <w:rFonts w:hint="eastAsia" w:ascii="宋体" w:hAnsi="宋体" w:eastAsia="宋体" w:cs="宋体"/>
          <w:b/>
          <w:bCs/>
          <w:color w:val="auto"/>
          <w:spacing w:val="-4"/>
          <w:sz w:val="24"/>
          <w:szCs w:val="24"/>
          <w:highlight w:val="none"/>
        </w:rPr>
      </w:pPr>
      <w:bookmarkStart w:id="238" w:name="_Toc24967"/>
      <w:r>
        <w:rPr>
          <w:rFonts w:hint="eastAsia" w:ascii="宋体" w:hAnsi="宋体" w:eastAsia="宋体" w:cs="宋体"/>
          <w:b/>
          <w:bCs/>
          <w:color w:val="auto"/>
          <w:spacing w:val="-4"/>
          <w:sz w:val="24"/>
          <w:szCs w:val="24"/>
          <w:highlight w:val="none"/>
        </w:rPr>
        <w:t>格式七 投标人基本情况表</w:t>
      </w:r>
      <w:bookmarkEnd w:id="238"/>
    </w:p>
    <w:p w14:paraId="066FAB3E">
      <w:pPr>
        <w:spacing w:before="333" w:line="219" w:lineRule="auto"/>
        <w:ind w:left="3350"/>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投标人基本情况表</w:t>
      </w:r>
    </w:p>
    <w:p w14:paraId="3BB52438">
      <w:pPr>
        <w:spacing w:line="239" w:lineRule="exact"/>
        <w:rPr>
          <w:rFonts w:hint="eastAsia" w:ascii="宋体" w:hAnsi="宋体" w:eastAsia="宋体" w:cs="宋体"/>
          <w:color w:val="auto"/>
          <w:highlight w:val="none"/>
        </w:rPr>
      </w:pPr>
    </w:p>
    <w:tbl>
      <w:tblPr>
        <w:tblStyle w:val="14"/>
        <w:tblW w:w="925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0DD0C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20" w:type="dxa"/>
            <w:vAlign w:val="center"/>
          </w:tcPr>
          <w:p w14:paraId="7469B4CA">
            <w:pPr>
              <w:spacing w:before="149" w:line="229" w:lineRule="auto"/>
              <w:ind w:left="22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p>
        </w:tc>
        <w:tc>
          <w:tcPr>
            <w:tcW w:w="7639" w:type="dxa"/>
            <w:gridSpan w:val="8"/>
            <w:vAlign w:val="top"/>
          </w:tcPr>
          <w:p w14:paraId="7248F7F0">
            <w:pPr>
              <w:pStyle w:val="19"/>
              <w:rPr>
                <w:rFonts w:hint="eastAsia" w:ascii="宋体" w:hAnsi="宋体" w:eastAsia="宋体" w:cs="宋体"/>
                <w:color w:val="auto"/>
                <w:sz w:val="24"/>
                <w:szCs w:val="24"/>
                <w:highlight w:val="none"/>
              </w:rPr>
            </w:pPr>
          </w:p>
        </w:tc>
      </w:tr>
      <w:tr w14:paraId="085C2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20" w:type="dxa"/>
            <w:vAlign w:val="top"/>
          </w:tcPr>
          <w:p w14:paraId="1102288D">
            <w:pPr>
              <w:spacing w:before="144"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注册地址</w:t>
            </w:r>
          </w:p>
        </w:tc>
        <w:tc>
          <w:tcPr>
            <w:tcW w:w="3684" w:type="dxa"/>
            <w:gridSpan w:val="3"/>
            <w:vAlign w:val="top"/>
          </w:tcPr>
          <w:p w14:paraId="17DED598">
            <w:pPr>
              <w:pStyle w:val="19"/>
              <w:rPr>
                <w:rFonts w:hint="eastAsia" w:ascii="宋体" w:hAnsi="宋体" w:eastAsia="宋体" w:cs="宋体"/>
                <w:color w:val="auto"/>
                <w:sz w:val="24"/>
                <w:szCs w:val="24"/>
                <w:highlight w:val="none"/>
              </w:rPr>
            </w:pPr>
          </w:p>
        </w:tc>
        <w:tc>
          <w:tcPr>
            <w:tcW w:w="1354" w:type="dxa"/>
            <w:gridSpan w:val="2"/>
            <w:vAlign w:val="top"/>
          </w:tcPr>
          <w:p w14:paraId="2BE63450">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邮政编码</w:t>
            </w:r>
          </w:p>
        </w:tc>
        <w:tc>
          <w:tcPr>
            <w:tcW w:w="2601" w:type="dxa"/>
            <w:gridSpan w:val="3"/>
            <w:vAlign w:val="top"/>
          </w:tcPr>
          <w:p w14:paraId="3C72D4D0">
            <w:pPr>
              <w:pStyle w:val="19"/>
              <w:rPr>
                <w:rFonts w:hint="eastAsia" w:ascii="宋体" w:hAnsi="宋体" w:eastAsia="宋体" w:cs="宋体"/>
                <w:color w:val="auto"/>
                <w:sz w:val="24"/>
                <w:szCs w:val="24"/>
                <w:highlight w:val="none"/>
              </w:rPr>
            </w:pPr>
          </w:p>
        </w:tc>
      </w:tr>
      <w:tr w14:paraId="7EE95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20" w:type="dxa"/>
            <w:vMerge w:val="restart"/>
            <w:tcBorders>
              <w:bottom w:val="nil"/>
            </w:tcBorders>
            <w:vAlign w:val="top"/>
          </w:tcPr>
          <w:p w14:paraId="616EC666">
            <w:pPr>
              <w:pStyle w:val="19"/>
              <w:spacing w:line="332" w:lineRule="auto"/>
              <w:rPr>
                <w:rFonts w:hint="eastAsia" w:ascii="宋体" w:hAnsi="宋体" w:eastAsia="宋体" w:cs="宋体"/>
                <w:color w:val="auto"/>
                <w:sz w:val="24"/>
                <w:szCs w:val="24"/>
                <w:highlight w:val="none"/>
              </w:rPr>
            </w:pPr>
          </w:p>
          <w:p w14:paraId="5EBBB7E1">
            <w:pPr>
              <w:spacing w:before="65" w:line="230" w:lineRule="auto"/>
              <w:ind w:left="32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联系方式</w:t>
            </w:r>
          </w:p>
        </w:tc>
        <w:tc>
          <w:tcPr>
            <w:tcW w:w="975" w:type="dxa"/>
            <w:vAlign w:val="top"/>
          </w:tcPr>
          <w:p w14:paraId="596F5A24">
            <w:pPr>
              <w:spacing w:before="145" w:line="231"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联系人</w:t>
            </w:r>
          </w:p>
        </w:tc>
        <w:tc>
          <w:tcPr>
            <w:tcW w:w="2709" w:type="dxa"/>
            <w:gridSpan w:val="2"/>
            <w:vAlign w:val="top"/>
          </w:tcPr>
          <w:p w14:paraId="79B5D8D4">
            <w:pPr>
              <w:pStyle w:val="19"/>
              <w:rPr>
                <w:rFonts w:hint="eastAsia" w:ascii="宋体" w:hAnsi="宋体" w:eastAsia="宋体" w:cs="宋体"/>
                <w:color w:val="auto"/>
                <w:sz w:val="24"/>
                <w:szCs w:val="24"/>
                <w:highlight w:val="none"/>
              </w:rPr>
            </w:pPr>
          </w:p>
        </w:tc>
        <w:tc>
          <w:tcPr>
            <w:tcW w:w="1354" w:type="dxa"/>
            <w:gridSpan w:val="2"/>
            <w:vAlign w:val="top"/>
          </w:tcPr>
          <w:p w14:paraId="2A0B3F26">
            <w:pPr>
              <w:spacing w:before="145" w:line="231"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2"/>
                <w:sz w:val="24"/>
                <w:szCs w:val="24"/>
                <w:highlight w:val="none"/>
              </w:rPr>
              <w:t>话</w:t>
            </w:r>
          </w:p>
        </w:tc>
        <w:tc>
          <w:tcPr>
            <w:tcW w:w="2601" w:type="dxa"/>
            <w:gridSpan w:val="3"/>
            <w:vAlign w:val="top"/>
          </w:tcPr>
          <w:p w14:paraId="0CB57D60">
            <w:pPr>
              <w:pStyle w:val="19"/>
              <w:rPr>
                <w:rFonts w:hint="eastAsia" w:ascii="宋体" w:hAnsi="宋体" w:eastAsia="宋体" w:cs="宋体"/>
                <w:color w:val="auto"/>
                <w:sz w:val="24"/>
                <w:szCs w:val="24"/>
                <w:highlight w:val="none"/>
              </w:rPr>
            </w:pPr>
          </w:p>
        </w:tc>
      </w:tr>
      <w:tr w14:paraId="40132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20" w:type="dxa"/>
            <w:vMerge w:val="continue"/>
            <w:tcBorders>
              <w:top w:val="nil"/>
            </w:tcBorders>
            <w:vAlign w:val="top"/>
          </w:tcPr>
          <w:p w14:paraId="56492192">
            <w:pPr>
              <w:pStyle w:val="19"/>
              <w:rPr>
                <w:rFonts w:hint="eastAsia" w:ascii="宋体" w:hAnsi="宋体" w:eastAsia="宋体" w:cs="宋体"/>
                <w:color w:val="auto"/>
                <w:sz w:val="24"/>
                <w:szCs w:val="24"/>
                <w:highlight w:val="none"/>
              </w:rPr>
            </w:pPr>
          </w:p>
        </w:tc>
        <w:tc>
          <w:tcPr>
            <w:tcW w:w="975" w:type="dxa"/>
            <w:vAlign w:val="top"/>
          </w:tcPr>
          <w:p w14:paraId="59BF1C50">
            <w:pPr>
              <w:spacing w:before="143" w:line="228"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传</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真</w:t>
            </w:r>
          </w:p>
        </w:tc>
        <w:tc>
          <w:tcPr>
            <w:tcW w:w="2709" w:type="dxa"/>
            <w:gridSpan w:val="2"/>
            <w:vAlign w:val="top"/>
          </w:tcPr>
          <w:p w14:paraId="0CF153D3">
            <w:pPr>
              <w:pStyle w:val="19"/>
              <w:rPr>
                <w:rFonts w:hint="eastAsia" w:ascii="宋体" w:hAnsi="宋体" w:eastAsia="宋体" w:cs="宋体"/>
                <w:color w:val="auto"/>
                <w:sz w:val="24"/>
                <w:szCs w:val="24"/>
                <w:highlight w:val="none"/>
              </w:rPr>
            </w:pPr>
          </w:p>
        </w:tc>
        <w:tc>
          <w:tcPr>
            <w:tcW w:w="1354" w:type="dxa"/>
            <w:gridSpan w:val="2"/>
            <w:vAlign w:val="top"/>
          </w:tcPr>
          <w:p w14:paraId="67CB1C59">
            <w:pPr>
              <w:spacing w:before="144" w:line="229" w:lineRule="auto"/>
              <w:ind w:left="2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电子邮箱</w:t>
            </w:r>
          </w:p>
        </w:tc>
        <w:tc>
          <w:tcPr>
            <w:tcW w:w="2601" w:type="dxa"/>
            <w:gridSpan w:val="3"/>
            <w:vAlign w:val="top"/>
          </w:tcPr>
          <w:p w14:paraId="75179C0D">
            <w:pPr>
              <w:pStyle w:val="19"/>
              <w:rPr>
                <w:rFonts w:hint="eastAsia" w:ascii="宋体" w:hAnsi="宋体" w:eastAsia="宋体" w:cs="宋体"/>
                <w:color w:val="auto"/>
                <w:sz w:val="24"/>
                <w:szCs w:val="24"/>
                <w:highlight w:val="none"/>
              </w:rPr>
            </w:pPr>
          </w:p>
        </w:tc>
      </w:tr>
      <w:tr w14:paraId="1A33A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20" w:type="dxa"/>
            <w:vAlign w:val="top"/>
          </w:tcPr>
          <w:p w14:paraId="0EA5DEDB">
            <w:pPr>
              <w:spacing w:before="14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单位性质</w:t>
            </w:r>
          </w:p>
        </w:tc>
        <w:tc>
          <w:tcPr>
            <w:tcW w:w="7639" w:type="dxa"/>
            <w:gridSpan w:val="8"/>
            <w:vAlign w:val="top"/>
          </w:tcPr>
          <w:p w14:paraId="1F39B09E">
            <w:pPr>
              <w:pStyle w:val="19"/>
              <w:rPr>
                <w:rFonts w:hint="eastAsia" w:ascii="宋体" w:hAnsi="宋体" w:eastAsia="宋体" w:cs="宋体"/>
                <w:color w:val="auto"/>
                <w:sz w:val="24"/>
                <w:szCs w:val="24"/>
                <w:highlight w:val="none"/>
              </w:rPr>
            </w:pPr>
          </w:p>
        </w:tc>
      </w:tr>
      <w:tr w14:paraId="499DD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26426C59">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法定代表人</w:t>
            </w:r>
          </w:p>
        </w:tc>
        <w:tc>
          <w:tcPr>
            <w:tcW w:w="975" w:type="dxa"/>
            <w:vAlign w:val="top"/>
          </w:tcPr>
          <w:p w14:paraId="3AB4D00E">
            <w:pPr>
              <w:spacing w:before="144" w:line="228" w:lineRule="auto"/>
              <w:ind w:left="2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837" w:type="dxa"/>
            <w:vAlign w:val="top"/>
          </w:tcPr>
          <w:p w14:paraId="1C750CCF">
            <w:pPr>
              <w:pStyle w:val="19"/>
              <w:rPr>
                <w:rFonts w:hint="eastAsia" w:ascii="宋体" w:hAnsi="宋体" w:eastAsia="宋体" w:cs="宋体"/>
                <w:color w:val="auto"/>
                <w:sz w:val="24"/>
                <w:szCs w:val="24"/>
                <w:highlight w:val="none"/>
              </w:rPr>
            </w:pPr>
          </w:p>
        </w:tc>
        <w:tc>
          <w:tcPr>
            <w:tcW w:w="1183" w:type="dxa"/>
            <w:gridSpan w:val="2"/>
            <w:vAlign w:val="top"/>
          </w:tcPr>
          <w:p w14:paraId="224C9732">
            <w:pPr>
              <w:spacing w:before="144" w:line="228"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技术职称</w:t>
            </w:r>
          </w:p>
        </w:tc>
        <w:tc>
          <w:tcPr>
            <w:tcW w:w="1326" w:type="dxa"/>
            <w:gridSpan w:val="2"/>
            <w:vAlign w:val="top"/>
          </w:tcPr>
          <w:p w14:paraId="5410FE1C">
            <w:pPr>
              <w:pStyle w:val="19"/>
              <w:rPr>
                <w:rFonts w:hint="eastAsia" w:ascii="宋体" w:hAnsi="宋体" w:eastAsia="宋体" w:cs="宋体"/>
                <w:color w:val="auto"/>
                <w:sz w:val="24"/>
                <w:szCs w:val="24"/>
                <w:highlight w:val="none"/>
              </w:rPr>
            </w:pPr>
          </w:p>
        </w:tc>
        <w:tc>
          <w:tcPr>
            <w:tcW w:w="770" w:type="dxa"/>
            <w:vAlign w:val="top"/>
          </w:tcPr>
          <w:p w14:paraId="5330880A">
            <w:pPr>
              <w:spacing w:before="143" w:line="231" w:lineRule="auto"/>
              <w:ind w:left="17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电话</w:t>
            </w:r>
          </w:p>
        </w:tc>
        <w:tc>
          <w:tcPr>
            <w:tcW w:w="1548" w:type="dxa"/>
            <w:vAlign w:val="top"/>
          </w:tcPr>
          <w:p w14:paraId="7B5A2832">
            <w:pPr>
              <w:pStyle w:val="19"/>
              <w:rPr>
                <w:rFonts w:hint="eastAsia" w:ascii="宋体" w:hAnsi="宋体" w:eastAsia="宋体" w:cs="宋体"/>
                <w:color w:val="auto"/>
                <w:sz w:val="24"/>
                <w:szCs w:val="24"/>
                <w:highlight w:val="none"/>
              </w:rPr>
            </w:pPr>
          </w:p>
        </w:tc>
      </w:tr>
      <w:tr w14:paraId="32FD0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4C4D3EB4">
            <w:pPr>
              <w:spacing w:before="145" w:line="230"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成立时间</w:t>
            </w:r>
          </w:p>
        </w:tc>
        <w:tc>
          <w:tcPr>
            <w:tcW w:w="2812" w:type="dxa"/>
            <w:gridSpan w:val="2"/>
            <w:vAlign w:val="top"/>
          </w:tcPr>
          <w:p w14:paraId="4862BBD5">
            <w:pPr>
              <w:pStyle w:val="19"/>
              <w:rPr>
                <w:rFonts w:hint="eastAsia" w:ascii="宋体" w:hAnsi="宋体" w:eastAsia="宋体" w:cs="宋体"/>
                <w:color w:val="auto"/>
                <w:sz w:val="24"/>
                <w:szCs w:val="24"/>
                <w:highlight w:val="none"/>
              </w:rPr>
            </w:pPr>
          </w:p>
        </w:tc>
        <w:tc>
          <w:tcPr>
            <w:tcW w:w="4827" w:type="dxa"/>
            <w:gridSpan w:val="6"/>
            <w:vAlign w:val="top"/>
          </w:tcPr>
          <w:p w14:paraId="4E7DB89F">
            <w:pPr>
              <w:spacing w:before="145" w:line="228" w:lineRule="auto"/>
              <w:ind w:left="128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员工总人数（个</w:t>
            </w:r>
            <w:r>
              <w:rPr>
                <w:rFonts w:hint="eastAsia" w:ascii="宋体" w:hAnsi="宋体" w:eastAsia="宋体" w:cs="宋体"/>
                <w:color w:val="auto"/>
                <w:sz w:val="24"/>
                <w:szCs w:val="24"/>
                <w:highlight w:val="none"/>
              </w:rPr>
              <w:t>）：</w:t>
            </w:r>
          </w:p>
        </w:tc>
      </w:tr>
      <w:tr w14:paraId="52D58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0" w:type="dxa"/>
            <w:vAlign w:val="top"/>
          </w:tcPr>
          <w:p w14:paraId="0A908B11">
            <w:pPr>
              <w:spacing w:before="61" w:line="262" w:lineRule="auto"/>
              <w:ind w:right="22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企业资质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类型和等级</w:t>
            </w:r>
          </w:p>
        </w:tc>
        <w:tc>
          <w:tcPr>
            <w:tcW w:w="2812" w:type="dxa"/>
            <w:gridSpan w:val="2"/>
            <w:vAlign w:val="top"/>
          </w:tcPr>
          <w:p w14:paraId="3CE3C6DE">
            <w:pPr>
              <w:pStyle w:val="19"/>
              <w:rPr>
                <w:rFonts w:hint="eastAsia" w:ascii="宋体" w:hAnsi="宋体" w:eastAsia="宋体" w:cs="宋体"/>
                <w:color w:val="auto"/>
                <w:sz w:val="24"/>
                <w:szCs w:val="24"/>
                <w:highlight w:val="none"/>
              </w:rPr>
            </w:pPr>
          </w:p>
        </w:tc>
        <w:tc>
          <w:tcPr>
            <w:tcW w:w="1183" w:type="dxa"/>
            <w:gridSpan w:val="2"/>
            <w:vMerge w:val="restart"/>
            <w:tcBorders>
              <w:bottom w:val="nil"/>
            </w:tcBorders>
            <w:vAlign w:val="top"/>
          </w:tcPr>
          <w:p w14:paraId="46D68C45">
            <w:pPr>
              <w:pStyle w:val="19"/>
              <w:spacing w:line="254" w:lineRule="auto"/>
              <w:rPr>
                <w:rFonts w:hint="eastAsia" w:ascii="宋体" w:hAnsi="宋体" w:eastAsia="宋体" w:cs="宋体"/>
                <w:color w:val="auto"/>
                <w:sz w:val="24"/>
                <w:szCs w:val="24"/>
                <w:highlight w:val="none"/>
              </w:rPr>
            </w:pPr>
          </w:p>
          <w:p w14:paraId="4B7A6342">
            <w:pPr>
              <w:pStyle w:val="19"/>
              <w:spacing w:line="254" w:lineRule="auto"/>
              <w:rPr>
                <w:rFonts w:hint="eastAsia" w:ascii="宋体" w:hAnsi="宋体" w:eastAsia="宋体" w:cs="宋体"/>
                <w:color w:val="auto"/>
                <w:sz w:val="24"/>
                <w:szCs w:val="24"/>
                <w:highlight w:val="none"/>
              </w:rPr>
            </w:pPr>
          </w:p>
          <w:p w14:paraId="10148EBD">
            <w:pPr>
              <w:pStyle w:val="19"/>
              <w:spacing w:line="254" w:lineRule="auto"/>
              <w:rPr>
                <w:rFonts w:hint="eastAsia" w:ascii="宋体" w:hAnsi="宋体" w:eastAsia="宋体" w:cs="宋体"/>
                <w:color w:val="auto"/>
                <w:sz w:val="24"/>
                <w:szCs w:val="24"/>
                <w:highlight w:val="none"/>
              </w:rPr>
            </w:pPr>
          </w:p>
          <w:p w14:paraId="1F5D2433">
            <w:pPr>
              <w:pStyle w:val="19"/>
              <w:spacing w:line="254" w:lineRule="auto"/>
              <w:rPr>
                <w:rFonts w:hint="eastAsia" w:ascii="宋体" w:hAnsi="宋体" w:eastAsia="宋体" w:cs="宋体"/>
                <w:color w:val="auto"/>
                <w:sz w:val="24"/>
                <w:szCs w:val="24"/>
                <w:highlight w:val="none"/>
              </w:rPr>
            </w:pPr>
          </w:p>
          <w:p w14:paraId="6579FAB6">
            <w:pPr>
              <w:pStyle w:val="19"/>
              <w:spacing w:line="255" w:lineRule="auto"/>
              <w:rPr>
                <w:rFonts w:hint="eastAsia" w:ascii="宋体" w:hAnsi="宋体" w:eastAsia="宋体" w:cs="宋体"/>
                <w:color w:val="auto"/>
                <w:sz w:val="24"/>
                <w:szCs w:val="24"/>
                <w:highlight w:val="none"/>
              </w:rPr>
            </w:pPr>
          </w:p>
          <w:p w14:paraId="68FD399C">
            <w:pPr>
              <w:spacing w:before="65" w:line="229" w:lineRule="auto"/>
              <w:ind w:left="3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其中</w:t>
            </w:r>
          </w:p>
        </w:tc>
        <w:tc>
          <w:tcPr>
            <w:tcW w:w="2096" w:type="dxa"/>
            <w:gridSpan w:val="3"/>
            <w:vAlign w:val="top"/>
          </w:tcPr>
          <w:p w14:paraId="7706FD9F">
            <w:pPr>
              <w:spacing w:before="214" w:line="229"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48" w:type="dxa"/>
            <w:vAlign w:val="top"/>
          </w:tcPr>
          <w:p w14:paraId="0A3D80AA">
            <w:pPr>
              <w:pStyle w:val="19"/>
              <w:rPr>
                <w:rFonts w:hint="eastAsia" w:ascii="宋体" w:hAnsi="宋体" w:eastAsia="宋体" w:cs="宋体"/>
                <w:color w:val="auto"/>
                <w:sz w:val="24"/>
                <w:szCs w:val="24"/>
                <w:highlight w:val="none"/>
              </w:rPr>
            </w:pPr>
          </w:p>
        </w:tc>
      </w:tr>
      <w:tr w14:paraId="73DB6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620" w:type="dxa"/>
            <w:vAlign w:val="top"/>
          </w:tcPr>
          <w:p w14:paraId="3A5B253C">
            <w:pPr>
              <w:spacing w:before="146" w:line="228" w:lineRule="auto"/>
              <w:ind w:left="23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营业执照号</w:t>
            </w:r>
          </w:p>
        </w:tc>
        <w:tc>
          <w:tcPr>
            <w:tcW w:w="2812" w:type="dxa"/>
            <w:gridSpan w:val="2"/>
            <w:vAlign w:val="top"/>
          </w:tcPr>
          <w:p w14:paraId="17F65FA8">
            <w:pPr>
              <w:pStyle w:val="19"/>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350649A5">
            <w:pPr>
              <w:pStyle w:val="19"/>
              <w:rPr>
                <w:rFonts w:hint="eastAsia" w:ascii="宋体" w:hAnsi="宋体" w:eastAsia="宋体" w:cs="宋体"/>
                <w:color w:val="auto"/>
                <w:sz w:val="24"/>
                <w:szCs w:val="24"/>
                <w:highlight w:val="none"/>
              </w:rPr>
            </w:pPr>
          </w:p>
        </w:tc>
        <w:tc>
          <w:tcPr>
            <w:tcW w:w="2096" w:type="dxa"/>
            <w:gridSpan w:val="3"/>
            <w:vAlign w:val="top"/>
          </w:tcPr>
          <w:p w14:paraId="6659F181">
            <w:pPr>
              <w:spacing w:before="146" w:line="228" w:lineRule="auto"/>
              <w:ind w:left="3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高级职称人员</w:t>
            </w:r>
          </w:p>
        </w:tc>
        <w:tc>
          <w:tcPr>
            <w:tcW w:w="1548" w:type="dxa"/>
            <w:vAlign w:val="top"/>
          </w:tcPr>
          <w:p w14:paraId="50709532">
            <w:pPr>
              <w:pStyle w:val="19"/>
              <w:rPr>
                <w:rFonts w:hint="eastAsia" w:ascii="宋体" w:hAnsi="宋体" w:eastAsia="宋体" w:cs="宋体"/>
                <w:color w:val="auto"/>
                <w:sz w:val="24"/>
                <w:szCs w:val="24"/>
                <w:highlight w:val="none"/>
              </w:rPr>
            </w:pPr>
          </w:p>
        </w:tc>
      </w:tr>
      <w:tr w14:paraId="68538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0" w:type="dxa"/>
            <w:vAlign w:val="top"/>
          </w:tcPr>
          <w:p w14:paraId="7DFCE937">
            <w:pPr>
              <w:spacing w:before="146"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注册资金</w:t>
            </w:r>
          </w:p>
        </w:tc>
        <w:tc>
          <w:tcPr>
            <w:tcW w:w="2812" w:type="dxa"/>
            <w:gridSpan w:val="2"/>
            <w:vAlign w:val="top"/>
          </w:tcPr>
          <w:p w14:paraId="47698511">
            <w:pPr>
              <w:pStyle w:val="19"/>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11DDF2FD">
            <w:pPr>
              <w:pStyle w:val="19"/>
              <w:rPr>
                <w:rFonts w:hint="eastAsia" w:ascii="宋体" w:hAnsi="宋体" w:eastAsia="宋体" w:cs="宋体"/>
                <w:color w:val="auto"/>
                <w:sz w:val="24"/>
                <w:szCs w:val="24"/>
                <w:highlight w:val="none"/>
              </w:rPr>
            </w:pPr>
          </w:p>
        </w:tc>
        <w:tc>
          <w:tcPr>
            <w:tcW w:w="2096" w:type="dxa"/>
            <w:gridSpan w:val="3"/>
            <w:vAlign w:val="top"/>
          </w:tcPr>
          <w:p w14:paraId="54A5E7DA">
            <w:pPr>
              <w:spacing w:before="147"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中级职称人员</w:t>
            </w:r>
          </w:p>
        </w:tc>
        <w:tc>
          <w:tcPr>
            <w:tcW w:w="1548" w:type="dxa"/>
            <w:vAlign w:val="top"/>
          </w:tcPr>
          <w:p w14:paraId="0F82552D">
            <w:pPr>
              <w:pStyle w:val="19"/>
              <w:rPr>
                <w:rFonts w:hint="eastAsia" w:ascii="宋体" w:hAnsi="宋体" w:eastAsia="宋体" w:cs="宋体"/>
                <w:color w:val="auto"/>
                <w:sz w:val="24"/>
                <w:szCs w:val="24"/>
                <w:highlight w:val="none"/>
              </w:rPr>
            </w:pPr>
          </w:p>
        </w:tc>
      </w:tr>
      <w:tr w14:paraId="48A6E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20" w:type="dxa"/>
            <w:vAlign w:val="top"/>
          </w:tcPr>
          <w:p w14:paraId="7BC8BCE9">
            <w:pPr>
              <w:spacing w:before="62" w:line="241"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开户银行</w:t>
            </w:r>
          </w:p>
        </w:tc>
        <w:tc>
          <w:tcPr>
            <w:tcW w:w="2812" w:type="dxa"/>
            <w:gridSpan w:val="2"/>
            <w:vAlign w:val="top"/>
          </w:tcPr>
          <w:p w14:paraId="230E0E99">
            <w:pPr>
              <w:pStyle w:val="19"/>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4B8F4330">
            <w:pPr>
              <w:pStyle w:val="19"/>
              <w:rPr>
                <w:rFonts w:hint="eastAsia" w:ascii="宋体" w:hAnsi="宋体" w:eastAsia="宋体" w:cs="宋体"/>
                <w:color w:val="auto"/>
                <w:sz w:val="24"/>
                <w:szCs w:val="24"/>
                <w:highlight w:val="none"/>
              </w:rPr>
            </w:pPr>
          </w:p>
        </w:tc>
        <w:tc>
          <w:tcPr>
            <w:tcW w:w="2096" w:type="dxa"/>
            <w:gridSpan w:val="3"/>
            <w:vAlign w:val="top"/>
          </w:tcPr>
          <w:p w14:paraId="5D0E5AB7">
            <w:pPr>
              <w:spacing w:before="191" w:line="230"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初级职称人员</w:t>
            </w:r>
          </w:p>
        </w:tc>
        <w:tc>
          <w:tcPr>
            <w:tcW w:w="1548" w:type="dxa"/>
            <w:vAlign w:val="top"/>
          </w:tcPr>
          <w:p w14:paraId="3EE0A0A4">
            <w:pPr>
              <w:pStyle w:val="19"/>
              <w:rPr>
                <w:rFonts w:hint="eastAsia" w:ascii="宋体" w:hAnsi="宋体" w:eastAsia="宋体" w:cs="宋体"/>
                <w:color w:val="auto"/>
                <w:sz w:val="24"/>
                <w:szCs w:val="24"/>
                <w:highlight w:val="none"/>
              </w:rPr>
            </w:pPr>
          </w:p>
        </w:tc>
      </w:tr>
      <w:tr w14:paraId="1A5F0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620" w:type="dxa"/>
            <w:vAlign w:val="top"/>
          </w:tcPr>
          <w:p w14:paraId="74015963">
            <w:pPr>
              <w:spacing w:before="62" w:line="259"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银行账号</w:t>
            </w:r>
          </w:p>
        </w:tc>
        <w:tc>
          <w:tcPr>
            <w:tcW w:w="2812" w:type="dxa"/>
            <w:gridSpan w:val="2"/>
            <w:vAlign w:val="top"/>
          </w:tcPr>
          <w:p w14:paraId="1CE6F7C7">
            <w:pPr>
              <w:pStyle w:val="19"/>
              <w:rPr>
                <w:rFonts w:hint="eastAsia" w:ascii="宋体" w:hAnsi="宋体" w:eastAsia="宋体" w:cs="宋体"/>
                <w:color w:val="auto"/>
                <w:sz w:val="24"/>
                <w:szCs w:val="24"/>
                <w:highlight w:val="none"/>
              </w:rPr>
            </w:pPr>
          </w:p>
        </w:tc>
        <w:tc>
          <w:tcPr>
            <w:tcW w:w="1183" w:type="dxa"/>
            <w:gridSpan w:val="2"/>
            <w:vMerge w:val="continue"/>
            <w:tcBorders>
              <w:top w:val="nil"/>
            </w:tcBorders>
            <w:vAlign w:val="top"/>
          </w:tcPr>
          <w:p w14:paraId="26EC20C3">
            <w:pPr>
              <w:pStyle w:val="19"/>
              <w:rPr>
                <w:rFonts w:hint="eastAsia" w:ascii="宋体" w:hAnsi="宋体" w:eastAsia="宋体" w:cs="宋体"/>
                <w:color w:val="auto"/>
                <w:sz w:val="24"/>
                <w:szCs w:val="24"/>
                <w:highlight w:val="none"/>
              </w:rPr>
            </w:pPr>
          </w:p>
        </w:tc>
        <w:tc>
          <w:tcPr>
            <w:tcW w:w="2096" w:type="dxa"/>
            <w:gridSpan w:val="3"/>
            <w:vAlign w:val="top"/>
          </w:tcPr>
          <w:p w14:paraId="642AD45F">
            <w:pPr>
              <w:spacing w:before="211" w:line="228" w:lineRule="auto"/>
              <w:ind w:left="6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技术员</w:t>
            </w:r>
          </w:p>
        </w:tc>
        <w:tc>
          <w:tcPr>
            <w:tcW w:w="1548" w:type="dxa"/>
            <w:vAlign w:val="top"/>
          </w:tcPr>
          <w:p w14:paraId="112BF624">
            <w:pPr>
              <w:pStyle w:val="19"/>
              <w:rPr>
                <w:rFonts w:hint="eastAsia" w:ascii="宋体" w:hAnsi="宋体" w:eastAsia="宋体" w:cs="宋体"/>
                <w:color w:val="auto"/>
                <w:sz w:val="24"/>
                <w:szCs w:val="24"/>
                <w:highlight w:val="none"/>
              </w:rPr>
            </w:pPr>
          </w:p>
        </w:tc>
      </w:tr>
      <w:tr w14:paraId="0D1C6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20" w:type="dxa"/>
            <w:vAlign w:val="top"/>
          </w:tcPr>
          <w:p w14:paraId="485AF74A">
            <w:pPr>
              <w:spacing w:before="6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经营范围</w:t>
            </w:r>
          </w:p>
        </w:tc>
        <w:tc>
          <w:tcPr>
            <w:tcW w:w="7639" w:type="dxa"/>
            <w:gridSpan w:val="8"/>
            <w:vAlign w:val="top"/>
          </w:tcPr>
          <w:p w14:paraId="2BAC9B43">
            <w:pPr>
              <w:pStyle w:val="19"/>
              <w:rPr>
                <w:rFonts w:hint="eastAsia" w:ascii="宋体" w:hAnsi="宋体" w:eastAsia="宋体" w:cs="宋体"/>
                <w:color w:val="auto"/>
                <w:sz w:val="24"/>
                <w:szCs w:val="24"/>
                <w:highlight w:val="none"/>
              </w:rPr>
            </w:pPr>
          </w:p>
        </w:tc>
      </w:tr>
      <w:tr w14:paraId="0FEE9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620" w:type="dxa"/>
            <w:vAlign w:val="top"/>
          </w:tcPr>
          <w:p w14:paraId="15E1FC0D">
            <w:pPr>
              <w:pStyle w:val="19"/>
              <w:spacing w:line="295" w:lineRule="auto"/>
              <w:rPr>
                <w:rFonts w:hint="eastAsia" w:ascii="宋体" w:hAnsi="宋体" w:eastAsia="宋体" w:cs="宋体"/>
                <w:color w:val="auto"/>
                <w:sz w:val="24"/>
                <w:szCs w:val="24"/>
                <w:highlight w:val="none"/>
              </w:rPr>
            </w:pPr>
          </w:p>
          <w:p w14:paraId="40ACE668">
            <w:pPr>
              <w:pStyle w:val="19"/>
              <w:spacing w:line="296" w:lineRule="auto"/>
              <w:rPr>
                <w:rFonts w:hint="eastAsia" w:ascii="宋体" w:hAnsi="宋体" w:eastAsia="宋体" w:cs="宋体"/>
                <w:color w:val="auto"/>
                <w:sz w:val="24"/>
                <w:szCs w:val="24"/>
                <w:highlight w:val="none"/>
              </w:rPr>
            </w:pPr>
          </w:p>
          <w:p w14:paraId="5850B459">
            <w:pPr>
              <w:spacing w:before="65" w:line="229"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关联企业情况</w:t>
            </w:r>
          </w:p>
        </w:tc>
        <w:tc>
          <w:tcPr>
            <w:tcW w:w="7639" w:type="dxa"/>
            <w:gridSpan w:val="8"/>
            <w:vAlign w:val="top"/>
          </w:tcPr>
          <w:p w14:paraId="5186925B">
            <w:pPr>
              <w:spacing w:before="168" w:line="228"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包括但不限于与投标人存在以下关系的不同单位：</w:t>
            </w:r>
          </w:p>
          <w:p w14:paraId="7D1EE6A3">
            <w:pPr>
              <w:spacing w:before="81" w:line="228"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．法定代表人为同一人的。</w:t>
            </w:r>
          </w:p>
          <w:p w14:paraId="05A69347">
            <w:pPr>
              <w:spacing w:before="81" w:line="228"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6"/>
                <w:sz w:val="24"/>
                <w:szCs w:val="24"/>
                <w:highlight w:val="none"/>
              </w:rPr>
              <w:t>．存在控股、管理关系的。</w:t>
            </w:r>
          </w:p>
          <w:p w14:paraId="419397B1">
            <w:pPr>
              <w:spacing w:before="81" w:line="228"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．主要人员相互任职的。</w:t>
            </w:r>
          </w:p>
        </w:tc>
      </w:tr>
      <w:tr w14:paraId="69237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620" w:type="dxa"/>
            <w:vAlign w:val="top"/>
          </w:tcPr>
          <w:p w14:paraId="4969CA67">
            <w:pPr>
              <w:spacing w:before="235" w:line="230"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c>
          <w:tcPr>
            <w:tcW w:w="7639" w:type="dxa"/>
            <w:gridSpan w:val="8"/>
            <w:vAlign w:val="top"/>
          </w:tcPr>
          <w:p w14:paraId="16AE6988">
            <w:pPr>
              <w:pStyle w:val="19"/>
              <w:rPr>
                <w:rFonts w:hint="eastAsia" w:ascii="宋体" w:hAnsi="宋体" w:eastAsia="宋体" w:cs="宋体"/>
                <w:color w:val="auto"/>
                <w:sz w:val="24"/>
                <w:szCs w:val="24"/>
                <w:highlight w:val="none"/>
              </w:rPr>
            </w:pPr>
          </w:p>
        </w:tc>
      </w:tr>
    </w:tbl>
    <w:p w14:paraId="30FD4479">
      <w:pPr>
        <w:spacing w:before="140" w:line="228" w:lineRule="auto"/>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说明：</w:t>
      </w:r>
    </w:p>
    <w:p w14:paraId="4B6B1219">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outlineLvl w:val="9"/>
        <w:rPr>
          <w:rFonts w:hint="eastAsia" w:ascii="宋体" w:hAnsi="宋体" w:eastAsia="宋体" w:cs="宋体"/>
          <w:color w:val="auto"/>
          <w:spacing w:val="4"/>
          <w:sz w:val="18"/>
          <w:szCs w:val="18"/>
          <w:highlight w:val="none"/>
        </w:rPr>
      </w:pPr>
      <w:bookmarkStart w:id="239" w:name="_Toc5131"/>
      <w:bookmarkStart w:id="240" w:name="_Toc14048"/>
      <w:r>
        <w:rPr>
          <w:rFonts w:hint="eastAsia" w:ascii="宋体" w:hAnsi="宋体" w:eastAsia="宋体" w:cs="宋体"/>
          <w:color w:val="auto"/>
          <w:spacing w:val="4"/>
          <w:sz w:val="18"/>
          <w:szCs w:val="18"/>
          <w:highlight w:val="none"/>
        </w:rPr>
        <w:t>1 ．《投标人基本情况表》后应附以下资料：</w:t>
      </w:r>
      <w:bookmarkEnd w:id="239"/>
      <w:bookmarkEnd w:id="240"/>
    </w:p>
    <w:p w14:paraId="6761CC6F">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pacing w:val="6"/>
          <w:sz w:val="18"/>
          <w:szCs w:val="18"/>
          <w:highlight w:val="none"/>
        </w:rPr>
      </w:pPr>
      <w:r>
        <w:rPr>
          <w:rFonts w:hint="eastAsia" w:ascii="宋体" w:hAnsi="宋体" w:eastAsia="宋体" w:cs="宋体"/>
          <w:color w:val="auto"/>
          <w:spacing w:val="9"/>
          <w:sz w:val="18"/>
          <w:szCs w:val="18"/>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590C79A2">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lang w:eastAsia="zh-CN"/>
        </w:rPr>
        <w:t>（2）</w:t>
      </w:r>
      <w:r>
        <w:rPr>
          <w:rFonts w:hint="eastAsia" w:ascii="宋体" w:hAnsi="宋体" w:eastAsia="宋体" w:cs="宋体"/>
          <w:color w:val="auto"/>
          <w:spacing w:val="9"/>
          <w:sz w:val="18"/>
          <w:szCs w:val="18"/>
          <w:highlight w:val="none"/>
        </w:rPr>
        <w:t>“进粤企业和人员诚信信息登记平台</w:t>
      </w:r>
      <w:r>
        <w:rPr>
          <w:rFonts w:hint="eastAsia" w:ascii="宋体" w:hAnsi="宋体" w:eastAsia="宋体" w:cs="宋体"/>
          <w:color w:val="auto"/>
          <w:spacing w:val="-72"/>
          <w:sz w:val="18"/>
          <w:szCs w:val="18"/>
          <w:highlight w:val="none"/>
        </w:rPr>
        <w:t xml:space="preserve"> </w:t>
      </w:r>
      <w:r>
        <w:rPr>
          <w:rFonts w:hint="eastAsia" w:ascii="宋体" w:hAnsi="宋体" w:eastAsia="宋体" w:cs="宋体"/>
          <w:color w:val="auto"/>
          <w:spacing w:val="8"/>
          <w:sz w:val="18"/>
          <w:szCs w:val="18"/>
          <w:highlight w:val="none"/>
        </w:rPr>
        <w:t>”企业信息情况打印页。（适用于省外建筑企业）</w:t>
      </w:r>
    </w:p>
    <w:p w14:paraId="16D8615C">
      <w:pPr>
        <w:keepNext w:val="0"/>
        <w:keepLines w:val="0"/>
        <w:pageBreakBefore w:val="0"/>
        <w:widowControl/>
        <w:kinsoku w:val="0"/>
        <w:wordWrap/>
        <w:overflowPunct/>
        <w:topLinePunct w:val="0"/>
        <w:autoSpaceDE w:val="0"/>
        <w:autoSpaceDN w:val="0"/>
        <w:bidi w:val="0"/>
        <w:adjustRightInd w:val="0"/>
        <w:snapToGrid w:val="0"/>
        <w:spacing w:before="153" w:line="288" w:lineRule="auto"/>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lang w:eastAsia="zh-CN"/>
        </w:rPr>
        <w:t>（3）</w:t>
      </w:r>
      <w:r>
        <w:rPr>
          <w:rFonts w:hint="eastAsia" w:ascii="宋体" w:hAnsi="宋体" w:eastAsia="宋体" w:cs="宋体"/>
          <w:color w:val="auto"/>
          <w:spacing w:val="8"/>
          <w:sz w:val="18"/>
          <w:szCs w:val="18"/>
          <w:highlight w:val="none"/>
        </w:rPr>
        <w:t>《法人和非法人组织公共信用信息报告》（在“信用中国</w:t>
      </w:r>
      <w:r>
        <w:rPr>
          <w:rFonts w:hint="eastAsia" w:ascii="宋体" w:hAnsi="宋体" w:eastAsia="宋体" w:cs="宋体"/>
          <w:color w:val="auto"/>
          <w:spacing w:val="-70"/>
          <w:sz w:val="18"/>
          <w:szCs w:val="18"/>
          <w:highlight w:val="none"/>
        </w:rPr>
        <w:t xml:space="preserve"> </w:t>
      </w:r>
      <w:r>
        <w:rPr>
          <w:rFonts w:hint="eastAsia" w:ascii="宋体" w:hAnsi="宋体" w:eastAsia="宋体" w:cs="宋体"/>
          <w:color w:val="auto"/>
          <w:spacing w:val="8"/>
          <w:sz w:val="18"/>
          <w:szCs w:val="18"/>
          <w:highlight w:val="none"/>
        </w:rPr>
        <w:t>”网站企业查询界面</w:t>
      </w:r>
      <w:r>
        <w:rPr>
          <w:rFonts w:hint="eastAsia" w:ascii="宋体" w:hAnsi="宋体" w:eastAsia="宋体" w:cs="宋体"/>
          <w:color w:val="auto"/>
          <w:spacing w:val="7"/>
          <w:sz w:val="18"/>
          <w:szCs w:val="18"/>
          <w:highlight w:val="none"/>
        </w:rPr>
        <w:t>中下载）。</w:t>
      </w:r>
    </w:p>
    <w:p w14:paraId="4587C7C5">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rPr>
          <w:rFonts w:hint="eastAsia" w:ascii="宋体" w:hAnsi="宋体" w:eastAsia="宋体" w:cs="宋体"/>
          <w:color w:val="auto"/>
          <w:spacing w:val="4"/>
          <w:sz w:val="20"/>
          <w:szCs w:val="20"/>
          <w:highlight w:val="none"/>
        </w:rPr>
      </w:pPr>
      <w:r>
        <w:rPr>
          <w:rFonts w:hint="eastAsia" w:ascii="宋体" w:hAnsi="宋体" w:eastAsia="宋体" w:cs="宋体"/>
          <w:color w:val="auto"/>
          <w:spacing w:val="9"/>
          <w:sz w:val="18"/>
          <w:szCs w:val="18"/>
          <w:highlight w:val="none"/>
        </w:rPr>
        <w:t>2</w:t>
      </w:r>
      <w:r>
        <w:rPr>
          <w:rFonts w:hint="eastAsia" w:ascii="宋体" w:hAnsi="宋体" w:eastAsia="宋体" w:cs="宋体"/>
          <w:color w:val="auto"/>
          <w:spacing w:val="-21"/>
          <w:sz w:val="18"/>
          <w:szCs w:val="18"/>
          <w:highlight w:val="none"/>
        </w:rPr>
        <w:t xml:space="preserve"> </w:t>
      </w:r>
      <w:r>
        <w:rPr>
          <w:rFonts w:hint="eastAsia" w:ascii="宋体" w:hAnsi="宋体" w:eastAsia="宋体" w:cs="宋体"/>
          <w:color w:val="auto"/>
          <w:spacing w:val="9"/>
          <w:sz w:val="18"/>
          <w:szCs w:val="18"/>
          <w:highlight w:val="none"/>
        </w:rPr>
        <w:t>．联合体投标的，联合体成员单位均应填写《投标人基本情况</w:t>
      </w:r>
      <w:r>
        <w:rPr>
          <w:rFonts w:hint="eastAsia" w:ascii="宋体" w:hAnsi="宋体" w:eastAsia="宋体" w:cs="宋体"/>
          <w:color w:val="auto"/>
          <w:spacing w:val="8"/>
          <w:sz w:val="18"/>
          <w:szCs w:val="18"/>
          <w:highlight w:val="none"/>
        </w:rPr>
        <w:t>表》并提供以上所需资料。</w:t>
      </w:r>
    </w:p>
    <w:p w14:paraId="33A9EAB5">
      <w:pPr>
        <w:spacing w:before="78" w:line="220" w:lineRule="auto"/>
        <w:outlineLvl w:val="2"/>
        <w:rPr>
          <w:rFonts w:hint="eastAsia" w:ascii="宋体" w:hAnsi="宋体" w:eastAsia="宋体" w:cs="宋体"/>
          <w:b/>
          <w:bCs/>
          <w:color w:val="auto"/>
          <w:spacing w:val="-4"/>
          <w:sz w:val="24"/>
          <w:szCs w:val="24"/>
          <w:highlight w:val="none"/>
        </w:rPr>
      </w:pPr>
      <w:bookmarkStart w:id="241" w:name="_Toc10594"/>
      <w:r>
        <w:rPr>
          <w:rFonts w:hint="eastAsia" w:ascii="宋体" w:hAnsi="宋体" w:eastAsia="宋体" w:cs="宋体"/>
          <w:b/>
          <w:bCs/>
          <w:color w:val="auto"/>
          <w:spacing w:val="-4"/>
          <w:sz w:val="24"/>
          <w:szCs w:val="24"/>
          <w:highlight w:val="none"/>
        </w:rPr>
        <w:t>格式八 项目经理简历表</w:t>
      </w:r>
      <w:bookmarkEnd w:id="241"/>
    </w:p>
    <w:p w14:paraId="25114F8A">
      <w:pPr>
        <w:pStyle w:val="5"/>
        <w:spacing w:line="444" w:lineRule="auto"/>
        <w:rPr>
          <w:rFonts w:hint="eastAsia" w:ascii="宋体" w:hAnsi="宋体" w:eastAsia="宋体" w:cs="宋体"/>
          <w:color w:val="auto"/>
          <w:highlight w:val="none"/>
        </w:rPr>
      </w:pPr>
    </w:p>
    <w:p w14:paraId="64A2F050">
      <w:pPr>
        <w:spacing w:before="97" w:line="219" w:lineRule="auto"/>
        <w:ind w:left="3538"/>
        <w:outlineLvl w:val="9"/>
        <w:rPr>
          <w:rFonts w:hint="eastAsia" w:ascii="宋体" w:hAnsi="宋体" w:eastAsia="宋体" w:cs="宋体"/>
          <w:color w:val="auto"/>
          <w:sz w:val="30"/>
          <w:szCs w:val="30"/>
          <w:highlight w:val="none"/>
        </w:rPr>
      </w:pPr>
      <w:bookmarkStart w:id="242" w:name="bookmark89"/>
      <w:bookmarkEnd w:id="242"/>
      <w:bookmarkStart w:id="243" w:name="bookmark156"/>
      <w:bookmarkEnd w:id="243"/>
      <w:bookmarkStart w:id="244" w:name="_Toc31533"/>
      <w:bookmarkStart w:id="245" w:name="_Toc24489"/>
      <w:r>
        <w:rPr>
          <w:rFonts w:hint="eastAsia" w:ascii="宋体" w:hAnsi="宋体" w:eastAsia="宋体" w:cs="宋体"/>
          <w:b/>
          <w:bCs/>
          <w:color w:val="auto"/>
          <w:spacing w:val="-5"/>
          <w:sz w:val="30"/>
          <w:szCs w:val="30"/>
          <w:highlight w:val="none"/>
        </w:rPr>
        <w:t>项目经理简历表</w:t>
      </w:r>
      <w:bookmarkEnd w:id="244"/>
      <w:bookmarkEnd w:id="245"/>
    </w:p>
    <w:p w14:paraId="469641A8">
      <w:pPr>
        <w:spacing w:line="240" w:lineRule="exact"/>
        <w:rPr>
          <w:rFonts w:hint="eastAsia" w:ascii="宋体" w:hAnsi="宋体" w:eastAsia="宋体" w:cs="宋体"/>
          <w:color w:val="auto"/>
          <w:highlight w:val="none"/>
        </w:rPr>
      </w:pPr>
    </w:p>
    <w:tbl>
      <w:tblPr>
        <w:tblStyle w:val="14"/>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77031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top"/>
          </w:tcPr>
          <w:p w14:paraId="64E27F91">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94" w:type="dxa"/>
            <w:gridSpan w:val="2"/>
            <w:vAlign w:val="top"/>
          </w:tcPr>
          <w:p w14:paraId="0DCB85E5">
            <w:pPr>
              <w:pStyle w:val="19"/>
              <w:rPr>
                <w:rFonts w:hint="eastAsia" w:ascii="宋体" w:hAnsi="宋体" w:eastAsia="宋体" w:cs="宋体"/>
                <w:color w:val="auto"/>
                <w:sz w:val="24"/>
                <w:szCs w:val="24"/>
                <w:highlight w:val="none"/>
              </w:rPr>
            </w:pPr>
          </w:p>
        </w:tc>
        <w:tc>
          <w:tcPr>
            <w:tcW w:w="1357" w:type="dxa"/>
            <w:vAlign w:val="top"/>
          </w:tcPr>
          <w:p w14:paraId="3268DFAB">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62" w:type="dxa"/>
            <w:vAlign w:val="top"/>
          </w:tcPr>
          <w:p w14:paraId="2F3F6195">
            <w:pPr>
              <w:pStyle w:val="19"/>
              <w:rPr>
                <w:rFonts w:hint="eastAsia" w:ascii="宋体" w:hAnsi="宋体" w:eastAsia="宋体" w:cs="宋体"/>
                <w:color w:val="auto"/>
                <w:sz w:val="24"/>
                <w:szCs w:val="24"/>
                <w:highlight w:val="none"/>
              </w:rPr>
            </w:pPr>
          </w:p>
        </w:tc>
        <w:tc>
          <w:tcPr>
            <w:tcW w:w="1798" w:type="dxa"/>
            <w:vAlign w:val="top"/>
          </w:tcPr>
          <w:p w14:paraId="48B1E7D5">
            <w:pPr>
              <w:spacing w:before="177" w:line="228" w:lineRule="auto"/>
              <w:ind w:left="4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98" w:type="dxa"/>
            <w:vAlign w:val="top"/>
          </w:tcPr>
          <w:p w14:paraId="15D38264">
            <w:pPr>
              <w:pStyle w:val="19"/>
              <w:rPr>
                <w:rFonts w:hint="eastAsia" w:ascii="宋体" w:hAnsi="宋体" w:eastAsia="宋体" w:cs="宋体"/>
                <w:color w:val="auto"/>
                <w:sz w:val="24"/>
                <w:szCs w:val="24"/>
                <w:highlight w:val="none"/>
              </w:rPr>
            </w:pPr>
          </w:p>
        </w:tc>
      </w:tr>
      <w:tr w14:paraId="0A456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top"/>
          </w:tcPr>
          <w:p w14:paraId="4A874F8C">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94" w:type="dxa"/>
            <w:gridSpan w:val="2"/>
            <w:vAlign w:val="top"/>
          </w:tcPr>
          <w:p w14:paraId="4FA8B8EF">
            <w:pPr>
              <w:pStyle w:val="19"/>
              <w:rPr>
                <w:rFonts w:hint="eastAsia" w:ascii="宋体" w:hAnsi="宋体" w:eastAsia="宋体" w:cs="宋体"/>
                <w:color w:val="auto"/>
                <w:sz w:val="24"/>
                <w:szCs w:val="24"/>
                <w:highlight w:val="none"/>
              </w:rPr>
            </w:pPr>
          </w:p>
        </w:tc>
        <w:tc>
          <w:tcPr>
            <w:tcW w:w="1357" w:type="dxa"/>
            <w:vAlign w:val="top"/>
          </w:tcPr>
          <w:p w14:paraId="470AEC13">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62" w:type="dxa"/>
            <w:vAlign w:val="top"/>
          </w:tcPr>
          <w:p w14:paraId="480E3BCC">
            <w:pPr>
              <w:pStyle w:val="19"/>
              <w:rPr>
                <w:rFonts w:hint="eastAsia" w:ascii="宋体" w:hAnsi="宋体" w:eastAsia="宋体" w:cs="宋体"/>
                <w:color w:val="auto"/>
                <w:sz w:val="24"/>
                <w:szCs w:val="24"/>
                <w:highlight w:val="none"/>
              </w:rPr>
            </w:pPr>
          </w:p>
        </w:tc>
        <w:tc>
          <w:tcPr>
            <w:tcW w:w="1798" w:type="dxa"/>
            <w:vAlign w:val="top"/>
          </w:tcPr>
          <w:p w14:paraId="2B38E6DF">
            <w:pPr>
              <w:spacing w:before="175" w:line="23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98" w:type="dxa"/>
            <w:vAlign w:val="top"/>
          </w:tcPr>
          <w:p w14:paraId="6A6A83C8">
            <w:pPr>
              <w:pStyle w:val="19"/>
              <w:rPr>
                <w:rFonts w:hint="eastAsia" w:ascii="宋体" w:hAnsi="宋体" w:eastAsia="宋体" w:cs="宋体"/>
                <w:color w:val="auto"/>
                <w:sz w:val="24"/>
                <w:szCs w:val="24"/>
                <w:highlight w:val="none"/>
              </w:rPr>
            </w:pPr>
          </w:p>
        </w:tc>
      </w:tr>
      <w:tr w14:paraId="77996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top"/>
          </w:tcPr>
          <w:p w14:paraId="1A6077DA">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51" w:type="dxa"/>
            <w:gridSpan w:val="3"/>
            <w:vAlign w:val="top"/>
          </w:tcPr>
          <w:p w14:paraId="08029C96">
            <w:pPr>
              <w:pStyle w:val="19"/>
              <w:rPr>
                <w:rFonts w:hint="eastAsia" w:ascii="宋体" w:hAnsi="宋体" w:eastAsia="宋体" w:cs="宋体"/>
                <w:color w:val="auto"/>
                <w:sz w:val="24"/>
                <w:szCs w:val="24"/>
                <w:highlight w:val="none"/>
              </w:rPr>
            </w:pPr>
          </w:p>
        </w:tc>
        <w:tc>
          <w:tcPr>
            <w:tcW w:w="3860" w:type="dxa"/>
            <w:gridSpan w:val="2"/>
            <w:vAlign w:val="top"/>
          </w:tcPr>
          <w:p w14:paraId="4F877967">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98" w:type="dxa"/>
            <w:vAlign w:val="top"/>
          </w:tcPr>
          <w:p w14:paraId="188F5B6D">
            <w:pPr>
              <w:pStyle w:val="19"/>
              <w:rPr>
                <w:rFonts w:hint="eastAsia" w:ascii="宋体" w:hAnsi="宋体" w:eastAsia="宋体" w:cs="宋体"/>
                <w:color w:val="auto"/>
                <w:sz w:val="24"/>
                <w:szCs w:val="24"/>
                <w:highlight w:val="none"/>
              </w:rPr>
            </w:pPr>
          </w:p>
        </w:tc>
      </w:tr>
      <w:tr w14:paraId="3CF41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top"/>
          </w:tcPr>
          <w:p w14:paraId="3ED95645">
            <w:pPr>
              <w:spacing w:before="176" w:line="228" w:lineRule="auto"/>
              <w:ind w:left="23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以项目经理身份参与过的主要业绩（已完工项目）</w:t>
            </w:r>
          </w:p>
        </w:tc>
      </w:tr>
      <w:tr w14:paraId="26246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top"/>
          </w:tcPr>
          <w:p w14:paraId="13B09311">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24" w:type="dxa"/>
            <w:gridSpan w:val="2"/>
            <w:vAlign w:val="top"/>
          </w:tcPr>
          <w:p w14:paraId="5D2F506B">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37" w:type="dxa"/>
            <w:gridSpan w:val="2"/>
            <w:vAlign w:val="top"/>
          </w:tcPr>
          <w:p w14:paraId="44AD655A">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62" w:type="dxa"/>
            <w:vAlign w:val="top"/>
          </w:tcPr>
          <w:p w14:paraId="47849110">
            <w:pPr>
              <w:spacing w:before="176" w:line="228"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98" w:type="dxa"/>
            <w:vAlign w:val="top"/>
          </w:tcPr>
          <w:p w14:paraId="046A17ED">
            <w:pPr>
              <w:spacing w:before="176" w:line="228" w:lineRule="auto"/>
              <w:ind w:left="2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98" w:type="dxa"/>
            <w:vAlign w:val="top"/>
          </w:tcPr>
          <w:p w14:paraId="54561D51">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1B880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67E4BBFA">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dxa"/>
            <w:gridSpan w:val="2"/>
            <w:vAlign w:val="top"/>
          </w:tcPr>
          <w:p w14:paraId="68FA7AEB">
            <w:pPr>
              <w:pStyle w:val="19"/>
              <w:rPr>
                <w:rFonts w:hint="eastAsia" w:ascii="宋体" w:hAnsi="宋体" w:eastAsia="宋体" w:cs="宋体"/>
                <w:color w:val="auto"/>
                <w:sz w:val="24"/>
                <w:szCs w:val="24"/>
                <w:highlight w:val="none"/>
              </w:rPr>
            </w:pPr>
          </w:p>
        </w:tc>
        <w:tc>
          <w:tcPr>
            <w:tcW w:w="2037" w:type="dxa"/>
            <w:gridSpan w:val="2"/>
            <w:vAlign w:val="top"/>
          </w:tcPr>
          <w:p w14:paraId="64EDAB8D">
            <w:pPr>
              <w:pStyle w:val="19"/>
              <w:rPr>
                <w:rFonts w:hint="eastAsia" w:ascii="宋体" w:hAnsi="宋体" w:eastAsia="宋体" w:cs="宋体"/>
                <w:color w:val="auto"/>
                <w:sz w:val="24"/>
                <w:szCs w:val="24"/>
                <w:highlight w:val="none"/>
              </w:rPr>
            </w:pPr>
          </w:p>
        </w:tc>
        <w:tc>
          <w:tcPr>
            <w:tcW w:w="2062" w:type="dxa"/>
            <w:vAlign w:val="top"/>
          </w:tcPr>
          <w:p w14:paraId="4DF00500">
            <w:pPr>
              <w:pStyle w:val="19"/>
              <w:rPr>
                <w:rFonts w:hint="eastAsia" w:ascii="宋体" w:hAnsi="宋体" w:eastAsia="宋体" w:cs="宋体"/>
                <w:color w:val="auto"/>
                <w:sz w:val="24"/>
                <w:szCs w:val="24"/>
                <w:highlight w:val="none"/>
              </w:rPr>
            </w:pPr>
          </w:p>
        </w:tc>
        <w:tc>
          <w:tcPr>
            <w:tcW w:w="1798" w:type="dxa"/>
            <w:vAlign w:val="top"/>
          </w:tcPr>
          <w:p w14:paraId="68F2BEF8">
            <w:pPr>
              <w:pStyle w:val="19"/>
              <w:rPr>
                <w:rFonts w:hint="eastAsia" w:ascii="宋体" w:hAnsi="宋体" w:eastAsia="宋体" w:cs="宋体"/>
                <w:color w:val="auto"/>
                <w:sz w:val="24"/>
                <w:szCs w:val="24"/>
                <w:highlight w:val="none"/>
              </w:rPr>
            </w:pPr>
          </w:p>
        </w:tc>
        <w:tc>
          <w:tcPr>
            <w:tcW w:w="1398" w:type="dxa"/>
            <w:vAlign w:val="top"/>
          </w:tcPr>
          <w:p w14:paraId="6CC26CAD">
            <w:pPr>
              <w:pStyle w:val="19"/>
              <w:rPr>
                <w:rFonts w:hint="eastAsia" w:ascii="宋体" w:hAnsi="宋体" w:eastAsia="宋体" w:cs="宋体"/>
                <w:color w:val="auto"/>
                <w:sz w:val="24"/>
                <w:szCs w:val="24"/>
                <w:highlight w:val="none"/>
              </w:rPr>
            </w:pPr>
          </w:p>
        </w:tc>
      </w:tr>
      <w:tr w14:paraId="7A1C3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top"/>
          </w:tcPr>
          <w:p w14:paraId="4572D922">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4" w:type="dxa"/>
            <w:gridSpan w:val="2"/>
            <w:vAlign w:val="top"/>
          </w:tcPr>
          <w:p w14:paraId="7B4988E6">
            <w:pPr>
              <w:pStyle w:val="19"/>
              <w:rPr>
                <w:rFonts w:hint="eastAsia" w:ascii="宋体" w:hAnsi="宋体" w:eastAsia="宋体" w:cs="宋体"/>
                <w:color w:val="auto"/>
                <w:sz w:val="24"/>
                <w:szCs w:val="24"/>
                <w:highlight w:val="none"/>
              </w:rPr>
            </w:pPr>
          </w:p>
        </w:tc>
        <w:tc>
          <w:tcPr>
            <w:tcW w:w="2037" w:type="dxa"/>
            <w:gridSpan w:val="2"/>
            <w:vAlign w:val="top"/>
          </w:tcPr>
          <w:p w14:paraId="3DF9DEF0">
            <w:pPr>
              <w:pStyle w:val="19"/>
              <w:rPr>
                <w:rFonts w:hint="eastAsia" w:ascii="宋体" w:hAnsi="宋体" w:eastAsia="宋体" w:cs="宋体"/>
                <w:color w:val="auto"/>
                <w:sz w:val="24"/>
                <w:szCs w:val="24"/>
                <w:highlight w:val="none"/>
              </w:rPr>
            </w:pPr>
          </w:p>
        </w:tc>
        <w:tc>
          <w:tcPr>
            <w:tcW w:w="2062" w:type="dxa"/>
            <w:vAlign w:val="top"/>
          </w:tcPr>
          <w:p w14:paraId="37498D0B">
            <w:pPr>
              <w:pStyle w:val="19"/>
              <w:rPr>
                <w:rFonts w:hint="eastAsia" w:ascii="宋体" w:hAnsi="宋体" w:eastAsia="宋体" w:cs="宋体"/>
                <w:color w:val="auto"/>
                <w:sz w:val="24"/>
                <w:szCs w:val="24"/>
                <w:highlight w:val="none"/>
              </w:rPr>
            </w:pPr>
          </w:p>
        </w:tc>
        <w:tc>
          <w:tcPr>
            <w:tcW w:w="1798" w:type="dxa"/>
            <w:vAlign w:val="top"/>
          </w:tcPr>
          <w:p w14:paraId="405BA0BA">
            <w:pPr>
              <w:pStyle w:val="19"/>
              <w:rPr>
                <w:rFonts w:hint="eastAsia" w:ascii="宋体" w:hAnsi="宋体" w:eastAsia="宋体" w:cs="宋体"/>
                <w:color w:val="auto"/>
                <w:sz w:val="24"/>
                <w:szCs w:val="24"/>
                <w:highlight w:val="none"/>
              </w:rPr>
            </w:pPr>
          </w:p>
        </w:tc>
        <w:tc>
          <w:tcPr>
            <w:tcW w:w="1398" w:type="dxa"/>
            <w:vAlign w:val="top"/>
          </w:tcPr>
          <w:p w14:paraId="120D742F">
            <w:pPr>
              <w:pStyle w:val="19"/>
              <w:rPr>
                <w:rFonts w:hint="eastAsia" w:ascii="宋体" w:hAnsi="宋体" w:eastAsia="宋体" w:cs="宋体"/>
                <w:color w:val="auto"/>
                <w:sz w:val="24"/>
                <w:szCs w:val="24"/>
                <w:highlight w:val="none"/>
              </w:rPr>
            </w:pPr>
          </w:p>
        </w:tc>
      </w:tr>
      <w:tr w14:paraId="0D8B6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157E31BC">
            <w:pPr>
              <w:spacing w:before="213" w:line="195" w:lineRule="auto"/>
              <w:ind w:left="3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4" w:type="dxa"/>
            <w:gridSpan w:val="2"/>
            <w:vAlign w:val="top"/>
          </w:tcPr>
          <w:p w14:paraId="67178565">
            <w:pPr>
              <w:pStyle w:val="19"/>
              <w:rPr>
                <w:rFonts w:hint="eastAsia" w:ascii="宋体" w:hAnsi="宋体" w:eastAsia="宋体" w:cs="宋体"/>
                <w:color w:val="auto"/>
                <w:sz w:val="24"/>
                <w:szCs w:val="24"/>
                <w:highlight w:val="none"/>
              </w:rPr>
            </w:pPr>
          </w:p>
        </w:tc>
        <w:tc>
          <w:tcPr>
            <w:tcW w:w="2037" w:type="dxa"/>
            <w:gridSpan w:val="2"/>
            <w:vAlign w:val="top"/>
          </w:tcPr>
          <w:p w14:paraId="5235B4DB">
            <w:pPr>
              <w:pStyle w:val="19"/>
              <w:rPr>
                <w:rFonts w:hint="eastAsia" w:ascii="宋体" w:hAnsi="宋体" w:eastAsia="宋体" w:cs="宋体"/>
                <w:color w:val="auto"/>
                <w:sz w:val="24"/>
                <w:szCs w:val="24"/>
                <w:highlight w:val="none"/>
              </w:rPr>
            </w:pPr>
          </w:p>
        </w:tc>
        <w:tc>
          <w:tcPr>
            <w:tcW w:w="2062" w:type="dxa"/>
            <w:vAlign w:val="top"/>
          </w:tcPr>
          <w:p w14:paraId="61EEB689">
            <w:pPr>
              <w:pStyle w:val="19"/>
              <w:rPr>
                <w:rFonts w:hint="eastAsia" w:ascii="宋体" w:hAnsi="宋体" w:eastAsia="宋体" w:cs="宋体"/>
                <w:color w:val="auto"/>
                <w:sz w:val="24"/>
                <w:szCs w:val="24"/>
                <w:highlight w:val="none"/>
              </w:rPr>
            </w:pPr>
          </w:p>
        </w:tc>
        <w:tc>
          <w:tcPr>
            <w:tcW w:w="1798" w:type="dxa"/>
            <w:vAlign w:val="top"/>
          </w:tcPr>
          <w:p w14:paraId="3D984819">
            <w:pPr>
              <w:pStyle w:val="19"/>
              <w:rPr>
                <w:rFonts w:hint="eastAsia" w:ascii="宋体" w:hAnsi="宋体" w:eastAsia="宋体" w:cs="宋体"/>
                <w:color w:val="auto"/>
                <w:sz w:val="24"/>
                <w:szCs w:val="24"/>
                <w:highlight w:val="none"/>
              </w:rPr>
            </w:pPr>
          </w:p>
        </w:tc>
        <w:tc>
          <w:tcPr>
            <w:tcW w:w="1398" w:type="dxa"/>
            <w:vAlign w:val="top"/>
          </w:tcPr>
          <w:p w14:paraId="1CCAC958">
            <w:pPr>
              <w:pStyle w:val="19"/>
              <w:rPr>
                <w:rFonts w:hint="eastAsia" w:ascii="宋体" w:hAnsi="宋体" w:eastAsia="宋体" w:cs="宋体"/>
                <w:color w:val="auto"/>
                <w:sz w:val="24"/>
                <w:szCs w:val="24"/>
                <w:highlight w:val="none"/>
              </w:rPr>
            </w:pPr>
          </w:p>
        </w:tc>
      </w:tr>
      <w:tr w14:paraId="2E6F8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top"/>
          </w:tcPr>
          <w:p w14:paraId="04F3FB6C">
            <w:pPr>
              <w:spacing w:before="177" w:line="325"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24" w:type="dxa"/>
            <w:gridSpan w:val="2"/>
            <w:vAlign w:val="top"/>
          </w:tcPr>
          <w:p w14:paraId="3560D6BE">
            <w:pPr>
              <w:pStyle w:val="19"/>
              <w:rPr>
                <w:rFonts w:hint="eastAsia" w:ascii="宋体" w:hAnsi="宋体" w:eastAsia="宋体" w:cs="宋体"/>
                <w:color w:val="auto"/>
                <w:sz w:val="24"/>
                <w:szCs w:val="24"/>
                <w:highlight w:val="none"/>
              </w:rPr>
            </w:pPr>
          </w:p>
        </w:tc>
        <w:tc>
          <w:tcPr>
            <w:tcW w:w="2037" w:type="dxa"/>
            <w:gridSpan w:val="2"/>
            <w:vAlign w:val="top"/>
          </w:tcPr>
          <w:p w14:paraId="36F4AE7F">
            <w:pPr>
              <w:pStyle w:val="19"/>
              <w:rPr>
                <w:rFonts w:hint="eastAsia" w:ascii="宋体" w:hAnsi="宋体" w:eastAsia="宋体" w:cs="宋体"/>
                <w:color w:val="auto"/>
                <w:sz w:val="24"/>
                <w:szCs w:val="24"/>
                <w:highlight w:val="none"/>
              </w:rPr>
            </w:pPr>
          </w:p>
        </w:tc>
        <w:tc>
          <w:tcPr>
            <w:tcW w:w="2062" w:type="dxa"/>
            <w:vAlign w:val="top"/>
          </w:tcPr>
          <w:p w14:paraId="0596841A">
            <w:pPr>
              <w:pStyle w:val="19"/>
              <w:rPr>
                <w:rFonts w:hint="eastAsia" w:ascii="宋体" w:hAnsi="宋体" w:eastAsia="宋体" w:cs="宋体"/>
                <w:color w:val="auto"/>
                <w:sz w:val="24"/>
                <w:szCs w:val="24"/>
                <w:highlight w:val="none"/>
              </w:rPr>
            </w:pPr>
          </w:p>
        </w:tc>
        <w:tc>
          <w:tcPr>
            <w:tcW w:w="1798" w:type="dxa"/>
            <w:vAlign w:val="top"/>
          </w:tcPr>
          <w:p w14:paraId="0465E00C">
            <w:pPr>
              <w:pStyle w:val="19"/>
              <w:rPr>
                <w:rFonts w:hint="eastAsia" w:ascii="宋体" w:hAnsi="宋体" w:eastAsia="宋体" w:cs="宋体"/>
                <w:color w:val="auto"/>
                <w:sz w:val="24"/>
                <w:szCs w:val="24"/>
                <w:highlight w:val="none"/>
              </w:rPr>
            </w:pPr>
          </w:p>
        </w:tc>
        <w:tc>
          <w:tcPr>
            <w:tcW w:w="1398" w:type="dxa"/>
            <w:vAlign w:val="top"/>
          </w:tcPr>
          <w:p w14:paraId="53B87DA8">
            <w:pPr>
              <w:pStyle w:val="19"/>
              <w:rPr>
                <w:rFonts w:hint="eastAsia" w:ascii="宋体" w:hAnsi="宋体" w:eastAsia="宋体" w:cs="宋体"/>
                <w:color w:val="auto"/>
                <w:sz w:val="24"/>
                <w:szCs w:val="24"/>
                <w:highlight w:val="none"/>
              </w:rPr>
            </w:pPr>
          </w:p>
        </w:tc>
      </w:tr>
    </w:tbl>
    <w:p w14:paraId="5DB8A4B8">
      <w:pPr>
        <w:pStyle w:val="5"/>
        <w:spacing w:line="315" w:lineRule="auto"/>
        <w:rPr>
          <w:rFonts w:hint="eastAsia" w:ascii="宋体" w:hAnsi="宋体" w:eastAsia="宋体" w:cs="宋体"/>
          <w:color w:val="auto"/>
          <w:highlight w:val="none"/>
        </w:rPr>
      </w:pPr>
    </w:p>
    <w:p w14:paraId="37C225A5">
      <w:pPr>
        <w:spacing w:before="78" w:line="220" w:lineRule="auto"/>
        <w:ind w:left="69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项目经理</w:t>
      </w:r>
      <w:r>
        <w:rPr>
          <w:rFonts w:hint="eastAsia" w:ascii="宋体" w:hAnsi="宋体" w:eastAsia="宋体" w:cs="宋体"/>
          <w:color w:val="auto"/>
          <w:spacing w:val="-18"/>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5E50A269">
      <w:pPr>
        <w:pStyle w:val="5"/>
        <w:spacing w:line="256" w:lineRule="auto"/>
        <w:rPr>
          <w:rFonts w:hint="eastAsia" w:ascii="宋体" w:hAnsi="宋体" w:eastAsia="宋体" w:cs="宋体"/>
          <w:color w:val="auto"/>
          <w:highlight w:val="none"/>
        </w:rPr>
      </w:pPr>
    </w:p>
    <w:p w14:paraId="4BA92F8E">
      <w:pPr>
        <w:pStyle w:val="5"/>
        <w:spacing w:line="254" w:lineRule="auto"/>
        <w:jc w:val="right"/>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2EF97EC8">
      <w:pPr>
        <w:spacing w:before="78" w:line="220" w:lineRule="auto"/>
        <w:ind w:left="4226"/>
        <w:jc w:val="center"/>
        <w:rPr>
          <w:rFonts w:hint="eastAsia" w:ascii="宋体" w:hAnsi="宋体" w:eastAsia="宋体" w:cs="宋体"/>
          <w:color w:val="auto"/>
          <w:highlight w:val="none"/>
        </w:rPr>
      </w:pPr>
    </w:p>
    <w:p w14:paraId="242489D5">
      <w:pPr>
        <w:pStyle w:val="5"/>
        <w:spacing w:line="241" w:lineRule="auto"/>
        <w:rPr>
          <w:rFonts w:hint="eastAsia" w:ascii="宋体" w:hAnsi="宋体" w:eastAsia="宋体" w:cs="宋体"/>
          <w:color w:val="auto"/>
          <w:highlight w:val="none"/>
        </w:rPr>
      </w:pPr>
    </w:p>
    <w:p w14:paraId="08E14134">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说明：《项目经理简历表》后应附拟派项目经理以下资料：</w:t>
      </w:r>
    </w:p>
    <w:p w14:paraId="188BAA8D">
      <w:pPr>
        <w:spacing w:before="152" w:line="228" w:lineRule="auto"/>
        <w:ind w:left="484"/>
        <w:outlineLvl w:val="9"/>
        <w:rPr>
          <w:rFonts w:hint="eastAsia" w:ascii="宋体" w:hAnsi="宋体" w:eastAsia="宋体" w:cs="宋体"/>
          <w:color w:val="auto"/>
          <w:sz w:val="24"/>
          <w:szCs w:val="24"/>
          <w:highlight w:val="none"/>
        </w:rPr>
      </w:pPr>
      <w:bookmarkStart w:id="246" w:name="_Toc1942"/>
      <w:bookmarkStart w:id="247" w:name="_Toc25271"/>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bookmarkEnd w:id="246"/>
      <w:bookmarkEnd w:id="247"/>
    </w:p>
    <w:p w14:paraId="7AB69DF6">
      <w:pPr>
        <w:spacing w:before="153"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．建造师电子注册证书（在使用有效期内的有效电子证书）彩色扫描件；</w:t>
      </w:r>
    </w:p>
    <w:p w14:paraId="463815DF">
      <w:pPr>
        <w:spacing w:before="154" w:line="298" w:lineRule="auto"/>
        <w:ind w:left="50" w:right="167" w:firstLine="41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3．B 类安全生产考核合格证书彩色扫描件或广东省建筑施工企业管理人员安全生产考核系统考</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核合格信息彩色扫描件；</w:t>
      </w:r>
    </w:p>
    <w:p w14:paraId="03E75BF3">
      <w:pPr>
        <w:spacing w:before="153" w:line="299" w:lineRule="auto"/>
        <w:ind w:left="49" w:right="167" w:firstLine="41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rPr>
        <w:t>．在本单位缴纳社保</w:t>
      </w:r>
      <w:r>
        <w:rPr>
          <w:rFonts w:hint="eastAsia" w:ascii="宋体" w:hAnsi="宋体" w:eastAsia="宋体" w:cs="宋体"/>
          <w:color w:val="auto"/>
          <w:sz w:val="24"/>
          <w:szCs w:val="24"/>
          <w:highlight w:val="none"/>
          <w:lang w:eastAsia="zh-CN"/>
        </w:rPr>
        <w:t>的证明（至少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个月，其</w:t>
      </w:r>
      <w:bookmarkStart w:id="248" w:name="OLE_LINK38"/>
      <w:r>
        <w:rPr>
          <w:rFonts w:hint="eastAsia" w:ascii="宋体" w:hAnsi="宋体" w:eastAsia="宋体" w:cs="宋体"/>
          <w:color w:val="auto"/>
          <w:sz w:val="24"/>
          <w:szCs w:val="24"/>
          <w:highlight w:val="none"/>
          <w:lang w:eastAsia="zh-CN"/>
        </w:rPr>
        <w:t>中必须有202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月</w:t>
      </w:r>
      <w:bookmarkEnd w:id="248"/>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8"/>
          <w:sz w:val="24"/>
          <w:szCs w:val="24"/>
          <w:highlight w:val="none"/>
        </w:rPr>
        <w:t>彩色扫描件或打印件。拟</w:t>
      </w:r>
      <w:r>
        <w:rPr>
          <w:rFonts w:hint="eastAsia" w:ascii="宋体" w:hAnsi="宋体" w:eastAsia="宋体" w:cs="宋体"/>
          <w:color w:val="auto"/>
          <w:spacing w:val="9"/>
          <w:sz w:val="24"/>
          <w:szCs w:val="24"/>
          <w:highlight w:val="none"/>
        </w:rPr>
        <w:t>派项目经理为退休返聘人员无法提供社保证明的，提供退休证和劳动合同彩色扫描件。</w:t>
      </w:r>
    </w:p>
    <w:p w14:paraId="560197FD">
      <w:pPr>
        <w:spacing w:before="150" w:line="300" w:lineRule="auto"/>
        <w:ind w:left="49" w:right="170" w:firstLine="42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7"/>
          <w:sz w:val="24"/>
          <w:szCs w:val="24"/>
          <w:highlight w:val="none"/>
        </w:rPr>
        <w:t>．“进粤企业和人员诚信信息登记平台</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7"/>
          <w:sz w:val="24"/>
          <w:szCs w:val="24"/>
          <w:highlight w:val="none"/>
        </w:rPr>
        <w:t>”个人信息</w:t>
      </w:r>
      <w:r>
        <w:rPr>
          <w:rFonts w:hint="eastAsia" w:ascii="宋体" w:hAnsi="宋体" w:eastAsia="宋体" w:cs="宋体"/>
          <w:color w:val="auto"/>
          <w:spacing w:val="6"/>
          <w:sz w:val="24"/>
          <w:szCs w:val="24"/>
          <w:highlight w:val="none"/>
        </w:rPr>
        <w:t>情况截图。（适用于省外建</w:t>
      </w:r>
      <w:r>
        <w:rPr>
          <w:rFonts w:hint="eastAsia" w:ascii="宋体" w:hAnsi="宋体" w:eastAsia="宋体" w:cs="宋体"/>
          <w:color w:val="auto"/>
          <w:spacing w:val="4"/>
          <w:sz w:val="24"/>
          <w:szCs w:val="24"/>
          <w:highlight w:val="none"/>
        </w:rPr>
        <w:t>筑企业）</w:t>
      </w:r>
    </w:p>
    <w:p w14:paraId="1C137793">
      <w:pPr>
        <w:spacing w:line="300" w:lineRule="auto"/>
        <w:rPr>
          <w:rFonts w:hint="eastAsia" w:ascii="宋体" w:hAnsi="宋体" w:eastAsia="宋体" w:cs="宋体"/>
          <w:color w:val="auto"/>
          <w:sz w:val="20"/>
          <w:szCs w:val="20"/>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27C1DD7">
      <w:pPr>
        <w:spacing w:before="78" w:line="220" w:lineRule="auto"/>
        <w:outlineLvl w:val="2"/>
        <w:rPr>
          <w:rFonts w:hint="eastAsia" w:ascii="宋体" w:hAnsi="宋体" w:eastAsia="宋体" w:cs="宋体"/>
          <w:b/>
          <w:bCs/>
          <w:color w:val="auto"/>
          <w:spacing w:val="-4"/>
          <w:sz w:val="24"/>
          <w:szCs w:val="24"/>
          <w:highlight w:val="none"/>
        </w:rPr>
      </w:pPr>
      <w:bookmarkStart w:id="249" w:name="_Toc6967"/>
      <w:r>
        <w:rPr>
          <w:rFonts w:hint="eastAsia" w:ascii="宋体" w:hAnsi="宋体" w:eastAsia="宋体" w:cs="宋体"/>
          <w:b/>
          <w:bCs/>
          <w:color w:val="auto"/>
          <w:spacing w:val="-4"/>
          <w:sz w:val="24"/>
          <w:szCs w:val="24"/>
          <w:highlight w:val="none"/>
        </w:rPr>
        <w:t>格式九 项目经理任职声明</w:t>
      </w:r>
      <w:bookmarkEnd w:id="249"/>
    </w:p>
    <w:p w14:paraId="068339B3">
      <w:pPr>
        <w:pStyle w:val="5"/>
        <w:spacing w:line="350" w:lineRule="auto"/>
        <w:rPr>
          <w:rFonts w:hint="eastAsia" w:ascii="宋体" w:hAnsi="宋体" w:eastAsia="宋体" w:cs="宋体"/>
          <w:color w:val="auto"/>
          <w:highlight w:val="none"/>
        </w:rPr>
      </w:pPr>
    </w:p>
    <w:p w14:paraId="33630241">
      <w:pPr>
        <w:pStyle w:val="5"/>
        <w:spacing w:line="350" w:lineRule="auto"/>
        <w:rPr>
          <w:rFonts w:hint="eastAsia" w:ascii="宋体" w:hAnsi="宋体" w:eastAsia="宋体" w:cs="宋体"/>
          <w:color w:val="auto"/>
          <w:highlight w:val="none"/>
        </w:rPr>
      </w:pPr>
    </w:p>
    <w:p w14:paraId="21773F2D">
      <w:pPr>
        <w:spacing w:before="98" w:line="220" w:lineRule="auto"/>
        <w:ind w:left="3338"/>
        <w:rPr>
          <w:rFonts w:hint="eastAsia" w:ascii="宋体" w:hAnsi="宋体" w:eastAsia="宋体" w:cs="宋体"/>
          <w:color w:val="auto"/>
          <w:sz w:val="30"/>
          <w:szCs w:val="30"/>
          <w:highlight w:val="none"/>
        </w:rPr>
      </w:pPr>
      <w:bookmarkStart w:id="250" w:name="bookmark157"/>
      <w:bookmarkEnd w:id="250"/>
      <w:r>
        <w:rPr>
          <w:rFonts w:hint="eastAsia" w:ascii="宋体" w:hAnsi="宋体" w:eastAsia="宋体" w:cs="宋体"/>
          <w:b/>
          <w:bCs/>
          <w:color w:val="auto"/>
          <w:spacing w:val="-5"/>
          <w:sz w:val="30"/>
          <w:szCs w:val="30"/>
          <w:highlight w:val="none"/>
        </w:rPr>
        <w:t>项目经理任职声明</w:t>
      </w:r>
    </w:p>
    <w:p w14:paraId="3E5DFCAF">
      <w:pPr>
        <w:pStyle w:val="5"/>
        <w:spacing w:line="250" w:lineRule="auto"/>
        <w:rPr>
          <w:rFonts w:hint="eastAsia" w:ascii="宋体" w:hAnsi="宋体" w:eastAsia="宋体" w:cs="宋体"/>
          <w:color w:val="auto"/>
          <w:highlight w:val="none"/>
        </w:rPr>
      </w:pPr>
    </w:p>
    <w:p w14:paraId="4CD94F53">
      <w:pPr>
        <w:pStyle w:val="5"/>
        <w:spacing w:line="250" w:lineRule="auto"/>
        <w:rPr>
          <w:rFonts w:hint="eastAsia" w:ascii="宋体" w:hAnsi="宋体" w:eastAsia="宋体" w:cs="宋体"/>
          <w:color w:val="auto"/>
          <w:highlight w:val="none"/>
        </w:rPr>
      </w:pPr>
    </w:p>
    <w:p w14:paraId="24F9F23E">
      <w:pPr>
        <w:pStyle w:val="5"/>
        <w:spacing w:line="251" w:lineRule="auto"/>
        <w:rPr>
          <w:rFonts w:hint="eastAsia" w:ascii="宋体" w:hAnsi="宋体" w:eastAsia="宋体" w:cs="宋体"/>
          <w:color w:val="auto"/>
          <w:highlight w:val="none"/>
        </w:rPr>
      </w:pPr>
    </w:p>
    <w:p w14:paraId="04027456">
      <w:pPr>
        <w:spacing w:before="7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lang w:val="en-US" w:eastAsia="zh-CN"/>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
          <w:sz w:val="24"/>
          <w:szCs w:val="24"/>
          <w:highlight w:val="none"/>
        </w:rPr>
        <w:t>招标人名称</w:t>
      </w:r>
      <w:r>
        <w:rPr>
          <w:rFonts w:hint="eastAsia" w:ascii="宋体" w:hAnsi="宋体" w:eastAsia="宋体" w:cs="宋体"/>
          <w:color w:val="auto"/>
          <w:spacing w:val="-17"/>
          <w:sz w:val="24"/>
          <w:szCs w:val="24"/>
          <w:highlight w:val="none"/>
        </w:rPr>
        <w:t>）</w:t>
      </w:r>
    </w:p>
    <w:p w14:paraId="225FB1D9">
      <w:pPr>
        <w:spacing w:before="155"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我方在此声明，我方拟派往</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（项目名称）的项目经理</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（项目经理姓名）现阶段没有</w:t>
      </w:r>
      <w:r>
        <w:rPr>
          <w:rFonts w:hint="eastAsia" w:ascii="宋体" w:hAnsi="宋体" w:eastAsia="宋体" w:cs="宋体"/>
          <w:color w:val="auto"/>
          <w:sz w:val="24"/>
          <w:szCs w:val="24"/>
          <w:highlight w:val="none"/>
        </w:rPr>
        <w:t>担任任何在施（包括已中标未开工、已开工未竣工）</w:t>
      </w:r>
      <w:r>
        <w:rPr>
          <w:rFonts w:hint="eastAsia" w:ascii="宋体" w:hAnsi="宋体" w:eastAsia="宋体" w:cs="宋体"/>
          <w:color w:val="auto"/>
          <w:spacing w:val="-1"/>
          <w:sz w:val="24"/>
          <w:szCs w:val="24"/>
          <w:highlight w:val="none"/>
        </w:rPr>
        <w:t>建设工程项目的项目经理。</w:t>
      </w:r>
    </w:p>
    <w:p w14:paraId="5B29B5FF">
      <w:pPr>
        <w:spacing w:before="35" w:line="326"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我方保证上述信息的真实和准确，并愿意承担因我方就此弄虚作假所引起的一切法</w:t>
      </w:r>
      <w:r>
        <w:rPr>
          <w:rFonts w:hint="eastAsia" w:ascii="宋体" w:hAnsi="宋体" w:eastAsia="宋体" w:cs="宋体"/>
          <w:color w:val="auto"/>
          <w:spacing w:val="-3"/>
          <w:sz w:val="24"/>
          <w:szCs w:val="24"/>
          <w:highlight w:val="none"/>
        </w:rPr>
        <w:t>律后果。</w:t>
      </w:r>
    </w:p>
    <w:p w14:paraId="718AFD43">
      <w:pPr>
        <w:pStyle w:val="5"/>
        <w:spacing w:line="391" w:lineRule="auto"/>
        <w:rPr>
          <w:rFonts w:hint="eastAsia" w:ascii="宋体" w:hAnsi="宋体" w:eastAsia="宋体" w:cs="宋体"/>
          <w:color w:val="auto"/>
          <w:highlight w:val="none"/>
        </w:rPr>
      </w:pPr>
    </w:p>
    <w:p w14:paraId="05A3375D">
      <w:pPr>
        <w:spacing w:before="78" w:line="22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特此承诺</w:t>
      </w:r>
    </w:p>
    <w:p w14:paraId="5073E3E4">
      <w:pPr>
        <w:pStyle w:val="5"/>
        <w:spacing w:line="316" w:lineRule="auto"/>
        <w:rPr>
          <w:rFonts w:hint="eastAsia" w:ascii="宋体" w:hAnsi="宋体" w:eastAsia="宋体" w:cs="宋体"/>
          <w:color w:val="auto"/>
          <w:highlight w:val="none"/>
        </w:rPr>
      </w:pPr>
    </w:p>
    <w:p w14:paraId="1B51A2E1">
      <w:pPr>
        <w:pStyle w:val="5"/>
        <w:spacing w:line="317" w:lineRule="auto"/>
        <w:rPr>
          <w:rFonts w:hint="eastAsia" w:ascii="宋体" w:hAnsi="宋体" w:eastAsia="宋体" w:cs="宋体"/>
          <w:color w:val="auto"/>
          <w:highlight w:val="none"/>
        </w:rPr>
      </w:pPr>
    </w:p>
    <w:p w14:paraId="74CA68EF">
      <w:pPr>
        <w:pStyle w:val="5"/>
        <w:spacing w:line="317" w:lineRule="auto"/>
        <w:rPr>
          <w:rFonts w:hint="eastAsia" w:ascii="宋体" w:hAnsi="宋体" w:eastAsia="宋体" w:cs="宋体"/>
          <w:color w:val="auto"/>
          <w:highlight w:val="none"/>
        </w:rPr>
      </w:pPr>
    </w:p>
    <w:p w14:paraId="7703B776">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18884ABA">
      <w:pPr>
        <w:pStyle w:val="5"/>
        <w:spacing w:line="317" w:lineRule="auto"/>
        <w:rPr>
          <w:rFonts w:hint="eastAsia" w:ascii="宋体" w:hAnsi="宋体" w:eastAsia="宋体" w:cs="宋体"/>
          <w:color w:val="auto"/>
          <w:highlight w:val="none"/>
        </w:rPr>
      </w:pPr>
    </w:p>
    <w:p w14:paraId="06F1B38C">
      <w:pPr>
        <w:pStyle w:val="5"/>
        <w:spacing w:line="317" w:lineRule="auto"/>
        <w:rPr>
          <w:rFonts w:hint="eastAsia" w:ascii="宋体" w:hAnsi="宋体" w:eastAsia="宋体" w:cs="宋体"/>
          <w:color w:val="auto"/>
          <w:highlight w:val="none"/>
        </w:rPr>
      </w:pPr>
    </w:p>
    <w:p w14:paraId="188D4E5A">
      <w:pPr>
        <w:pStyle w:val="5"/>
        <w:spacing w:line="317" w:lineRule="auto"/>
        <w:rPr>
          <w:rFonts w:hint="eastAsia" w:ascii="宋体" w:hAnsi="宋体" w:eastAsia="宋体" w:cs="宋体"/>
          <w:color w:val="auto"/>
          <w:highlight w:val="none"/>
        </w:rPr>
      </w:pPr>
    </w:p>
    <w:p w14:paraId="62F7D407">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2DEB62C7">
      <w:pPr>
        <w:pStyle w:val="5"/>
        <w:spacing w:line="257" w:lineRule="auto"/>
        <w:rPr>
          <w:rFonts w:hint="eastAsia" w:ascii="宋体" w:hAnsi="宋体" w:eastAsia="宋体" w:cs="宋体"/>
          <w:color w:val="auto"/>
          <w:highlight w:val="none"/>
        </w:rPr>
      </w:pPr>
    </w:p>
    <w:p w14:paraId="110DA52E">
      <w:pPr>
        <w:pStyle w:val="5"/>
        <w:spacing w:line="257" w:lineRule="auto"/>
        <w:rPr>
          <w:rFonts w:hint="eastAsia" w:ascii="宋体" w:hAnsi="宋体" w:eastAsia="宋体" w:cs="宋体"/>
          <w:color w:val="auto"/>
          <w:highlight w:val="none"/>
        </w:rPr>
      </w:pPr>
    </w:p>
    <w:p w14:paraId="4228E335">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50A7C5F0">
      <w:pPr>
        <w:spacing w:line="220" w:lineRule="auto"/>
        <w:rPr>
          <w:rFonts w:hint="eastAsia" w:ascii="宋体" w:hAnsi="宋体" w:eastAsia="宋体" w:cs="宋体"/>
          <w:color w:val="auto"/>
          <w:sz w:val="24"/>
          <w:szCs w:val="24"/>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BE2CB1E">
      <w:pPr>
        <w:spacing w:before="78" w:line="220" w:lineRule="auto"/>
        <w:outlineLvl w:val="2"/>
        <w:rPr>
          <w:rFonts w:hint="eastAsia" w:ascii="宋体" w:hAnsi="宋体" w:eastAsia="宋体" w:cs="宋体"/>
          <w:b/>
          <w:bCs/>
          <w:color w:val="auto"/>
          <w:spacing w:val="-4"/>
          <w:sz w:val="24"/>
          <w:szCs w:val="24"/>
          <w:highlight w:val="none"/>
        </w:rPr>
      </w:pPr>
      <w:bookmarkStart w:id="251" w:name="_Toc19125"/>
      <w:r>
        <w:rPr>
          <w:rFonts w:hint="eastAsia" w:ascii="宋体" w:hAnsi="宋体" w:eastAsia="宋体" w:cs="宋体"/>
          <w:b/>
          <w:bCs/>
          <w:color w:val="auto"/>
          <w:spacing w:val="-4"/>
          <w:sz w:val="24"/>
          <w:szCs w:val="24"/>
          <w:highlight w:val="none"/>
        </w:rPr>
        <w:t>格式十 项目技术负责人简历表</w:t>
      </w:r>
      <w:bookmarkEnd w:id="251"/>
    </w:p>
    <w:p w14:paraId="68C88335">
      <w:pPr>
        <w:pStyle w:val="5"/>
        <w:spacing w:line="444" w:lineRule="auto"/>
        <w:rPr>
          <w:rFonts w:hint="eastAsia" w:ascii="宋体" w:hAnsi="宋体" w:eastAsia="宋体" w:cs="宋体"/>
          <w:color w:val="auto"/>
          <w:highlight w:val="none"/>
        </w:rPr>
      </w:pPr>
    </w:p>
    <w:p w14:paraId="0E486556">
      <w:pPr>
        <w:spacing w:before="97" w:line="219" w:lineRule="auto"/>
        <w:ind w:left="3087"/>
        <w:outlineLvl w:val="9"/>
        <w:rPr>
          <w:rFonts w:hint="eastAsia" w:ascii="宋体" w:hAnsi="宋体" w:eastAsia="宋体" w:cs="宋体"/>
          <w:color w:val="auto"/>
          <w:sz w:val="30"/>
          <w:szCs w:val="30"/>
          <w:highlight w:val="none"/>
        </w:rPr>
      </w:pPr>
      <w:bookmarkStart w:id="252" w:name="_Toc25712"/>
      <w:bookmarkStart w:id="253" w:name="_Toc1553"/>
      <w:r>
        <w:rPr>
          <w:rFonts w:hint="eastAsia" w:ascii="宋体" w:hAnsi="宋体" w:eastAsia="宋体" w:cs="宋体"/>
          <w:b/>
          <w:bCs/>
          <w:color w:val="auto"/>
          <w:spacing w:val="-4"/>
          <w:sz w:val="30"/>
          <w:szCs w:val="30"/>
          <w:highlight w:val="none"/>
        </w:rPr>
        <w:t>项目技术负责人简历表</w:t>
      </w:r>
      <w:bookmarkEnd w:id="252"/>
      <w:bookmarkEnd w:id="253"/>
    </w:p>
    <w:p w14:paraId="35DB4578">
      <w:pPr>
        <w:spacing w:line="240" w:lineRule="exact"/>
        <w:rPr>
          <w:rFonts w:hint="eastAsia" w:ascii="宋体" w:hAnsi="宋体" w:eastAsia="宋体" w:cs="宋体"/>
          <w:color w:val="auto"/>
          <w:highlight w:val="none"/>
        </w:rPr>
      </w:pPr>
    </w:p>
    <w:tbl>
      <w:tblPr>
        <w:tblStyle w:val="14"/>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253E3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top"/>
          </w:tcPr>
          <w:p w14:paraId="634C24D1">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82" w:type="dxa"/>
            <w:gridSpan w:val="2"/>
            <w:vAlign w:val="top"/>
          </w:tcPr>
          <w:p w14:paraId="2D4C83DC">
            <w:pPr>
              <w:pStyle w:val="19"/>
              <w:rPr>
                <w:rFonts w:hint="eastAsia" w:ascii="宋体" w:hAnsi="宋体" w:eastAsia="宋体" w:cs="宋体"/>
                <w:color w:val="auto"/>
                <w:sz w:val="24"/>
                <w:szCs w:val="24"/>
                <w:highlight w:val="none"/>
              </w:rPr>
            </w:pPr>
          </w:p>
        </w:tc>
        <w:tc>
          <w:tcPr>
            <w:tcW w:w="1346" w:type="dxa"/>
            <w:vAlign w:val="top"/>
          </w:tcPr>
          <w:p w14:paraId="2584C311">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47" w:type="dxa"/>
            <w:vAlign w:val="top"/>
          </w:tcPr>
          <w:p w14:paraId="46984AC2">
            <w:pPr>
              <w:pStyle w:val="19"/>
              <w:rPr>
                <w:rFonts w:hint="eastAsia" w:ascii="宋体" w:hAnsi="宋体" w:eastAsia="宋体" w:cs="宋体"/>
                <w:color w:val="auto"/>
                <w:sz w:val="24"/>
                <w:szCs w:val="24"/>
                <w:highlight w:val="none"/>
              </w:rPr>
            </w:pPr>
          </w:p>
        </w:tc>
        <w:tc>
          <w:tcPr>
            <w:tcW w:w="1783" w:type="dxa"/>
            <w:vAlign w:val="top"/>
          </w:tcPr>
          <w:p w14:paraId="4BF4F9D4">
            <w:pPr>
              <w:spacing w:before="177" w:line="228" w:lineRule="auto"/>
              <w:ind w:left="4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86" w:type="dxa"/>
            <w:vAlign w:val="top"/>
          </w:tcPr>
          <w:p w14:paraId="497997D7">
            <w:pPr>
              <w:pStyle w:val="19"/>
              <w:rPr>
                <w:rFonts w:hint="eastAsia" w:ascii="宋体" w:hAnsi="宋体" w:eastAsia="宋体" w:cs="宋体"/>
                <w:color w:val="auto"/>
                <w:sz w:val="24"/>
                <w:szCs w:val="24"/>
                <w:highlight w:val="none"/>
              </w:rPr>
            </w:pPr>
          </w:p>
        </w:tc>
      </w:tr>
      <w:tr w14:paraId="63661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top"/>
          </w:tcPr>
          <w:p w14:paraId="6F6E845C">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82" w:type="dxa"/>
            <w:gridSpan w:val="2"/>
            <w:vAlign w:val="top"/>
          </w:tcPr>
          <w:p w14:paraId="14210322">
            <w:pPr>
              <w:pStyle w:val="19"/>
              <w:rPr>
                <w:rFonts w:hint="eastAsia" w:ascii="宋体" w:hAnsi="宋体" w:eastAsia="宋体" w:cs="宋体"/>
                <w:color w:val="auto"/>
                <w:sz w:val="24"/>
                <w:szCs w:val="24"/>
                <w:highlight w:val="none"/>
              </w:rPr>
            </w:pPr>
          </w:p>
        </w:tc>
        <w:tc>
          <w:tcPr>
            <w:tcW w:w="1346" w:type="dxa"/>
            <w:vAlign w:val="top"/>
          </w:tcPr>
          <w:p w14:paraId="623FA4AF">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47" w:type="dxa"/>
            <w:vAlign w:val="top"/>
          </w:tcPr>
          <w:p w14:paraId="23F2F8F5">
            <w:pPr>
              <w:pStyle w:val="19"/>
              <w:rPr>
                <w:rFonts w:hint="eastAsia" w:ascii="宋体" w:hAnsi="宋体" w:eastAsia="宋体" w:cs="宋体"/>
                <w:color w:val="auto"/>
                <w:sz w:val="24"/>
                <w:szCs w:val="24"/>
                <w:highlight w:val="none"/>
              </w:rPr>
            </w:pPr>
          </w:p>
        </w:tc>
        <w:tc>
          <w:tcPr>
            <w:tcW w:w="1783" w:type="dxa"/>
            <w:vAlign w:val="top"/>
          </w:tcPr>
          <w:p w14:paraId="62AD7432">
            <w:pPr>
              <w:spacing w:before="175" w:line="23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86" w:type="dxa"/>
            <w:vAlign w:val="top"/>
          </w:tcPr>
          <w:p w14:paraId="6D29A21F">
            <w:pPr>
              <w:pStyle w:val="19"/>
              <w:rPr>
                <w:rFonts w:hint="eastAsia" w:ascii="宋体" w:hAnsi="宋体" w:eastAsia="宋体" w:cs="宋体"/>
                <w:color w:val="auto"/>
                <w:sz w:val="24"/>
                <w:szCs w:val="24"/>
                <w:highlight w:val="none"/>
              </w:rPr>
            </w:pPr>
          </w:p>
        </w:tc>
      </w:tr>
      <w:tr w14:paraId="2AE55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top"/>
          </w:tcPr>
          <w:p w14:paraId="40EB5614">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28" w:type="dxa"/>
            <w:gridSpan w:val="3"/>
            <w:vAlign w:val="top"/>
          </w:tcPr>
          <w:p w14:paraId="3382BBAA">
            <w:pPr>
              <w:pStyle w:val="19"/>
              <w:rPr>
                <w:rFonts w:hint="eastAsia" w:ascii="宋体" w:hAnsi="宋体" w:eastAsia="宋体" w:cs="宋体"/>
                <w:color w:val="auto"/>
                <w:sz w:val="24"/>
                <w:szCs w:val="24"/>
                <w:highlight w:val="none"/>
              </w:rPr>
            </w:pPr>
          </w:p>
        </w:tc>
        <w:tc>
          <w:tcPr>
            <w:tcW w:w="3830" w:type="dxa"/>
            <w:gridSpan w:val="2"/>
            <w:vAlign w:val="top"/>
          </w:tcPr>
          <w:p w14:paraId="78FB1BEE">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86" w:type="dxa"/>
            <w:vAlign w:val="top"/>
          </w:tcPr>
          <w:p w14:paraId="00E0A7A7">
            <w:pPr>
              <w:pStyle w:val="19"/>
              <w:rPr>
                <w:rFonts w:hint="eastAsia" w:ascii="宋体" w:hAnsi="宋体" w:eastAsia="宋体" w:cs="宋体"/>
                <w:color w:val="auto"/>
                <w:sz w:val="24"/>
                <w:szCs w:val="24"/>
                <w:highlight w:val="none"/>
              </w:rPr>
            </w:pPr>
          </w:p>
        </w:tc>
      </w:tr>
      <w:tr w14:paraId="66721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top"/>
          </w:tcPr>
          <w:p w14:paraId="21BB3272">
            <w:pPr>
              <w:spacing w:before="176" w:line="228" w:lineRule="auto"/>
              <w:ind w:left="204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以项目技术负责人身份参与过的主要业绩（已完工项目）</w:t>
            </w:r>
          </w:p>
        </w:tc>
      </w:tr>
      <w:tr w14:paraId="0FF8A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top"/>
          </w:tcPr>
          <w:p w14:paraId="5BAAC073">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10" w:type="dxa"/>
            <w:gridSpan w:val="2"/>
            <w:vAlign w:val="top"/>
          </w:tcPr>
          <w:p w14:paraId="631CC9C5">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21" w:type="dxa"/>
            <w:gridSpan w:val="2"/>
            <w:vAlign w:val="top"/>
          </w:tcPr>
          <w:p w14:paraId="10DA86DE">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47" w:type="dxa"/>
            <w:vAlign w:val="top"/>
          </w:tcPr>
          <w:p w14:paraId="7E47918E">
            <w:pPr>
              <w:spacing w:before="176"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83" w:type="dxa"/>
            <w:vAlign w:val="top"/>
          </w:tcPr>
          <w:p w14:paraId="7622054C">
            <w:pPr>
              <w:spacing w:before="176" w:line="228" w:lineRule="auto"/>
              <w:ind w:left="23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86" w:type="dxa"/>
            <w:vAlign w:val="top"/>
          </w:tcPr>
          <w:p w14:paraId="3E259630">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0C967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0A33A10A">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0" w:type="dxa"/>
            <w:gridSpan w:val="2"/>
            <w:vAlign w:val="top"/>
          </w:tcPr>
          <w:p w14:paraId="046E3B60">
            <w:pPr>
              <w:pStyle w:val="19"/>
              <w:rPr>
                <w:rFonts w:hint="eastAsia" w:ascii="宋体" w:hAnsi="宋体" w:eastAsia="宋体" w:cs="宋体"/>
                <w:color w:val="auto"/>
                <w:sz w:val="24"/>
                <w:szCs w:val="24"/>
                <w:highlight w:val="none"/>
              </w:rPr>
            </w:pPr>
          </w:p>
        </w:tc>
        <w:tc>
          <w:tcPr>
            <w:tcW w:w="2021" w:type="dxa"/>
            <w:gridSpan w:val="2"/>
            <w:vAlign w:val="top"/>
          </w:tcPr>
          <w:p w14:paraId="058983B0">
            <w:pPr>
              <w:pStyle w:val="19"/>
              <w:rPr>
                <w:rFonts w:hint="eastAsia" w:ascii="宋体" w:hAnsi="宋体" w:eastAsia="宋体" w:cs="宋体"/>
                <w:color w:val="auto"/>
                <w:sz w:val="24"/>
                <w:szCs w:val="24"/>
                <w:highlight w:val="none"/>
              </w:rPr>
            </w:pPr>
          </w:p>
        </w:tc>
        <w:tc>
          <w:tcPr>
            <w:tcW w:w="2047" w:type="dxa"/>
            <w:vAlign w:val="top"/>
          </w:tcPr>
          <w:p w14:paraId="5F9F8AA2">
            <w:pPr>
              <w:pStyle w:val="19"/>
              <w:rPr>
                <w:rFonts w:hint="eastAsia" w:ascii="宋体" w:hAnsi="宋体" w:eastAsia="宋体" w:cs="宋体"/>
                <w:color w:val="auto"/>
                <w:sz w:val="24"/>
                <w:szCs w:val="24"/>
                <w:highlight w:val="none"/>
              </w:rPr>
            </w:pPr>
          </w:p>
        </w:tc>
        <w:tc>
          <w:tcPr>
            <w:tcW w:w="1783" w:type="dxa"/>
            <w:vAlign w:val="top"/>
          </w:tcPr>
          <w:p w14:paraId="5E0CF620">
            <w:pPr>
              <w:pStyle w:val="19"/>
              <w:rPr>
                <w:rFonts w:hint="eastAsia" w:ascii="宋体" w:hAnsi="宋体" w:eastAsia="宋体" w:cs="宋体"/>
                <w:color w:val="auto"/>
                <w:sz w:val="24"/>
                <w:szCs w:val="24"/>
                <w:highlight w:val="none"/>
              </w:rPr>
            </w:pPr>
          </w:p>
        </w:tc>
        <w:tc>
          <w:tcPr>
            <w:tcW w:w="1386" w:type="dxa"/>
            <w:vAlign w:val="top"/>
          </w:tcPr>
          <w:p w14:paraId="59556E1A">
            <w:pPr>
              <w:pStyle w:val="19"/>
              <w:rPr>
                <w:rFonts w:hint="eastAsia" w:ascii="宋体" w:hAnsi="宋体" w:eastAsia="宋体" w:cs="宋体"/>
                <w:color w:val="auto"/>
                <w:sz w:val="24"/>
                <w:szCs w:val="24"/>
                <w:highlight w:val="none"/>
              </w:rPr>
            </w:pPr>
          </w:p>
        </w:tc>
      </w:tr>
      <w:tr w14:paraId="048AB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top"/>
          </w:tcPr>
          <w:p w14:paraId="716CE498">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0" w:type="dxa"/>
            <w:gridSpan w:val="2"/>
            <w:vAlign w:val="top"/>
          </w:tcPr>
          <w:p w14:paraId="2403F8DF">
            <w:pPr>
              <w:pStyle w:val="19"/>
              <w:rPr>
                <w:rFonts w:hint="eastAsia" w:ascii="宋体" w:hAnsi="宋体" w:eastAsia="宋体" w:cs="宋体"/>
                <w:color w:val="auto"/>
                <w:sz w:val="24"/>
                <w:szCs w:val="24"/>
                <w:highlight w:val="none"/>
              </w:rPr>
            </w:pPr>
          </w:p>
        </w:tc>
        <w:tc>
          <w:tcPr>
            <w:tcW w:w="2021" w:type="dxa"/>
            <w:gridSpan w:val="2"/>
            <w:vAlign w:val="top"/>
          </w:tcPr>
          <w:p w14:paraId="282CD83C">
            <w:pPr>
              <w:pStyle w:val="19"/>
              <w:rPr>
                <w:rFonts w:hint="eastAsia" w:ascii="宋体" w:hAnsi="宋体" w:eastAsia="宋体" w:cs="宋体"/>
                <w:color w:val="auto"/>
                <w:sz w:val="24"/>
                <w:szCs w:val="24"/>
                <w:highlight w:val="none"/>
              </w:rPr>
            </w:pPr>
          </w:p>
        </w:tc>
        <w:tc>
          <w:tcPr>
            <w:tcW w:w="2047" w:type="dxa"/>
            <w:vAlign w:val="top"/>
          </w:tcPr>
          <w:p w14:paraId="3B9708AB">
            <w:pPr>
              <w:pStyle w:val="19"/>
              <w:rPr>
                <w:rFonts w:hint="eastAsia" w:ascii="宋体" w:hAnsi="宋体" w:eastAsia="宋体" w:cs="宋体"/>
                <w:color w:val="auto"/>
                <w:sz w:val="24"/>
                <w:szCs w:val="24"/>
                <w:highlight w:val="none"/>
              </w:rPr>
            </w:pPr>
          </w:p>
        </w:tc>
        <w:tc>
          <w:tcPr>
            <w:tcW w:w="1783" w:type="dxa"/>
            <w:vAlign w:val="top"/>
          </w:tcPr>
          <w:p w14:paraId="11540A79">
            <w:pPr>
              <w:pStyle w:val="19"/>
              <w:rPr>
                <w:rFonts w:hint="eastAsia" w:ascii="宋体" w:hAnsi="宋体" w:eastAsia="宋体" w:cs="宋体"/>
                <w:color w:val="auto"/>
                <w:sz w:val="24"/>
                <w:szCs w:val="24"/>
                <w:highlight w:val="none"/>
              </w:rPr>
            </w:pPr>
          </w:p>
        </w:tc>
        <w:tc>
          <w:tcPr>
            <w:tcW w:w="1386" w:type="dxa"/>
            <w:vAlign w:val="top"/>
          </w:tcPr>
          <w:p w14:paraId="3C1121F4">
            <w:pPr>
              <w:pStyle w:val="19"/>
              <w:rPr>
                <w:rFonts w:hint="eastAsia" w:ascii="宋体" w:hAnsi="宋体" w:eastAsia="宋体" w:cs="宋体"/>
                <w:color w:val="auto"/>
                <w:sz w:val="24"/>
                <w:szCs w:val="24"/>
                <w:highlight w:val="none"/>
              </w:rPr>
            </w:pPr>
          </w:p>
        </w:tc>
      </w:tr>
      <w:tr w14:paraId="6D5A3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0220CB13">
            <w:pPr>
              <w:spacing w:before="178" w:line="324"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10" w:type="dxa"/>
            <w:gridSpan w:val="2"/>
            <w:vAlign w:val="top"/>
          </w:tcPr>
          <w:p w14:paraId="5E416E13">
            <w:pPr>
              <w:pStyle w:val="19"/>
              <w:rPr>
                <w:rFonts w:hint="eastAsia" w:ascii="宋体" w:hAnsi="宋体" w:eastAsia="宋体" w:cs="宋体"/>
                <w:color w:val="auto"/>
                <w:sz w:val="24"/>
                <w:szCs w:val="24"/>
                <w:highlight w:val="none"/>
              </w:rPr>
            </w:pPr>
          </w:p>
        </w:tc>
        <w:tc>
          <w:tcPr>
            <w:tcW w:w="2021" w:type="dxa"/>
            <w:gridSpan w:val="2"/>
            <w:vAlign w:val="top"/>
          </w:tcPr>
          <w:p w14:paraId="32DE62BA">
            <w:pPr>
              <w:pStyle w:val="19"/>
              <w:rPr>
                <w:rFonts w:hint="eastAsia" w:ascii="宋体" w:hAnsi="宋体" w:eastAsia="宋体" w:cs="宋体"/>
                <w:color w:val="auto"/>
                <w:sz w:val="24"/>
                <w:szCs w:val="24"/>
                <w:highlight w:val="none"/>
              </w:rPr>
            </w:pPr>
          </w:p>
        </w:tc>
        <w:tc>
          <w:tcPr>
            <w:tcW w:w="2047" w:type="dxa"/>
            <w:vAlign w:val="top"/>
          </w:tcPr>
          <w:p w14:paraId="73328547">
            <w:pPr>
              <w:pStyle w:val="19"/>
              <w:rPr>
                <w:rFonts w:hint="eastAsia" w:ascii="宋体" w:hAnsi="宋体" w:eastAsia="宋体" w:cs="宋体"/>
                <w:color w:val="auto"/>
                <w:sz w:val="24"/>
                <w:szCs w:val="24"/>
                <w:highlight w:val="none"/>
              </w:rPr>
            </w:pPr>
          </w:p>
        </w:tc>
        <w:tc>
          <w:tcPr>
            <w:tcW w:w="1783" w:type="dxa"/>
            <w:vAlign w:val="top"/>
          </w:tcPr>
          <w:p w14:paraId="53BA6701">
            <w:pPr>
              <w:pStyle w:val="19"/>
              <w:rPr>
                <w:rFonts w:hint="eastAsia" w:ascii="宋体" w:hAnsi="宋体" w:eastAsia="宋体" w:cs="宋体"/>
                <w:color w:val="auto"/>
                <w:sz w:val="24"/>
                <w:szCs w:val="24"/>
                <w:highlight w:val="none"/>
              </w:rPr>
            </w:pPr>
          </w:p>
        </w:tc>
        <w:tc>
          <w:tcPr>
            <w:tcW w:w="1386" w:type="dxa"/>
            <w:vAlign w:val="top"/>
          </w:tcPr>
          <w:p w14:paraId="1B37E93D">
            <w:pPr>
              <w:pStyle w:val="19"/>
              <w:rPr>
                <w:rFonts w:hint="eastAsia" w:ascii="宋体" w:hAnsi="宋体" w:eastAsia="宋体" w:cs="宋体"/>
                <w:color w:val="auto"/>
                <w:sz w:val="24"/>
                <w:szCs w:val="24"/>
                <w:highlight w:val="none"/>
              </w:rPr>
            </w:pPr>
          </w:p>
        </w:tc>
      </w:tr>
      <w:tr w14:paraId="3CAE7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112C8B63">
            <w:pPr>
              <w:pStyle w:val="19"/>
              <w:rPr>
                <w:rFonts w:hint="eastAsia" w:ascii="宋体" w:hAnsi="宋体" w:eastAsia="宋体" w:cs="宋体"/>
                <w:color w:val="auto"/>
                <w:sz w:val="24"/>
                <w:szCs w:val="24"/>
                <w:highlight w:val="none"/>
              </w:rPr>
            </w:pPr>
          </w:p>
        </w:tc>
        <w:tc>
          <w:tcPr>
            <w:tcW w:w="1610" w:type="dxa"/>
            <w:gridSpan w:val="2"/>
            <w:vAlign w:val="top"/>
          </w:tcPr>
          <w:p w14:paraId="5EC96B38">
            <w:pPr>
              <w:pStyle w:val="19"/>
              <w:rPr>
                <w:rFonts w:hint="eastAsia" w:ascii="宋体" w:hAnsi="宋体" w:eastAsia="宋体" w:cs="宋体"/>
                <w:color w:val="auto"/>
                <w:sz w:val="24"/>
                <w:szCs w:val="24"/>
                <w:highlight w:val="none"/>
              </w:rPr>
            </w:pPr>
          </w:p>
        </w:tc>
        <w:tc>
          <w:tcPr>
            <w:tcW w:w="2021" w:type="dxa"/>
            <w:gridSpan w:val="2"/>
            <w:vAlign w:val="top"/>
          </w:tcPr>
          <w:p w14:paraId="51BDE6F0">
            <w:pPr>
              <w:pStyle w:val="19"/>
              <w:rPr>
                <w:rFonts w:hint="eastAsia" w:ascii="宋体" w:hAnsi="宋体" w:eastAsia="宋体" w:cs="宋体"/>
                <w:color w:val="auto"/>
                <w:sz w:val="24"/>
                <w:szCs w:val="24"/>
                <w:highlight w:val="none"/>
              </w:rPr>
            </w:pPr>
          </w:p>
        </w:tc>
        <w:tc>
          <w:tcPr>
            <w:tcW w:w="2047" w:type="dxa"/>
            <w:vAlign w:val="top"/>
          </w:tcPr>
          <w:p w14:paraId="67636A34">
            <w:pPr>
              <w:pStyle w:val="19"/>
              <w:rPr>
                <w:rFonts w:hint="eastAsia" w:ascii="宋体" w:hAnsi="宋体" w:eastAsia="宋体" w:cs="宋体"/>
                <w:color w:val="auto"/>
                <w:sz w:val="24"/>
                <w:szCs w:val="24"/>
                <w:highlight w:val="none"/>
              </w:rPr>
            </w:pPr>
          </w:p>
        </w:tc>
        <w:tc>
          <w:tcPr>
            <w:tcW w:w="1783" w:type="dxa"/>
            <w:vAlign w:val="top"/>
          </w:tcPr>
          <w:p w14:paraId="53651AC8">
            <w:pPr>
              <w:pStyle w:val="19"/>
              <w:rPr>
                <w:rFonts w:hint="eastAsia" w:ascii="宋体" w:hAnsi="宋体" w:eastAsia="宋体" w:cs="宋体"/>
                <w:color w:val="auto"/>
                <w:sz w:val="24"/>
                <w:szCs w:val="24"/>
                <w:highlight w:val="none"/>
              </w:rPr>
            </w:pPr>
          </w:p>
        </w:tc>
        <w:tc>
          <w:tcPr>
            <w:tcW w:w="1386" w:type="dxa"/>
            <w:vAlign w:val="top"/>
          </w:tcPr>
          <w:p w14:paraId="511201A3">
            <w:pPr>
              <w:pStyle w:val="19"/>
              <w:rPr>
                <w:rFonts w:hint="eastAsia" w:ascii="宋体" w:hAnsi="宋体" w:eastAsia="宋体" w:cs="宋体"/>
                <w:color w:val="auto"/>
                <w:sz w:val="24"/>
                <w:szCs w:val="24"/>
                <w:highlight w:val="none"/>
              </w:rPr>
            </w:pPr>
          </w:p>
        </w:tc>
      </w:tr>
      <w:tr w14:paraId="0F5A1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top"/>
          </w:tcPr>
          <w:p w14:paraId="6CC67EF5">
            <w:pPr>
              <w:pStyle w:val="19"/>
              <w:rPr>
                <w:rFonts w:hint="eastAsia" w:ascii="宋体" w:hAnsi="宋体" w:eastAsia="宋体" w:cs="宋体"/>
                <w:color w:val="auto"/>
                <w:sz w:val="24"/>
                <w:szCs w:val="24"/>
                <w:highlight w:val="none"/>
              </w:rPr>
            </w:pPr>
          </w:p>
        </w:tc>
        <w:tc>
          <w:tcPr>
            <w:tcW w:w="1610" w:type="dxa"/>
            <w:gridSpan w:val="2"/>
            <w:vAlign w:val="top"/>
          </w:tcPr>
          <w:p w14:paraId="587EFE93">
            <w:pPr>
              <w:pStyle w:val="19"/>
              <w:rPr>
                <w:rFonts w:hint="eastAsia" w:ascii="宋体" w:hAnsi="宋体" w:eastAsia="宋体" w:cs="宋体"/>
                <w:color w:val="auto"/>
                <w:sz w:val="24"/>
                <w:szCs w:val="24"/>
                <w:highlight w:val="none"/>
              </w:rPr>
            </w:pPr>
          </w:p>
        </w:tc>
        <w:tc>
          <w:tcPr>
            <w:tcW w:w="2021" w:type="dxa"/>
            <w:gridSpan w:val="2"/>
            <w:vAlign w:val="top"/>
          </w:tcPr>
          <w:p w14:paraId="1E50B8EA">
            <w:pPr>
              <w:pStyle w:val="19"/>
              <w:rPr>
                <w:rFonts w:hint="eastAsia" w:ascii="宋体" w:hAnsi="宋体" w:eastAsia="宋体" w:cs="宋体"/>
                <w:color w:val="auto"/>
                <w:sz w:val="24"/>
                <w:szCs w:val="24"/>
                <w:highlight w:val="none"/>
              </w:rPr>
            </w:pPr>
          </w:p>
        </w:tc>
        <w:tc>
          <w:tcPr>
            <w:tcW w:w="2047" w:type="dxa"/>
            <w:vAlign w:val="top"/>
          </w:tcPr>
          <w:p w14:paraId="75E4D46A">
            <w:pPr>
              <w:pStyle w:val="19"/>
              <w:rPr>
                <w:rFonts w:hint="eastAsia" w:ascii="宋体" w:hAnsi="宋体" w:eastAsia="宋体" w:cs="宋体"/>
                <w:color w:val="auto"/>
                <w:sz w:val="24"/>
                <w:szCs w:val="24"/>
                <w:highlight w:val="none"/>
              </w:rPr>
            </w:pPr>
          </w:p>
        </w:tc>
        <w:tc>
          <w:tcPr>
            <w:tcW w:w="1783" w:type="dxa"/>
            <w:vAlign w:val="top"/>
          </w:tcPr>
          <w:p w14:paraId="2DC4516F">
            <w:pPr>
              <w:pStyle w:val="19"/>
              <w:rPr>
                <w:rFonts w:hint="eastAsia" w:ascii="宋体" w:hAnsi="宋体" w:eastAsia="宋体" w:cs="宋体"/>
                <w:color w:val="auto"/>
                <w:sz w:val="24"/>
                <w:szCs w:val="24"/>
                <w:highlight w:val="none"/>
              </w:rPr>
            </w:pPr>
          </w:p>
        </w:tc>
        <w:tc>
          <w:tcPr>
            <w:tcW w:w="1386" w:type="dxa"/>
            <w:vAlign w:val="top"/>
          </w:tcPr>
          <w:p w14:paraId="52654EAB">
            <w:pPr>
              <w:pStyle w:val="19"/>
              <w:rPr>
                <w:rFonts w:hint="eastAsia" w:ascii="宋体" w:hAnsi="宋体" w:eastAsia="宋体" w:cs="宋体"/>
                <w:color w:val="auto"/>
                <w:sz w:val="24"/>
                <w:szCs w:val="24"/>
                <w:highlight w:val="none"/>
              </w:rPr>
            </w:pPr>
          </w:p>
        </w:tc>
      </w:tr>
    </w:tbl>
    <w:p w14:paraId="78291E06">
      <w:pPr>
        <w:pStyle w:val="5"/>
        <w:spacing w:line="314" w:lineRule="auto"/>
        <w:rPr>
          <w:rFonts w:hint="eastAsia" w:ascii="宋体" w:hAnsi="宋体" w:eastAsia="宋体" w:cs="宋体"/>
          <w:color w:val="auto"/>
          <w:sz w:val="24"/>
          <w:szCs w:val="24"/>
          <w:highlight w:val="none"/>
        </w:rPr>
      </w:pPr>
    </w:p>
    <w:p w14:paraId="1B92D1FF">
      <w:pPr>
        <w:pStyle w:val="5"/>
        <w:spacing w:line="315" w:lineRule="auto"/>
        <w:rPr>
          <w:rFonts w:hint="eastAsia" w:ascii="宋体" w:hAnsi="宋体" w:eastAsia="宋体" w:cs="宋体"/>
          <w:color w:val="auto"/>
          <w:sz w:val="24"/>
          <w:szCs w:val="24"/>
          <w:highlight w:val="none"/>
        </w:rPr>
      </w:pPr>
    </w:p>
    <w:p w14:paraId="6057F148">
      <w:pPr>
        <w:pStyle w:val="5"/>
        <w:spacing w:line="315" w:lineRule="auto"/>
        <w:rPr>
          <w:rFonts w:hint="eastAsia" w:ascii="宋体" w:hAnsi="宋体" w:eastAsia="宋体" w:cs="宋体"/>
          <w:color w:val="auto"/>
          <w:sz w:val="24"/>
          <w:szCs w:val="24"/>
          <w:highlight w:val="none"/>
        </w:rPr>
      </w:pPr>
    </w:p>
    <w:p w14:paraId="4599A029">
      <w:pPr>
        <w:spacing w:before="78" w:line="220" w:lineRule="auto"/>
        <w:ind w:left="5165"/>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项目技术负责人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2"/>
          <w:sz w:val="24"/>
          <w:szCs w:val="24"/>
          <w:highlight w:val="none"/>
        </w:rPr>
        <w:t>签字）</w:t>
      </w:r>
    </w:p>
    <w:p w14:paraId="1070C63C">
      <w:pPr>
        <w:pStyle w:val="5"/>
        <w:spacing w:line="256" w:lineRule="auto"/>
        <w:jc w:val="right"/>
        <w:rPr>
          <w:rFonts w:hint="eastAsia" w:ascii="宋体" w:hAnsi="宋体" w:eastAsia="宋体" w:cs="宋体"/>
          <w:color w:val="auto"/>
          <w:sz w:val="24"/>
          <w:szCs w:val="24"/>
          <w:highlight w:val="none"/>
        </w:rPr>
      </w:pPr>
    </w:p>
    <w:p w14:paraId="1B225B27">
      <w:pPr>
        <w:pStyle w:val="5"/>
        <w:spacing w:line="257" w:lineRule="auto"/>
        <w:jc w:val="right"/>
        <w:rPr>
          <w:rFonts w:hint="eastAsia" w:ascii="宋体" w:hAnsi="宋体" w:eastAsia="宋体" w:cs="宋体"/>
          <w:color w:val="auto"/>
          <w:sz w:val="24"/>
          <w:szCs w:val="24"/>
          <w:highlight w:val="none"/>
        </w:rPr>
      </w:pPr>
    </w:p>
    <w:p w14:paraId="38E66299">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F364252">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说明：《项目技术负责人简历表》后应附拟派项目技术负责人以下资料：</w:t>
      </w:r>
    </w:p>
    <w:p w14:paraId="140B96B2">
      <w:pPr>
        <w:spacing w:before="155" w:line="228" w:lineRule="auto"/>
        <w:ind w:left="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p>
    <w:p w14:paraId="3E2EA735">
      <w:pPr>
        <w:spacing w:before="151"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rPr>
        <w:t>．职称证彩色扫描件；</w:t>
      </w:r>
    </w:p>
    <w:p w14:paraId="369E9357">
      <w:pPr>
        <w:spacing w:before="153" w:line="299" w:lineRule="auto"/>
        <w:ind w:left="47" w:right="95" w:firstLine="4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8"/>
          <w:sz w:val="24"/>
          <w:szCs w:val="24"/>
          <w:highlight w:val="none"/>
        </w:rPr>
        <w:t>，其中必须有</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12</w:t>
      </w:r>
      <w:r>
        <w:rPr>
          <w:rFonts w:hint="eastAsia" w:ascii="宋体" w:hAnsi="宋体" w:eastAsia="宋体" w:cs="宋体"/>
          <w:color w:val="auto"/>
          <w:spacing w:val="8"/>
          <w:sz w:val="24"/>
          <w:szCs w:val="24"/>
          <w:highlight w:val="none"/>
        </w:rPr>
        <w:t>月）彩色扫描件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20172E3B">
      <w:pPr>
        <w:spacing w:before="153" w:line="228" w:lineRule="auto"/>
        <w:ind w:left="46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8"/>
          <w:sz w:val="24"/>
          <w:szCs w:val="24"/>
          <w:highlight w:val="none"/>
        </w:rPr>
        <w:t>．“进粤企业和人员诚信信息登记平台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8"/>
          <w:sz w:val="24"/>
          <w:szCs w:val="24"/>
          <w:highlight w:val="none"/>
        </w:rPr>
        <w:t>”个人信息情况截图。（适用于省外建筑企业）</w:t>
      </w:r>
    </w:p>
    <w:p w14:paraId="40CF8FFB">
      <w:pPr>
        <w:spacing w:line="228" w:lineRule="auto"/>
        <w:rPr>
          <w:rFonts w:hint="eastAsia" w:ascii="宋体" w:hAnsi="宋体" w:eastAsia="宋体" w:cs="宋体"/>
          <w:color w:val="auto"/>
          <w:sz w:val="20"/>
          <w:szCs w:val="20"/>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D59AEC9">
      <w:pPr>
        <w:spacing w:before="78" w:line="220" w:lineRule="auto"/>
        <w:outlineLvl w:val="2"/>
        <w:rPr>
          <w:rFonts w:hint="eastAsia" w:ascii="宋体" w:hAnsi="宋体" w:eastAsia="宋体" w:cs="宋体"/>
          <w:b/>
          <w:bCs/>
          <w:color w:val="auto"/>
          <w:spacing w:val="-4"/>
          <w:sz w:val="24"/>
          <w:szCs w:val="24"/>
          <w:highlight w:val="none"/>
        </w:rPr>
      </w:pPr>
      <w:bookmarkStart w:id="254" w:name="_Toc18872"/>
      <w:r>
        <w:rPr>
          <w:rFonts w:hint="eastAsia" w:ascii="宋体" w:hAnsi="宋体" w:eastAsia="宋体" w:cs="宋体"/>
          <w:b/>
          <w:bCs/>
          <w:color w:val="auto"/>
          <w:spacing w:val="-4"/>
          <w:sz w:val="24"/>
          <w:szCs w:val="24"/>
          <w:highlight w:val="none"/>
        </w:rPr>
        <w:t>格式十一 项目管理机构组成表</w:t>
      </w:r>
      <w:bookmarkEnd w:id="254"/>
    </w:p>
    <w:p w14:paraId="1686F29D">
      <w:pPr>
        <w:pStyle w:val="5"/>
        <w:spacing w:line="351" w:lineRule="auto"/>
        <w:rPr>
          <w:rFonts w:hint="eastAsia" w:ascii="宋体" w:hAnsi="宋体" w:eastAsia="宋体" w:cs="宋体"/>
          <w:color w:val="auto"/>
          <w:highlight w:val="none"/>
        </w:rPr>
      </w:pPr>
    </w:p>
    <w:p w14:paraId="445E03D2">
      <w:pPr>
        <w:pStyle w:val="5"/>
        <w:spacing w:line="351" w:lineRule="auto"/>
        <w:rPr>
          <w:rFonts w:hint="eastAsia" w:ascii="宋体" w:hAnsi="宋体" w:eastAsia="宋体" w:cs="宋体"/>
          <w:color w:val="auto"/>
          <w:highlight w:val="none"/>
        </w:rPr>
      </w:pPr>
    </w:p>
    <w:p w14:paraId="1DBA8034">
      <w:pPr>
        <w:spacing w:before="97" w:line="219" w:lineRule="auto"/>
        <w:ind w:left="3200"/>
        <w:outlineLvl w:val="9"/>
        <w:rPr>
          <w:rFonts w:hint="eastAsia" w:ascii="宋体" w:hAnsi="宋体" w:eastAsia="宋体" w:cs="宋体"/>
          <w:color w:val="auto"/>
          <w:sz w:val="30"/>
          <w:szCs w:val="30"/>
          <w:highlight w:val="none"/>
        </w:rPr>
      </w:pPr>
      <w:bookmarkStart w:id="255" w:name="bookmark158"/>
      <w:bookmarkEnd w:id="255"/>
      <w:bookmarkStart w:id="256" w:name="_Toc28765"/>
      <w:bookmarkStart w:id="257" w:name="_Toc19973"/>
      <w:r>
        <w:rPr>
          <w:rFonts w:hint="eastAsia" w:ascii="宋体" w:hAnsi="宋体" w:eastAsia="宋体" w:cs="宋体"/>
          <w:b/>
          <w:bCs/>
          <w:color w:val="auto"/>
          <w:spacing w:val="-4"/>
          <w:sz w:val="30"/>
          <w:szCs w:val="30"/>
          <w:highlight w:val="none"/>
        </w:rPr>
        <w:t>项目管理机构组成表</w:t>
      </w:r>
      <w:bookmarkEnd w:id="256"/>
      <w:bookmarkEnd w:id="257"/>
    </w:p>
    <w:p w14:paraId="46C7A098">
      <w:pPr>
        <w:spacing w:before="7"/>
        <w:rPr>
          <w:rFonts w:hint="eastAsia" w:ascii="宋体" w:hAnsi="宋体" w:eastAsia="宋体" w:cs="宋体"/>
          <w:color w:val="auto"/>
          <w:highlight w:val="none"/>
        </w:rPr>
      </w:pPr>
    </w:p>
    <w:tbl>
      <w:tblPr>
        <w:tblStyle w:val="14"/>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57379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top"/>
          </w:tcPr>
          <w:p w14:paraId="30CE2FD2">
            <w:pPr>
              <w:spacing w:before="229" w:line="231" w:lineRule="auto"/>
              <w:ind w:left="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1939" w:type="dxa"/>
            <w:vAlign w:val="top"/>
          </w:tcPr>
          <w:p w14:paraId="02761F8D">
            <w:pPr>
              <w:spacing w:before="228" w:line="231" w:lineRule="auto"/>
              <w:ind w:left="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岗位</w:t>
            </w:r>
          </w:p>
        </w:tc>
        <w:tc>
          <w:tcPr>
            <w:tcW w:w="1567" w:type="dxa"/>
            <w:vAlign w:val="top"/>
          </w:tcPr>
          <w:p w14:paraId="3A473A2C">
            <w:pPr>
              <w:spacing w:before="228" w:line="231" w:lineRule="auto"/>
              <w:ind w:left="52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017" w:type="dxa"/>
            <w:vAlign w:val="top"/>
          </w:tcPr>
          <w:p w14:paraId="2C24B56B">
            <w:pPr>
              <w:spacing w:before="228" w:line="230" w:lineRule="auto"/>
              <w:ind w:left="2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性别</w:t>
            </w:r>
          </w:p>
        </w:tc>
        <w:tc>
          <w:tcPr>
            <w:tcW w:w="1002" w:type="dxa"/>
            <w:vAlign w:val="top"/>
          </w:tcPr>
          <w:p w14:paraId="38F6BC58">
            <w:pPr>
              <w:spacing w:before="229" w:line="231" w:lineRule="auto"/>
              <w:ind w:left="26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1551" w:type="dxa"/>
            <w:vAlign w:val="top"/>
          </w:tcPr>
          <w:p w14:paraId="06AB1B2A">
            <w:pPr>
              <w:spacing w:before="228" w:line="230" w:lineRule="auto"/>
              <w:ind w:left="5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1926" w:type="dxa"/>
            <w:vAlign w:val="top"/>
          </w:tcPr>
          <w:p w14:paraId="0E85B0CA">
            <w:pPr>
              <w:spacing w:before="228" w:line="230" w:lineRule="auto"/>
              <w:ind w:left="68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3035F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53B72600">
            <w:pPr>
              <w:spacing w:before="185" w:line="195" w:lineRule="auto"/>
              <w:ind w:left="2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9" w:type="dxa"/>
            <w:vAlign w:val="top"/>
          </w:tcPr>
          <w:p w14:paraId="7B25D554">
            <w:pPr>
              <w:spacing w:before="150" w:line="229"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67" w:type="dxa"/>
            <w:vAlign w:val="top"/>
          </w:tcPr>
          <w:p w14:paraId="593CFD94">
            <w:pPr>
              <w:pStyle w:val="19"/>
              <w:rPr>
                <w:rFonts w:hint="eastAsia" w:ascii="宋体" w:hAnsi="宋体" w:eastAsia="宋体" w:cs="宋体"/>
                <w:color w:val="auto"/>
                <w:sz w:val="24"/>
                <w:szCs w:val="24"/>
                <w:highlight w:val="none"/>
              </w:rPr>
            </w:pPr>
          </w:p>
        </w:tc>
        <w:tc>
          <w:tcPr>
            <w:tcW w:w="1017" w:type="dxa"/>
            <w:vAlign w:val="top"/>
          </w:tcPr>
          <w:p w14:paraId="1E4E6FBB">
            <w:pPr>
              <w:pStyle w:val="19"/>
              <w:rPr>
                <w:rFonts w:hint="eastAsia" w:ascii="宋体" w:hAnsi="宋体" w:eastAsia="宋体" w:cs="宋体"/>
                <w:color w:val="auto"/>
                <w:sz w:val="24"/>
                <w:szCs w:val="24"/>
                <w:highlight w:val="none"/>
              </w:rPr>
            </w:pPr>
          </w:p>
        </w:tc>
        <w:tc>
          <w:tcPr>
            <w:tcW w:w="1002" w:type="dxa"/>
            <w:vAlign w:val="top"/>
          </w:tcPr>
          <w:p w14:paraId="11C95315">
            <w:pPr>
              <w:pStyle w:val="19"/>
              <w:rPr>
                <w:rFonts w:hint="eastAsia" w:ascii="宋体" w:hAnsi="宋体" w:eastAsia="宋体" w:cs="宋体"/>
                <w:color w:val="auto"/>
                <w:sz w:val="24"/>
                <w:szCs w:val="24"/>
                <w:highlight w:val="none"/>
              </w:rPr>
            </w:pPr>
          </w:p>
        </w:tc>
        <w:tc>
          <w:tcPr>
            <w:tcW w:w="1551" w:type="dxa"/>
            <w:vAlign w:val="top"/>
          </w:tcPr>
          <w:p w14:paraId="18F069DA">
            <w:pPr>
              <w:pStyle w:val="19"/>
              <w:rPr>
                <w:rFonts w:hint="eastAsia" w:ascii="宋体" w:hAnsi="宋体" w:eastAsia="宋体" w:cs="宋体"/>
                <w:color w:val="auto"/>
                <w:sz w:val="24"/>
                <w:szCs w:val="24"/>
                <w:highlight w:val="none"/>
              </w:rPr>
            </w:pPr>
          </w:p>
        </w:tc>
        <w:tc>
          <w:tcPr>
            <w:tcW w:w="1926" w:type="dxa"/>
            <w:vAlign w:val="top"/>
          </w:tcPr>
          <w:p w14:paraId="3915B38A">
            <w:pPr>
              <w:pStyle w:val="19"/>
              <w:rPr>
                <w:rFonts w:hint="eastAsia" w:ascii="宋体" w:hAnsi="宋体" w:eastAsia="宋体" w:cs="宋体"/>
                <w:color w:val="auto"/>
                <w:sz w:val="24"/>
                <w:szCs w:val="24"/>
                <w:highlight w:val="none"/>
              </w:rPr>
            </w:pPr>
          </w:p>
        </w:tc>
      </w:tr>
      <w:tr w14:paraId="4ED15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top"/>
          </w:tcPr>
          <w:p w14:paraId="0EB431E0">
            <w:pPr>
              <w:spacing w:before="187" w:line="195" w:lineRule="auto"/>
              <w:ind w:left="2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9" w:type="dxa"/>
            <w:vAlign w:val="top"/>
          </w:tcPr>
          <w:p w14:paraId="1BDEF7FA">
            <w:pPr>
              <w:spacing w:before="152"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项目技术负责人</w:t>
            </w:r>
          </w:p>
        </w:tc>
        <w:tc>
          <w:tcPr>
            <w:tcW w:w="1567" w:type="dxa"/>
            <w:vAlign w:val="top"/>
          </w:tcPr>
          <w:p w14:paraId="240ECF68">
            <w:pPr>
              <w:pStyle w:val="19"/>
              <w:rPr>
                <w:rFonts w:hint="eastAsia" w:ascii="宋体" w:hAnsi="宋体" w:eastAsia="宋体" w:cs="宋体"/>
                <w:color w:val="auto"/>
                <w:sz w:val="24"/>
                <w:szCs w:val="24"/>
                <w:highlight w:val="none"/>
              </w:rPr>
            </w:pPr>
          </w:p>
        </w:tc>
        <w:tc>
          <w:tcPr>
            <w:tcW w:w="1017" w:type="dxa"/>
            <w:vAlign w:val="top"/>
          </w:tcPr>
          <w:p w14:paraId="3B02D4CA">
            <w:pPr>
              <w:pStyle w:val="19"/>
              <w:rPr>
                <w:rFonts w:hint="eastAsia" w:ascii="宋体" w:hAnsi="宋体" w:eastAsia="宋体" w:cs="宋体"/>
                <w:color w:val="auto"/>
                <w:sz w:val="24"/>
                <w:szCs w:val="24"/>
                <w:highlight w:val="none"/>
              </w:rPr>
            </w:pPr>
          </w:p>
        </w:tc>
        <w:tc>
          <w:tcPr>
            <w:tcW w:w="1002" w:type="dxa"/>
            <w:vAlign w:val="top"/>
          </w:tcPr>
          <w:p w14:paraId="6387BF0C">
            <w:pPr>
              <w:pStyle w:val="19"/>
              <w:rPr>
                <w:rFonts w:hint="eastAsia" w:ascii="宋体" w:hAnsi="宋体" w:eastAsia="宋体" w:cs="宋体"/>
                <w:color w:val="auto"/>
                <w:sz w:val="24"/>
                <w:szCs w:val="24"/>
                <w:highlight w:val="none"/>
              </w:rPr>
            </w:pPr>
          </w:p>
        </w:tc>
        <w:tc>
          <w:tcPr>
            <w:tcW w:w="1551" w:type="dxa"/>
            <w:vAlign w:val="top"/>
          </w:tcPr>
          <w:p w14:paraId="3D60C83C">
            <w:pPr>
              <w:pStyle w:val="19"/>
              <w:rPr>
                <w:rFonts w:hint="eastAsia" w:ascii="宋体" w:hAnsi="宋体" w:eastAsia="宋体" w:cs="宋体"/>
                <w:color w:val="auto"/>
                <w:sz w:val="24"/>
                <w:szCs w:val="24"/>
                <w:highlight w:val="none"/>
              </w:rPr>
            </w:pPr>
          </w:p>
        </w:tc>
        <w:tc>
          <w:tcPr>
            <w:tcW w:w="1926" w:type="dxa"/>
            <w:vAlign w:val="top"/>
          </w:tcPr>
          <w:p w14:paraId="3055BE33">
            <w:pPr>
              <w:pStyle w:val="19"/>
              <w:rPr>
                <w:rFonts w:hint="eastAsia" w:ascii="宋体" w:hAnsi="宋体" w:eastAsia="宋体" w:cs="宋体"/>
                <w:color w:val="auto"/>
                <w:sz w:val="24"/>
                <w:szCs w:val="24"/>
                <w:highlight w:val="none"/>
              </w:rPr>
            </w:pPr>
          </w:p>
        </w:tc>
      </w:tr>
      <w:tr w14:paraId="61BF6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50022520">
            <w:pPr>
              <w:spacing w:before="189" w:line="195" w:lineRule="auto"/>
              <w:ind w:left="24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39" w:type="dxa"/>
            <w:vAlign w:val="center"/>
          </w:tcPr>
          <w:p w14:paraId="7895CC14">
            <w:pPr>
              <w:spacing w:before="153" w:line="229" w:lineRule="auto"/>
              <w:ind w:left="37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专职安全员</w:t>
            </w:r>
          </w:p>
        </w:tc>
        <w:tc>
          <w:tcPr>
            <w:tcW w:w="1567" w:type="dxa"/>
            <w:vAlign w:val="top"/>
          </w:tcPr>
          <w:p w14:paraId="372D35DB">
            <w:pPr>
              <w:pStyle w:val="19"/>
              <w:rPr>
                <w:rFonts w:hint="eastAsia" w:ascii="宋体" w:hAnsi="宋体" w:eastAsia="宋体" w:cs="宋体"/>
                <w:color w:val="auto"/>
                <w:sz w:val="24"/>
                <w:szCs w:val="24"/>
                <w:highlight w:val="none"/>
              </w:rPr>
            </w:pPr>
          </w:p>
        </w:tc>
        <w:tc>
          <w:tcPr>
            <w:tcW w:w="1017" w:type="dxa"/>
            <w:vAlign w:val="top"/>
          </w:tcPr>
          <w:p w14:paraId="71AFC954">
            <w:pPr>
              <w:pStyle w:val="19"/>
              <w:rPr>
                <w:rFonts w:hint="eastAsia" w:ascii="宋体" w:hAnsi="宋体" w:eastAsia="宋体" w:cs="宋体"/>
                <w:color w:val="auto"/>
                <w:sz w:val="24"/>
                <w:szCs w:val="24"/>
                <w:highlight w:val="none"/>
              </w:rPr>
            </w:pPr>
          </w:p>
        </w:tc>
        <w:tc>
          <w:tcPr>
            <w:tcW w:w="1002" w:type="dxa"/>
            <w:vAlign w:val="top"/>
          </w:tcPr>
          <w:p w14:paraId="1189AAB7">
            <w:pPr>
              <w:pStyle w:val="19"/>
              <w:rPr>
                <w:rFonts w:hint="eastAsia" w:ascii="宋体" w:hAnsi="宋体" w:eastAsia="宋体" w:cs="宋体"/>
                <w:color w:val="auto"/>
                <w:sz w:val="24"/>
                <w:szCs w:val="24"/>
                <w:highlight w:val="none"/>
              </w:rPr>
            </w:pPr>
          </w:p>
        </w:tc>
        <w:tc>
          <w:tcPr>
            <w:tcW w:w="1551" w:type="dxa"/>
            <w:vAlign w:val="top"/>
          </w:tcPr>
          <w:p w14:paraId="17C1D1C8">
            <w:pPr>
              <w:pStyle w:val="19"/>
              <w:rPr>
                <w:rFonts w:hint="eastAsia" w:ascii="宋体" w:hAnsi="宋体" w:eastAsia="宋体" w:cs="宋体"/>
                <w:color w:val="auto"/>
                <w:sz w:val="24"/>
                <w:szCs w:val="24"/>
                <w:highlight w:val="none"/>
              </w:rPr>
            </w:pPr>
          </w:p>
        </w:tc>
        <w:tc>
          <w:tcPr>
            <w:tcW w:w="1926" w:type="dxa"/>
            <w:vAlign w:val="top"/>
          </w:tcPr>
          <w:p w14:paraId="1045CACB">
            <w:pPr>
              <w:pStyle w:val="19"/>
              <w:rPr>
                <w:rFonts w:hint="eastAsia" w:ascii="宋体" w:hAnsi="宋体" w:eastAsia="宋体" w:cs="宋体"/>
                <w:color w:val="auto"/>
                <w:sz w:val="24"/>
                <w:szCs w:val="24"/>
                <w:highlight w:val="none"/>
              </w:rPr>
            </w:pPr>
          </w:p>
        </w:tc>
      </w:tr>
      <w:tr w14:paraId="63F14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56F8BEC7">
            <w:pPr>
              <w:spacing w:before="188" w:line="195" w:lineRule="auto"/>
              <w:ind w:left="2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939" w:type="dxa"/>
            <w:vAlign w:val="top"/>
          </w:tcPr>
          <w:p w14:paraId="7220A9B3">
            <w:pPr>
              <w:spacing w:before="152" w:line="230" w:lineRule="auto"/>
              <w:ind w:left="58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施工员</w:t>
            </w:r>
          </w:p>
        </w:tc>
        <w:tc>
          <w:tcPr>
            <w:tcW w:w="1567" w:type="dxa"/>
            <w:vAlign w:val="top"/>
          </w:tcPr>
          <w:p w14:paraId="6CC538F7">
            <w:pPr>
              <w:pStyle w:val="19"/>
              <w:rPr>
                <w:rFonts w:hint="eastAsia" w:ascii="宋体" w:hAnsi="宋体" w:eastAsia="宋体" w:cs="宋体"/>
                <w:color w:val="auto"/>
                <w:sz w:val="24"/>
                <w:szCs w:val="24"/>
                <w:highlight w:val="none"/>
              </w:rPr>
            </w:pPr>
          </w:p>
        </w:tc>
        <w:tc>
          <w:tcPr>
            <w:tcW w:w="1017" w:type="dxa"/>
            <w:vAlign w:val="top"/>
          </w:tcPr>
          <w:p w14:paraId="33A05343">
            <w:pPr>
              <w:pStyle w:val="19"/>
              <w:rPr>
                <w:rFonts w:hint="eastAsia" w:ascii="宋体" w:hAnsi="宋体" w:eastAsia="宋体" w:cs="宋体"/>
                <w:color w:val="auto"/>
                <w:sz w:val="24"/>
                <w:szCs w:val="24"/>
                <w:highlight w:val="none"/>
              </w:rPr>
            </w:pPr>
          </w:p>
        </w:tc>
        <w:tc>
          <w:tcPr>
            <w:tcW w:w="1002" w:type="dxa"/>
            <w:vAlign w:val="top"/>
          </w:tcPr>
          <w:p w14:paraId="0B0D1CB9">
            <w:pPr>
              <w:pStyle w:val="19"/>
              <w:rPr>
                <w:rFonts w:hint="eastAsia" w:ascii="宋体" w:hAnsi="宋体" w:eastAsia="宋体" w:cs="宋体"/>
                <w:color w:val="auto"/>
                <w:sz w:val="24"/>
                <w:szCs w:val="24"/>
                <w:highlight w:val="none"/>
              </w:rPr>
            </w:pPr>
          </w:p>
        </w:tc>
        <w:tc>
          <w:tcPr>
            <w:tcW w:w="1551" w:type="dxa"/>
            <w:vAlign w:val="top"/>
          </w:tcPr>
          <w:p w14:paraId="65B1E983">
            <w:pPr>
              <w:pStyle w:val="19"/>
              <w:rPr>
                <w:rFonts w:hint="eastAsia" w:ascii="宋体" w:hAnsi="宋体" w:eastAsia="宋体" w:cs="宋体"/>
                <w:color w:val="auto"/>
                <w:sz w:val="24"/>
                <w:szCs w:val="24"/>
                <w:highlight w:val="none"/>
              </w:rPr>
            </w:pPr>
          </w:p>
        </w:tc>
        <w:tc>
          <w:tcPr>
            <w:tcW w:w="1926" w:type="dxa"/>
            <w:vAlign w:val="top"/>
          </w:tcPr>
          <w:p w14:paraId="2C26CD2B">
            <w:pPr>
              <w:pStyle w:val="19"/>
              <w:rPr>
                <w:rFonts w:hint="eastAsia" w:ascii="宋体" w:hAnsi="宋体" w:eastAsia="宋体" w:cs="宋体"/>
                <w:color w:val="auto"/>
                <w:sz w:val="24"/>
                <w:szCs w:val="24"/>
                <w:highlight w:val="none"/>
              </w:rPr>
            </w:pPr>
          </w:p>
        </w:tc>
      </w:tr>
      <w:tr w14:paraId="24082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4630DEAB">
            <w:pPr>
              <w:spacing w:before="193" w:line="192" w:lineRule="auto"/>
              <w:ind w:left="2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39" w:type="dxa"/>
            <w:vAlign w:val="top"/>
          </w:tcPr>
          <w:p w14:paraId="7662FA49">
            <w:pPr>
              <w:spacing w:before="154" w:line="229"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质量员</w:t>
            </w:r>
          </w:p>
        </w:tc>
        <w:tc>
          <w:tcPr>
            <w:tcW w:w="1567" w:type="dxa"/>
            <w:vAlign w:val="top"/>
          </w:tcPr>
          <w:p w14:paraId="5026DED5">
            <w:pPr>
              <w:pStyle w:val="19"/>
              <w:rPr>
                <w:rFonts w:hint="eastAsia" w:ascii="宋体" w:hAnsi="宋体" w:eastAsia="宋体" w:cs="宋体"/>
                <w:color w:val="auto"/>
                <w:sz w:val="24"/>
                <w:szCs w:val="24"/>
                <w:highlight w:val="none"/>
              </w:rPr>
            </w:pPr>
          </w:p>
        </w:tc>
        <w:tc>
          <w:tcPr>
            <w:tcW w:w="1017" w:type="dxa"/>
            <w:vAlign w:val="top"/>
          </w:tcPr>
          <w:p w14:paraId="732AA2B3">
            <w:pPr>
              <w:pStyle w:val="19"/>
              <w:rPr>
                <w:rFonts w:hint="eastAsia" w:ascii="宋体" w:hAnsi="宋体" w:eastAsia="宋体" w:cs="宋体"/>
                <w:color w:val="auto"/>
                <w:sz w:val="24"/>
                <w:szCs w:val="24"/>
                <w:highlight w:val="none"/>
              </w:rPr>
            </w:pPr>
          </w:p>
        </w:tc>
        <w:tc>
          <w:tcPr>
            <w:tcW w:w="1002" w:type="dxa"/>
            <w:vAlign w:val="top"/>
          </w:tcPr>
          <w:p w14:paraId="517569F3">
            <w:pPr>
              <w:pStyle w:val="19"/>
              <w:rPr>
                <w:rFonts w:hint="eastAsia" w:ascii="宋体" w:hAnsi="宋体" w:eastAsia="宋体" w:cs="宋体"/>
                <w:color w:val="auto"/>
                <w:sz w:val="24"/>
                <w:szCs w:val="24"/>
                <w:highlight w:val="none"/>
              </w:rPr>
            </w:pPr>
          </w:p>
        </w:tc>
        <w:tc>
          <w:tcPr>
            <w:tcW w:w="1551" w:type="dxa"/>
            <w:vAlign w:val="top"/>
          </w:tcPr>
          <w:p w14:paraId="3F9CF56F">
            <w:pPr>
              <w:pStyle w:val="19"/>
              <w:rPr>
                <w:rFonts w:hint="eastAsia" w:ascii="宋体" w:hAnsi="宋体" w:eastAsia="宋体" w:cs="宋体"/>
                <w:color w:val="auto"/>
                <w:sz w:val="24"/>
                <w:szCs w:val="24"/>
                <w:highlight w:val="none"/>
              </w:rPr>
            </w:pPr>
          </w:p>
        </w:tc>
        <w:tc>
          <w:tcPr>
            <w:tcW w:w="1926" w:type="dxa"/>
            <w:vAlign w:val="top"/>
          </w:tcPr>
          <w:p w14:paraId="17080D4C">
            <w:pPr>
              <w:pStyle w:val="19"/>
              <w:rPr>
                <w:rFonts w:hint="eastAsia" w:ascii="宋体" w:hAnsi="宋体" w:eastAsia="宋体" w:cs="宋体"/>
                <w:color w:val="auto"/>
                <w:sz w:val="24"/>
                <w:szCs w:val="24"/>
                <w:highlight w:val="none"/>
              </w:rPr>
            </w:pPr>
          </w:p>
        </w:tc>
      </w:tr>
      <w:tr w14:paraId="06527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39E6B54D">
            <w:pPr>
              <w:spacing w:before="191" w:line="195" w:lineRule="auto"/>
              <w:ind w:left="2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39" w:type="dxa"/>
            <w:vAlign w:val="top"/>
          </w:tcPr>
          <w:p w14:paraId="5989F420">
            <w:pPr>
              <w:spacing w:before="155" w:line="228"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材料员</w:t>
            </w:r>
          </w:p>
        </w:tc>
        <w:tc>
          <w:tcPr>
            <w:tcW w:w="1567" w:type="dxa"/>
            <w:vAlign w:val="top"/>
          </w:tcPr>
          <w:p w14:paraId="4CD04C3F">
            <w:pPr>
              <w:pStyle w:val="19"/>
              <w:rPr>
                <w:rFonts w:hint="eastAsia" w:ascii="宋体" w:hAnsi="宋体" w:eastAsia="宋体" w:cs="宋体"/>
                <w:color w:val="auto"/>
                <w:sz w:val="24"/>
                <w:szCs w:val="24"/>
                <w:highlight w:val="none"/>
              </w:rPr>
            </w:pPr>
          </w:p>
        </w:tc>
        <w:tc>
          <w:tcPr>
            <w:tcW w:w="1017" w:type="dxa"/>
            <w:vAlign w:val="top"/>
          </w:tcPr>
          <w:p w14:paraId="1AFB9515">
            <w:pPr>
              <w:pStyle w:val="19"/>
              <w:rPr>
                <w:rFonts w:hint="eastAsia" w:ascii="宋体" w:hAnsi="宋体" w:eastAsia="宋体" w:cs="宋体"/>
                <w:color w:val="auto"/>
                <w:sz w:val="24"/>
                <w:szCs w:val="24"/>
                <w:highlight w:val="none"/>
              </w:rPr>
            </w:pPr>
          </w:p>
        </w:tc>
        <w:tc>
          <w:tcPr>
            <w:tcW w:w="1002" w:type="dxa"/>
            <w:vAlign w:val="top"/>
          </w:tcPr>
          <w:p w14:paraId="7ABCCAE2">
            <w:pPr>
              <w:pStyle w:val="19"/>
              <w:rPr>
                <w:rFonts w:hint="eastAsia" w:ascii="宋体" w:hAnsi="宋体" w:eastAsia="宋体" w:cs="宋体"/>
                <w:color w:val="auto"/>
                <w:sz w:val="24"/>
                <w:szCs w:val="24"/>
                <w:highlight w:val="none"/>
              </w:rPr>
            </w:pPr>
          </w:p>
        </w:tc>
        <w:tc>
          <w:tcPr>
            <w:tcW w:w="1551" w:type="dxa"/>
            <w:vAlign w:val="top"/>
          </w:tcPr>
          <w:p w14:paraId="15A89E1C">
            <w:pPr>
              <w:pStyle w:val="19"/>
              <w:rPr>
                <w:rFonts w:hint="eastAsia" w:ascii="宋体" w:hAnsi="宋体" w:eastAsia="宋体" w:cs="宋体"/>
                <w:color w:val="auto"/>
                <w:sz w:val="24"/>
                <w:szCs w:val="24"/>
                <w:highlight w:val="none"/>
              </w:rPr>
            </w:pPr>
          </w:p>
        </w:tc>
        <w:tc>
          <w:tcPr>
            <w:tcW w:w="1926" w:type="dxa"/>
            <w:vAlign w:val="top"/>
          </w:tcPr>
          <w:p w14:paraId="33C11B68">
            <w:pPr>
              <w:pStyle w:val="19"/>
              <w:rPr>
                <w:rFonts w:hint="eastAsia" w:ascii="宋体" w:hAnsi="宋体" w:eastAsia="宋体" w:cs="宋体"/>
                <w:color w:val="auto"/>
                <w:sz w:val="24"/>
                <w:szCs w:val="24"/>
                <w:highlight w:val="none"/>
              </w:rPr>
            </w:pPr>
          </w:p>
        </w:tc>
      </w:tr>
      <w:tr w14:paraId="31756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19C27210">
            <w:pPr>
              <w:spacing w:before="192" w:line="192" w:lineRule="auto"/>
              <w:ind w:left="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39" w:type="dxa"/>
            <w:vAlign w:val="top"/>
          </w:tcPr>
          <w:p w14:paraId="0287037A">
            <w:pPr>
              <w:spacing w:before="154" w:line="229" w:lineRule="auto"/>
              <w:ind w:left="5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资料员</w:t>
            </w:r>
          </w:p>
        </w:tc>
        <w:tc>
          <w:tcPr>
            <w:tcW w:w="1567" w:type="dxa"/>
            <w:vAlign w:val="top"/>
          </w:tcPr>
          <w:p w14:paraId="09652F0A">
            <w:pPr>
              <w:pStyle w:val="19"/>
              <w:rPr>
                <w:rFonts w:hint="eastAsia" w:ascii="宋体" w:hAnsi="宋体" w:eastAsia="宋体" w:cs="宋体"/>
                <w:color w:val="auto"/>
                <w:sz w:val="24"/>
                <w:szCs w:val="24"/>
                <w:highlight w:val="none"/>
              </w:rPr>
            </w:pPr>
          </w:p>
        </w:tc>
        <w:tc>
          <w:tcPr>
            <w:tcW w:w="1017" w:type="dxa"/>
            <w:vAlign w:val="top"/>
          </w:tcPr>
          <w:p w14:paraId="6D7C12A8">
            <w:pPr>
              <w:pStyle w:val="19"/>
              <w:rPr>
                <w:rFonts w:hint="eastAsia" w:ascii="宋体" w:hAnsi="宋体" w:eastAsia="宋体" w:cs="宋体"/>
                <w:color w:val="auto"/>
                <w:sz w:val="24"/>
                <w:szCs w:val="24"/>
                <w:highlight w:val="none"/>
              </w:rPr>
            </w:pPr>
          </w:p>
        </w:tc>
        <w:tc>
          <w:tcPr>
            <w:tcW w:w="1002" w:type="dxa"/>
            <w:vAlign w:val="top"/>
          </w:tcPr>
          <w:p w14:paraId="54E1A758">
            <w:pPr>
              <w:pStyle w:val="19"/>
              <w:rPr>
                <w:rFonts w:hint="eastAsia" w:ascii="宋体" w:hAnsi="宋体" w:eastAsia="宋体" w:cs="宋体"/>
                <w:color w:val="auto"/>
                <w:sz w:val="24"/>
                <w:szCs w:val="24"/>
                <w:highlight w:val="none"/>
              </w:rPr>
            </w:pPr>
          </w:p>
        </w:tc>
        <w:tc>
          <w:tcPr>
            <w:tcW w:w="1551" w:type="dxa"/>
            <w:vAlign w:val="top"/>
          </w:tcPr>
          <w:p w14:paraId="6670B708">
            <w:pPr>
              <w:pStyle w:val="19"/>
              <w:rPr>
                <w:rFonts w:hint="eastAsia" w:ascii="宋体" w:hAnsi="宋体" w:eastAsia="宋体" w:cs="宋体"/>
                <w:color w:val="auto"/>
                <w:sz w:val="24"/>
                <w:szCs w:val="24"/>
                <w:highlight w:val="none"/>
              </w:rPr>
            </w:pPr>
          </w:p>
        </w:tc>
        <w:tc>
          <w:tcPr>
            <w:tcW w:w="1926" w:type="dxa"/>
            <w:vAlign w:val="top"/>
          </w:tcPr>
          <w:p w14:paraId="5CE375E3">
            <w:pPr>
              <w:pStyle w:val="19"/>
              <w:rPr>
                <w:rFonts w:hint="eastAsia" w:ascii="宋体" w:hAnsi="宋体" w:eastAsia="宋体" w:cs="宋体"/>
                <w:color w:val="auto"/>
                <w:sz w:val="24"/>
                <w:szCs w:val="24"/>
                <w:highlight w:val="none"/>
              </w:rPr>
            </w:pPr>
          </w:p>
        </w:tc>
      </w:tr>
      <w:tr w14:paraId="01D5E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top"/>
          </w:tcPr>
          <w:p w14:paraId="1FFE9947">
            <w:pPr>
              <w:spacing w:before="154" w:line="325" w:lineRule="exact"/>
              <w:ind w:left="104"/>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939" w:type="dxa"/>
            <w:vAlign w:val="top"/>
          </w:tcPr>
          <w:p w14:paraId="0B6150FF">
            <w:pPr>
              <w:pStyle w:val="19"/>
              <w:rPr>
                <w:rFonts w:hint="eastAsia" w:ascii="宋体" w:hAnsi="宋体" w:eastAsia="宋体" w:cs="宋体"/>
                <w:color w:val="auto"/>
                <w:sz w:val="24"/>
                <w:szCs w:val="24"/>
                <w:highlight w:val="none"/>
              </w:rPr>
            </w:pPr>
          </w:p>
        </w:tc>
        <w:tc>
          <w:tcPr>
            <w:tcW w:w="1567" w:type="dxa"/>
            <w:vAlign w:val="top"/>
          </w:tcPr>
          <w:p w14:paraId="054D4530">
            <w:pPr>
              <w:pStyle w:val="19"/>
              <w:rPr>
                <w:rFonts w:hint="eastAsia" w:ascii="宋体" w:hAnsi="宋体" w:eastAsia="宋体" w:cs="宋体"/>
                <w:color w:val="auto"/>
                <w:sz w:val="24"/>
                <w:szCs w:val="24"/>
                <w:highlight w:val="none"/>
              </w:rPr>
            </w:pPr>
          </w:p>
        </w:tc>
        <w:tc>
          <w:tcPr>
            <w:tcW w:w="1017" w:type="dxa"/>
            <w:vAlign w:val="top"/>
          </w:tcPr>
          <w:p w14:paraId="53C35A42">
            <w:pPr>
              <w:pStyle w:val="19"/>
              <w:rPr>
                <w:rFonts w:hint="eastAsia" w:ascii="宋体" w:hAnsi="宋体" w:eastAsia="宋体" w:cs="宋体"/>
                <w:color w:val="auto"/>
                <w:sz w:val="24"/>
                <w:szCs w:val="24"/>
                <w:highlight w:val="none"/>
              </w:rPr>
            </w:pPr>
          </w:p>
        </w:tc>
        <w:tc>
          <w:tcPr>
            <w:tcW w:w="1002" w:type="dxa"/>
            <w:vAlign w:val="top"/>
          </w:tcPr>
          <w:p w14:paraId="76CECE21">
            <w:pPr>
              <w:pStyle w:val="19"/>
              <w:rPr>
                <w:rFonts w:hint="eastAsia" w:ascii="宋体" w:hAnsi="宋体" w:eastAsia="宋体" w:cs="宋体"/>
                <w:color w:val="auto"/>
                <w:sz w:val="24"/>
                <w:szCs w:val="24"/>
                <w:highlight w:val="none"/>
              </w:rPr>
            </w:pPr>
          </w:p>
        </w:tc>
        <w:tc>
          <w:tcPr>
            <w:tcW w:w="1551" w:type="dxa"/>
            <w:vAlign w:val="top"/>
          </w:tcPr>
          <w:p w14:paraId="417CCB63">
            <w:pPr>
              <w:pStyle w:val="19"/>
              <w:rPr>
                <w:rFonts w:hint="eastAsia" w:ascii="宋体" w:hAnsi="宋体" w:eastAsia="宋体" w:cs="宋体"/>
                <w:color w:val="auto"/>
                <w:sz w:val="24"/>
                <w:szCs w:val="24"/>
                <w:highlight w:val="none"/>
              </w:rPr>
            </w:pPr>
          </w:p>
        </w:tc>
        <w:tc>
          <w:tcPr>
            <w:tcW w:w="1926" w:type="dxa"/>
            <w:vAlign w:val="top"/>
          </w:tcPr>
          <w:p w14:paraId="328A61D1">
            <w:pPr>
              <w:pStyle w:val="19"/>
              <w:rPr>
                <w:rFonts w:hint="eastAsia" w:ascii="宋体" w:hAnsi="宋体" w:eastAsia="宋体" w:cs="宋体"/>
                <w:color w:val="auto"/>
                <w:sz w:val="24"/>
                <w:szCs w:val="24"/>
                <w:highlight w:val="none"/>
              </w:rPr>
            </w:pPr>
          </w:p>
        </w:tc>
      </w:tr>
    </w:tbl>
    <w:p w14:paraId="4F1D6CFB">
      <w:pPr>
        <w:pStyle w:val="5"/>
        <w:spacing w:line="395" w:lineRule="auto"/>
        <w:rPr>
          <w:rFonts w:hint="eastAsia" w:ascii="宋体" w:hAnsi="宋体" w:eastAsia="宋体" w:cs="宋体"/>
          <w:color w:val="auto"/>
          <w:sz w:val="24"/>
          <w:szCs w:val="24"/>
          <w:highlight w:val="none"/>
        </w:rPr>
      </w:pPr>
    </w:p>
    <w:p w14:paraId="66CDAFFF">
      <w:pPr>
        <w:spacing w:before="65" w:line="228"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p w14:paraId="691AD73E">
      <w:pPr>
        <w:spacing w:before="153" w:line="228" w:lineRule="auto"/>
        <w:ind w:firstLine="49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．《项目管理机构组成表》后应附表中拟派人</w:t>
      </w:r>
      <w:r>
        <w:rPr>
          <w:rFonts w:hint="eastAsia" w:ascii="宋体" w:hAnsi="宋体" w:eastAsia="宋体" w:cs="宋体"/>
          <w:color w:val="auto"/>
          <w:spacing w:val="3"/>
          <w:sz w:val="24"/>
          <w:szCs w:val="24"/>
          <w:highlight w:val="none"/>
        </w:rPr>
        <w:t>员（项目经理、项目技术负责人除外）以下资料：</w:t>
      </w:r>
    </w:p>
    <w:p w14:paraId="53B828D2">
      <w:pPr>
        <w:spacing w:before="154" w:line="228" w:lineRule="auto"/>
        <w:ind w:left="44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身份证彩色扫描件；</w:t>
      </w:r>
    </w:p>
    <w:p w14:paraId="37092C8B">
      <w:pPr>
        <w:spacing w:before="152" w:line="228" w:lineRule="auto"/>
        <w:ind w:left="4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9"/>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3EEAA7A9">
      <w:pPr>
        <w:spacing w:before="153" w:line="299" w:lineRule="auto"/>
        <w:ind w:left="11" w:right="89" w:firstLine="4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9"/>
          <w:sz w:val="24"/>
          <w:szCs w:val="24"/>
          <w:highlight w:val="none"/>
        </w:rPr>
        <w:t>，其中必</w:t>
      </w:r>
      <w:r>
        <w:rPr>
          <w:rFonts w:hint="eastAsia" w:ascii="宋体" w:hAnsi="宋体" w:eastAsia="宋体" w:cs="宋体"/>
          <w:color w:val="auto"/>
          <w:spacing w:val="8"/>
          <w:sz w:val="24"/>
          <w:szCs w:val="24"/>
          <w:highlight w:val="none"/>
        </w:rPr>
        <w:t>须有</w:t>
      </w:r>
      <w:r>
        <w:rPr>
          <w:rFonts w:hint="eastAsia" w:ascii="宋体" w:hAnsi="宋体" w:eastAsia="宋体" w:cs="宋体"/>
          <w:color w:val="auto"/>
          <w:spacing w:val="8"/>
          <w:sz w:val="24"/>
          <w:szCs w:val="24"/>
          <w:highlight w:val="none"/>
          <w:lang w:eastAsia="zh-CN"/>
        </w:rPr>
        <w:t>202</w:t>
      </w:r>
      <w:r>
        <w:rPr>
          <w:rFonts w:hint="eastAsia" w:ascii="宋体" w:hAnsi="宋体" w:eastAsia="宋体" w:cs="宋体"/>
          <w:color w:val="auto"/>
          <w:spacing w:val="8"/>
          <w:sz w:val="24"/>
          <w:szCs w:val="24"/>
          <w:highlight w:val="none"/>
          <w:lang w:val="en-US" w:eastAsia="zh-CN"/>
        </w:rPr>
        <w:t>5</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12</w:t>
      </w:r>
      <w:r>
        <w:rPr>
          <w:rFonts w:hint="eastAsia" w:ascii="宋体" w:hAnsi="宋体" w:eastAsia="宋体" w:cs="宋体"/>
          <w:color w:val="auto"/>
          <w:spacing w:val="8"/>
          <w:sz w:val="24"/>
          <w:szCs w:val="24"/>
          <w:highlight w:val="none"/>
        </w:rPr>
        <w:t>月）彩色扫描件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w:t>
      </w:r>
      <w:r>
        <w:rPr>
          <w:rFonts w:hint="eastAsia" w:ascii="宋体" w:hAnsi="宋体" w:eastAsia="宋体" w:cs="宋体"/>
          <w:color w:val="auto"/>
          <w:spacing w:val="10"/>
          <w:sz w:val="24"/>
          <w:szCs w:val="24"/>
          <w:highlight w:val="none"/>
          <w:lang w:val="en-US" w:eastAsia="zh-CN"/>
        </w:rPr>
        <w:t>人员</w:t>
      </w:r>
      <w:r>
        <w:rPr>
          <w:rFonts w:hint="eastAsia" w:ascii="宋体" w:hAnsi="宋体" w:eastAsia="宋体" w:cs="宋体"/>
          <w:color w:val="auto"/>
          <w:spacing w:val="10"/>
          <w:sz w:val="24"/>
          <w:szCs w:val="24"/>
          <w:highlight w:val="none"/>
        </w:rPr>
        <w:t>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4FD43BF5">
      <w:pPr>
        <w:spacing w:before="152" w:line="228" w:lineRule="auto"/>
        <w:ind w:left="0" w:leftChars="0" w:firstLine="419" w:firstLineChars="164"/>
        <w:rPr>
          <w:rFonts w:hint="eastAsia" w:ascii="宋体" w:hAnsi="宋体" w:eastAsia="宋体" w:cs="宋体"/>
          <w:color w:val="auto"/>
          <w:spacing w:val="9"/>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9"/>
          <w:sz w:val="24"/>
          <w:szCs w:val="24"/>
          <w:highlight w:val="none"/>
        </w:rPr>
        <w:t>“进粤企业和人员诚信信息登记平台 ”个人信息情况截图。（适用于省外建筑企业）</w:t>
      </w:r>
    </w:p>
    <w:p w14:paraId="6EE3D136">
      <w:pPr>
        <w:spacing w:before="153" w:line="299" w:lineRule="auto"/>
        <w:ind w:left="16" w:right="40" w:firstLine="4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联合体投标的，《项目管理机构组成表》应包括联合体成员单位参与项目管理</w:t>
      </w:r>
      <w:r>
        <w:rPr>
          <w:rFonts w:hint="eastAsia" w:ascii="宋体" w:hAnsi="宋体" w:eastAsia="宋体" w:cs="宋体"/>
          <w:color w:val="auto"/>
          <w:spacing w:val="7"/>
          <w:sz w:val="24"/>
          <w:szCs w:val="24"/>
          <w:highlight w:val="none"/>
        </w:rPr>
        <w:t>机构的人员，并提供以上所需资料。</w:t>
      </w:r>
    </w:p>
    <w:p w14:paraId="70768F98">
      <w:pPr>
        <w:pStyle w:val="5"/>
        <w:spacing w:line="248" w:lineRule="auto"/>
        <w:rPr>
          <w:rFonts w:hint="eastAsia" w:ascii="宋体" w:hAnsi="宋体" w:eastAsia="宋体" w:cs="宋体"/>
          <w:color w:val="auto"/>
          <w:sz w:val="24"/>
          <w:szCs w:val="24"/>
          <w:highlight w:val="none"/>
        </w:rPr>
      </w:pPr>
    </w:p>
    <w:p w14:paraId="68B37581">
      <w:pPr>
        <w:pStyle w:val="5"/>
        <w:spacing w:line="248" w:lineRule="auto"/>
        <w:rPr>
          <w:rFonts w:hint="eastAsia" w:ascii="宋体" w:hAnsi="宋体" w:eastAsia="宋体" w:cs="宋体"/>
          <w:color w:val="auto"/>
          <w:sz w:val="24"/>
          <w:szCs w:val="24"/>
          <w:highlight w:val="none"/>
        </w:rPr>
      </w:pPr>
    </w:p>
    <w:p w14:paraId="523EE1B7">
      <w:pPr>
        <w:pStyle w:val="5"/>
        <w:spacing w:line="248" w:lineRule="auto"/>
        <w:rPr>
          <w:rFonts w:hint="eastAsia" w:ascii="宋体" w:hAnsi="宋体" w:eastAsia="宋体" w:cs="宋体"/>
          <w:color w:val="auto"/>
          <w:highlight w:val="none"/>
        </w:rPr>
      </w:pPr>
    </w:p>
    <w:p w14:paraId="13B3169E">
      <w:pPr>
        <w:pStyle w:val="5"/>
        <w:spacing w:line="248" w:lineRule="auto"/>
        <w:rPr>
          <w:rFonts w:hint="eastAsia" w:ascii="宋体" w:hAnsi="宋体" w:eastAsia="宋体" w:cs="宋体"/>
          <w:color w:val="auto"/>
          <w:highlight w:val="none"/>
        </w:rPr>
      </w:pPr>
    </w:p>
    <w:p w14:paraId="36D013C4">
      <w:pPr>
        <w:spacing w:before="79" w:line="220" w:lineRule="auto"/>
        <w:rPr>
          <w:rFonts w:hint="eastAsia" w:ascii="宋体" w:hAnsi="宋体" w:eastAsia="宋体" w:cs="宋体"/>
          <w:b/>
          <w:bCs/>
          <w:color w:val="auto"/>
          <w:spacing w:val="-2"/>
          <w:sz w:val="24"/>
          <w:szCs w:val="24"/>
          <w:highlight w:val="none"/>
        </w:rPr>
      </w:pPr>
    </w:p>
    <w:p w14:paraId="3C6AE960">
      <w:pPr>
        <w:spacing w:before="78" w:line="220" w:lineRule="auto"/>
        <w:outlineLvl w:val="2"/>
        <w:rPr>
          <w:rFonts w:hint="eastAsia" w:ascii="宋体" w:hAnsi="宋体" w:eastAsia="宋体" w:cs="宋体"/>
          <w:b/>
          <w:bCs/>
          <w:color w:val="auto"/>
          <w:spacing w:val="-4"/>
          <w:sz w:val="24"/>
          <w:szCs w:val="24"/>
          <w:highlight w:val="none"/>
        </w:rPr>
      </w:pPr>
      <w:bookmarkStart w:id="258" w:name="_Toc3823"/>
      <w:r>
        <w:rPr>
          <w:rFonts w:hint="eastAsia" w:ascii="宋体" w:hAnsi="宋体" w:eastAsia="宋体" w:cs="宋体"/>
          <w:b/>
          <w:bCs/>
          <w:color w:val="auto"/>
          <w:spacing w:val="-4"/>
          <w:sz w:val="24"/>
          <w:szCs w:val="24"/>
          <w:highlight w:val="none"/>
        </w:rPr>
        <w:t>格式十二 建造师查询页（有效期+建造师签字）</w:t>
      </w:r>
      <w:bookmarkEnd w:id="258"/>
    </w:p>
    <w:p w14:paraId="1C40AD47">
      <w:pPr>
        <w:outlineLvl w:val="9"/>
        <w:rPr>
          <w:rFonts w:hint="eastAsia" w:ascii="宋体" w:hAnsi="宋体" w:eastAsia="宋体" w:cs="宋体"/>
          <w:color w:val="auto"/>
          <w:highlight w:val="none"/>
        </w:rPr>
      </w:pPr>
      <w:r>
        <w:rPr>
          <w:rFonts w:hint="eastAsia" w:ascii="宋体" w:hAnsi="宋体" w:eastAsia="宋体" w:cs="宋体"/>
          <w:color w:val="auto"/>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5"/>
                    <a:stretch>
                      <a:fillRect/>
                    </a:stretch>
                  </pic:blipFill>
                  <pic:spPr>
                    <a:xfrm>
                      <a:off x="0" y="0"/>
                      <a:ext cx="6239510" cy="8013700"/>
                    </a:xfrm>
                    <a:prstGeom prst="rect">
                      <a:avLst/>
                    </a:prstGeom>
                    <a:noFill/>
                    <a:ln>
                      <a:noFill/>
                    </a:ln>
                  </pic:spPr>
                </pic:pic>
              </a:graphicData>
            </a:graphic>
          </wp:inline>
        </w:drawing>
      </w:r>
    </w:p>
    <w:p w14:paraId="586F37D2">
      <w:pPr>
        <w:spacing w:line="220" w:lineRule="auto"/>
        <w:rPr>
          <w:rFonts w:hint="eastAsia" w:ascii="宋体" w:hAnsi="宋体" w:eastAsia="宋体" w:cs="宋体"/>
          <w:color w:val="auto"/>
          <w:sz w:val="24"/>
          <w:szCs w:val="24"/>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CBA7A4D">
      <w:pPr>
        <w:spacing w:line="10744" w:lineRule="exact"/>
        <w:rPr>
          <w:rFonts w:hint="eastAsia" w:ascii="宋体" w:hAnsi="宋体" w:eastAsia="宋体" w:cs="宋体"/>
          <w:color w:val="auto"/>
          <w:highlight w:val="none"/>
        </w:rPr>
      </w:pPr>
      <w:r>
        <w:rPr>
          <w:rFonts w:hint="eastAsia" w:ascii="宋体" w:hAnsi="宋体" w:eastAsia="宋体" w:cs="宋体"/>
          <w:color w:val="auto"/>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6"/>
                    <a:stretch>
                      <a:fillRect/>
                    </a:stretch>
                  </pic:blipFill>
                  <pic:spPr>
                    <a:xfrm>
                      <a:off x="0" y="0"/>
                      <a:ext cx="6285865" cy="6925310"/>
                    </a:xfrm>
                    <a:prstGeom prst="rect">
                      <a:avLst/>
                    </a:prstGeom>
                    <a:noFill/>
                    <a:ln>
                      <a:noFill/>
                    </a:ln>
                  </pic:spPr>
                </pic:pic>
              </a:graphicData>
            </a:graphic>
          </wp:inline>
        </w:drawing>
      </w:r>
    </w:p>
    <w:p w14:paraId="76BEAF1F">
      <w:pPr>
        <w:spacing w:line="10744" w:lineRule="exact"/>
        <w:rPr>
          <w:rFonts w:hint="eastAsia" w:ascii="宋体" w:hAnsi="宋体" w:eastAsia="宋体" w:cs="宋体"/>
          <w:color w:val="auto"/>
          <w:highlight w:val="none"/>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D72089B">
      <w:pPr>
        <w:spacing w:before="78" w:line="220" w:lineRule="auto"/>
        <w:outlineLvl w:val="2"/>
        <w:rPr>
          <w:rFonts w:hint="eastAsia" w:ascii="宋体" w:hAnsi="宋体" w:eastAsia="宋体" w:cs="宋体"/>
          <w:b/>
          <w:bCs/>
          <w:color w:val="auto"/>
          <w:spacing w:val="-4"/>
          <w:sz w:val="24"/>
          <w:szCs w:val="24"/>
          <w:highlight w:val="none"/>
        </w:rPr>
      </w:pPr>
      <w:bookmarkStart w:id="259" w:name="_Toc30843"/>
      <w:r>
        <w:rPr>
          <w:rFonts w:hint="eastAsia" w:ascii="宋体" w:hAnsi="宋体" w:eastAsia="宋体" w:cs="宋体"/>
          <w:b/>
          <w:bCs/>
          <w:color w:val="auto"/>
          <w:spacing w:val="-4"/>
          <w:sz w:val="24"/>
          <w:szCs w:val="24"/>
          <w:highlight w:val="none"/>
        </w:rPr>
        <w:t>格式十三：</w:t>
      </w:r>
      <w:r>
        <w:rPr>
          <w:rFonts w:hint="eastAsia" w:ascii="宋体" w:hAnsi="宋体" w:eastAsia="宋体" w:cs="宋体"/>
          <w:b/>
          <w:bCs/>
          <w:color w:val="auto"/>
          <w:spacing w:val="7"/>
          <w:sz w:val="22"/>
          <w:szCs w:val="22"/>
          <w:highlight w:val="none"/>
        </w:rPr>
        <w:t>危险性较大的分部分项工程清单及超过一定规模的危险性较大的</w:t>
      </w:r>
      <w:r>
        <w:rPr>
          <w:rFonts w:hint="eastAsia" w:ascii="宋体" w:hAnsi="宋体" w:eastAsia="宋体" w:cs="宋体"/>
          <w:b/>
          <w:bCs/>
          <w:color w:val="auto"/>
          <w:spacing w:val="5"/>
          <w:sz w:val="22"/>
          <w:szCs w:val="22"/>
          <w:highlight w:val="none"/>
        </w:rPr>
        <w:t>分部分项工程清单</w:t>
      </w:r>
      <w:bookmarkEnd w:id="259"/>
    </w:p>
    <w:p w14:paraId="5FEC912A">
      <w:pPr>
        <w:pStyle w:val="5"/>
        <w:spacing w:line="269" w:lineRule="auto"/>
        <w:rPr>
          <w:rFonts w:hint="eastAsia" w:ascii="宋体" w:hAnsi="宋体" w:eastAsia="宋体" w:cs="宋体"/>
          <w:color w:val="auto"/>
          <w:highlight w:val="none"/>
        </w:rPr>
      </w:pPr>
    </w:p>
    <w:p w14:paraId="6EABD07F">
      <w:pPr>
        <w:tabs>
          <w:tab w:val="left" w:pos="2940"/>
        </w:tabs>
        <w:spacing w:before="101" w:line="377" w:lineRule="auto"/>
        <w:ind w:left="3179" w:leftChars="0" w:right="41" w:hanging="3133" w:firstLineChars="0"/>
        <w:rPr>
          <w:rFonts w:hint="eastAsia" w:ascii="宋体" w:hAnsi="宋体" w:eastAsia="宋体" w:cs="宋体"/>
          <w:color w:val="auto"/>
          <w:sz w:val="31"/>
          <w:szCs w:val="31"/>
          <w:highlight w:val="none"/>
        </w:rPr>
      </w:pPr>
      <w:bookmarkStart w:id="260" w:name="bookmark160"/>
      <w:bookmarkEnd w:id="260"/>
      <w:bookmarkStart w:id="261" w:name="OLE_LINK41"/>
      <w:r>
        <w:rPr>
          <w:rFonts w:hint="eastAsia" w:ascii="宋体" w:hAnsi="宋体" w:eastAsia="宋体" w:cs="宋体"/>
          <w:b/>
          <w:bCs/>
          <w:color w:val="auto"/>
          <w:spacing w:val="7"/>
          <w:sz w:val="31"/>
          <w:szCs w:val="31"/>
          <w:highlight w:val="none"/>
        </w:rPr>
        <w:t>危险性较大的分部分项工程清单及超过一定规模的危险性较大的</w:t>
      </w:r>
      <w:r>
        <w:rPr>
          <w:rFonts w:hint="eastAsia" w:ascii="宋体" w:hAnsi="宋体" w:eastAsia="宋体" w:cs="宋体"/>
          <w:b/>
          <w:bCs/>
          <w:color w:val="auto"/>
          <w:spacing w:val="5"/>
          <w:sz w:val="31"/>
          <w:szCs w:val="31"/>
          <w:highlight w:val="none"/>
        </w:rPr>
        <w:t>分部分项工程清单</w:t>
      </w:r>
    </w:p>
    <w:bookmarkEnd w:id="261"/>
    <w:p w14:paraId="55824412">
      <w:pPr>
        <w:spacing w:before="6" w:line="326" w:lineRule="auto"/>
        <w:ind w:left="5"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1、根据中华人民共和国住房和城乡建设部令第37号《危险性较大的分部分项工程</w:t>
      </w:r>
      <w:r>
        <w:rPr>
          <w:rFonts w:hint="eastAsia" w:ascii="宋体" w:hAnsi="宋体" w:eastAsia="宋体" w:cs="宋体"/>
          <w:color w:val="auto"/>
          <w:spacing w:val="-2"/>
          <w:sz w:val="24"/>
          <w:szCs w:val="24"/>
          <w:highlight w:val="none"/>
        </w:rPr>
        <w:t>安全管理规定》（以下简称“37号文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投标人在投标时须补充完善危大工程清单并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明确相应的安全管理措施。</w:t>
      </w:r>
    </w:p>
    <w:p w14:paraId="62EB9ACD">
      <w:pPr>
        <w:spacing w:before="208" w:line="326"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2、招标人根据设计文件的要求及37号文、粤建规范〔2019〕2号文的规定列出“危险性较大的分部分项工程清单及超过一定规模的危</w:t>
      </w:r>
      <w:r>
        <w:rPr>
          <w:rFonts w:hint="eastAsia" w:ascii="宋体" w:hAnsi="宋体" w:eastAsia="宋体" w:cs="宋体"/>
          <w:color w:val="auto"/>
          <w:spacing w:val="-3"/>
          <w:sz w:val="24"/>
          <w:szCs w:val="24"/>
          <w:highlight w:val="none"/>
        </w:rPr>
        <w:t>险性较大的分部分项工程清单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本招标项目相关的清单项，具体详见第5点“打</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”标识。</w:t>
      </w:r>
    </w:p>
    <w:p w14:paraId="1777E0B3">
      <w:pPr>
        <w:spacing w:before="209" w:line="299" w:lineRule="auto"/>
        <w:ind w:left="3" w:right="72" w:firstLine="48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（1）投标单位同意建设单位在清单中标识的该</w:t>
      </w:r>
      <w:r>
        <w:rPr>
          <w:rFonts w:hint="eastAsia" w:ascii="宋体" w:hAnsi="宋体" w:eastAsia="宋体" w:cs="宋体"/>
          <w:color w:val="auto"/>
          <w:spacing w:val="-4"/>
          <w:sz w:val="24"/>
          <w:szCs w:val="24"/>
          <w:highlight w:val="none"/>
        </w:rPr>
        <w:t>项请在对应项打“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w:t>
      </w:r>
      <w:r>
        <w:rPr>
          <w:rFonts w:hint="eastAsia" w:ascii="宋体" w:hAnsi="宋体" w:eastAsia="宋体" w:cs="宋体"/>
          <w:color w:val="auto"/>
          <w:spacing w:val="-1"/>
          <w:sz w:val="24"/>
          <w:szCs w:val="24"/>
          <w:highlight w:val="none"/>
        </w:rPr>
        <w:t>投标文件中提供相应的安全管理措施。</w:t>
      </w:r>
    </w:p>
    <w:p w14:paraId="532F1DC7">
      <w:pPr>
        <w:spacing w:before="208" w:line="299" w:lineRule="auto"/>
        <w:ind w:left="2" w:right="72"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（2）投标单位对清单中认为需要补充的该项请</w:t>
      </w:r>
      <w:r>
        <w:rPr>
          <w:rFonts w:hint="eastAsia" w:ascii="宋体" w:hAnsi="宋体" w:eastAsia="宋体" w:cs="宋体"/>
          <w:color w:val="auto"/>
          <w:spacing w:val="-4"/>
          <w:sz w:val="24"/>
          <w:szCs w:val="24"/>
          <w:highlight w:val="none"/>
        </w:rPr>
        <w:t>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”标识，并与投标</w:t>
      </w:r>
      <w:r>
        <w:rPr>
          <w:rFonts w:hint="eastAsia" w:ascii="宋体" w:hAnsi="宋体" w:eastAsia="宋体" w:cs="宋体"/>
          <w:color w:val="auto"/>
          <w:spacing w:val="-1"/>
          <w:sz w:val="24"/>
          <w:szCs w:val="24"/>
          <w:highlight w:val="none"/>
        </w:rPr>
        <w:t>文件中提供相应的安全管理措施。</w:t>
      </w:r>
    </w:p>
    <w:p w14:paraId="46C88E8F">
      <w:pPr>
        <w:spacing w:before="210" w:line="300" w:lineRule="auto"/>
        <w:ind w:right="72" w:firstLine="49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（3）投标单位不同意建设单位在清单中标识的该项请在对应项打“</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”标识，并</w:t>
      </w:r>
      <w:r>
        <w:rPr>
          <w:rFonts w:hint="eastAsia" w:ascii="宋体" w:hAnsi="宋体" w:eastAsia="宋体" w:cs="宋体"/>
          <w:color w:val="auto"/>
          <w:spacing w:val="-1"/>
          <w:sz w:val="24"/>
          <w:szCs w:val="24"/>
          <w:highlight w:val="none"/>
        </w:rPr>
        <w:t>在备注栏填上相关说明。</w:t>
      </w:r>
    </w:p>
    <w:p w14:paraId="06B1C9C1">
      <w:pPr>
        <w:spacing w:before="207" w:line="371" w:lineRule="auto"/>
        <w:ind w:firstLine="484"/>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rPr>
        <w:t>3、投标单位应当在投标时根据招标人提供的下述第5点清单，</w:t>
      </w:r>
      <w:r>
        <w:rPr>
          <w:rFonts w:hint="eastAsia" w:ascii="宋体" w:hAnsi="宋体" w:eastAsia="宋体" w:cs="宋体"/>
          <w:b/>
          <w:bCs/>
          <w:color w:val="auto"/>
          <w:spacing w:val="-5"/>
          <w:sz w:val="24"/>
          <w:szCs w:val="24"/>
          <w:highlight w:val="none"/>
          <w:u w:val="single"/>
        </w:rPr>
        <w:t>在投标施工组织中回</w:t>
      </w:r>
      <w:r>
        <w:rPr>
          <w:rFonts w:hint="eastAsia" w:ascii="宋体" w:hAnsi="宋体" w:eastAsia="宋体" w:cs="宋体"/>
          <w:b/>
          <w:bCs/>
          <w:color w:val="auto"/>
          <w:spacing w:val="-4"/>
          <w:sz w:val="24"/>
          <w:szCs w:val="24"/>
          <w:highlight w:val="none"/>
          <w:u w:val="single"/>
        </w:rPr>
        <w:t>应建设单位提供的危大工程清单，补充相应的安全管理措施。（为减轻标书编制</w:t>
      </w:r>
      <w:r>
        <w:rPr>
          <w:rFonts w:hint="eastAsia" w:ascii="宋体" w:hAnsi="宋体" w:eastAsia="宋体" w:cs="宋体"/>
          <w:b/>
          <w:bCs/>
          <w:color w:val="auto"/>
          <w:spacing w:val="-5"/>
          <w:sz w:val="24"/>
          <w:szCs w:val="24"/>
          <w:highlight w:val="none"/>
          <w:u w:val="single"/>
        </w:rPr>
        <w:t>的工作</w:t>
      </w:r>
      <w:r>
        <w:rPr>
          <w:rFonts w:hint="eastAsia" w:ascii="宋体" w:hAnsi="宋体" w:eastAsia="宋体" w:cs="宋体"/>
          <w:b/>
          <w:bCs/>
          <w:color w:val="auto"/>
          <w:spacing w:val="-2"/>
          <w:sz w:val="24"/>
          <w:szCs w:val="24"/>
          <w:highlight w:val="none"/>
          <w:u w:val="single"/>
        </w:rPr>
        <w:t>量，投标单位回应的危大工程清单该部分的页数应控制在3页内）</w:t>
      </w:r>
    </w:p>
    <w:p w14:paraId="1A8754C5">
      <w:pPr>
        <w:spacing w:before="33" w:line="326" w:lineRule="auto"/>
        <w:ind w:left="1"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4、对于超过一定规模的危大工程，中标单位应当组织召开</w:t>
      </w:r>
      <w:r>
        <w:rPr>
          <w:rFonts w:hint="eastAsia" w:ascii="宋体" w:hAnsi="宋体" w:eastAsia="宋体" w:cs="宋体"/>
          <w:color w:val="auto"/>
          <w:spacing w:val="-1"/>
          <w:sz w:val="24"/>
          <w:szCs w:val="24"/>
          <w:highlight w:val="none"/>
        </w:rPr>
        <w:t>专家论证会对专项施工</w:t>
      </w:r>
      <w:r>
        <w:rPr>
          <w:rFonts w:hint="eastAsia" w:ascii="宋体" w:hAnsi="宋体" w:eastAsia="宋体" w:cs="宋体"/>
          <w:color w:val="auto"/>
          <w:spacing w:val="-2"/>
          <w:sz w:val="24"/>
          <w:szCs w:val="24"/>
          <w:highlight w:val="none"/>
        </w:rPr>
        <w:t>方案进行论证。实行施工总承包的，由施工总承包单位组织召开专家论证会。专家论证</w:t>
      </w:r>
      <w:r>
        <w:rPr>
          <w:rFonts w:hint="eastAsia" w:ascii="宋体" w:hAnsi="宋体" w:eastAsia="宋体" w:cs="宋体"/>
          <w:color w:val="auto"/>
          <w:spacing w:val="-1"/>
          <w:sz w:val="24"/>
          <w:szCs w:val="24"/>
          <w:highlight w:val="none"/>
        </w:rPr>
        <w:t>前专项施工方案应当通过施工总承包单位审核和总监理工程师审查。</w:t>
      </w:r>
    </w:p>
    <w:p w14:paraId="286C5AA0">
      <w:pPr>
        <w:spacing w:before="208" w:line="301" w:lineRule="auto"/>
        <w:ind w:firstLine="484"/>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5、危险性较大的分部分项工程清单及超过一</w:t>
      </w:r>
      <w:r>
        <w:rPr>
          <w:rFonts w:hint="eastAsia" w:ascii="宋体" w:hAnsi="宋体" w:eastAsia="宋体" w:cs="宋体"/>
          <w:color w:val="auto"/>
          <w:spacing w:val="1"/>
          <w:sz w:val="24"/>
          <w:szCs w:val="24"/>
          <w:highlight w:val="none"/>
        </w:rPr>
        <w:t>定规模的危险性较大的分部分项工程</w:t>
      </w:r>
      <w:r>
        <w:rPr>
          <w:rFonts w:hint="eastAsia" w:ascii="宋体" w:hAnsi="宋体" w:eastAsia="宋体" w:cs="宋体"/>
          <w:color w:val="auto"/>
          <w:spacing w:val="-4"/>
          <w:sz w:val="24"/>
          <w:szCs w:val="24"/>
          <w:highlight w:val="none"/>
        </w:rPr>
        <w:t>清单</w:t>
      </w:r>
    </w:p>
    <w:p w14:paraId="4F321392">
      <w:pPr>
        <w:spacing w:before="40"/>
        <w:rPr>
          <w:rFonts w:hint="eastAsia" w:ascii="宋体" w:hAnsi="宋体" w:eastAsia="宋体" w:cs="宋体"/>
          <w:color w:val="auto"/>
          <w:highlight w:val="none"/>
        </w:rPr>
      </w:pPr>
    </w:p>
    <w:tbl>
      <w:tblPr>
        <w:tblStyle w:val="14"/>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862"/>
        <w:gridCol w:w="1294"/>
        <w:gridCol w:w="1294"/>
        <w:gridCol w:w="2428"/>
      </w:tblGrid>
      <w:tr w14:paraId="08049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13FF639">
            <w:pPr>
              <w:spacing w:before="133" w:line="220" w:lineRule="auto"/>
              <w:ind w:firstLine="235" w:firstLineChars="10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3"/>
                <w:sz w:val="24"/>
                <w:szCs w:val="24"/>
                <w:highlight w:val="none"/>
              </w:rPr>
              <w:t>一、危险性较大的分部分项工程清单</w:t>
            </w:r>
          </w:p>
        </w:tc>
        <w:tc>
          <w:tcPr>
            <w:tcW w:w="1294" w:type="dxa"/>
            <w:vAlign w:val="top"/>
          </w:tcPr>
          <w:p w14:paraId="32B482FC">
            <w:pPr>
              <w:spacing w:before="133" w:line="221" w:lineRule="auto"/>
              <w:ind w:left="20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0B53FEAA">
            <w:pPr>
              <w:spacing w:before="133" w:line="221" w:lineRule="auto"/>
              <w:ind w:left="205" w:leftChars="0"/>
              <w:rPr>
                <w:rFonts w:hint="eastAsia" w:ascii="宋体" w:hAnsi="宋体" w:eastAsia="宋体" w:cs="宋体"/>
                <w:color w:val="auto"/>
                <w:spacing w:val="-19"/>
                <w:w w:val="94"/>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0FD07F10">
            <w:pPr>
              <w:spacing w:before="133" w:line="222" w:lineRule="auto"/>
              <w:ind w:left="360" w:leftChars="0"/>
              <w:rPr>
                <w:rFonts w:hint="eastAsia" w:ascii="宋体" w:hAnsi="宋体" w:eastAsia="宋体" w:cs="宋体"/>
                <w:color w:val="auto"/>
                <w:highlight w:val="none"/>
              </w:rPr>
            </w:pPr>
            <w:r>
              <w:rPr>
                <w:rFonts w:hint="eastAsia" w:ascii="宋体" w:hAnsi="宋体" w:eastAsia="宋体" w:cs="宋体"/>
                <w:color w:val="auto"/>
                <w:spacing w:val="-7"/>
                <w:sz w:val="24"/>
                <w:szCs w:val="24"/>
                <w:highlight w:val="none"/>
              </w:rPr>
              <w:t>备注</w:t>
            </w:r>
          </w:p>
        </w:tc>
      </w:tr>
      <w:tr w14:paraId="41C45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0DB86A5">
            <w:pPr>
              <w:spacing w:before="128" w:line="221" w:lineRule="auto"/>
              <w:ind w:left="120"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一、基坑支护</w:t>
            </w:r>
          </w:p>
        </w:tc>
        <w:tc>
          <w:tcPr>
            <w:tcW w:w="1294" w:type="dxa"/>
            <w:vAlign w:val="top"/>
          </w:tcPr>
          <w:p w14:paraId="15175B8A">
            <w:pPr>
              <w:spacing w:before="12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bookmarkStart w:id="262" w:name="OLE_LINK39"/>
            <w:r>
              <w:rPr>
                <w:rFonts w:hint="eastAsia" w:ascii="宋体" w:hAnsi="宋体" w:eastAsia="宋体" w:cs="宋体"/>
                <w:color w:val="auto"/>
                <w:spacing w:val="5"/>
                <w:sz w:val="24"/>
                <w:szCs w:val="24"/>
                <w:highlight w:val="none"/>
              </w:rPr>
              <w:t xml:space="preserve">  </w:t>
            </w:r>
            <w:bookmarkEnd w:id="262"/>
            <w:r>
              <w:rPr>
                <w:rFonts w:hint="eastAsia" w:ascii="宋体" w:hAnsi="宋体" w:eastAsia="宋体" w:cs="宋体"/>
                <w:color w:val="auto"/>
                <w:spacing w:val="-19"/>
                <w:w w:val="94"/>
                <w:sz w:val="24"/>
                <w:szCs w:val="24"/>
                <w:highlight w:val="none"/>
              </w:rPr>
              <w:t>)</w:t>
            </w:r>
          </w:p>
        </w:tc>
        <w:tc>
          <w:tcPr>
            <w:tcW w:w="1294" w:type="dxa"/>
            <w:vAlign w:val="top"/>
          </w:tcPr>
          <w:p w14:paraId="5EE2CFC1">
            <w:pPr>
              <w:spacing w:before="12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2397DF2">
            <w:pPr>
              <w:pStyle w:val="19"/>
              <w:rPr>
                <w:rFonts w:hint="eastAsia" w:ascii="宋体" w:hAnsi="宋体" w:eastAsia="宋体" w:cs="宋体"/>
                <w:color w:val="auto"/>
                <w:highlight w:val="none"/>
              </w:rPr>
            </w:pPr>
          </w:p>
        </w:tc>
      </w:tr>
      <w:tr w14:paraId="2577C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1644696">
            <w:pPr>
              <w:spacing w:before="129" w:line="328" w:lineRule="auto"/>
              <w:ind w:left="135" w:leftChars="0" w:right="68" w:rightChars="0" w:hanging="8"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（一）开挖深度超过</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3m（含</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3m）的基坑（槽）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的土方开挖、支护、降水工程。</w:t>
            </w:r>
          </w:p>
        </w:tc>
        <w:tc>
          <w:tcPr>
            <w:tcW w:w="1294" w:type="dxa"/>
            <w:vAlign w:val="top"/>
          </w:tcPr>
          <w:p w14:paraId="46E539E5">
            <w:pPr>
              <w:pStyle w:val="19"/>
              <w:spacing w:line="297" w:lineRule="auto"/>
              <w:rPr>
                <w:rFonts w:hint="eastAsia" w:ascii="宋体" w:hAnsi="宋体" w:eastAsia="宋体" w:cs="宋体"/>
                <w:color w:val="auto"/>
                <w:highlight w:val="none"/>
              </w:rPr>
            </w:pPr>
          </w:p>
          <w:p w14:paraId="2FE44D95">
            <w:pPr>
              <w:spacing w:before="78" w:line="223" w:lineRule="auto"/>
              <w:ind w:left="39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7378AF9">
            <w:pPr>
              <w:pStyle w:val="19"/>
              <w:spacing w:line="297" w:lineRule="auto"/>
              <w:rPr>
                <w:rFonts w:hint="eastAsia" w:ascii="宋体" w:hAnsi="宋体" w:eastAsia="宋体" w:cs="宋体"/>
                <w:color w:val="auto"/>
                <w:highlight w:val="none"/>
              </w:rPr>
            </w:pPr>
          </w:p>
          <w:p w14:paraId="26DD1F15">
            <w:pPr>
              <w:spacing w:before="7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C4053BF">
            <w:pPr>
              <w:pStyle w:val="19"/>
              <w:rPr>
                <w:rFonts w:hint="eastAsia" w:ascii="宋体" w:hAnsi="宋体" w:eastAsia="宋体" w:cs="宋体"/>
                <w:color w:val="auto"/>
                <w:highlight w:val="none"/>
              </w:rPr>
            </w:pPr>
          </w:p>
        </w:tc>
      </w:tr>
      <w:tr w14:paraId="65D88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11301A0">
            <w:pPr>
              <w:spacing w:before="132" w:line="354" w:lineRule="auto"/>
              <w:ind w:left="116" w:right="108" w:firstLine="11"/>
              <w:jc w:val="both"/>
              <w:rPr>
                <w:rFonts w:hint="eastAsia" w:ascii="宋体" w:hAnsi="宋体" w:eastAsia="宋体" w:cs="宋体"/>
                <w:color w:val="auto"/>
                <w:sz w:val="24"/>
                <w:szCs w:val="24"/>
                <w:highlight w:val="none"/>
              </w:rPr>
            </w:pPr>
            <w:bookmarkStart w:id="263" w:name="bookmark161"/>
            <w:bookmarkEnd w:id="263"/>
            <w:r>
              <w:rPr>
                <w:rFonts w:hint="eastAsia" w:ascii="宋体" w:hAnsi="宋体" w:eastAsia="宋体" w:cs="宋体"/>
                <w:color w:val="auto"/>
                <w:spacing w:val="-2"/>
                <w:sz w:val="24"/>
                <w:szCs w:val="24"/>
                <w:highlight w:val="none"/>
              </w:rPr>
              <w:t>（二）开挖深度虽未超过</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3m，但地质条件、周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围环境和地下管线复杂，或影响毗邻建、构筑</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物安全的基坑（槽）的土方开挖、支护、降水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工程。</w:t>
            </w:r>
          </w:p>
        </w:tc>
        <w:tc>
          <w:tcPr>
            <w:tcW w:w="1294" w:type="dxa"/>
            <w:vAlign w:val="top"/>
          </w:tcPr>
          <w:p w14:paraId="318F5705">
            <w:pPr>
              <w:pStyle w:val="19"/>
              <w:spacing w:line="263" w:lineRule="auto"/>
              <w:rPr>
                <w:rFonts w:hint="eastAsia" w:ascii="宋体" w:hAnsi="宋体" w:eastAsia="宋体" w:cs="宋体"/>
                <w:color w:val="auto"/>
                <w:highlight w:val="none"/>
              </w:rPr>
            </w:pPr>
          </w:p>
          <w:p w14:paraId="4DD46F75">
            <w:pPr>
              <w:pStyle w:val="19"/>
              <w:spacing w:line="263" w:lineRule="auto"/>
              <w:rPr>
                <w:rFonts w:hint="eastAsia" w:ascii="宋体" w:hAnsi="宋体" w:eastAsia="宋体" w:cs="宋体"/>
                <w:color w:val="auto"/>
                <w:highlight w:val="none"/>
              </w:rPr>
            </w:pPr>
          </w:p>
          <w:p w14:paraId="510C9ECF">
            <w:pPr>
              <w:pStyle w:val="19"/>
              <w:spacing w:line="264" w:lineRule="auto"/>
              <w:rPr>
                <w:rFonts w:hint="eastAsia" w:ascii="宋体" w:hAnsi="宋体" w:eastAsia="宋体" w:cs="宋体"/>
                <w:color w:val="auto"/>
                <w:highlight w:val="none"/>
              </w:rPr>
            </w:pPr>
          </w:p>
          <w:p w14:paraId="5A3E0BFD">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bookmarkStart w:id="264" w:name="OLE_LINK40"/>
            <w:r>
              <w:rPr>
                <w:rFonts w:hint="eastAsia" w:ascii="宋体" w:hAnsi="宋体" w:eastAsia="宋体" w:cs="宋体"/>
                <w:color w:val="auto"/>
                <w:spacing w:val="2"/>
                <w:sz w:val="24"/>
                <w:szCs w:val="24"/>
                <w:highlight w:val="none"/>
              </w:rPr>
              <w:t xml:space="preserve">     </w:t>
            </w:r>
            <w:bookmarkEnd w:id="264"/>
            <w:r>
              <w:rPr>
                <w:rFonts w:hint="eastAsia" w:ascii="宋体" w:hAnsi="宋体" w:eastAsia="宋体" w:cs="宋体"/>
                <w:color w:val="auto"/>
                <w:spacing w:val="-19"/>
                <w:w w:val="94"/>
                <w:sz w:val="24"/>
                <w:szCs w:val="24"/>
                <w:highlight w:val="none"/>
              </w:rPr>
              <w:t>)</w:t>
            </w:r>
          </w:p>
        </w:tc>
        <w:tc>
          <w:tcPr>
            <w:tcW w:w="1294" w:type="dxa"/>
            <w:vAlign w:val="top"/>
          </w:tcPr>
          <w:p w14:paraId="331CCA6E">
            <w:pPr>
              <w:pStyle w:val="19"/>
              <w:spacing w:line="263" w:lineRule="auto"/>
              <w:rPr>
                <w:rFonts w:hint="eastAsia" w:ascii="宋体" w:hAnsi="宋体" w:eastAsia="宋体" w:cs="宋体"/>
                <w:color w:val="auto"/>
                <w:highlight w:val="none"/>
              </w:rPr>
            </w:pPr>
          </w:p>
          <w:p w14:paraId="2214A0FE">
            <w:pPr>
              <w:pStyle w:val="19"/>
              <w:spacing w:line="263" w:lineRule="auto"/>
              <w:rPr>
                <w:rFonts w:hint="eastAsia" w:ascii="宋体" w:hAnsi="宋体" w:eastAsia="宋体" w:cs="宋体"/>
                <w:color w:val="auto"/>
                <w:highlight w:val="none"/>
              </w:rPr>
            </w:pPr>
          </w:p>
          <w:p w14:paraId="3F94AD03">
            <w:pPr>
              <w:pStyle w:val="19"/>
              <w:spacing w:line="264" w:lineRule="auto"/>
              <w:rPr>
                <w:rFonts w:hint="eastAsia" w:ascii="宋体" w:hAnsi="宋体" w:eastAsia="宋体" w:cs="宋体"/>
                <w:color w:val="auto"/>
                <w:highlight w:val="none"/>
              </w:rPr>
            </w:pPr>
          </w:p>
          <w:p w14:paraId="668D02E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D3978E5">
            <w:pPr>
              <w:pStyle w:val="19"/>
              <w:rPr>
                <w:rFonts w:hint="eastAsia" w:ascii="宋体" w:hAnsi="宋体" w:eastAsia="宋体" w:cs="宋体"/>
                <w:color w:val="auto"/>
                <w:highlight w:val="none"/>
              </w:rPr>
            </w:pPr>
          </w:p>
        </w:tc>
      </w:tr>
      <w:tr w14:paraId="38AA3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2CBA170">
            <w:pPr>
              <w:spacing w:before="128"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3CEFEF62">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AE2CE95">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370D1F7">
            <w:pPr>
              <w:pStyle w:val="19"/>
              <w:rPr>
                <w:rFonts w:hint="eastAsia" w:ascii="宋体" w:hAnsi="宋体" w:eastAsia="宋体" w:cs="宋体"/>
                <w:color w:val="auto"/>
                <w:highlight w:val="none"/>
              </w:rPr>
            </w:pPr>
          </w:p>
        </w:tc>
      </w:tr>
      <w:tr w14:paraId="3E374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C20CCD3">
            <w:pPr>
              <w:spacing w:before="128" w:line="328"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14D3EF2C">
            <w:pPr>
              <w:pStyle w:val="19"/>
              <w:spacing w:line="293" w:lineRule="auto"/>
              <w:rPr>
                <w:rFonts w:hint="eastAsia" w:ascii="宋体" w:hAnsi="宋体" w:eastAsia="宋体" w:cs="宋体"/>
                <w:color w:val="auto"/>
                <w:highlight w:val="none"/>
              </w:rPr>
            </w:pPr>
          </w:p>
          <w:p w14:paraId="769D8DD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60E9E7F">
            <w:pPr>
              <w:pStyle w:val="19"/>
              <w:spacing w:line="293" w:lineRule="auto"/>
              <w:rPr>
                <w:rFonts w:hint="eastAsia" w:ascii="宋体" w:hAnsi="宋体" w:eastAsia="宋体" w:cs="宋体"/>
                <w:color w:val="auto"/>
                <w:highlight w:val="none"/>
              </w:rPr>
            </w:pPr>
          </w:p>
          <w:p w14:paraId="70CC2D08">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3C33AB0">
            <w:pPr>
              <w:pStyle w:val="19"/>
              <w:rPr>
                <w:rFonts w:hint="eastAsia" w:ascii="宋体" w:hAnsi="宋体" w:eastAsia="宋体" w:cs="宋体"/>
                <w:color w:val="auto"/>
                <w:highlight w:val="none"/>
              </w:rPr>
            </w:pPr>
          </w:p>
        </w:tc>
      </w:tr>
      <w:tr w14:paraId="4F282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57ACF12">
            <w:pPr>
              <w:spacing w:before="131" w:line="362" w:lineRule="auto"/>
              <w:ind w:left="115" w:right="105" w:firstLine="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（二）混凝土模板支撑工程：搭设高度</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5"/>
                <w:sz w:val="24"/>
                <w:szCs w:val="24"/>
                <w:highlight w:val="none"/>
              </w:rPr>
              <w:t>5m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上，或搭设跨度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0"/>
                <w:sz w:val="24"/>
                <w:szCs w:val="24"/>
                <w:highlight w:val="none"/>
              </w:rPr>
              <w:t>及以上，或施工总荷</w:t>
            </w:r>
            <w:r>
              <w:rPr>
                <w:rFonts w:hint="eastAsia" w:ascii="宋体" w:hAnsi="宋体" w:eastAsia="宋体" w:cs="宋体"/>
                <w:color w:val="auto"/>
                <w:spacing w:val="-11"/>
                <w:sz w:val="24"/>
                <w:szCs w:val="24"/>
                <w:highlight w:val="none"/>
              </w:rPr>
              <w:t>载（荷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载效应基本组合的设计值，以下简称设计值）</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4"/>
                <w:sz w:val="24"/>
                <w:szCs w:val="24"/>
                <w:highlight w:val="none"/>
              </w:rPr>
              <w:t>10kN/m2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4"/>
                <w:sz w:val="24"/>
                <w:szCs w:val="24"/>
                <w:highlight w:val="none"/>
              </w:rPr>
              <w:t>及以上，或集中线荷载（设计值）15kN/m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及以上，或高度大于支撑水平投影宽度且相对</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独立无联系构件的混凝土模板支撑工程。</w:t>
            </w:r>
          </w:p>
        </w:tc>
        <w:tc>
          <w:tcPr>
            <w:tcW w:w="1294" w:type="dxa"/>
            <w:vAlign w:val="top"/>
          </w:tcPr>
          <w:p w14:paraId="64629F8F">
            <w:pPr>
              <w:pStyle w:val="19"/>
              <w:spacing w:line="255" w:lineRule="auto"/>
              <w:rPr>
                <w:rFonts w:hint="eastAsia" w:ascii="宋体" w:hAnsi="宋体" w:eastAsia="宋体" w:cs="宋体"/>
                <w:color w:val="auto"/>
                <w:highlight w:val="none"/>
              </w:rPr>
            </w:pPr>
          </w:p>
          <w:p w14:paraId="48D17AC4">
            <w:pPr>
              <w:pStyle w:val="19"/>
              <w:spacing w:line="255" w:lineRule="auto"/>
              <w:rPr>
                <w:rFonts w:hint="eastAsia" w:ascii="宋体" w:hAnsi="宋体" w:eastAsia="宋体" w:cs="宋体"/>
                <w:color w:val="auto"/>
                <w:highlight w:val="none"/>
              </w:rPr>
            </w:pPr>
          </w:p>
          <w:p w14:paraId="1F101B90">
            <w:pPr>
              <w:pStyle w:val="19"/>
              <w:spacing w:line="255" w:lineRule="auto"/>
              <w:rPr>
                <w:rFonts w:hint="eastAsia" w:ascii="宋体" w:hAnsi="宋体" w:eastAsia="宋体" w:cs="宋体"/>
                <w:color w:val="auto"/>
                <w:highlight w:val="none"/>
              </w:rPr>
            </w:pPr>
          </w:p>
          <w:p w14:paraId="6279DC8B">
            <w:pPr>
              <w:pStyle w:val="19"/>
              <w:spacing w:line="255" w:lineRule="auto"/>
              <w:rPr>
                <w:rFonts w:hint="eastAsia" w:ascii="宋体" w:hAnsi="宋体" w:eastAsia="宋体" w:cs="宋体"/>
                <w:color w:val="auto"/>
                <w:highlight w:val="none"/>
              </w:rPr>
            </w:pPr>
          </w:p>
          <w:p w14:paraId="76BD5DD6">
            <w:pPr>
              <w:pStyle w:val="19"/>
              <w:spacing w:line="256" w:lineRule="auto"/>
              <w:rPr>
                <w:rFonts w:hint="eastAsia" w:ascii="宋体" w:hAnsi="宋体" w:eastAsia="宋体" w:cs="宋体"/>
                <w:color w:val="auto"/>
                <w:highlight w:val="none"/>
              </w:rPr>
            </w:pPr>
          </w:p>
          <w:p w14:paraId="6AC9B491">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D092F28">
            <w:pPr>
              <w:pStyle w:val="19"/>
              <w:spacing w:line="255" w:lineRule="auto"/>
              <w:rPr>
                <w:rFonts w:hint="eastAsia" w:ascii="宋体" w:hAnsi="宋体" w:eastAsia="宋体" w:cs="宋体"/>
                <w:color w:val="auto"/>
                <w:highlight w:val="none"/>
              </w:rPr>
            </w:pPr>
          </w:p>
          <w:p w14:paraId="62D46ACF">
            <w:pPr>
              <w:pStyle w:val="19"/>
              <w:spacing w:line="255" w:lineRule="auto"/>
              <w:rPr>
                <w:rFonts w:hint="eastAsia" w:ascii="宋体" w:hAnsi="宋体" w:eastAsia="宋体" w:cs="宋体"/>
                <w:color w:val="auto"/>
                <w:highlight w:val="none"/>
              </w:rPr>
            </w:pPr>
          </w:p>
          <w:p w14:paraId="42FB2207">
            <w:pPr>
              <w:pStyle w:val="19"/>
              <w:spacing w:line="255" w:lineRule="auto"/>
              <w:rPr>
                <w:rFonts w:hint="eastAsia" w:ascii="宋体" w:hAnsi="宋体" w:eastAsia="宋体" w:cs="宋体"/>
                <w:color w:val="auto"/>
                <w:highlight w:val="none"/>
              </w:rPr>
            </w:pPr>
          </w:p>
          <w:p w14:paraId="0938891B">
            <w:pPr>
              <w:pStyle w:val="19"/>
              <w:spacing w:line="255" w:lineRule="auto"/>
              <w:rPr>
                <w:rFonts w:hint="eastAsia" w:ascii="宋体" w:hAnsi="宋体" w:eastAsia="宋体" w:cs="宋体"/>
                <w:color w:val="auto"/>
                <w:highlight w:val="none"/>
              </w:rPr>
            </w:pPr>
          </w:p>
          <w:p w14:paraId="0598983D">
            <w:pPr>
              <w:pStyle w:val="19"/>
              <w:spacing w:line="256" w:lineRule="auto"/>
              <w:rPr>
                <w:rFonts w:hint="eastAsia" w:ascii="宋体" w:hAnsi="宋体" w:eastAsia="宋体" w:cs="宋体"/>
                <w:color w:val="auto"/>
                <w:highlight w:val="none"/>
              </w:rPr>
            </w:pPr>
          </w:p>
          <w:p w14:paraId="7A4AF41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F24EF2B">
            <w:pPr>
              <w:pStyle w:val="19"/>
              <w:rPr>
                <w:rFonts w:hint="eastAsia" w:ascii="宋体" w:hAnsi="宋体" w:eastAsia="宋体" w:cs="宋体"/>
                <w:color w:val="auto"/>
                <w:highlight w:val="none"/>
              </w:rPr>
            </w:pPr>
          </w:p>
        </w:tc>
      </w:tr>
      <w:tr w14:paraId="4C368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7576197">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支撑体系。</w:t>
            </w:r>
          </w:p>
        </w:tc>
        <w:tc>
          <w:tcPr>
            <w:tcW w:w="1294" w:type="dxa"/>
            <w:vAlign w:val="top"/>
          </w:tcPr>
          <w:p w14:paraId="7810A470">
            <w:pPr>
              <w:pStyle w:val="19"/>
              <w:spacing w:line="296" w:lineRule="auto"/>
              <w:rPr>
                <w:rFonts w:hint="eastAsia" w:ascii="宋体" w:hAnsi="宋体" w:eastAsia="宋体" w:cs="宋体"/>
                <w:color w:val="auto"/>
                <w:highlight w:val="none"/>
              </w:rPr>
            </w:pPr>
          </w:p>
          <w:p w14:paraId="68C0B36E">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5AB6763">
            <w:pPr>
              <w:pStyle w:val="19"/>
              <w:spacing w:line="296" w:lineRule="auto"/>
              <w:rPr>
                <w:rFonts w:hint="eastAsia" w:ascii="宋体" w:hAnsi="宋体" w:eastAsia="宋体" w:cs="宋体"/>
                <w:color w:val="auto"/>
                <w:highlight w:val="none"/>
              </w:rPr>
            </w:pPr>
          </w:p>
          <w:p w14:paraId="087F01F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8776D85">
            <w:pPr>
              <w:pStyle w:val="19"/>
              <w:rPr>
                <w:rFonts w:hint="eastAsia" w:ascii="宋体" w:hAnsi="宋体" w:eastAsia="宋体" w:cs="宋体"/>
                <w:color w:val="auto"/>
                <w:highlight w:val="none"/>
              </w:rPr>
            </w:pPr>
          </w:p>
        </w:tc>
      </w:tr>
      <w:tr w14:paraId="2BD07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9FDD05E">
            <w:pPr>
              <w:spacing w:before="130"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74CFD6B1">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6615E6D">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74DFE58">
            <w:pPr>
              <w:pStyle w:val="19"/>
              <w:rPr>
                <w:rFonts w:hint="eastAsia" w:ascii="宋体" w:hAnsi="宋体" w:eastAsia="宋体" w:cs="宋体"/>
                <w:color w:val="auto"/>
                <w:highlight w:val="none"/>
              </w:rPr>
            </w:pPr>
          </w:p>
        </w:tc>
      </w:tr>
      <w:tr w14:paraId="17D0C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33F2A18">
            <w:pPr>
              <w:spacing w:before="131" w:line="327"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2A4EF1CF">
            <w:pPr>
              <w:pStyle w:val="19"/>
              <w:spacing w:line="297" w:lineRule="auto"/>
              <w:rPr>
                <w:rFonts w:hint="eastAsia" w:ascii="宋体" w:hAnsi="宋体" w:eastAsia="宋体" w:cs="宋体"/>
                <w:color w:val="auto"/>
                <w:highlight w:val="none"/>
              </w:rPr>
            </w:pPr>
          </w:p>
          <w:p w14:paraId="3B839CE1">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0C10DC8">
            <w:pPr>
              <w:pStyle w:val="19"/>
              <w:spacing w:line="297" w:lineRule="auto"/>
              <w:rPr>
                <w:rFonts w:hint="eastAsia" w:ascii="宋体" w:hAnsi="宋体" w:eastAsia="宋体" w:cs="宋体"/>
                <w:color w:val="auto"/>
                <w:highlight w:val="none"/>
              </w:rPr>
            </w:pPr>
          </w:p>
          <w:p w14:paraId="3938707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E3E4A91">
            <w:pPr>
              <w:pStyle w:val="19"/>
              <w:rPr>
                <w:rFonts w:hint="eastAsia" w:ascii="宋体" w:hAnsi="宋体" w:eastAsia="宋体" w:cs="宋体"/>
                <w:color w:val="auto"/>
                <w:highlight w:val="none"/>
              </w:rPr>
            </w:pPr>
          </w:p>
        </w:tc>
      </w:tr>
      <w:tr w14:paraId="1F892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98F8200">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（二）采用起重机械进行安装的工程。</w:t>
            </w:r>
          </w:p>
        </w:tc>
        <w:tc>
          <w:tcPr>
            <w:tcW w:w="1294" w:type="dxa"/>
            <w:vAlign w:val="top"/>
          </w:tcPr>
          <w:p w14:paraId="64A37D04">
            <w:pPr>
              <w:spacing w:before="131"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E66DE2A">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5EF6630">
            <w:pPr>
              <w:pStyle w:val="19"/>
              <w:rPr>
                <w:rFonts w:hint="eastAsia" w:ascii="宋体" w:hAnsi="宋体" w:eastAsia="宋体" w:cs="宋体"/>
                <w:color w:val="auto"/>
                <w:highlight w:val="none"/>
              </w:rPr>
            </w:pPr>
          </w:p>
        </w:tc>
      </w:tr>
      <w:tr w14:paraId="244C2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C72B055">
            <w:pPr>
              <w:spacing w:before="130"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（三）起重机械安装和拆卸工程。</w:t>
            </w:r>
          </w:p>
        </w:tc>
        <w:tc>
          <w:tcPr>
            <w:tcW w:w="1294" w:type="dxa"/>
            <w:vAlign w:val="top"/>
          </w:tcPr>
          <w:p w14:paraId="5DB914AA">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E1864D3">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28A558E">
            <w:pPr>
              <w:pStyle w:val="19"/>
              <w:rPr>
                <w:rFonts w:hint="eastAsia" w:ascii="宋体" w:hAnsi="宋体" w:eastAsia="宋体" w:cs="宋体"/>
                <w:color w:val="auto"/>
                <w:highlight w:val="none"/>
              </w:rPr>
            </w:pPr>
          </w:p>
        </w:tc>
      </w:tr>
      <w:tr w14:paraId="69885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294D1D7">
            <w:pPr>
              <w:spacing w:before="131"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1E347851">
            <w:pPr>
              <w:spacing w:before="130"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05E6A52">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5AA7338">
            <w:pPr>
              <w:pStyle w:val="19"/>
              <w:rPr>
                <w:rFonts w:hint="eastAsia" w:ascii="宋体" w:hAnsi="宋体" w:eastAsia="宋体" w:cs="宋体"/>
                <w:color w:val="auto"/>
                <w:highlight w:val="none"/>
              </w:rPr>
            </w:pPr>
          </w:p>
        </w:tc>
      </w:tr>
      <w:tr w14:paraId="60B02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6C310C1">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24m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架工程（包括采光井、电梯井脚手架）。</w:t>
            </w:r>
          </w:p>
        </w:tc>
        <w:tc>
          <w:tcPr>
            <w:tcW w:w="1294" w:type="dxa"/>
            <w:vAlign w:val="top"/>
          </w:tcPr>
          <w:p w14:paraId="79974793">
            <w:pPr>
              <w:pStyle w:val="19"/>
              <w:spacing w:line="297" w:lineRule="auto"/>
              <w:rPr>
                <w:rFonts w:hint="eastAsia" w:ascii="宋体" w:hAnsi="宋体" w:eastAsia="宋体" w:cs="宋体"/>
                <w:color w:val="auto"/>
                <w:highlight w:val="none"/>
              </w:rPr>
            </w:pPr>
          </w:p>
          <w:p w14:paraId="6818A7E1">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8A9ED47">
            <w:pPr>
              <w:pStyle w:val="19"/>
              <w:spacing w:line="297" w:lineRule="auto"/>
              <w:rPr>
                <w:rFonts w:hint="eastAsia" w:ascii="宋体" w:hAnsi="宋体" w:eastAsia="宋体" w:cs="宋体"/>
                <w:color w:val="auto"/>
                <w:highlight w:val="none"/>
              </w:rPr>
            </w:pPr>
          </w:p>
          <w:p w14:paraId="29859FC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D093D09">
            <w:pPr>
              <w:pStyle w:val="19"/>
              <w:rPr>
                <w:rFonts w:hint="eastAsia" w:ascii="宋体" w:hAnsi="宋体" w:eastAsia="宋体" w:cs="宋体"/>
                <w:color w:val="auto"/>
                <w:highlight w:val="none"/>
              </w:rPr>
            </w:pPr>
          </w:p>
        </w:tc>
      </w:tr>
      <w:tr w14:paraId="14706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640A80E">
            <w:pPr>
              <w:spacing w:before="131"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（二）附着式升降脚手架工程。</w:t>
            </w:r>
          </w:p>
        </w:tc>
        <w:tc>
          <w:tcPr>
            <w:tcW w:w="1294" w:type="dxa"/>
            <w:vAlign w:val="top"/>
          </w:tcPr>
          <w:p w14:paraId="11239955">
            <w:pPr>
              <w:spacing w:before="130"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04A53FA">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DEA82EC">
            <w:pPr>
              <w:pStyle w:val="19"/>
              <w:rPr>
                <w:rFonts w:hint="eastAsia" w:ascii="宋体" w:hAnsi="宋体" w:eastAsia="宋体" w:cs="宋体"/>
                <w:color w:val="auto"/>
                <w:highlight w:val="none"/>
              </w:rPr>
            </w:pPr>
          </w:p>
        </w:tc>
      </w:tr>
      <w:tr w14:paraId="66EE5B87">
        <w:tblPrEx>
          <w:tblCellMar>
            <w:top w:w="0" w:type="dxa"/>
            <w:left w:w="0" w:type="dxa"/>
            <w:bottom w:w="0" w:type="dxa"/>
            <w:right w:w="0" w:type="dxa"/>
          </w:tblCellMar>
        </w:tblPrEx>
        <w:trPr>
          <w:gridBefore w:val="1"/>
          <w:wBefore w:w="2" w:type="dxa"/>
          <w:trHeight w:val="0" w:hRule="atLeast"/>
        </w:trPr>
        <w:tc>
          <w:tcPr>
            <w:tcW w:w="4862" w:type="dxa"/>
            <w:vAlign w:val="top"/>
          </w:tcPr>
          <w:p w14:paraId="2292E9AF">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（三）悬挑式脚手架工程。</w:t>
            </w:r>
          </w:p>
        </w:tc>
        <w:tc>
          <w:tcPr>
            <w:tcW w:w="1294" w:type="dxa"/>
            <w:vAlign w:val="top"/>
          </w:tcPr>
          <w:p w14:paraId="20600C51">
            <w:pPr>
              <w:spacing w:before="131"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9222A47">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79BBE45">
            <w:pPr>
              <w:pStyle w:val="19"/>
              <w:rPr>
                <w:rFonts w:hint="eastAsia" w:ascii="宋体" w:hAnsi="宋体" w:eastAsia="宋体" w:cs="宋体"/>
                <w:color w:val="auto"/>
                <w:highlight w:val="none"/>
              </w:rPr>
            </w:pPr>
          </w:p>
        </w:tc>
      </w:tr>
      <w:tr w14:paraId="791FB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45D7A9D">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（四）高处作业吊篮。</w:t>
            </w:r>
          </w:p>
        </w:tc>
        <w:tc>
          <w:tcPr>
            <w:tcW w:w="1294" w:type="dxa"/>
            <w:vAlign w:val="top"/>
          </w:tcPr>
          <w:p w14:paraId="344F58C1">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CC62DEC">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45D8FE3">
            <w:pPr>
              <w:pStyle w:val="19"/>
              <w:rPr>
                <w:rFonts w:hint="eastAsia" w:ascii="宋体" w:hAnsi="宋体" w:eastAsia="宋体" w:cs="宋体"/>
                <w:color w:val="auto"/>
                <w:highlight w:val="none"/>
              </w:rPr>
            </w:pPr>
          </w:p>
        </w:tc>
      </w:tr>
      <w:tr w14:paraId="34EA9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3F59991">
            <w:pPr>
              <w:spacing w:before="132"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（五）卸料平台、操作平台工程。</w:t>
            </w:r>
          </w:p>
        </w:tc>
        <w:tc>
          <w:tcPr>
            <w:tcW w:w="1294" w:type="dxa"/>
            <w:vAlign w:val="top"/>
          </w:tcPr>
          <w:p w14:paraId="2C94F17B">
            <w:pPr>
              <w:spacing w:before="132"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EB4B63D">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C160CE8">
            <w:pPr>
              <w:pStyle w:val="19"/>
              <w:rPr>
                <w:rFonts w:hint="eastAsia" w:ascii="宋体" w:hAnsi="宋体" w:eastAsia="宋体" w:cs="宋体"/>
                <w:color w:val="auto"/>
                <w:highlight w:val="none"/>
              </w:rPr>
            </w:pPr>
          </w:p>
        </w:tc>
      </w:tr>
      <w:tr w14:paraId="6BCDE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D850CCE">
            <w:pPr>
              <w:spacing w:before="133"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（六）异型脚手架工程。</w:t>
            </w:r>
          </w:p>
        </w:tc>
        <w:tc>
          <w:tcPr>
            <w:tcW w:w="1294" w:type="dxa"/>
            <w:vAlign w:val="top"/>
          </w:tcPr>
          <w:p w14:paraId="42766025">
            <w:pPr>
              <w:spacing w:before="132"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7659D77">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82E5000">
            <w:pPr>
              <w:pStyle w:val="19"/>
              <w:rPr>
                <w:rFonts w:hint="eastAsia" w:ascii="宋体" w:hAnsi="宋体" w:eastAsia="宋体" w:cs="宋体"/>
                <w:color w:val="auto"/>
                <w:highlight w:val="none"/>
              </w:rPr>
            </w:pPr>
          </w:p>
        </w:tc>
      </w:tr>
      <w:tr w14:paraId="7EB14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CB1F88F">
            <w:pPr>
              <w:spacing w:before="131" w:line="220" w:lineRule="auto"/>
              <w:ind w:left="120"/>
              <w:rPr>
                <w:rFonts w:hint="eastAsia" w:ascii="宋体" w:hAnsi="宋体" w:eastAsia="宋体" w:cs="宋体"/>
                <w:color w:val="auto"/>
                <w:sz w:val="24"/>
                <w:szCs w:val="24"/>
                <w:highlight w:val="none"/>
              </w:rPr>
            </w:pPr>
            <w:bookmarkStart w:id="265" w:name="bookmark162"/>
            <w:bookmarkEnd w:id="265"/>
            <w:r>
              <w:rPr>
                <w:rFonts w:hint="eastAsia" w:ascii="宋体" w:hAnsi="宋体" w:eastAsia="宋体" w:cs="宋体"/>
                <w:color w:val="auto"/>
                <w:spacing w:val="-3"/>
                <w:sz w:val="24"/>
                <w:szCs w:val="24"/>
                <w:highlight w:val="none"/>
              </w:rPr>
              <w:t>五、拆除工程</w:t>
            </w:r>
          </w:p>
        </w:tc>
        <w:tc>
          <w:tcPr>
            <w:tcW w:w="1294" w:type="dxa"/>
            <w:vAlign w:val="top"/>
          </w:tcPr>
          <w:p w14:paraId="150719AE">
            <w:pPr>
              <w:spacing w:before="131"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E097F9C">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56FEAF9">
            <w:pPr>
              <w:pStyle w:val="19"/>
              <w:rPr>
                <w:rFonts w:hint="eastAsia" w:ascii="宋体" w:hAnsi="宋体" w:eastAsia="宋体" w:cs="宋体"/>
                <w:color w:val="auto"/>
                <w:highlight w:val="none"/>
              </w:rPr>
            </w:pPr>
          </w:p>
        </w:tc>
      </w:tr>
      <w:tr w14:paraId="43677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6C9BC57">
            <w:pPr>
              <w:spacing w:before="126" w:line="329" w:lineRule="auto"/>
              <w:ind w:left="117" w:righ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可能影响行人、交通、电力设施、通讯设施或</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其它建、构筑物安全的拆除工程。</w:t>
            </w:r>
          </w:p>
        </w:tc>
        <w:tc>
          <w:tcPr>
            <w:tcW w:w="1294" w:type="dxa"/>
            <w:vAlign w:val="top"/>
          </w:tcPr>
          <w:p w14:paraId="5534606E">
            <w:pPr>
              <w:pStyle w:val="19"/>
              <w:spacing w:line="294" w:lineRule="auto"/>
              <w:rPr>
                <w:rFonts w:hint="eastAsia" w:ascii="宋体" w:hAnsi="宋体" w:eastAsia="宋体" w:cs="宋体"/>
                <w:color w:val="auto"/>
                <w:highlight w:val="none"/>
              </w:rPr>
            </w:pPr>
          </w:p>
          <w:p w14:paraId="7789625F">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98C11E5">
            <w:pPr>
              <w:pStyle w:val="19"/>
              <w:spacing w:line="294" w:lineRule="auto"/>
              <w:rPr>
                <w:rFonts w:hint="eastAsia" w:ascii="宋体" w:hAnsi="宋体" w:eastAsia="宋体" w:cs="宋体"/>
                <w:color w:val="auto"/>
                <w:highlight w:val="none"/>
              </w:rPr>
            </w:pPr>
          </w:p>
          <w:p w14:paraId="40095D1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1E9402E">
            <w:pPr>
              <w:pStyle w:val="19"/>
              <w:rPr>
                <w:rFonts w:hint="eastAsia" w:ascii="宋体" w:hAnsi="宋体" w:eastAsia="宋体" w:cs="宋体"/>
                <w:color w:val="auto"/>
                <w:highlight w:val="none"/>
              </w:rPr>
            </w:pPr>
          </w:p>
        </w:tc>
      </w:tr>
      <w:tr w14:paraId="420C1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E68D0A4">
            <w:pPr>
              <w:spacing w:before="126" w:line="221" w:lineRule="auto"/>
              <w:ind w:left="35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46A4C6B1">
            <w:pPr>
              <w:spacing w:before="126"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F5F73CF">
            <w:pPr>
              <w:spacing w:before="126"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978B42F">
            <w:pPr>
              <w:pStyle w:val="19"/>
              <w:rPr>
                <w:rFonts w:hint="eastAsia" w:ascii="宋体" w:hAnsi="宋体" w:eastAsia="宋体" w:cs="宋体"/>
                <w:color w:val="auto"/>
                <w:highlight w:val="none"/>
              </w:rPr>
            </w:pPr>
          </w:p>
        </w:tc>
      </w:tr>
      <w:tr w14:paraId="4ED84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2C1CCD3">
            <w:pPr>
              <w:spacing w:before="128" w:line="328"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2BE743A9">
            <w:pPr>
              <w:pStyle w:val="19"/>
              <w:spacing w:line="294" w:lineRule="auto"/>
              <w:rPr>
                <w:rFonts w:hint="eastAsia" w:ascii="宋体" w:hAnsi="宋体" w:eastAsia="宋体" w:cs="宋体"/>
                <w:color w:val="auto"/>
                <w:highlight w:val="none"/>
              </w:rPr>
            </w:pPr>
          </w:p>
          <w:p w14:paraId="257557B4">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7E8F086">
            <w:pPr>
              <w:pStyle w:val="19"/>
              <w:spacing w:line="294" w:lineRule="auto"/>
              <w:rPr>
                <w:rFonts w:hint="eastAsia" w:ascii="宋体" w:hAnsi="宋体" w:eastAsia="宋体" w:cs="宋体"/>
                <w:color w:val="auto"/>
                <w:highlight w:val="none"/>
              </w:rPr>
            </w:pPr>
          </w:p>
          <w:p w14:paraId="01DFEA1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095D57F">
            <w:pPr>
              <w:pStyle w:val="19"/>
              <w:rPr>
                <w:rFonts w:hint="eastAsia" w:ascii="宋体" w:hAnsi="宋体" w:eastAsia="宋体" w:cs="宋体"/>
                <w:color w:val="auto"/>
                <w:highlight w:val="none"/>
              </w:rPr>
            </w:pPr>
          </w:p>
        </w:tc>
      </w:tr>
      <w:tr w14:paraId="1D7DD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847F8E0">
            <w:pPr>
              <w:spacing w:before="129"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68864D24">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7309608">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DC95EC8">
            <w:pPr>
              <w:pStyle w:val="19"/>
              <w:rPr>
                <w:rFonts w:hint="eastAsia" w:ascii="宋体" w:hAnsi="宋体" w:eastAsia="宋体" w:cs="宋体"/>
                <w:color w:val="auto"/>
                <w:highlight w:val="none"/>
              </w:rPr>
            </w:pPr>
          </w:p>
        </w:tc>
      </w:tr>
      <w:tr w14:paraId="7E087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3408CD6">
            <w:pPr>
              <w:spacing w:before="128"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（一）建筑幕墙安装工程。</w:t>
            </w:r>
          </w:p>
        </w:tc>
        <w:tc>
          <w:tcPr>
            <w:tcW w:w="1294" w:type="dxa"/>
            <w:vAlign w:val="top"/>
          </w:tcPr>
          <w:p w14:paraId="4C881295">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9FBFCCB">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12D4B20">
            <w:pPr>
              <w:pStyle w:val="19"/>
              <w:rPr>
                <w:rFonts w:hint="eastAsia" w:ascii="宋体" w:hAnsi="宋体" w:eastAsia="宋体" w:cs="宋体"/>
                <w:color w:val="auto"/>
                <w:highlight w:val="none"/>
              </w:rPr>
            </w:pPr>
          </w:p>
        </w:tc>
      </w:tr>
      <w:tr w14:paraId="5A48F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DEC2EFD">
            <w:pPr>
              <w:spacing w:before="128"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（二）钢结构、网架和索膜结构安装工程。</w:t>
            </w:r>
          </w:p>
        </w:tc>
        <w:tc>
          <w:tcPr>
            <w:tcW w:w="1294" w:type="dxa"/>
            <w:vAlign w:val="top"/>
          </w:tcPr>
          <w:p w14:paraId="313F1320">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D76A3D4">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623BD67">
            <w:pPr>
              <w:pStyle w:val="19"/>
              <w:rPr>
                <w:rFonts w:hint="eastAsia" w:ascii="宋体" w:hAnsi="宋体" w:eastAsia="宋体" w:cs="宋体"/>
                <w:color w:val="auto"/>
                <w:highlight w:val="none"/>
              </w:rPr>
            </w:pPr>
          </w:p>
        </w:tc>
      </w:tr>
      <w:tr w14:paraId="5AF99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800E19B">
            <w:pPr>
              <w:spacing w:before="128"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（三）人工挖孔桩工程。</w:t>
            </w:r>
          </w:p>
        </w:tc>
        <w:tc>
          <w:tcPr>
            <w:tcW w:w="1294" w:type="dxa"/>
            <w:vAlign w:val="top"/>
          </w:tcPr>
          <w:p w14:paraId="2B568566">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6A0E635">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8AAA480">
            <w:pPr>
              <w:pStyle w:val="19"/>
              <w:rPr>
                <w:rFonts w:hint="eastAsia" w:ascii="宋体" w:hAnsi="宋体" w:eastAsia="宋体" w:cs="宋体"/>
                <w:color w:val="auto"/>
                <w:highlight w:val="none"/>
              </w:rPr>
            </w:pPr>
          </w:p>
        </w:tc>
      </w:tr>
      <w:tr w14:paraId="0B85B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48197CC">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12A5465E">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19C6765">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CF59373">
            <w:pPr>
              <w:pStyle w:val="19"/>
              <w:rPr>
                <w:rFonts w:hint="eastAsia" w:ascii="宋体" w:hAnsi="宋体" w:eastAsia="宋体" w:cs="宋体"/>
                <w:color w:val="auto"/>
                <w:highlight w:val="none"/>
              </w:rPr>
            </w:pPr>
          </w:p>
        </w:tc>
      </w:tr>
      <w:tr w14:paraId="297C5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73C2D97">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（五）装配式建筑混凝土预制构件安装工程。</w:t>
            </w:r>
          </w:p>
        </w:tc>
        <w:tc>
          <w:tcPr>
            <w:tcW w:w="1294" w:type="dxa"/>
            <w:vAlign w:val="top"/>
          </w:tcPr>
          <w:p w14:paraId="1DCC5254">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DC1F4E7">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98BF5B5">
            <w:pPr>
              <w:pStyle w:val="19"/>
              <w:rPr>
                <w:rFonts w:hint="eastAsia" w:ascii="宋体" w:hAnsi="宋体" w:eastAsia="宋体" w:cs="宋体"/>
                <w:color w:val="auto"/>
                <w:highlight w:val="none"/>
              </w:rPr>
            </w:pPr>
          </w:p>
        </w:tc>
      </w:tr>
      <w:tr w14:paraId="1147F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5B44DF3">
            <w:pPr>
              <w:spacing w:before="129" w:line="345"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6EBC1282">
            <w:pPr>
              <w:pStyle w:val="19"/>
              <w:spacing w:line="270" w:lineRule="auto"/>
              <w:rPr>
                <w:rFonts w:hint="eastAsia" w:ascii="宋体" w:hAnsi="宋体" w:eastAsia="宋体" w:cs="宋体"/>
                <w:color w:val="auto"/>
                <w:highlight w:val="none"/>
              </w:rPr>
            </w:pPr>
          </w:p>
          <w:p w14:paraId="08960016">
            <w:pPr>
              <w:pStyle w:val="19"/>
              <w:spacing w:line="271" w:lineRule="auto"/>
              <w:rPr>
                <w:rFonts w:hint="eastAsia" w:ascii="宋体" w:hAnsi="宋体" w:eastAsia="宋体" w:cs="宋体"/>
                <w:color w:val="auto"/>
                <w:highlight w:val="none"/>
              </w:rPr>
            </w:pPr>
          </w:p>
          <w:p w14:paraId="3F34F62A">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5A27ACD">
            <w:pPr>
              <w:pStyle w:val="19"/>
              <w:spacing w:line="270" w:lineRule="auto"/>
              <w:rPr>
                <w:rFonts w:hint="eastAsia" w:ascii="宋体" w:hAnsi="宋体" w:eastAsia="宋体" w:cs="宋体"/>
                <w:color w:val="auto"/>
                <w:highlight w:val="none"/>
              </w:rPr>
            </w:pPr>
          </w:p>
          <w:p w14:paraId="0BB7F6AF">
            <w:pPr>
              <w:pStyle w:val="19"/>
              <w:spacing w:line="271" w:lineRule="auto"/>
              <w:rPr>
                <w:rFonts w:hint="eastAsia" w:ascii="宋体" w:hAnsi="宋体" w:eastAsia="宋体" w:cs="宋体"/>
                <w:color w:val="auto"/>
                <w:highlight w:val="none"/>
              </w:rPr>
            </w:pPr>
          </w:p>
          <w:p w14:paraId="079AF7C5">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E99B3A5">
            <w:pPr>
              <w:pStyle w:val="19"/>
              <w:rPr>
                <w:rFonts w:hint="eastAsia" w:ascii="宋体" w:hAnsi="宋体" w:eastAsia="宋体" w:cs="宋体"/>
                <w:color w:val="auto"/>
                <w:highlight w:val="none"/>
              </w:rPr>
            </w:pPr>
          </w:p>
        </w:tc>
      </w:tr>
      <w:tr w14:paraId="46A47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C744307">
            <w:pPr>
              <w:spacing w:before="129" w:line="328" w:lineRule="auto"/>
              <w:ind w:left="115" w:right="108" w:firstLine="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二、超过一定规模的危险性较大的分部分项工</w:t>
            </w:r>
            <w:r>
              <w:rPr>
                <w:rFonts w:hint="eastAsia" w:ascii="宋体" w:hAnsi="宋体" w:eastAsia="宋体" w:cs="宋体"/>
                <w:b/>
                <w:bCs/>
                <w:color w:val="auto"/>
                <w:spacing w:val="-5"/>
                <w:sz w:val="24"/>
                <w:szCs w:val="24"/>
                <w:highlight w:val="none"/>
              </w:rPr>
              <w:t>程清单</w:t>
            </w:r>
          </w:p>
        </w:tc>
        <w:tc>
          <w:tcPr>
            <w:tcW w:w="1294" w:type="dxa"/>
            <w:vAlign w:val="top"/>
          </w:tcPr>
          <w:p w14:paraId="00E06E77">
            <w:pPr>
              <w:pStyle w:val="19"/>
              <w:spacing w:line="295" w:lineRule="auto"/>
              <w:rPr>
                <w:rFonts w:hint="eastAsia" w:ascii="宋体" w:hAnsi="宋体" w:eastAsia="宋体" w:cs="宋体"/>
                <w:color w:val="auto"/>
                <w:highlight w:val="none"/>
              </w:rPr>
            </w:pPr>
          </w:p>
          <w:p w14:paraId="3C978368">
            <w:pPr>
              <w:spacing w:before="78" w:line="221" w:lineRule="auto"/>
              <w:ind w:left="20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14B7F126">
            <w:pPr>
              <w:pStyle w:val="19"/>
              <w:spacing w:line="295" w:lineRule="auto"/>
              <w:rPr>
                <w:rFonts w:hint="eastAsia" w:ascii="宋体" w:hAnsi="宋体" w:eastAsia="宋体" w:cs="宋体"/>
                <w:color w:val="auto"/>
                <w:highlight w:val="none"/>
              </w:rPr>
            </w:pPr>
          </w:p>
          <w:p w14:paraId="02368204">
            <w:pPr>
              <w:spacing w:before="78" w:line="221" w:lineRule="auto"/>
              <w:ind w:left="11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6005F223">
            <w:pPr>
              <w:pStyle w:val="19"/>
              <w:spacing w:line="295" w:lineRule="auto"/>
              <w:rPr>
                <w:rFonts w:hint="eastAsia" w:ascii="宋体" w:hAnsi="宋体" w:eastAsia="宋体" w:cs="宋体"/>
                <w:color w:val="auto"/>
                <w:highlight w:val="none"/>
              </w:rPr>
            </w:pPr>
          </w:p>
          <w:p w14:paraId="746D8A44">
            <w:pPr>
              <w:spacing w:before="78" w:line="222"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备注</w:t>
            </w:r>
          </w:p>
        </w:tc>
      </w:tr>
      <w:tr w14:paraId="46811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01D93D3">
            <w:pPr>
              <w:spacing w:before="129" w:line="221"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一、深基坑工程</w:t>
            </w:r>
          </w:p>
        </w:tc>
        <w:tc>
          <w:tcPr>
            <w:tcW w:w="1294" w:type="dxa"/>
            <w:vAlign w:val="top"/>
          </w:tcPr>
          <w:p w14:paraId="4B38738A">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F23FCC1">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AE843BA">
            <w:pPr>
              <w:pStyle w:val="19"/>
              <w:rPr>
                <w:rFonts w:hint="eastAsia" w:ascii="宋体" w:hAnsi="宋体" w:eastAsia="宋体" w:cs="宋体"/>
                <w:color w:val="auto"/>
                <w:highlight w:val="none"/>
              </w:rPr>
            </w:pPr>
          </w:p>
        </w:tc>
      </w:tr>
      <w:tr w14:paraId="477DF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0CD9944">
            <w:pPr>
              <w:spacing w:before="131" w:line="327" w:lineRule="auto"/>
              <w:ind w:left="117" w:right="10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开挖深度超过</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5m（含</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5m）的基坑（槽）的土方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开挖、支护、降水工程。</w:t>
            </w:r>
          </w:p>
        </w:tc>
        <w:tc>
          <w:tcPr>
            <w:tcW w:w="1294" w:type="dxa"/>
            <w:vAlign w:val="top"/>
          </w:tcPr>
          <w:p w14:paraId="15CF6C69">
            <w:pPr>
              <w:pStyle w:val="19"/>
              <w:spacing w:line="295" w:lineRule="auto"/>
              <w:rPr>
                <w:rFonts w:hint="eastAsia" w:ascii="宋体" w:hAnsi="宋体" w:eastAsia="宋体" w:cs="宋体"/>
                <w:color w:val="auto"/>
                <w:highlight w:val="none"/>
              </w:rPr>
            </w:pPr>
          </w:p>
          <w:p w14:paraId="71115882">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2E43F37">
            <w:pPr>
              <w:pStyle w:val="19"/>
              <w:spacing w:line="295" w:lineRule="auto"/>
              <w:rPr>
                <w:rFonts w:hint="eastAsia" w:ascii="宋体" w:hAnsi="宋体" w:eastAsia="宋体" w:cs="宋体"/>
                <w:color w:val="auto"/>
                <w:highlight w:val="none"/>
              </w:rPr>
            </w:pPr>
          </w:p>
          <w:p w14:paraId="536AF469">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5E4E3D1">
            <w:pPr>
              <w:pStyle w:val="19"/>
              <w:rPr>
                <w:rFonts w:hint="eastAsia" w:ascii="宋体" w:hAnsi="宋体" w:eastAsia="宋体" w:cs="宋体"/>
                <w:color w:val="auto"/>
                <w:highlight w:val="none"/>
              </w:rPr>
            </w:pPr>
          </w:p>
        </w:tc>
      </w:tr>
      <w:tr w14:paraId="0E66F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FBEBD54">
            <w:pPr>
              <w:spacing w:before="130"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46B0F374">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default" w:ascii="宋体" w:hAnsi="宋体" w:eastAsia="宋体" w:cs="宋体"/>
                <w:color w:val="auto"/>
                <w:spacing w:val="2"/>
                <w:sz w:val="24"/>
                <w:szCs w:val="24"/>
                <w:highlight w:val="none"/>
                <w:lang w:val="en-US"/>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E59708F">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6F168DE">
            <w:pPr>
              <w:pStyle w:val="19"/>
              <w:rPr>
                <w:rFonts w:hint="eastAsia" w:ascii="宋体" w:hAnsi="宋体" w:eastAsia="宋体" w:cs="宋体"/>
                <w:color w:val="auto"/>
                <w:highlight w:val="none"/>
              </w:rPr>
            </w:pPr>
          </w:p>
        </w:tc>
      </w:tr>
      <w:tr w14:paraId="5DBBA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40A081F">
            <w:pPr>
              <w:spacing w:before="130" w:line="327"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01B81666">
            <w:pPr>
              <w:pStyle w:val="19"/>
              <w:spacing w:line="294" w:lineRule="auto"/>
              <w:rPr>
                <w:rFonts w:hint="eastAsia" w:ascii="宋体" w:hAnsi="宋体" w:eastAsia="宋体" w:cs="宋体"/>
                <w:color w:val="auto"/>
                <w:highlight w:val="none"/>
              </w:rPr>
            </w:pPr>
          </w:p>
          <w:p w14:paraId="7363AFB6">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80F376C">
            <w:pPr>
              <w:pStyle w:val="19"/>
              <w:spacing w:line="294" w:lineRule="auto"/>
              <w:rPr>
                <w:rFonts w:hint="eastAsia" w:ascii="宋体" w:hAnsi="宋体" w:eastAsia="宋体" w:cs="宋体"/>
                <w:color w:val="auto"/>
                <w:highlight w:val="none"/>
              </w:rPr>
            </w:pPr>
          </w:p>
          <w:p w14:paraId="78CA8ABA">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4394DEC">
            <w:pPr>
              <w:pStyle w:val="19"/>
              <w:rPr>
                <w:rFonts w:hint="eastAsia" w:ascii="宋体" w:hAnsi="宋体" w:eastAsia="宋体" w:cs="宋体"/>
                <w:color w:val="auto"/>
                <w:highlight w:val="none"/>
              </w:rPr>
            </w:pPr>
          </w:p>
        </w:tc>
      </w:tr>
      <w:tr w14:paraId="5593A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8185E00">
            <w:pPr>
              <w:spacing w:before="132" w:line="353" w:lineRule="auto"/>
              <w:ind w:left="116" w:right="6" w:firstLine="1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（二）混凝土模板支撑工程：搭设高度8m</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2"/>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上，或搭设跨度</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1"/>
                <w:sz w:val="24"/>
                <w:szCs w:val="24"/>
                <w:highlight w:val="none"/>
              </w:rPr>
              <w:t>18m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及以上，或施工总荷载（设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计值）15kN/m2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及以上，或集中线荷载（设</w:t>
            </w:r>
            <w:r>
              <w:rPr>
                <w:rFonts w:hint="eastAsia" w:ascii="宋体" w:hAnsi="宋体" w:eastAsia="宋体" w:cs="宋体"/>
                <w:color w:val="auto"/>
                <w:spacing w:val="-12"/>
                <w:sz w:val="24"/>
                <w:szCs w:val="24"/>
                <w:highlight w:val="none"/>
              </w:rPr>
              <w:t>计值）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20kN/m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094E3214">
            <w:pPr>
              <w:pStyle w:val="19"/>
              <w:spacing w:line="262" w:lineRule="auto"/>
              <w:rPr>
                <w:rFonts w:hint="eastAsia" w:ascii="宋体" w:hAnsi="宋体" w:eastAsia="宋体" w:cs="宋体"/>
                <w:color w:val="auto"/>
                <w:highlight w:val="none"/>
              </w:rPr>
            </w:pPr>
          </w:p>
          <w:p w14:paraId="3157E198">
            <w:pPr>
              <w:pStyle w:val="19"/>
              <w:spacing w:line="263" w:lineRule="auto"/>
              <w:rPr>
                <w:rFonts w:hint="eastAsia" w:ascii="宋体" w:hAnsi="宋体" w:eastAsia="宋体" w:cs="宋体"/>
                <w:color w:val="auto"/>
                <w:highlight w:val="none"/>
              </w:rPr>
            </w:pPr>
          </w:p>
          <w:p w14:paraId="2EC78615">
            <w:pPr>
              <w:pStyle w:val="19"/>
              <w:spacing w:line="263" w:lineRule="auto"/>
              <w:rPr>
                <w:rFonts w:hint="eastAsia" w:ascii="宋体" w:hAnsi="宋体" w:eastAsia="宋体" w:cs="宋体"/>
                <w:color w:val="auto"/>
                <w:highlight w:val="none"/>
              </w:rPr>
            </w:pPr>
          </w:p>
          <w:p w14:paraId="08CA588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17A0786">
            <w:pPr>
              <w:pStyle w:val="19"/>
              <w:spacing w:line="262" w:lineRule="auto"/>
              <w:rPr>
                <w:rFonts w:hint="eastAsia" w:ascii="宋体" w:hAnsi="宋体" w:eastAsia="宋体" w:cs="宋体"/>
                <w:color w:val="auto"/>
                <w:highlight w:val="none"/>
              </w:rPr>
            </w:pPr>
          </w:p>
          <w:p w14:paraId="24CF5F62">
            <w:pPr>
              <w:pStyle w:val="19"/>
              <w:spacing w:line="263" w:lineRule="auto"/>
              <w:rPr>
                <w:rFonts w:hint="eastAsia" w:ascii="宋体" w:hAnsi="宋体" w:eastAsia="宋体" w:cs="宋体"/>
                <w:color w:val="auto"/>
                <w:highlight w:val="none"/>
              </w:rPr>
            </w:pPr>
          </w:p>
          <w:p w14:paraId="0D0C0ED1">
            <w:pPr>
              <w:pStyle w:val="19"/>
              <w:spacing w:line="263" w:lineRule="auto"/>
              <w:rPr>
                <w:rFonts w:hint="eastAsia" w:ascii="宋体" w:hAnsi="宋体" w:eastAsia="宋体" w:cs="宋体"/>
                <w:color w:val="auto"/>
                <w:highlight w:val="none"/>
              </w:rPr>
            </w:pPr>
          </w:p>
          <w:p w14:paraId="336478F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36A8159">
            <w:pPr>
              <w:pStyle w:val="19"/>
              <w:rPr>
                <w:rFonts w:hint="eastAsia" w:ascii="宋体" w:hAnsi="宋体" w:eastAsia="宋体" w:cs="宋体"/>
                <w:color w:val="auto"/>
                <w:highlight w:val="none"/>
              </w:rPr>
            </w:pPr>
          </w:p>
        </w:tc>
      </w:tr>
      <w:tr w14:paraId="49DBA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556806A">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p>
        </w:tc>
        <w:tc>
          <w:tcPr>
            <w:tcW w:w="1294" w:type="dxa"/>
            <w:vAlign w:val="top"/>
          </w:tcPr>
          <w:p w14:paraId="7091FD76">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C4E6D1C">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1D01420">
            <w:pPr>
              <w:pStyle w:val="19"/>
              <w:rPr>
                <w:rFonts w:hint="eastAsia" w:ascii="宋体" w:hAnsi="宋体" w:eastAsia="宋体" w:cs="宋体"/>
                <w:color w:val="auto"/>
                <w:highlight w:val="none"/>
              </w:rPr>
            </w:pPr>
          </w:p>
        </w:tc>
      </w:tr>
      <w:tr w14:paraId="6FFD2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3B20D7C">
            <w:pPr>
              <w:spacing w:before="131" w:line="220"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支撑体系，承受单点集中荷载</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7kN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30B42AF0">
            <w:pPr>
              <w:pStyle w:val="19"/>
              <w:rPr>
                <w:rFonts w:hint="eastAsia" w:ascii="宋体" w:hAnsi="宋体" w:eastAsia="宋体" w:cs="宋体"/>
                <w:color w:val="auto"/>
                <w:highlight w:val="none"/>
              </w:rPr>
            </w:pPr>
          </w:p>
        </w:tc>
        <w:tc>
          <w:tcPr>
            <w:tcW w:w="1294" w:type="dxa"/>
            <w:vAlign w:val="top"/>
          </w:tcPr>
          <w:p w14:paraId="3F6A9E4F">
            <w:pPr>
              <w:pStyle w:val="19"/>
              <w:rPr>
                <w:rFonts w:hint="eastAsia" w:ascii="宋体" w:hAnsi="宋体" w:eastAsia="宋体" w:cs="宋体"/>
                <w:color w:val="auto"/>
                <w:highlight w:val="none"/>
              </w:rPr>
            </w:pPr>
          </w:p>
        </w:tc>
        <w:tc>
          <w:tcPr>
            <w:tcW w:w="2428" w:type="dxa"/>
            <w:vAlign w:val="top"/>
          </w:tcPr>
          <w:p w14:paraId="29B5324A">
            <w:pPr>
              <w:pStyle w:val="19"/>
              <w:rPr>
                <w:rFonts w:hint="eastAsia" w:ascii="宋体" w:hAnsi="宋体" w:eastAsia="宋体" w:cs="宋体"/>
                <w:color w:val="auto"/>
                <w:highlight w:val="none"/>
              </w:rPr>
            </w:pPr>
          </w:p>
        </w:tc>
      </w:tr>
      <w:tr w14:paraId="3DE21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3BE409E">
            <w:pPr>
              <w:spacing w:before="128"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5C784AE2">
            <w:pPr>
              <w:spacing w:before="127"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EFB22A0">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EEF43EA">
            <w:pPr>
              <w:pStyle w:val="19"/>
              <w:rPr>
                <w:rFonts w:hint="eastAsia" w:ascii="宋体" w:hAnsi="宋体" w:eastAsia="宋体" w:cs="宋体"/>
                <w:color w:val="auto"/>
                <w:highlight w:val="none"/>
              </w:rPr>
            </w:pPr>
          </w:p>
        </w:tc>
      </w:tr>
      <w:tr w14:paraId="40401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A15AD6B">
            <w:pPr>
              <w:spacing w:before="129" w:line="328"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100kN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4905CB57">
            <w:pPr>
              <w:pStyle w:val="19"/>
              <w:spacing w:line="295" w:lineRule="auto"/>
              <w:rPr>
                <w:rFonts w:hint="eastAsia" w:ascii="宋体" w:hAnsi="宋体" w:eastAsia="宋体" w:cs="宋体"/>
                <w:color w:val="auto"/>
                <w:highlight w:val="none"/>
              </w:rPr>
            </w:pPr>
          </w:p>
          <w:p w14:paraId="3379FD9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4E1A969">
            <w:pPr>
              <w:pStyle w:val="19"/>
              <w:spacing w:line="295" w:lineRule="auto"/>
              <w:rPr>
                <w:rFonts w:hint="eastAsia" w:ascii="宋体" w:hAnsi="宋体" w:eastAsia="宋体" w:cs="宋体"/>
                <w:color w:val="auto"/>
                <w:highlight w:val="none"/>
              </w:rPr>
            </w:pPr>
          </w:p>
          <w:p w14:paraId="617185F3">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4F6CAA2">
            <w:pPr>
              <w:pStyle w:val="19"/>
              <w:rPr>
                <w:rFonts w:hint="eastAsia" w:ascii="宋体" w:hAnsi="宋体" w:eastAsia="宋体" w:cs="宋体"/>
                <w:color w:val="auto"/>
                <w:highlight w:val="none"/>
              </w:rPr>
            </w:pPr>
          </w:p>
        </w:tc>
      </w:tr>
      <w:tr w14:paraId="74246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302BB2B">
            <w:pPr>
              <w:spacing w:before="129" w:line="345" w:lineRule="auto"/>
              <w:ind w:left="115" w:right="105"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（二）起重量</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2"/>
                <w:sz w:val="24"/>
                <w:szCs w:val="24"/>
                <w:highlight w:val="none"/>
              </w:rPr>
              <w:t>300kN</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2"/>
                <w:sz w:val="24"/>
                <w:szCs w:val="24"/>
                <w:highlight w:val="none"/>
              </w:rPr>
              <w:t>及以上，或搭设总高度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2"/>
                <w:sz w:val="24"/>
                <w:szCs w:val="24"/>
                <w:highlight w:val="none"/>
              </w:rPr>
              <w:t>200m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及以上，或搭设基础标高在</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200m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及以上的起重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机械安装和拆卸工程。</w:t>
            </w:r>
          </w:p>
        </w:tc>
        <w:tc>
          <w:tcPr>
            <w:tcW w:w="1294" w:type="dxa"/>
            <w:vAlign w:val="top"/>
          </w:tcPr>
          <w:p w14:paraId="33661073">
            <w:pPr>
              <w:pStyle w:val="19"/>
              <w:spacing w:line="270" w:lineRule="auto"/>
              <w:rPr>
                <w:rFonts w:hint="eastAsia" w:ascii="宋体" w:hAnsi="宋体" w:eastAsia="宋体" w:cs="宋体"/>
                <w:color w:val="auto"/>
                <w:highlight w:val="none"/>
              </w:rPr>
            </w:pPr>
          </w:p>
          <w:p w14:paraId="790CD011">
            <w:pPr>
              <w:pStyle w:val="19"/>
              <w:spacing w:line="270" w:lineRule="auto"/>
              <w:rPr>
                <w:rFonts w:hint="eastAsia" w:ascii="宋体" w:hAnsi="宋体" w:eastAsia="宋体" w:cs="宋体"/>
                <w:color w:val="auto"/>
                <w:highlight w:val="none"/>
              </w:rPr>
            </w:pPr>
          </w:p>
          <w:p w14:paraId="74DEE464">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D2E55BC">
            <w:pPr>
              <w:pStyle w:val="19"/>
              <w:spacing w:line="270" w:lineRule="auto"/>
              <w:rPr>
                <w:rFonts w:hint="eastAsia" w:ascii="宋体" w:hAnsi="宋体" w:eastAsia="宋体" w:cs="宋体"/>
                <w:color w:val="auto"/>
                <w:highlight w:val="none"/>
              </w:rPr>
            </w:pPr>
          </w:p>
          <w:p w14:paraId="27101A7F">
            <w:pPr>
              <w:pStyle w:val="19"/>
              <w:spacing w:line="270" w:lineRule="auto"/>
              <w:rPr>
                <w:rFonts w:hint="eastAsia" w:ascii="宋体" w:hAnsi="宋体" w:eastAsia="宋体" w:cs="宋体"/>
                <w:color w:val="auto"/>
                <w:highlight w:val="none"/>
              </w:rPr>
            </w:pPr>
          </w:p>
          <w:p w14:paraId="05B30D9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3CE7BA9">
            <w:pPr>
              <w:pStyle w:val="19"/>
              <w:rPr>
                <w:rFonts w:hint="eastAsia" w:ascii="宋体" w:hAnsi="宋体" w:eastAsia="宋体" w:cs="宋体"/>
                <w:color w:val="auto"/>
                <w:highlight w:val="none"/>
              </w:rPr>
            </w:pPr>
          </w:p>
        </w:tc>
      </w:tr>
      <w:tr w14:paraId="3681C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1EFC037">
            <w:pPr>
              <w:spacing w:before="128"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1478D84D">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F3274FE">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81FB7A2">
            <w:pPr>
              <w:pStyle w:val="19"/>
              <w:rPr>
                <w:rFonts w:hint="eastAsia" w:ascii="宋体" w:hAnsi="宋体" w:eastAsia="宋体" w:cs="宋体"/>
                <w:color w:val="auto"/>
                <w:highlight w:val="none"/>
              </w:rPr>
            </w:pPr>
          </w:p>
        </w:tc>
      </w:tr>
      <w:tr w14:paraId="271CD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8D9FC65">
            <w:pPr>
              <w:spacing w:before="128" w:line="328"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（一）搭设高度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架工程。</w:t>
            </w:r>
          </w:p>
        </w:tc>
        <w:tc>
          <w:tcPr>
            <w:tcW w:w="1294" w:type="dxa"/>
            <w:vAlign w:val="top"/>
          </w:tcPr>
          <w:p w14:paraId="56106067">
            <w:pPr>
              <w:pStyle w:val="19"/>
              <w:spacing w:line="296" w:lineRule="auto"/>
              <w:rPr>
                <w:rFonts w:hint="eastAsia" w:ascii="宋体" w:hAnsi="宋体" w:eastAsia="宋体" w:cs="宋体"/>
                <w:color w:val="auto"/>
                <w:highlight w:val="none"/>
              </w:rPr>
            </w:pPr>
          </w:p>
          <w:p w14:paraId="3BC534C1">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C7F493E">
            <w:pPr>
              <w:pStyle w:val="19"/>
              <w:spacing w:line="296" w:lineRule="auto"/>
              <w:rPr>
                <w:rFonts w:hint="eastAsia" w:ascii="宋体" w:hAnsi="宋体" w:eastAsia="宋体" w:cs="宋体"/>
                <w:color w:val="auto"/>
                <w:highlight w:val="none"/>
              </w:rPr>
            </w:pPr>
          </w:p>
          <w:p w14:paraId="24AE3BFC">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4B28E9E">
            <w:pPr>
              <w:pStyle w:val="19"/>
              <w:rPr>
                <w:rFonts w:hint="eastAsia" w:ascii="宋体" w:hAnsi="宋体" w:eastAsia="宋体" w:cs="宋体"/>
                <w:color w:val="auto"/>
                <w:highlight w:val="none"/>
              </w:rPr>
            </w:pPr>
          </w:p>
        </w:tc>
      </w:tr>
      <w:tr w14:paraId="626F3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2A60DCE">
            <w:pPr>
              <w:spacing w:before="131" w:line="327" w:lineRule="auto"/>
              <w:ind w:left="116" w:right="105" w:firstLine="1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（二）提升高度在</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6"/>
                <w:sz w:val="24"/>
                <w:szCs w:val="24"/>
                <w:highlight w:val="none"/>
                <w:lang w:eastAsia="zh-CN"/>
              </w:rPr>
              <w:t>450</w:t>
            </w:r>
            <w:r>
              <w:rPr>
                <w:rFonts w:hint="eastAsia" w:ascii="宋体" w:hAnsi="宋体" w:eastAsia="宋体" w:cs="宋体"/>
                <w:color w:val="auto"/>
                <w:spacing w:val="-6"/>
                <w:sz w:val="24"/>
                <w:szCs w:val="24"/>
                <w:highlight w:val="none"/>
              </w:rPr>
              <w:t>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6"/>
                <w:sz w:val="24"/>
                <w:szCs w:val="24"/>
                <w:highlight w:val="none"/>
              </w:rPr>
              <w:t>及以上的附着式升降脚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手架工程或附着式升降操作平台工程。</w:t>
            </w:r>
          </w:p>
        </w:tc>
        <w:tc>
          <w:tcPr>
            <w:tcW w:w="1294" w:type="dxa"/>
            <w:vAlign w:val="top"/>
          </w:tcPr>
          <w:p w14:paraId="72F33E7C">
            <w:pPr>
              <w:pStyle w:val="19"/>
              <w:spacing w:line="296" w:lineRule="auto"/>
              <w:rPr>
                <w:rFonts w:hint="eastAsia" w:ascii="宋体" w:hAnsi="宋体" w:eastAsia="宋体" w:cs="宋体"/>
                <w:color w:val="auto"/>
                <w:highlight w:val="none"/>
              </w:rPr>
            </w:pPr>
          </w:p>
          <w:p w14:paraId="7F23715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7C46625">
            <w:pPr>
              <w:pStyle w:val="19"/>
              <w:spacing w:line="296" w:lineRule="auto"/>
              <w:rPr>
                <w:rFonts w:hint="eastAsia" w:ascii="宋体" w:hAnsi="宋体" w:eastAsia="宋体" w:cs="宋体"/>
                <w:color w:val="auto"/>
                <w:highlight w:val="none"/>
              </w:rPr>
            </w:pPr>
          </w:p>
          <w:p w14:paraId="38F6992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E072B8C">
            <w:pPr>
              <w:pStyle w:val="19"/>
              <w:rPr>
                <w:rFonts w:hint="eastAsia" w:ascii="宋体" w:hAnsi="宋体" w:eastAsia="宋体" w:cs="宋体"/>
                <w:color w:val="auto"/>
                <w:highlight w:val="none"/>
              </w:rPr>
            </w:pPr>
          </w:p>
        </w:tc>
      </w:tr>
      <w:tr w14:paraId="2EF4D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2A49978">
            <w:pPr>
              <w:spacing w:before="129" w:line="328"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（三）分段架体搭设高度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及以上的悬挑式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脚手架工程。</w:t>
            </w:r>
          </w:p>
        </w:tc>
        <w:tc>
          <w:tcPr>
            <w:tcW w:w="1294" w:type="dxa"/>
            <w:vAlign w:val="top"/>
          </w:tcPr>
          <w:p w14:paraId="3647EF52">
            <w:pPr>
              <w:pStyle w:val="19"/>
              <w:spacing w:line="297" w:lineRule="auto"/>
              <w:rPr>
                <w:rFonts w:hint="eastAsia" w:ascii="宋体" w:hAnsi="宋体" w:eastAsia="宋体" w:cs="宋体"/>
                <w:color w:val="auto"/>
                <w:highlight w:val="none"/>
              </w:rPr>
            </w:pPr>
          </w:p>
          <w:p w14:paraId="26879CF2">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8022CBC">
            <w:pPr>
              <w:pStyle w:val="19"/>
              <w:spacing w:line="297" w:lineRule="auto"/>
              <w:rPr>
                <w:rFonts w:hint="eastAsia" w:ascii="宋体" w:hAnsi="宋体" w:eastAsia="宋体" w:cs="宋体"/>
                <w:color w:val="auto"/>
                <w:highlight w:val="none"/>
              </w:rPr>
            </w:pPr>
          </w:p>
          <w:p w14:paraId="7A9F2E4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A752557">
            <w:pPr>
              <w:pStyle w:val="19"/>
              <w:rPr>
                <w:rFonts w:hint="eastAsia" w:ascii="宋体" w:hAnsi="宋体" w:eastAsia="宋体" w:cs="宋体"/>
                <w:color w:val="auto"/>
                <w:highlight w:val="none"/>
              </w:rPr>
            </w:pPr>
          </w:p>
        </w:tc>
      </w:tr>
      <w:tr w14:paraId="7F4A3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7F8176E">
            <w:pPr>
              <w:spacing w:before="131"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五、拆除工程</w:t>
            </w:r>
          </w:p>
        </w:tc>
        <w:tc>
          <w:tcPr>
            <w:tcW w:w="1294" w:type="dxa"/>
            <w:vAlign w:val="top"/>
          </w:tcPr>
          <w:p w14:paraId="10F04B0D">
            <w:pPr>
              <w:spacing w:before="15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EEF38B8">
            <w:pPr>
              <w:spacing w:before="15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E230A85">
            <w:pPr>
              <w:pStyle w:val="19"/>
              <w:rPr>
                <w:rFonts w:hint="eastAsia" w:ascii="宋体" w:hAnsi="宋体" w:eastAsia="宋体" w:cs="宋体"/>
                <w:color w:val="auto"/>
                <w:highlight w:val="none"/>
              </w:rPr>
            </w:pPr>
          </w:p>
        </w:tc>
      </w:tr>
      <w:tr w14:paraId="367E0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A8684E9">
            <w:pPr>
              <w:spacing w:before="132" w:line="353"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（一）码头、桥梁、高架、烟囱、水塔或拆除</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中容易引起有毒有害气（液）体或粉尘扩散、</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易燃易爆事故发生的特殊建、构筑物的拆除工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1B020433">
            <w:pPr>
              <w:pStyle w:val="19"/>
              <w:spacing w:line="262" w:lineRule="auto"/>
              <w:rPr>
                <w:rFonts w:hint="eastAsia" w:ascii="宋体" w:hAnsi="宋体" w:eastAsia="宋体" w:cs="宋体"/>
                <w:color w:val="auto"/>
                <w:highlight w:val="none"/>
              </w:rPr>
            </w:pPr>
          </w:p>
          <w:p w14:paraId="3DBAD22F">
            <w:pPr>
              <w:pStyle w:val="19"/>
              <w:spacing w:line="262" w:lineRule="auto"/>
              <w:rPr>
                <w:rFonts w:hint="eastAsia" w:ascii="宋体" w:hAnsi="宋体" w:eastAsia="宋体" w:cs="宋体"/>
                <w:color w:val="auto"/>
                <w:highlight w:val="none"/>
              </w:rPr>
            </w:pPr>
          </w:p>
          <w:p w14:paraId="70A7FEAD">
            <w:pPr>
              <w:pStyle w:val="19"/>
              <w:spacing w:line="262" w:lineRule="auto"/>
              <w:rPr>
                <w:rFonts w:hint="eastAsia" w:ascii="宋体" w:hAnsi="宋体" w:eastAsia="宋体" w:cs="宋体"/>
                <w:color w:val="auto"/>
                <w:highlight w:val="none"/>
              </w:rPr>
            </w:pPr>
          </w:p>
          <w:p w14:paraId="027DADC8">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B159F06">
            <w:pPr>
              <w:pStyle w:val="19"/>
              <w:spacing w:line="262" w:lineRule="auto"/>
              <w:rPr>
                <w:rFonts w:hint="eastAsia" w:ascii="宋体" w:hAnsi="宋体" w:eastAsia="宋体" w:cs="宋体"/>
                <w:color w:val="auto"/>
                <w:highlight w:val="none"/>
              </w:rPr>
            </w:pPr>
          </w:p>
          <w:p w14:paraId="37266A32">
            <w:pPr>
              <w:pStyle w:val="19"/>
              <w:spacing w:line="262" w:lineRule="auto"/>
              <w:rPr>
                <w:rFonts w:hint="eastAsia" w:ascii="宋体" w:hAnsi="宋体" w:eastAsia="宋体" w:cs="宋体"/>
                <w:color w:val="auto"/>
                <w:highlight w:val="none"/>
              </w:rPr>
            </w:pPr>
          </w:p>
          <w:p w14:paraId="4DC51CCF">
            <w:pPr>
              <w:pStyle w:val="19"/>
              <w:spacing w:line="262" w:lineRule="auto"/>
              <w:rPr>
                <w:rFonts w:hint="eastAsia" w:ascii="宋体" w:hAnsi="宋体" w:eastAsia="宋体" w:cs="宋体"/>
                <w:color w:val="auto"/>
                <w:highlight w:val="none"/>
              </w:rPr>
            </w:pPr>
          </w:p>
          <w:p w14:paraId="26E31A3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B526988">
            <w:pPr>
              <w:pStyle w:val="19"/>
              <w:rPr>
                <w:rFonts w:hint="eastAsia" w:ascii="宋体" w:hAnsi="宋体" w:eastAsia="宋体" w:cs="宋体"/>
                <w:color w:val="auto"/>
                <w:highlight w:val="none"/>
              </w:rPr>
            </w:pPr>
          </w:p>
        </w:tc>
      </w:tr>
      <w:tr w14:paraId="44B44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8E0BA86">
            <w:pPr>
              <w:spacing w:before="131"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（二）文物保护建筑、优秀历史建筑或历史文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化风貌区影响范围内的拆除工程。</w:t>
            </w:r>
          </w:p>
        </w:tc>
        <w:tc>
          <w:tcPr>
            <w:tcW w:w="1294" w:type="dxa"/>
            <w:vAlign w:val="top"/>
          </w:tcPr>
          <w:p w14:paraId="230B4748">
            <w:pPr>
              <w:pStyle w:val="19"/>
              <w:spacing w:line="297" w:lineRule="auto"/>
              <w:rPr>
                <w:rFonts w:hint="eastAsia" w:ascii="宋体" w:hAnsi="宋体" w:eastAsia="宋体" w:cs="宋体"/>
                <w:color w:val="auto"/>
                <w:highlight w:val="none"/>
              </w:rPr>
            </w:pPr>
          </w:p>
          <w:p w14:paraId="6DD1EA3A">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77AA539">
            <w:pPr>
              <w:pStyle w:val="19"/>
              <w:spacing w:line="297" w:lineRule="auto"/>
              <w:rPr>
                <w:rFonts w:hint="eastAsia" w:ascii="宋体" w:hAnsi="宋体" w:eastAsia="宋体" w:cs="宋体"/>
                <w:color w:val="auto"/>
                <w:highlight w:val="none"/>
              </w:rPr>
            </w:pPr>
          </w:p>
          <w:p w14:paraId="54D91473">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46DF8E9">
            <w:pPr>
              <w:pStyle w:val="19"/>
              <w:rPr>
                <w:rFonts w:hint="eastAsia" w:ascii="宋体" w:hAnsi="宋体" w:eastAsia="宋体" w:cs="宋体"/>
                <w:color w:val="auto"/>
                <w:highlight w:val="none"/>
              </w:rPr>
            </w:pPr>
          </w:p>
        </w:tc>
      </w:tr>
      <w:tr w14:paraId="057D8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761C0F8">
            <w:pPr>
              <w:spacing w:before="131" w:line="221"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2F70A817">
            <w:pPr>
              <w:spacing w:before="14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A8109BB">
            <w:pPr>
              <w:spacing w:before="14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64FAE9F">
            <w:pPr>
              <w:pStyle w:val="19"/>
              <w:rPr>
                <w:rFonts w:hint="eastAsia" w:ascii="宋体" w:hAnsi="宋体" w:eastAsia="宋体" w:cs="宋体"/>
                <w:color w:val="auto"/>
                <w:highlight w:val="none"/>
              </w:rPr>
            </w:pPr>
          </w:p>
        </w:tc>
      </w:tr>
      <w:tr w14:paraId="17005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EF69EE1">
            <w:pPr>
              <w:spacing w:before="131" w:line="327"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4ACEEB37">
            <w:pPr>
              <w:pStyle w:val="19"/>
              <w:spacing w:line="298" w:lineRule="auto"/>
              <w:rPr>
                <w:rFonts w:hint="eastAsia" w:ascii="宋体" w:hAnsi="宋体" w:eastAsia="宋体" w:cs="宋体"/>
                <w:color w:val="auto"/>
                <w:highlight w:val="none"/>
              </w:rPr>
            </w:pPr>
          </w:p>
          <w:p w14:paraId="7C95A78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1965ACE">
            <w:pPr>
              <w:pStyle w:val="19"/>
              <w:spacing w:line="298" w:lineRule="auto"/>
              <w:rPr>
                <w:rFonts w:hint="eastAsia" w:ascii="宋体" w:hAnsi="宋体" w:eastAsia="宋体" w:cs="宋体"/>
                <w:color w:val="auto"/>
                <w:highlight w:val="none"/>
              </w:rPr>
            </w:pPr>
          </w:p>
          <w:p w14:paraId="5F65E69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B8B6D9D">
            <w:pPr>
              <w:pStyle w:val="19"/>
              <w:rPr>
                <w:rFonts w:hint="eastAsia" w:ascii="宋体" w:hAnsi="宋体" w:eastAsia="宋体" w:cs="宋体"/>
                <w:color w:val="auto"/>
                <w:highlight w:val="none"/>
              </w:rPr>
            </w:pPr>
          </w:p>
        </w:tc>
      </w:tr>
      <w:tr w14:paraId="6793C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6004C8B">
            <w:pPr>
              <w:spacing w:before="130"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6B60CBAC">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CB6FBD9">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E93E57B">
            <w:pPr>
              <w:pStyle w:val="19"/>
              <w:rPr>
                <w:rFonts w:hint="eastAsia" w:ascii="宋体" w:hAnsi="宋体" w:eastAsia="宋体" w:cs="宋体"/>
                <w:color w:val="auto"/>
                <w:highlight w:val="none"/>
              </w:rPr>
            </w:pPr>
          </w:p>
        </w:tc>
      </w:tr>
      <w:tr w14:paraId="51107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63B4D86">
            <w:pPr>
              <w:spacing w:before="130" w:line="327"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（一）施工高度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及以上的建筑幕墙安装工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489E7B04">
            <w:pPr>
              <w:pStyle w:val="19"/>
              <w:spacing w:line="297" w:lineRule="auto"/>
              <w:rPr>
                <w:rFonts w:hint="eastAsia" w:ascii="宋体" w:hAnsi="宋体" w:eastAsia="宋体" w:cs="宋体"/>
                <w:color w:val="auto"/>
                <w:highlight w:val="none"/>
              </w:rPr>
            </w:pPr>
          </w:p>
          <w:p w14:paraId="2349754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9489B69">
            <w:pPr>
              <w:pStyle w:val="19"/>
              <w:spacing w:line="297" w:lineRule="auto"/>
              <w:rPr>
                <w:rFonts w:hint="eastAsia" w:ascii="宋体" w:hAnsi="宋体" w:eastAsia="宋体" w:cs="宋体"/>
                <w:color w:val="auto"/>
                <w:highlight w:val="none"/>
              </w:rPr>
            </w:pPr>
          </w:p>
          <w:p w14:paraId="7798E47C">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1387EA0">
            <w:pPr>
              <w:pStyle w:val="19"/>
              <w:rPr>
                <w:rFonts w:hint="eastAsia" w:ascii="宋体" w:hAnsi="宋体" w:eastAsia="宋体" w:cs="宋体"/>
                <w:color w:val="auto"/>
                <w:highlight w:val="none"/>
              </w:rPr>
            </w:pPr>
          </w:p>
        </w:tc>
      </w:tr>
      <w:tr w14:paraId="2D856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2C0DDAD">
            <w:pPr>
              <w:spacing w:before="130"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36m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及以上的钢结构安装工程，或</w:t>
            </w:r>
          </w:p>
        </w:tc>
        <w:tc>
          <w:tcPr>
            <w:tcW w:w="1294" w:type="dxa"/>
            <w:vAlign w:val="top"/>
          </w:tcPr>
          <w:p w14:paraId="02EF862C">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6662F3D">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32F92FD">
            <w:pPr>
              <w:pStyle w:val="19"/>
              <w:rPr>
                <w:rFonts w:hint="eastAsia" w:ascii="宋体" w:hAnsi="宋体" w:eastAsia="宋体" w:cs="宋体"/>
                <w:color w:val="auto"/>
                <w:highlight w:val="none"/>
              </w:rPr>
            </w:pPr>
          </w:p>
        </w:tc>
      </w:tr>
      <w:tr w14:paraId="51FC5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51444D1">
            <w:pPr>
              <w:spacing w:before="131"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60m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及以上的网架和索膜结构安装工程。</w:t>
            </w:r>
          </w:p>
        </w:tc>
        <w:tc>
          <w:tcPr>
            <w:tcW w:w="1294" w:type="dxa"/>
            <w:vAlign w:val="top"/>
          </w:tcPr>
          <w:p w14:paraId="2332BF27">
            <w:pPr>
              <w:pStyle w:val="19"/>
              <w:rPr>
                <w:rFonts w:hint="eastAsia" w:ascii="宋体" w:hAnsi="宋体" w:eastAsia="宋体" w:cs="宋体"/>
                <w:color w:val="auto"/>
                <w:highlight w:val="none"/>
              </w:rPr>
            </w:pPr>
          </w:p>
        </w:tc>
        <w:tc>
          <w:tcPr>
            <w:tcW w:w="1294" w:type="dxa"/>
            <w:vAlign w:val="top"/>
          </w:tcPr>
          <w:p w14:paraId="6D02C3B4">
            <w:pPr>
              <w:pStyle w:val="19"/>
              <w:rPr>
                <w:rFonts w:hint="eastAsia" w:ascii="宋体" w:hAnsi="宋体" w:eastAsia="宋体" w:cs="宋体"/>
                <w:color w:val="auto"/>
                <w:highlight w:val="none"/>
              </w:rPr>
            </w:pPr>
          </w:p>
        </w:tc>
        <w:tc>
          <w:tcPr>
            <w:tcW w:w="2428" w:type="dxa"/>
            <w:vAlign w:val="top"/>
          </w:tcPr>
          <w:p w14:paraId="2BDBEB97">
            <w:pPr>
              <w:pStyle w:val="19"/>
              <w:rPr>
                <w:rFonts w:hint="eastAsia" w:ascii="宋体" w:hAnsi="宋体" w:eastAsia="宋体" w:cs="宋体"/>
                <w:color w:val="auto"/>
                <w:highlight w:val="none"/>
              </w:rPr>
            </w:pPr>
          </w:p>
        </w:tc>
      </w:tr>
      <w:tr w14:paraId="4A18A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7BE97B6">
            <w:pPr>
              <w:spacing w:before="127"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（三）开挖深度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7"/>
                <w:sz w:val="24"/>
                <w:szCs w:val="24"/>
                <w:highlight w:val="none"/>
              </w:rPr>
              <w:t>16m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及以上的人工挖孔桩工程。</w:t>
            </w:r>
          </w:p>
        </w:tc>
        <w:tc>
          <w:tcPr>
            <w:tcW w:w="1294" w:type="dxa"/>
            <w:vAlign w:val="top"/>
          </w:tcPr>
          <w:p w14:paraId="6346054A">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AC66A2C">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CB7F3CD">
            <w:pPr>
              <w:pStyle w:val="19"/>
              <w:rPr>
                <w:rFonts w:hint="eastAsia" w:ascii="宋体" w:hAnsi="宋体" w:eastAsia="宋体" w:cs="宋体"/>
                <w:color w:val="auto"/>
                <w:highlight w:val="none"/>
              </w:rPr>
            </w:pPr>
          </w:p>
        </w:tc>
      </w:tr>
      <w:tr w14:paraId="6B796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98367FF">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4BF4FA6A">
            <w:pPr>
              <w:spacing w:before="163"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8F2C95F">
            <w:pPr>
              <w:spacing w:before="163"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84A760F">
            <w:pPr>
              <w:pStyle w:val="19"/>
              <w:rPr>
                <w:rFonts w:hint="eastAsia" w:ascii="宋体" w:hAnsi="宋体" w:eastAsia="宋体" w:cs="宋体"/>
                <w:color w:val="auto"/>
                <w:highlight w:val="none"/>
              </w:rPr>
            </w:pPr>
          </w:p>
        </w:tc>
      </w:tr>
      <w:tr w14:paraId="6B2F8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AB28DB7">
            <w:pPr>
              <w:spacing w:before="130" w:line="327" w:lineRule="auto"/>
              <w:ind w:left="115" w:right="25" w:firstLine="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（五）重量</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8"/>
                <w:sz w:val="24"/>
                <w:szCs w:val="24"/>
                <w:highlight w:val="none"/>
              </w:rPr>
              <w:t>1000kN及以上的大型结构整体顶升、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平移、转体等施工工艺。</w:t>
            </w:r>
          </w:p>
        </w:tc>
        <w:tc>
          <w:tcPr>
            <w:tcW w:w="1294" w:type="dxa"/>
            <w:vAlign w:val="top"/>
          </w:tcPr>
          <w:p w14:paraId="69FEC21D">
            <w:pPr>
              <w:pStyle w:val="19"/>
              <w:spacing w:line="296" w:lineRule="auto"/>
              <w:rPr>
                <w:rFonts w:hint="eastAsia" w:ascii="宋体" w:hAnsi="宋体" w:eastAsia="宋体" w:cs="宋体"/>
                <w:color w:val="auto"/>
                <w:highlight w:val="none"/>
              </w:rPr>
            </w:pPr>
          </w:p>
          <w:p w14:paraId="03D094E4">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342334F">
            <w:pPr>
              <w:pStyle w:val="19"/>
              <w:spacing w:line="296" w:lineRule="auto"/>
              <w:rPr>
                <w:rFonts w:hint="eastAsia" w:ascii="宋体" w:hAnsi="宋体" w:eastAsia="宋体" w:cs="宋体"/>
                <w:color w:val="auto"/>
                <w:highlight w:val="none"/>
              </w:rPr>
            </w:pPr>
          </w:p>
          <w:p w14:paraId="314BC833">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89F43D9">
            <w:pPr>
              <w:pStyle w:val="19"/>
              <w:rPr>
                <w:rFonts w:hint="eastAsia" w:ascii="宋体" w:hAnsi="宋体" w:eastAsia="宋体" w:cs="宋体"/>
                <w:color w:val="auto"/>
                <w:highlight w:val="none"/>
              </w:rPr>
            </w:pPr>
          </w:p>
        </w:tc>
      </w:tr>
      <w:tr w14:paraId="6C78E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5B443FC">
            <w:pPr>
              <w:spacing w:before="129" w:line="346"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5BF26F2A">
            <w:pPr>
              <w:pStyle w:val="19"/>
              <w:spacing w:line="272" w:lineRule="auto"/>
              <w:rPr>
                <w:rFonts w:hint="eastAsia" w:ascii="宋体" w:hAnsi="宋体" w:eastAsia="宋体" w:cs="宋体"/>
                <w:color w:val="auto"/>
                <w:highlight w:val="none"/>
              </w:rPr>
            </w:pPr>
          </w:p>
          <w:p w14:paraId="44FDAEE1">
            <w:pPr>
              <w:pStyle w:val="19"/>
              <w:spacing w:line="272" w:lineRule="auto"/>
              <w:rPr>
                <w:rFonts w:hint="eastAsia" w:ascii="宋体" w:hAnsi="宋体" w:eastAsia="宋体" w:cs="宋体"/>
                <w:color w:val="auto"/>
                <w:highlight w:val="none"/>
              </w:rPr>
            </w:pPr>
          </w:p>
          <w:p w14:paraId="65F2438C">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252F967">
            <w:pPr>
              <w:pStyle w:val="19"/>
              <w:spacing w:line="272" w:lineRule="auto"/>
              <w:rPr>
                <w:rFonts w:hint="eastAsia" w:ascii="宋体" w:hAnsi="宋体" w:eastAsia="宋体" w:cs="宋体"/>
                <w:color w:val="auto"/>
                <w:highlight w:val="none"/>
              </w:rPr>
            </w:pPr>
          </w:p>
          <w:p w14:paraId="2CE7EF04">
            <w:pPr>
              <w:pStyle w:val="19"/>
              <w:spacing w:line="272" w:lineRule="auto"/>
              <w:rPr>
                <w:rFonts w:hint="eastAsia" w:ascii="宋体" w:hAnsi="宋体" w:eastAsia="宋体" w:cs="宋体"/>
                <w:color w:val="auto"/>
                <w:highlight w:val="none"/>
              </w:rPr>
            </w:pPr>
          </w:p>
          <w:p w14:paraId="4BE8EEB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A256D22">
            <w:pPr>
              <w:pStyle w:val="19"/>
              <w:rPr>
                <w:rFonts w:hint="eastAsia" w:ascii="宋体" w:hAnsi="宋体" w:eastAsia="宋体" w:cs="宋体"/>
                <w:color w:val="auto"/>
                <w:highlight w:val="none"/>
              </w:rPr>
            </w:pPr>
          </w:p>
        </w:tc>
      </w:tr>
    </w:tbl>
    <w:p w14:paraId="26203FEF">
      <w:pPr>
        <w:pStyle w:val="5"/>
        <w:spacing w:line="288" w:lineRule="auto"/>
        <w:rPr>
          <w:rFonts w:hint="eastAsia" w:ascii="宋体" w:hAnsi="宋体" w:eastAsia="宋体" w:cs="宋体"/>
          <w:color w:val="auto"/>
          <w:highlight w:val="none"/>
        </w:rPr>
      </w:pPr>
    </w:p>
    <w:p w14:paraId="28F5DDE1">
      <w:pPr>
        <w:pStyle w:val="5"/>
        <w:spacing w:line="288" w:lineRule="auto"/>
        <w:rPr>
          <w:rFonts w:hint="eastAsia" w:ascii="宋体" w:hAnsi="宋体" w:eastAsia="宋体" w:cs="宋体"/>
          <w:color w:val="auto"/>
          <w:highlight w:val="none"/>
        </w:rPr>
      </w:pPr>
    </w:p>
    <w:p w14:paraId="609B89BA">
      <w:pPr>
        <w:spacing w:before="21" w:line="376" w:lineRule="exact"/>
        <w:ind w:firstLine="520" w:firstLineChars="200"/>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10"/>
          <w:sz w:val="24"/>
          <w:szCs w:val="24"/>
          <w:highlight w:val="none"/>
        </w:rPr>
        <w:t>备注：1.根据《危险性较大的分部分项工程安全管理</w:t>
      </w:r>
      <w:r>
        <w:rPr>
          <w:rFonts w:hint="eastAsia" w:ascii="宋体" w:hAnsi="宋体" w:eastAsia="宋体" w:cs="宋体"/>
          <w:color w:val="auto"/>
          <w:spacing w:val="9"/>
          <w:sz w:val="24"/>
          <w:szCs w:val="24"/>
          <w:highlight w:val="none"/>
        </w:rPr>
        <w:t>规定》，该《危险性较大的分部分项工程清单及超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过一定规模的危险性较大的分部分项工程清单》</w:t>
      </w:r>
      <w:r>
        <w:rPr>
          <w:rFonts w:hint="eastAsia" w:ascii="宋体" w:hAnsi="宋体" w:eastAsia="宋体" w:cs="宋体"/>
          <w:color w:val="auto"/>
          <w:spacing w:val="9"/>
          <w:sz w:val="24"/>
          <w:szCs w:val="24"/>
          <w:highlight w:val="none"/>
          <w:lang w:eastAsia="zh-CN"/>
        </w:rPr>
        <w:t>应由建设单位组织勘察、设计等单位在招标文件中“勾选（对应项打“√”标识”危险性较大的分部分项工程。</w:t>
      </w:r>
    </w:p>
    <w:p w14:paraId="42167F99">
      <w:pPr>
        <w:spacing w:before="21" w:line="376" w:lineRule="exact"/>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2.该《危险性较大的分部分项工程清单及超过一定规模的危险性较</w:t>
      </w:r>
      <w:r>
        <w:rPr>
          <w:rFonts w:hint="eastAsia" w:ascii="宋体" w:hAnsi="宋体" w:eastAsia="宋体" w:cs="宋体"/>
          <w:color w:val="auto"/>
          <w:spacing w:val="7"/>
          <w:sz w:val="24"/>
          <w:szCs w:val="24"/>
          <w:highlight w:val="none"/>
        </w:rPr>
        <w:t>大的分部分项工程清单》在办理</w:t>
      </w:r>
      <w:r>
        <w:rPr>
          <w:rFonts w:hint="eastAsia" w:ascii="宋体" w:hAnsi="宋体" w:eastAsia="宋体" w:cs="宋体"/>
          <w:color w:val="auto"/>
          <w:spacing w:val="10"/>
          <w:sz w:val="24"/>
          <w:szCs w:val="24"/>
          <w:highlight w:val="none"/>
        </w:rPr>
        <w:t>建设项目施工许可时必须提供，且各地建设行政主管部门可按照《广东省建设工</w:t>
      </w:r>
      <w:r>
        <w:rPr>
          <w:rFonts w:hint="eastAsia" w:ascii="宋体" w:hAnsi="宋体" w:eastAsia="宋体" w:cs="宋体"/>
          <w:color w:val="auto"/>
          <w:spacing w:val="9"/>
          <w:sz w:val="24"/>
          <w:szCs w:val="24"/>
          <w:highlight w:val="none"/>
        </w:rPr>
        <w:t>程项目招标中标后监督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检查办法》相关规定开展检查。</w:t>
      </w:r>
    </w:p>
    <w:p w14:paraId="113F0EE6">
      <w:pPr>
        <w:spacing w:before="28" w:line="228" w:lineRule="auto"/>
        <w:ind w:left="553" w:leftChars="244" w:hanging="41" w:hangingChars="16"/>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9"/>
          <w:sz w:val="24"/>
          <w:szCs w:val="24"/>
          <w:highlight w:val="none"/>
        </w:rPr>
        <w:t>3.如果需要（如需要通过计算编制专项方案，或者需要专家论证</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9"/>
          <w:sz w:val="24"/>
          <w:szCs w:val="24"/>
          <w:highlight w:val="none"/>
        </w:rPr>
        <w:t>可中</w:t>
      </w:r>
      <w:r>
        <w:rPr>
          <w:rFonts w:hint="eastAsia" w:ascii="宋体" w:hAnsi="宋体" w:eastAsia="宋体" w:cs="宋体"/>
          <w:color w:val="auto"/>
          <w:spacing w:val="8"/>
          <w:sz w:val="24"/>
          <w:szCs w:val="24"/>
          <w:highlight w:val="none"/>
        </w:rPr>
        <w:t>标后提供</w:t>
      </w:r>
      <w:r>
        <w:rPr>
          <w:rFonts w:hint="eastAsia" w:ascii="宋体" w:hAnsi="宋体" w:eastAsia="宋体" w:cs="宋体"/>
          <w:color w:val="auto"/>
          <w:spacing w:val="8"/>
          <w:sz w:val="24"/>
          <w:szCs w:val="24"/>
          <w:highlight w:val="none"/>
          <w:lang w:eastAsia="zh-CN"/>
        </w:rPr>
        <w:t>详细版。</w:t>
      </w:r>
    </w:p>
    <w:p w14:paraId="5AE9ED3D">
      <w:pPr>
        <w:rPr>
          <w:color w:val="auto"/>
          <w:highlight w:val="none"/>
        </w:rPr>
      </w:pPr>
    </w:p>
    <w:p w14:paraId="14A99340">
      <w:pPr>
        <w:pStyle w:val="13"/>
        <w:rPr>
          <w:rFonts w:hint="eastAsia" w:ascii="宋体" w:hAnsi="宋体" w:eastAsia="宋体" w:cs="宋体"/>
          <w:b/>
          <w:bCs/>
          <w:color w:val="auto"/>
          <w:spacing w:val="-4"/>
          <w:sz w:val="24"/>
          <w:szCs w:val="24"/>
          <w:highlight w:val="none"/>
        </w:rPr>
      </w:pPr>
    </w:p>
    <w:p w14:paraId="21C8181B">
      <w:pPr>
        <w:pStyle w:val="13"/>
        <w:rPr>
          <w:rFonts w:hint="eastAsia" w:ascii="宋体" w:hAnsi="宋体" w:eastAsia="宋体" w:cs="宋体"/>
          <w:b/>
          <w:bCs/>
          <w:color w:val="auto"/>
          <w:spacing w:val="-4"/>
          <w:sz w:val="24"/>
          <w:szCs w:val="24"/>
          <w:highlight w:val="none"/>
        </w:rPr>
      </w:pPr>
    </w:p>
    <w:p w14:paraId="46E6CDC2">
      <w:pPr>
        <w:pStyle w:val="13"/>
        <w:rPr>
          <w:rFonts w:hint="eastAsia" w:ascii="宋体" w:hAnsi="宋体" w:eastAsia="宋体" w:cs="宋体"/>
          <w:b/>
          <w:bCs/>
          <w:color w:val="auto"/>
          <w:spacing w:val="-4"/>
          <w:sz w:val="24"/>
          <w:szCs w:val="24"/>
          <w:highlight w:val="none"/>
        </w:rPr>
      </w:pPr>
    </w:p>
    <w:p w14:paraId="2E92ABFE">
      <w:pPr>
        <w:pStyle w:val="13"/>
        <w:rPr>
          <w:rFonts w:hint="eastAsia" w:ascii="宋体" w:hAnsi="宋体" w:eastAsia="宋体" w:cs="宋体"/>
          <w:b/>
          <w:bCs/>
          <w:color w:val="auto"/>
          <w:spacing w:val="-4"/>
          <w:sz w:val="24"/>
          <w:szCs w:val="24"/>
          <w:highlight w:val="none"/>
        </w:rPr>
      </w:pPr>
    </w:p>
    <w:p w14:paraId="44169F6F">
      <w:pPr>
        <w:pStyle w:val="13"/>
        <w:rPr>
          <w:rFonts w:hint="eastAsia" w:ascii="宋体" w:hAnsi="宋体" w:eastAsia="宋体" w:cs="宋体"/>
          <w:b/>
          <w:bCs/>
          <w:color w:val="auto"/>
          <w:spacing w:val="-4"/>
          <w:sz w:val="24"/>
          <w:szCs w:val="24"/>
          <w:highlight w:val="none"/>
        </w:rPr>
      </w:pPr>
    </w:p>
    <w:p w14:paraId="659242A6">
      <w:pPr>
        <w:pStyle w:val="13"/>
        <w:ind w:left="0" w:leftChars="0" w:firstLine="0" w:firstLineChars="0"/>
        <w:rPr>
          <w:rFonts w:hint="eastAsia" w:ascii="宋体" w:hAnsi="宋体" w:eastAsia="宋体" w:cs="宋体"/>
          <w:b/>
          <w:bCs/>
          <w:color w:val="auto"/>
          <w:spacing w:val="-4"/>
          <w:sz w:val="24"/>
          <w:szCs w:val="24"/>
          <w:highlight w:val="none"/>
        </w:rPr>
      </w:pPr>
    </w:p>
    <w:p w14:paraId="541D9B0F">
      <w:pPr>
        <w:spacing w:before="78" w:line="220" w:lineRule="auto"/>
        <w:jc w:val="left"/>
        <w:outlineLvl w:val="9"/>
        <w:rPr>
          <w:rFonts w:hint="eastAsia" w:ascii="宋体" w:hAnsi="宋体" w:eastAsia="宋体" w:cs="宋体"/>
          <w:b/>
          <w:bCs/>
          <w:color w:val="auto"/>
          <w:spacing w:val="-4"/>
          <w:sz w:val="24"/>
          <w:szCs w:val="24"/>
          <w:highlight w:val="none"/>
        </w:rPr>
      </w:pPr>
    </w:p>
    <w:p w14:paraId="74B964E2">
      <w:pP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25664BB4">
      <w:pPr>
        <w:spacing w:before="78" w:line="220" w:lineRule="auto"/>
        <w:jc w:val="both"/>
        <w:outlineLvl w:val="2"/>
        <w:rPr>
          <w:rFonts w:hint="default" w:ascii="宋体" w:hAnsi="宋体" w:eastAsia="宋体" w:cs="宋体"/>
          <w:b/>
          <w:bCs/>
          <w:color w:val="auto"/>
          <w:spacing w:val="-4"/>
          <w:sz w:val="24"/>
          <w:szCs w:val="24"/>
          <w:highlight w:val="none"/>
          <w:lang w:val="en-US" w:eastAsia="zh-CN"/>
        </w:rPr>
      </w:pPr>
      <w:bookmarkStart w:id="266" w:name="_Toc2618"/>
      <w:r>
        <w:rPr>
          <w:rFonts w:hint="eastAsia" w:ascii="宋体" w:hAnsi="宋体" w:eastAsia="宋体" w:cs="宋体"/>
          <w:b/>
          <w:bCs/>
          <w:color w:val="auto"/>
          <w:spacing w:val="-4"/>
          <w:sz w:val="24"/>
          <w:szCs w:val="24"/>
          <w:highlight w:val="none"/>
        </w:rPr>
        <w:t>格式十四</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4"/>
          <w:position w:val="3"/>
          <w:sz w:val="21"/>
          <w:szCs w:val="21"/>
          <w:highlight w:val="none"/>
        </w:rPr>
        <w:t>投标保证金信用承诺函</w:t>
      </w:r>
      <w:bookmarkEnd w:id="266"/>
    </w:p>
    <w:p w14:paraId="221332FB">
      <w:pPr>
        <w:spacing w:before="140" w:line="604"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
          <w:position w:val="3"/>
          <w:sz w:val="28"/>
          <w:szCs w:val="28"/>
          <w:highlight w:val="none"/>
        </w:rPr>
        <w:t>投标保证金信用承诺函</w:t>
      </w:r>
    </w:p>
    <w:p w14:paraId="0612D8F6">
      <w:pPr>
        <w:pStyle w:val="5"/>
        <w:spacing w:line="408" w:lineRule="auto"/>
        <w:rPr>
          <w:rFonts w:hint="eastAsia" w:ascii="宋体" w:hAnsi="宋体" w:eastAsia="宋体" w:cs="宋体"/>
          <w:color w:val="auto"/>
          <w:highlight w:val="none"/>
        </w:rPr>
      </w:pPr>
    </w:p>
    <w:p w14:paraId="2F3E4ECC">
      <w:pPr>
        <w:spacing w:before="101" w:line="257" w:lineRule="auto"/>
        <w:ind w:left="3" w:firstLine="96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w:t>
      </w:r>
      <w:r>
        <w:rPr>
          <w:rFonts w:hint="eastAsia" w:ascii="宋体" w:hAnsi="宋体" w:eastAsia="宋体" w:cs="宋体"/>
          <w:color w:val="auto"/>
          <w:spacing w:val="7"/>
          <w:sz w:val="24"/>
          <w:szCs w:val="24"/>
          <w:highlight w:val="none"/>
        </w:rPr>
        <w:t>我单位参加</w:t>
      </w:r>
      <w:r>
        <w:rPr>
          <w:rFonts w:hint="eastAsia" w:ascii="宋体" w:hAnsi="宋体" w:eastAsia="宋体" w:cs="宋体"/>
          <w:color w:val="auto"/>
          <w:spacing w:val="7"/>
          <w:sz w:val="24"/>
          <w:szCs w:val="24"/>
          <w:highlight w:val="none"/>
          <w:u w:val="single"/>
        </w:rPr>
        <w:t xml:space="preserve">  （工程项目名称）  </w:t>
      </w:r>
      <w:r>
        <w:rPr>
          <w:rFonts w:hint="eastAsia" w:ascii="宋体" w:hAnsi="宋体" w:eastAsia="宋体" w:cs="宋体"/>
          <w:color w:val="auto"/>
          <w:spacing w:val="-116"/>
          <w:sz w:val="24"/>
          <w:szCs w:val="24"/>
          <w:highlight w:val="none"/>
        </w:rPr>
        <w:t xml:space="preserve"> </w:t>
      </w:r>
      <w:r>
        <w:rPr>
          <w:rFonts w:hint="eastAsia" w:ascii="宋体" w:hAnsi="宋体" w:eastAsia="宋体" w:cs="宋体"/>
          <w:color w:val="auto"/>
          <w:spacing w:val="7"/>
          <w:sz w:val="24"/>
          <w:szCs w:val="24"/>
          <w:highlight w:val="none"/>
        </w:rPr>
        <w:t>的投标活动，</w:t>
      </w:r>
      <w:r>
        <w:rPr>
          <w:rFonts w:hint="eastAsia" w:ascii="宋体" w:hAnsi="宋体" w:eastAsia="宋体" w:cs="宋体"/>
          <w:color w:val="auto"/>
          <w:spacing w:val="6"/>
          <w:sz w:val="24"/>
          <w:szCs w:val="24"/>
          <w:highlight w:val="none"/>
        </w:rPr>
        <w:t>现承</w:t>
      </w:r>
      <w:r>
        <w:rPr>
          <w:rFonts w:hint="eastAsia" w:ascii="宋体" w:hAnsi="宋体" w:eastAsia="宋体" w:cs="宋体"/>
          <w:color w:val="auto"/>
          <w:spacing w:val="9"/>
          <w:sz w:val="24"/>
          <w:szCs w:val="24"/>
          <w:highlight w:val="none"/>
        </w:rPr>
        <w:t>诺：将严格按照法律法规规定参与交易活动，按照招标文件要求</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依法履行投标人义务；我方若出现违反《中华人民共和国招标投</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标法》、《中华人民共和国招标投标法实施条例》、《电子招标</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投标办法》等有关法律法规的行为，将于投标有效期内全额付清</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7"/>
          <w:sz w:val="24"/>
          <w:szCs w:val="24"/>
          <w:highlight w:val="none"/>
        </w:rPr>
        <w:t>招标文件规定的投标保证金</w:t>
      </w:r>
      <w:r>
        <w:rPr>
          <w:rFonts w:hint="eastAsia" w:ascii="宋体" w:hAnsi="宋体" w:eastAsia="宋体" w:cs="宋体"/>
          <w:color w:val="auto"/>
          <w:spacing w:val="-153"/>
          <w:sz w:val="24"/>
          <w:szCs w:val="24"/>
          <w:highlight w:val="none"/>
        </w:rPr>
        <w:t xml:space="preserve"> </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138"/>
          <w:sz w:val="24"/>
          <w:szCs w:val="24"/>
          <w:highlight w:val="none"/>
        </w:rPr>
        <w:t xml:space="preserve"> </w:t>
      </w:r>
      <w:r>
        <w:rPr>
          <w:rFonts w:hint="eastAsia" w:ascii="宋体" w:hAnsi="宋体" w:eastAsia="宋体" w:cs="宋体"/>
          <w:color w:val="auto"/>
          <w:spacing w:val="7"/>
          <w:sz w:val="24"/>
          <w:szCs w:val="24"/>
          <w:highlight w:val="none"/>
        </w:rPr>
        <w:t>元。</w:t>
      </w:r>
    </w:p>
    <w:p w14:paraId="3C705760">
      <w:pPr>
        <w:spacing w:before="48" w:line="252" w:lineRule="auto"/>
        <w:ind w:left="1" w:firstLine="647"/>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二、至投标文件提交当天，本公司无严重不良信用记录或存在曾作出虚假承诺的情形，且不属于韶关市建筑市场信用管理平</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台公布的信用等级为</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B</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级、C</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级、D</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级的企业。</w:t>
      </w:r>
    </w:p>
    <w:p w14:paraId="4D138DF4">
      <w:pPr>
        <w:spacing w:before="52" w:line="247" w:lineRule="auto"/>
        <w:ind w:left="6" w:right="2" w:firstLine="63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本企业对以上承诺和声明负责。如有虚假，愿接受行政主管</w:t>
      </w:r>
      <w:r>
        <w:rPr>
          <w:rFonts w:hint="eastAsia" w:ascii="宋体" w:hAnsi="宋体" w:eastAsia="宋体" w:cs="宋体"/>
          <w:color w:val="auto"/>
          <w:spacing w:val="8"/>
          <w:sz w:val="24"/>
          <w:szCs w:val="24"/>
          <w:highlight w:val="none"/>
        </w:rPr>
        <w:t>部门作出的处罚，并承担以下后果：</w:t>
      </w:r>
    </w:p>
    <w:p w14:paraId="527EEA4A">
      <w:pPr>
        <w:spacing w:before="48"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（一）取消本单位在本项目中的投标资格或中标资格；</w:t>
      </w:r>
    </w:p>
    <w:p w14:paraId="2403FC5A">
      <w:pPr>
        <w:spacing w:before="64"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（二）将本单位不良行为纳入信用信息管理系统；</w:t>
      </w:r>
    </w:p>
    <w:p w14:paraId="3CEAB663">
      <w:pPr>
        <w:spacing w:before="60" w:line="244" w:lineRule="auto"/>
        <w:ind w:left="41" w:right="2" w:firstLine="61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（三）主动在产生不良行为所在的各县（市、区）行</w:t>
      </w:r>
      <w:r>
        <w:rPr>
          <w:rFonts w:hint="eastAsia" w:ascii="宋体" w:hAnsi="宋体" w:eastAsia="宋体" w:cs="宋体"/>
          <w:color w:val="auto"/>
          <w:spacing w:val="8"/>
          <w:sz w:val="24"/>
          <w:szCs w:val="24"/>
          <w:highlight w:val="none"/>
        </w:rPr>
        <w:t>政区域</w:t>
      </w:r>
      <w:r>
        <w:rPr>
          <w:rFonts w:hint="eastAsia" w:ascii="宋体" w:hAnsi="宋体" w:eastAsia="宋体" w:cs="宋体"/>
          <w:color w:val="auto"/>
          <w:spacing w:val="6"/>
          <w:sz w:val="24"/>
          <w:szCs w:val="24"/>
          <w:highlight w:val="none"/>
        </w:rPr>
        <w:t>内不参加房建市政工程项目的投标活动一年；</w:t>
      </w:r>
    </w:p>
    <w:p w14:paraId="5852F9B5">
      <w:pPr>
        <w:spacing w:before="63"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（四）应付的赔偿责任和相应法律责任。</w:t>
      </w:r>
    </w:p>
    <w:p w14:paraId="55B5EB83">
      <w:pPr>
        <w:pStyle w:val="5"/>
        <w:spacing w:line="329" w:lineRule="auto"/>
        <w:rPr>
          <w:rFonts w:hint="eastAsia" w:ascii="宋体" w:hAnsi="宋体" w:eastAsia="宋体" w:cs="宋体"/>
          <w:color w:val="auto"/>
          <w:sz w:val="24"/>
          <w:szCs w:val="24"/>
          <w:highlight w:val="none"/>
        </w:rPr>
      </w:pPr>
    </w:p>
    <w:p w14:paraId="3BE03DBC">
      <w:pPr>
        <w:spacing w:before="102" w:line="225" w:lineRule="auto"/>
        <w:ind w:left="8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单位名称（公章</w:t>
      </w:r>
      <w:r>
        <w:rPr>
          <w:rFonts w:hint="eastAsia" w:ascii="宋体" w:hAnsi="宋体" w:eastAsia="宋体" w:cs="宋体"/>
          <w:color w:val="auto"/>
          <w:spacing w:val="1"/>
          <w:sz w:val="24"/>
          <w:szCs w:val="24"/>
          <w:highlight w:val="none"/>
        </w:rPr>
        <w:t>）：</w:t>
      </w:r>
    </w:p>
    <w:p w14:paraId="677BCCEE">
      <w:pPr>
        <w:pStyle w:val="5"/>
        <w:spacing w:line="457" w:lineRule="auto"/>
        <w:rPr>
          <w:rFonts w:hint="eastAsia" w:ascii="宋体" w:hAnsi="宋体" w:eastAsia="宋体" w:cs="宋体"/>
          <w:color w:val="auto"/>
          <w:sz w:val="24"/>
          <w:szCs w:val="24"/>
          <w:highlight w:val="none"/>
        </w:rPr>
      </w:pPr>
    </w:p>
    <w:p w14:paraId="0409C475">
      <w:pPr>
        <w:spacing w:before="100" w:line="225" w:lineRule="auto"/>
        <w:ind w:left="85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统一社会信用代码：</w:t>
      </w:r>
    </w:p>
    <w:p w14:paraId="4741522E">
      <w:pPr>
        <w:pStyle w:val="5"/>
        <w:spacing w:line="457" w:lineRule="auto"/>
        <w:rPr>
          <w:rFonts w:hint="eastAsia" w:ascii="宋体" w:hAnsi="宋体" w:eastAsia="宋体" w:cs="宋体"/>
          <w:color w:val="auto"/>
          <w:sz w:val="24"/>
          <w:szCs w:val="24"/>
          <w:highlight w:val="none"/>
        </w:rPr>
      </w:pPr>
    </w:p>
    <w:p w14:paraId="4A8DC1CC">
      <w:pPr>
        <w:spacing w:before="102" w:line="543" w:lineRule="auto"/>
        <w:ind w:left="844" w:right="5000"/>
        <w:rPr>
          <w:rFonts w:hint="eastAsia" w:ascii="宋体" w:hAnsi="宋体" w:eastAsia="宋体" w:cs="宋体"/>
          <w:color w:val="auto"/>
          <w:spacing w:val="-29"/>
          <w:sz w:val="24"/>
          <w:szCs w:val="24"/>
          <w:highlight w:val="none"/>
        </w:rPr>
      </w:pPr>
      <w:r>
        <w:rPr>
          <w:rFonts w:hint="eastAsia" w:ascii="宋体" w:hAnsi="宋体" w:eastAsia="宋体" w:cs="宋体"/>
          <w:color w:val="auto"/>
          <w:spacing w:val="8"/>
          <w:sz w:val="24"/>
          <w:szCs w:val="24"/>
          <w:highlight w:val="none"/>
        </w:rPr>
        <w:t>法定代表人（签字</w:t>
      </w:r>
      <w:r>
        <w:rPr>
          <w:rFonts w:hint="eastAsia" w:ascii="宋体" w:hAnsi="宋体" w:eastAsia="宋体" w:cs="宋体"/>
          <w:color w:val="auto"/>
          <w:spacing w:val="-29"/>
          <w:sz w:val="24"/>
          <w:szCs w:val="24"/>
          <w:highlight w:val="none"/>
        </w:rPr>
        <w:t>）：</w:t>
      </w:r>
    </w:p>
    <w:p w14:paraId="19C908A6">
      <w:pPr>
        <w:spacing w:before="102" w:line="543" w:lineRule="auto"/>
        <w:ind w:left="844" w:right="5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9"/>
          <w:sz w:val="24"/>
          <w:szCs w:val="24"/>
          <w:highlight w:val="none"/>
          <w:lang w:val="en-US" w:eastAsia="zh-CN"/>
        </w:rPr>
        <w:t xml:space="preserve">  </w:t>
      </w:r>
      <w:r>
        <w:rPr>
          <w:rFonts w:hint="eastAsia" w:ascii="宋体" w:hAnsi="宋体" w:eastAsia="宋体" w:cs="宋体"/>
          <w:color w:val="auto"/>
          <w:spacing w:val="-6"/>
          <w:sz w:val="24"/>
          <w:szCs w:val="24"/>
          <w:highlight w:val="none"/>
        </w:rPr>
        <w:t>日</w:t>
      </w:r>
    </w:p>
    <w:p w14:paraId="11FCFDA6">
      <w:pPr>
        <w:pStyle w:val="13"/>
        <w:rPr>
          <w:rFonts w:hint="eastAsia" w:ascii="宋体" w:hAnsi="宋体" w:eastAsia="宋体" w:cs="宋体"/>
          <w:color w:val="auto"/>
          <w:highlight w:val="none"/>
        </w:rPr>
      </w:pPr>
    </w:p>
    <w:p w14:paraId="6120883C">
      <w:pPr>
        <w:pStyle w:val="13"/>
        <w:rPr>
          <w:rFonts w:hint="eastAsia" w:ascii="宋体" w:hAnsi="宋体" w:eastAsia="宋体" w:cs="宋体"/>
          <w:color w:val="auto"/>
          <w:spacing w:val="8"/>
          <w:sz w:val="24"/>
          <w:szCs w:val="24"/>
          <w:highlight w:val="none"/>
          <w:lang w:eastAsia="zh-CN"/>
        </w:rPr>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730C15DD">
      <w:pPr>
        <w:spacing w:before="78" w:line="220" w:lineRule="auto"/>
        <w:outlineLvl w:val="2"/>
        <w:rPr>
          <w:rFonts w:hint="eastAsia" w:ascii="宋体" w:hAnsi="宋体" w:eastAsia="宋体" w:cs="宋体"/>
          <w:b/>
          <w:bCs/>
          <w:color w:val="auto"/>
          <w:spacing w:val="-4"/>
          <w:sz w:val="24"/>
          <w:szCs w:val="24"/>
          <w:highlight w:val="none"/>
        </w:rPr>
      </w:pPr>
      <w:bookmarkStart w:id="267" w:name="_Toc22936"/>
      <w:r>
        <w:rPr>
          <w:rFonts w:hint="eastAsia" w:ascii="宋体" w:hAnsi="宋体" w:eastAsia="宋体" w:cs="宋体"/>
          <w:b/>
          <w:bCs/>
          <w:color w:val="auto"/>
          <w:spacing w:val="-4"/>
          <w:sz w:val="24"/>
          <w:szCs w:val="24"/>
          <w:highlight w:val="none"/>
        </w:rPr>
        <w:t>格式十</w:t>
      </w:r>
      <w:r>
        <w:rPr>
          <w:rFonts w:hint="eastAsia" w:ascii="宋体" w:hAnsi="宋体" w:eastAsia="宋体" w:cs="宋体"/>
          <w:b/>
          <w:bCs/>
          <w:color w:val="auto"/>
          <w:spacing w:val="-4"/>
          <w:sz w:val="24"/>
          <w:szCs w:val="24"/>
          <w:highlight w:val="none"/>
          <w:lang w:eastAsia="zh-CN"/>
        </w:rPr>
        <w:t>五</w:t>
      </w:r>
      <w:r>
        <w:rPr>
          <w:rFonts w:hint="eastAsia" w:ascii="宋体" w:hAnsi="宋体" w:eastAsia="宋体" w:cs="宋体"/>
          <w:b/>
          <w:bCs/>
          <w:color w:val="auto"/>
          <w:spacing w:val="-4"/>
          <w:sz w:val="24"/>
          <w:szCs w:val="24"/>
          <w:highlight w:val="none"/>
        </w:rPr>
        <w:t xml:space="preserve">  原件一览表</w:t>
      </w:r>
      <w:bookmarkEnd w:id="267"/>
    </w:p>
    <w:tbl>
      <w:tblPr>
        <w:tblStyle w:val="14"/>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1567B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62013C6D">
            <w:pPr>
              <w:spacing w:before="132" w:line="220" w:lineRule="auto"/>
              <w:ind w:left="396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原件一览表</w:t>
            </w:r>
          </w:p>
        </w:tc>
      </w:tr>
      <w:tr w14:paraId="6703D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top"/>
          </w:tcPr>
          <w:p w14:paraId="11A194BA">
            <w:pPr>
              <w:pStyle w:val="19"/>
              <w:spacing w:line="253" w:lineRule="auto"/>
              <w:rPr>
                <w:rFonts w:hint="eastAsia" w:ascii="宋体" w:hAnsi="宋体" w:eastAsia="宋体" w:cs="宋体"/>
                <w:color w:val="auto"/>
                <w:sz w:val="24"/>
                <w:szCs w:val="24"/>
                <w:highlight w:val="none"/>
              </w:rPr>
            </w:pPr>
          </w:p>
          <w:p w14:paraId="5AA42563">
            <w:pPr>
              <w:spacing w:before="62"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工程名称</w:t>
            </w:r>
          </w:p>
        </w:tc>
        <w:tc>
          <w:tcPr>
            <w:tcW w:w="6816" w:type="dxa"/>
            <w:gridSpan w:val="6"/>
            <w:vAlign w:val="top"/>
          </w:tcPr>
          <w:p w14:paraId="0E4FF82C">
            <w:pPr>
              <w:pStyle w:val="19"/>
              <w:rPr>
                <w:rFonts w:hint="eastAsia" w:ascii="宋体" w:hAnsi="宋体" w:eastAsia="宋体" w:cs="宋体"/>
                <w:color w:val="auto"/>
                <w:sz w:val="24"/>
                <w:szCs w:val="24"/>
                <w:highlight w:val="none"/>
              </w:rPr>
            </w:pPr>
          </w:p>
        </w:tc>
      </w:tr>
      <w:tr w14:paraId="1853D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675E67FE">
            <w:pPr>
              <w:spacing w:before="150"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r>
              <w:rPr>
                <w:rFonts w:hint="eastAsia" w:ascii="宋体" w:hAnsi="宋体" w:eastAsia="宋体" w:cs="宋体"/>
                <w:color w:val="auto"/>
                <w:spacing w:val="5"/>
                <w:sz w:val="24"/>
                <w:szCs w:val="24"/>
                <w:highlight w:val="none"/>
              </w:rPr>
              <w:t>(请务必填写单位全称)</w:t>
            </w:r>
          </w:p>
        </w:tc>
        <w:tc>
          <w:tcPr>
            <w:tcW w:w="6816" w:type="dxa"/>
            <w:gridSpan w:val="6"/>
            <w:vAlign w:val="top"/>
          </w:tcPr>
          <w:p w14:paraId="24F0B9DB">
            <w:pPr>
              <w:pStyle w:val="19"/>
              <w:rPr>
                <w:rFonts w:hint="eastAsia" w:ascii="宋体" w:hAnsi="宋体" w:eastAsia="宋体" w:cs="宋体"/>
                <w:color w:val="auto"/>
                <w:sz w:val="24"/>
                <w:szCs w:val="24"/>
                <w:highlight w:val="none"/>
              </w:rPr>
            </w:pPr>
          </w:p>
        </w:tc>
      </w:tr>
      <w:tr w14:paraId="1F83A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18A11330">
            <w:pPr>
              <w:spacing w:before="151"/>
              <w:ind w:right="14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投标人法定代表人或其委托代理人签名</w:t>
            </w:r>
          </w:p>
        </w:tc>
        <w:tc>
          <w:tcPr>
            <w:tcW w:w="2689" w:type="dxa"/>
            <w:gridSpan w:val="2"/>
            <w:vAlign w:val="top"/>
          </w:tcPr>
          <w:p w14:paraId="2478D1AC">
            <w:pPr>
              <w:pStyle w:val="19"/>
              <w:rPr>
                <w:rFonts w:hint="eastAsia" w:ascii="宋体" w:hAnsi="宋体" w:eastAsia="宋体" w:cs="宋体"/>
                <w:color w:val="auto"/>
                <w:sz w:val="24"/>
                <w:szCs w:val="24"/>
                <w:highlight w:val="none"/>
              </w:rPr>
            </w:pPr>
          </w:p>
        </w:tc>
        <w:tc>
          <w:tcPr>
            <w:tcW w:w="1499" w:type="dxa"/>
            <w:gridSpan w:val="2"/>
            <w:vAlign w:val="top"/>
          </w:tcPr>
          <w:p w14:paraId="7B1FAA8C">
            <w:pPr>
              <w:spacing w:before="151" w:line="312" w:lineRule="auto"/>
              <w:ind w:right="17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手机</w:t>
            </w:r>
            <w:r>
              <w:rPr>
                <w:rFonts w:hint="eastAsia" w:ascii="宋体" w:hAnsi="宋体" w:eastAsia="宋体" w:cs="宋体"/>
                <w:color w:val="auto"/>
                <w:spacing w:val="2"/>
                <w:sz w:val="24"/>
                <w:szCs w:val="24"/>
                <w:highlight w:val="none"/>
              </w:rPr>
              <w:t>号码</w:t>
            </w:r>
          </w:p>
        </w:tc>
        <w:tc>
          <w:tcPr>
            <w:tcW w:w="2628" w:type="dxa"/>
            <w:gridSpan w:val="2"/>
            <w:vAlign w:val="top"/>
          </w:tcPr>
          <w:p w14:paraId="269CCB73">
            <w:pPr>
              <w:pStyle w:val="19"/>
              <w:rPr>
                <w:rFonts w:hint="eastAsia" w:ascii="宋体" w:hAnsi="宋体" w:eastAsia="宋体" w:cs="宋体"/>
                <w:color w:val="auto"/>
                <w:sz w:val="24"/>
                <w:szCs w:val="24"/>
                <w:highlight w:val="none"/>
              </w:rPr>
            </w:pPr>
          </w:p>
        </w:tc>
      </w:tr>
      <w:tr w14:paraId="183EE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789C1DB9">
            <w:pPr>
              <w:spacing w:before="62" w:line="228" w:lineRule="auto"/>
              <w:ind w:left="336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递交的证明材料原件如下：</w:t>
            </w:r>
          </w:p>
        </w:tc>
      </w:tr>
      <w:tr w14:paraId="74B30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08F0181A">
            <w:pPr>
              <w:pStyle w:val="19"/>
              <w:spacing w:line="257" w:lineRule="auto"/>
              <w:rPr>
                <w:rFonts w:hint="eastAsia" w:ascii="宋体" w:hAnsi="宋体" w:eastAsia="宋体" w:cs="宋体"/>
                <w:color w:val="auto"/>
                <w:sz w:val="24"/>
                <w:szCs w:val="24"/>
                <w:highlight w:val="none"/>
              </w:rPr>
            </w:pPr>
          </w:p>
          <w:p w14:paraId="69EE1A14">
            <w:pPr>
              <w:spacing w:before="62" w:line="230" w:lineRule="auto"/>
              <w:ind w:left="15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5304" w:type="dxa"/>
            <w:gridSpan w:val="4"/>
            <w:vAlign w:val="top"/>
          </w:tcPr>
          <w:p w14:paraId="7FFE0CFE">
            <w:pPr>
              <w:pStyle w:val="19"/>
              <w:spacing w:line="257" w:lineRule="auto"/>
              <w:rPr>
                <w:rFonts w:hint="eastAsia" w:ascii="宋体" w:hAnsi="宋体" w:eastAsia="宋体" w:cs="宋体"/>
                <w:color w:val="auto"/>
                <w:sz w:val="24"/>
                <w:szCs w:val="24"/>
                <w:highlight w:val="none"/>
              </w:rPr>
            </w:pPr>
          </w:p>
          <w:p w14:paraId="35D106AB">
            <w:pPr>
              <w:spacing w:before="61" w:line="228" w:lineRule="auto"/>
              <w:ind w:left="176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证明材料原件名称</w:t>
            </w:r>
          </w:p>
        </w:tc>
        <w:tc>
          <w:tcPr>
            <w:tcW w:w="1771" w:type="dxa"/>
            <w:gridSpan w:val="2"/>
            <w:vAlign w:val="top"/>
          </w:tcPr>
          <w:p w14:paraId="6367CB76">
            <w:pPr>
              <w:pStyle w:val="19"/>
              <w:spacing w:line="256" w:lineRule="auto"/>
              <w:rPr>
                <w:rFonts w:hint="eastAsia" w:ascii="宋体" w:hAnsi="宋体" w:eastAsia="宋体" w:cs="宋体"/>
                <w:color w:val="auto"/>
                <w:sz w:val="24"/>
                <w:szCs w:val="24"/>
                <w:highlight w:val="none"/>
              </w:rPr>
            </w:pPr>
          </w:p>
          <w:p w14:paraId="1C061648">
            <w:pPr>
              <w:spacing w:before="62" w:line="230" w:lineRule="auto"/>
              <w:ind w:left="66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单位</w:t>
            </w:r>
          </w:p>
        </w:tc>
        <w:tc>
          <w:tcPr>
            <w:tcW w:w="1637" w:type="dxa"/>
            <w:vAlign w:val="top"/>
          </w:tcPr>
          <w:p w14:paraId="3C711DB3">
            <w:pPr>
              <w:pStyle w:val="19"/>
              <w:spacing w:line="256" w:lineRule="auto"/>
              <w:rPr>
                <w:rFonts w:hint="eastAsia" w:ascii="宋体" w:hAnsi="宋体" w:eastAsia="宋体" w:cs="宋体"/>
                <w:color w:val="auto"/>
                <w:sz w:val="24"/>
                <w:szCs w:val="24"/>
                <w:highlight w:val="none"/>
              </w:rPr>
            </w:pPr>
          </w:p>
          <w:p w14:paraId="64DB2E97">
            <w:pPr>
              <w:spacing w:before="62" w:line="229" w:lineRule="auto"/>
              <w:ind w:left="59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r>
      <w:tr w14:paraId="47D04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5E76F9A5">
            <w:pPr>
              <w:spacing w:before="287" w:line="184" w:lineRule="auto"/>
              <w:ind w:left="3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04" w:type="dxa"/>
            <w:gridSpan w:val="4"/>
            <w:vAlign w:val="top"/>
          </w:tcPr>
          <w:p w14:paraId="53372DFA">
            <w:pPr>
              <w:pStyle w:val="19"/>
              <w:rPr>
                <w:rFonts w:hint="eastAsia" w:ascii="宋体" w:hAnsi="宋体" w:eastAsia="宋体" w:cs="宋体"/>
                <w:color w:val="auto"/>
                <w:sz w:val="24"/>
                <w:szCs w:val="24"/>
                <w:highlight w:val="none"/>
              </w:rPr>
            </w:pPr>
          </w:p>
        </w:tc>
        <w:tc>
          <w:tcPr>
            <w:tcW w:w="1771" w:type="dxa"/>
            <w:gridSpan w:val="2"/>
            <w:vAlign w:val="top"/>
          </w:tcPr>
          <w:p w14:paraId="33DBDDC9">
            <w:pPr>
              <w:pStyle w:val="19"/>
              <w:rPr>
                <w:rFonts w:hint="eastAsia" w:ascii="宋体" w:hAnsi="宋体" w:eastAsia="宋体" w:cs="宋体"/>
                <w:color w:val="auto"/>
                <w:sz w:val="24"/>
                <w:szCs w:val="24"/>
                <w:highlight w:val="none"/>
              </w:rPr>
            </w:pPr>
          </w:p>
        </w:tc>
        <w:tc>
          <w:tcPr>
            <w:tcW w:w="1637" w:type="dxa"/>
            <w:vAlign w:val="top"/>
          </w:tcPr>
          <w:p w14:paraId="087066BB">
            <w:pPr>
              <w:pStyle w:val="19"/>
              <w:rPr>
                <w:rFonts w:hint="eastAsia" w:ascii="宋体" w:hAnsi="宋体" w:eastAsia="宋体" w:cs="宋体"/>
                <w:color w:val="auto"/>
                <w:sz w:val="24"/>
                <w:szCs w:val="24"/>
                <w:highlight w:val="none"/>
              </w:rPr>
            </w:pPr>
          </w:p>
        </w:tc>
      </w:tr>
      <w:tr w14:paraId="2961D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61F6048B">
            <w:pPr>
              <w:spacing w:before="288" w:line="183" w:lineRule="auto"/>
              <w:ind w:left="3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04" w:type="dxa"/>
            <w:gridSpan w:val="4"/>
            <w:vAlign w:val="top"/>
          </w:tcPr>
          <w:p w14:paraId="3FC4E927">
            <w:pPr>
              <w:pStyle w:val="19"/>
              <w:rPr>
                <w:rFonts w:hint="eastAsia" w:ascii="宋体" w:hAnsi="宋体" w:eastAsia="宋体" w:cs="宋体"/>
                <w:color w:val="auto"/>
                <w:sz w:val="24"/>
                <w:szCs w:val="24"/>
                <w:highlight w:val="none"/>
              </w:rPr>
            </w:pPr>
          </w:p>
        </w:tc>
        <w:tc>
          <w:tcPr>
            <w:tcW w:w="1771" w:type="dxa"/>
            <w:gridSpan w:val="2"/>
            <w:vAlign w:val="top"/>
          </w:tcPr>
          <w:p w14:paraId="099BF27E">
            <w:pPr>
              <w:pStyle w:val="19"/>
              <w:rPr>
                <w:rFonts w:hint="eastAsia" w:ascii="宋体" w:hAnsi="宋体" w:eastAsia="宋体" w:cs="宋体"/>
                <w:color w:val="auto"/>
                <w:sz w:val="24"/>
                <w:szCs w:val="24"/>
                <w:highlight w:val="none"/>
              </w:rPr>
            </w:pPr>
          </w:p>
        </w:tc>
        <w:tc>
          <w:tcPr>
            <w:tcW w:w="1637" w:type="dxa"/>
            <w:vAlign w:val="top"/>
          </w:tcPr>
          <w:p w14:paraId="79FE7639">
            <w:pPr>
              <w:pStyle w:val="19"/>
              <w:rPr>
                <w:rFonts w:hint="eastAsia" w:ascii="宋体" w:hAnsi="宋体" w:eastAsia="宋体" w:cs="宋体"/>
                <w:color w:val="auto"/>
                <w:sz w:val="24"/>
                <w:szCs w:val="24"/>
                <w:highlight w:val="none"/>
              </w:rPr>
            </w:pPr>
          </w:p>
        </w:tc>
      </w:tr>
      <w:tr w14:paraId="0D662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521F928A">
            <w:pPr>
              <w:spacing w:before="287" w:line="183" w:lineRule="auto"/>
              <w:ind w:left="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04" w:type="dxa"/>
            <w:gridSpan w:val="4"/>
            <w:vAlign w:val="top"/>
          </w:tcPr>
          <w:p w14:paraId="6289F859">
            <w:pPr>
              <w:pStyle w:val="19"/>
              <w:rPr>
                <w:rFonts w:hint="eastAsia" w:ascii="宋体" w:hAnsi="宋体" w:eastAsia="宋体" w:cs="宋体"/>
                <w:color w:val="auto"/>
                <w:sz w:val="24"/>
                <w:szCs w:val="24"/>
                <w:highlight w:val="none"/>
              </w:rPr>
            </w:pPr>
          </w:p>
        </w:tc>
        <w:tc>
          <w:tcPr>
            <w:tcW w:w="1771" w:type="dxa"/>
            <w:gridSpan w:val="2"/>
            <w:vAlign w:val="top"/>
          </w:tcPr>
          <w:p w14:paraId="1650EA76">
            <w:pPr>
              <w:pStyle w:val="19"/>
              <w:rPr>
                <w:rFonts w:hint="eastAsia" w:ascii="宋体" w:hAnsi="宋体" w:eastAsia="宋体" w:cs="宋体"/>
                <w:color w:val="auto"/>
                <w:sz w:val="24"/>
                <w:szCs w:val="24"/>
                <w:highlight w:val="none"/>
              </w:rPr>
            </w:pPr>
          </w:p>
        </w:tc>
        <w:tc>
          <w:tcPr>
            <w:tcW w:w="1637" w:type="dxa"/>
            <w:vAlign w:val="top"/>
          </w:tcPr>
          <w:p w14:paraId="3E2B359F">
            <w:pPr>
              <w:pStyle w:val="19"/>
              <w:rPr>
                <w:rFonts w:hint="eastAsia" w:ascii="宋体" w:hAnsi="宋体" w:eastAsia="宋体" w:cs="宋体"/>
                <w:color w:val="auto"/>
                <w:sz w:val="24"/>
                <w:szCs w:val="24"/>
                <w:highlight w:val="none"/>
              </w:rPr>
            </w:pPr>
          </w:p>
        </w:tc>
      </w:tr>
      <w:tr w14:paraId="3E6B6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2FDFAC3C">
            <w:pPr>
              <w:pStyle w:val="19"/>
              <w:spacing w:line="348" w:lineRule="auto"/>
              <w:rPr>
                <w:rFonts w:hint="eastAsia" w:ascii="宋体" w:hAnsi="宋体" w:eastAsia="宋体" w:cs="宋体"/>
                <w:color w:val="auto"/>
                <w:sz w:val="24"/>
                <w:szCs w:val="24"/>
                <w:highlight w:val="none"/>
              </w:rPr>
            </w:pPr>
          </w:p>
          <w:p w14:paraId="0FE56118">
            <w:pPr>
              <w:spacing w:before="78" w:line="99" w:lineRule="exact"/>
              <w:ind w:left="186"/>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5304" w:type="dxa"/>
            <w:gridSpan w:val="4"/>
            <w:vAlign w:val="top"/>
          </w:tcPr>
          <w:p w14:paraId="13223665">
            <w:pPr>
              <w:pStyle w:val="19"/>
              <w:rPr>
                <w:rFonts w:hint="eastAsia" w:ascii="宋体" w:hAnsi="宋体" w:eastAsia="宋体" w:cs="宋体"/>
                <w:color w:val="auto"/>
                <w:sz w:val="24"/>
                <w:szCs w:val="24"/>
                <w:highlight w:val="none"/>
              </w:rPr>
            </w:pPr>
          </w:p>
        </w:tc>
        <w:tc>
          <w:tcPr>
            <w:tcW w:w="1771" w:type="dxa"/>
            <w:gridSpan w:val="2"/>
            <w:vAlign w:val="top"/>
          </w:tcPr>
          <w:p w14:paraId="190EB7F7">
            <w:pPr>
              <w:pStyle w:val="19"/>
              <w:rPr>
                <w:rFonts w:hint="eastAsia" w:ascii="宋体" w:hAnsi="宋体" w:eastAsia="宋体" w:cs="宋体"/>
                <w:color w:val="auto"/>
                <w:sz w:val="24"/>
                <w:szCs w:val="24"/>
                <w:highlight w:val="none"/>
              </w:rPr>
            </w:pPr>
          </w:p>
        </w:tc>
        <w:tc>
          <w:tcPr>
            <w:tcW w:w="1637" w:type="dxa"/>
            <w:vAlign w:val="top"/>
          </w:tcPr>
          <w:p w14:paraId="3260A86E">
            <w:pPr>
              <w:pStyle w:val="19"/>
              <w:rPr>
                <w:rFonts w:hint="eastAsia" w:ascii="宋体" w:hAnsi="宋体" w:eastAsia="宋体" w:cs="宋体"/>
                <w:color w:val="auto"/>
                <w:sz w:val="24"/>
                <w:szCs w:val="24"/>
                <w:highlight w:val="none"/>
              </w:rPr>
            </w:pPr>
          </w:p>
        </w:tc>
      </w:tr>
      <w:tr w14:paraId="1476D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7D3B4D7F">
            <w:pPr>
              <w:pStyle w:val="19"/>
              <w:spacing w:line="274" w:lineRule="auto"/>
              <w:rPr>
                <w:rFonts w:hint="eastAsia" w:ascii="宋体" w:hAnsi="宋体" w:eastAsia="宋体" w:cs="宋体"/>
                <w:color w:val="auto"/>
                <w:sz w:val="24"/>
                <w:szCs w:val="24"/>
                <w:highlight w:val="none"/>
              </w:rPr>
            </w:pPr>
          </w:p>
          <w:p w14:paraId="4A40F7B6">
            <w:pPr>
              <w:pStyle w:val="19"/>
              <w:spacing w:line="275" w:lineRule="auto"/>
              <w:rPr>
                <w:rFonts w:hint="eastAsia" w:ascii="宋体" w:hAnsi="宋体" w:eastAsia="宋体" w:cs="宋体"/>
                <w:color w:val="auto"/>
                <w:sz w:val="24"/>
                <w:szCs w:val="24"/>
                <w:highlight w:val="none"/>
              </w:rPr>
            </w:pPr>
          </w:p>
          <w:p w14:paraId="08499044">
            <w:pPr>
              <w:pStyle w:val="19"/>
              <w:spacing w:line="275" w:lineRule="auto"/>
              <w:rPr>
                <w:rFonts w:hint="eastAsia" w:ascii="宋体" w:hAnsi="宋体" w:eastAsia="宋体" w:cs="宋体"/>
                <w:color w:val="auto"/>
                <w:sz w:val="24"/>
                <w:szCs w:val="24"/>
                <w:highlight w:val="none"/>
              </w:rPr>
            </w:pPr>
          </w:p>
          <w:p w14:paraId="30A4B7EB">
            <w:pPr>
              <w:spacing w:before="62" w:line="233" w:lineRule="auto"/>
              <w:ind w:left="2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注意：</w:t>
            </w:r>
          </w:p>
        </w:tc>
        <w:tc>
          <w:tcPr>
            <w:tcW w:w="8712" w:type="dxa"/>
            <w:gridSpan w:val="7"/>
            <w:vAlign w:val="top"/>
          </w:tcPr>
          <w:p w14:paraId="70AF0E5E">
            <w:pPr>
              <w:spacing w:before="148"/>
              <w:ind w:left="111" w:right="107"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该表一式两份，两份表格投标人均需如实填写各项内容，两份表格的填写内容应一致。一</w:t>
            </w:r>
            <w:r>
              <w:rPr>
                <w:rFonts w:hint="eastAsia" w:ascii="宋体" w:hAnsi="宋体" w:eastAsia="宋体" w:cs="宋体"/>
                <w:color w:val="auto"/>
                <w:spacing w:val="9"/>
                <w:sz w:val="24"/>
                <w:szCs w:val="24"/>
                <w:highlight w:val="none"/>
              </w:rPr>
              <w:t>份贴于装纳原件的文件袋（箱</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9"/>
                <w:sz w:val="24"/>
                <w:szCs w:val="24"/>
                <w:highlight w:val="none"/>
              </w:rPr>
              <w:t>一份在递交文件袋（箱）时由招标代理机构、投标人签字后交招标代理机构。招标代理机构仅代签收装纳原件的文件袋（箱</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9"/>
                <w:sz w:val="24"/>
                <w:szCs w:val="24"/>
                <w:highlight w:val="none"/>
              </w:rPr>
              <w:t>而不对文件袋（箱）中资</w:t>
            </w:r>
            <w:r>
              <w:rPr>
                <w:rFonts w:hint="eastAsia" w:ascii="宋体" w:hAnsi="宋体" w:eastAsia="宋体" w:cs="宋体"/>
                <w:color w:val="auto"/>
                <w:spacing w:val="5"/>
                <w:sz w:val="24"/>
                <w:szCs w:val="24"/>
                <w:highlight w:val="none"/>
              </w:rPr>
              <w:t>料的数量、</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内容及真实性负责。</w:t>
            </w:r>
          </w:p>
        </w:tc>
      </w:tr>
      <w:tr w14:paraId="31A79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6078DF5C">
            <w:pPr>
              <w:pStyle w:val="19"/>
              <w:spacing w:line="240" w:lineRule="auto"/>
              <w:rPr>
                <w:rFonts w:hint="eastAsia" w:ascii="宋体" w:hAnsi="宋体" w:eastAsia="宋体" w:cs="宋体"/>
                <w:color w:val="auto"/>
                <w:sz w:val="24"/>
                <w:szCs w:val="24"/>
                <w:highlight w:val="none"/>
              </w:rPr>
            </w:pPr>
          </w:p>
          <w:p w14:paraId="49E0358B">
            <w:pPr>
              <w:spacing w:before="61" w:line="240" w:lineRule="auto"/>
              <w:ind w:left="760" w:right="153" w:hanging="6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接收原件经办人</w:t>
            </w:r>
          </w:p>
          <w:p w14:paraId="2D29EF2C">
            <w:pPr>
              <w:spacing w:before="61" w:line="240" w:lineRule="auto"/>
              <w:ind w:left="760" w:right="153" w:hanging="6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(招标</w:t>
            </w:r>
            <w:r>
              <w:rPr>
                <w:rFonts w:hint="eastAsia" w:ascii="宋体" w:hAnsi="宋体" w:eastAsia="宋体" w:cs="宋体"/>
                <w:color w:val="auto"/>
                <w:spacing w:val="3"/>
                <w:sz w:val="24"/>
                <w:szCs w:val="24"/>
                <w:highlight w:val="none"/>
              </w:rPr>
              <w:t>代理)：</w:t>
            </w:r>
          </w:p>
        </w:tc>
        <w:tc>
          <w:tcPr>
            <w:tcW w:w="1725" w:type="dxa"/>
            <w:vAlign w:val="top"/>
          </w:tcPr>
          <w:p w14:paraId="3618C2B1">
            <w:pPr>
              <w:pStyle w:val="19"/>
              <w:rPr>
                <w:rFonts w:hint="eastAsia" w:ascii="宋体" w:hAnsi="宋体" w:eastAsia="宋体" w:cs="宋体"/>
                <w:color w:val="auto"/>
                <w:sz w:val="24"/>
                <w:szCs w:val="24"/>
                <w:highlight w:val="none"/>
              </w:rPr>
            </w:pPr>
          </w:p>
        </w:tc>
        <w:tc>
          <w:tcPr>
            <w:tcW w:w="1683" w:type="dxa"/>
            <w:gridSpan w:val="2"/>
            <w:vAlign w:val="top"/>
          </w:tcPr>
          <w:p w14:paraId="21A4B8BD">
            <w:pPr>
              <w:pStyle w:val="19"/>
              <w:spacing w:line="288" w:lineRule="auto"/>
              <w:rPr>
                <w:rFonts w:hint="eastAsia" w:ascii="宋体" w:hAnsi="宋体" w:eastAsia="宋体" w:cs="宋体"/>
                <w:color w:val="auto"/>
                <w:sz w:val="24"/>
                <w:szCs w:val="24"/>
                <w:highlight w:val="none"/>
              </w:rPr>
            </w:pPr>
          </w:p>
          <w:p w14:paraId="00C65930">
            <w:pPr>
              <w:pStyle w:val="19"/>
              <w:spacing w:line="289" w:lineRule="auto"/>
              <w:rPr>
                <w:rFonts w:hint="eastAsia" w:ascii="宋体" w:hAnsi="宋体" w:eastAsia="宋体" w:cs="宋体"/>
                <w:color w:val="auto"/>
                <w:sz w:val="24"/>
                <w:szCs w:val="24"/>
                <w:highlight w:val="none"/>
              </w:rPr>
            </w:pPr>
          </w:p>
          <w:p w14:paraId="3DEA7B4F">
            <w:pPr>
              <w:spacing w:before="62" w:line="229"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接收时间：</w:t>
            </w:r>
          </w:p>
        </w:tc>
        <w:tc>
          <w:tcPr>
            <w:tcW w:w="3408" w:type="dxa"/>
            <w:gridSpan w:val="3"/>
            <w:vAlign w:val="top"/>
          </w:tcPr>
          <w:p w14:paraId="13407F88">
            <w:pPr>
              <w:pStyle w:val="19"/>
              <w:spacing w:line="288" w:lineRule="auto"/>
              <w:rPr>
                <w:rFonts w:hint="eastAsia" w:ascii="宋体" w:hAnsi="宋体" w:eastAsia="宋体" w:cs="宋体"/>
                <w:color w:val="auto"/>
                <w:sz w:val="24"/>
                <w:szCs w:val="24"/>
                <w:highlight w:val="none"/>
              </w:rPr>
            </w:pPr>
          </w:p>
          <w:p w14:paraId="5CBB7B57">
            <w:pPr>
              <w:pStyle w:val="19"/>
              <w:spacing w:line="289" w:lineRule="auto"/>
              <w:rPr>
                <w:rFonts w:hint="eastAsia" w:ascii="宋体" w:hAnsi="宋体" w:eastAsia="宋体" w:cs="宋体"/>
                <w:color w:val="auto"/>
                <w:sz w:val="24"/>
                <w:szCs w:val="24"/>
                <w:highlight w:val="none"/>
              </w:rPr>
            </w:pPr>
          </w:p>
          <w:p w14:paraId="4FEAF53C">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分</w:t>
            </w:r>
          </w:p>
        </w:tc>
      </w:tr>
      <w:tr w14:paraId="12379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2E1F5A46">
            <w:pPr>
              <w:spacing w:before="155" w:line="240" w:lineRule="auto"/>
              <w:ind w:left="861" w:right="153" w:hanging="69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退还原件接收人</w:t>
            </w:r>
          </w:p>
          <w:p w14:paraId="631F0BF8">
            <w:pPr>
              <w:spacing w:before="155" w:line="240" w:lineRule="auto"/>
              <w:ind w:left="861" w:right="153" w:hanging="6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2"/>
                <w:sz w:val="24"/>
                <w:szCs w:val="24"/>
                <w:highlight w:val="none"/>
              </w:rPr>
              <w:t>人)：</w:t>
            </w:r>
          </w:p>
        </w:tc>
        <w:tc>
          <w:tcPr>
            <w:tcW w:w="1725" w:type="dxa"/>
            <w:vAlign w:val="top"/>
          </w:tcPr>
          <w:p w14:paraId="664B256D">
            <w:pPr>
              <w:pStyle w:val="19"/>
              <w:rPr>
                <w:rFonts w:hint="eastAsia" w:ascii="宋体" w:hAnsi="宋体" w:eastAsia="宋体" w:cs="宋体"/>
                <w:color w:val="auto"/>
                <w:sz w:val="24"/>
                <w:szCs w:val="24"/>
                <w:highlight w:val="none"/>
              </w:rPr>
            </w:pPr>
          </w:p>
        </w:tc>
        <w:tc>
          <w:tcPr>
            <w:tcW w:w="1683" w:type="dxa"/>
            <w:gridSpan w:val="2"/>
            <w:vAlign w:val="top"/>
          </w:tcPr>
          <w:p w14:paraId="6D526B9C">
            <w:pPr>
              <w:pStyle w:val="19"/>
              <w:spacing w:line="336" w:lineRule="auto"/>
              <w:rPr>
                <w:rFonts w:hint="eastAsia" w:ascii="宋体" w:hAnsi="宋体" w:eastAsia="宋体" w:cs="宋体"/>
                <w:color w:val="auto"/>
                <w:sz w:val="24"/>
                <w:szCs w:val="24"/>
                <w:highlight w:val="none"/>
              </w:rPr>
            </w:pPr>
          </w:p>
          <w:p w14:paraId="3588FDCC">
            <w:pPr>
              <w:spacing w:before="61" w:line="231" w:lineRule="auto"/>
              <w:ind w:left="31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退还时间：</w:t>
            </w:r>
          </w:p>
        </w:tc>
        <w:tc>
          <w:tcPr>
            <w:tcW w:w="3408" w:type="dxa"/>
            <w:gridSpan w:val="3"/>
            <w:vAlign w:val="top"/>
          </w:tcPr>
          <w:p w14:paraId="31F83F2A">
            <w:pPr>
              <w:pStyle w:val="19"/>
              <w:spacing w:line="335" w:lineRule="auto"/>
              <w:rPr>
                <w:rFonts w:hint="eastAsia" w:ascii="宋体" w:hAnsi="宋体" w:eastAsia="宋体" w:cs="宋体"/>
                <w:color w:val="auto"/>
                <w:sz w:val="24"/>
                <w:szCs w:val="24"/>
                <w:highlight w:val="none"/>
              </w:rPr>
            </w:pPr>
          </w:p>
          <w:p w14:paraId="2D9032EE">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分</w:t>
            </w:r>
          </w:p>
        </w:tc>
      </w:tr>
    </w:tbl>
    <w:p w14:paraId="4887D844">
      <w:pPr>
        <w:rPr>
          <w:rFonts w:hint="eastAsia" w:ascii="宋体" w:hAnsi="宋体" w:eastAsia="宋体" w:cs="宋体"/>
          <w:b/>
          <w:bCs/>
          <w:color w:val="auto"/>
          <w:spacing w:val="-3"/>
          <w:sz w:val="24"/>
          <w:szCs w:val="24"/>
          <w:highlight w:val="none"/>
        </w:rPr>
      </w:pPr>
      <w:bookmarkStart w:id="268" w:name="bookmark107"/>
      <w:bookmarkEnd w:id="268"/>
      <w:bookmarkStart w:id="269" w:name="_Toc28712"/>
      <w:r>
        <w:rPr>
          <w:rFonts w:hint="eastAsia" w:ascii="宋体" w:hAnsi="宋体" w:eastAsia="宋体" w:cs="宋体"/>
          <w:b/>
          <w:bCs/>
          <w:color w:val="auto"/>
          <w:spacing w:val="-3"/>
          <w:sz w:val="24"/>
          <w:szCs w:val="24"/>
          <w:highlight w:val="none"/>
        </w:rPr>
        <w:br w:type="page"/>
      </w:r>
    </w:p>
    <w:p w14:paraId="10B428FA">
      <w:pPr>
        <w:spacing w:before="78" w:line="219" w:lineRule="auto"/>
        <w:jc w:val="center"/>
        <w:outlineLvl w:val="1"/>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建设工程施工合同</w:t>
      </w:r>
      <w:bookmarkEnd w:id="269"/>
    </w:p>
    <w:p w14:paraId="65E4B995">
      <w:pPr>
        <w:pStyle w:val="5"/>
        <w:spacing w:line="257" w:lineRule="auto"/>
        <w:rPr>
          <w:rFonts w:hint="eastAsia" w:ascii="宋体" w:hAnsi="宋体" w:eastAsia="宋体" w:cs="宋体"/>
          <w:color w:val="auto"/>
          <w:highlight w:val="none"/>
        </w:rPr>
      </w:pPr>
    </w:p>
    <w:p w14:paraId="422BF38F">
      <w:pPr>
        <w:spacing w:before="78"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（略</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按《广东省建设工程标准施工合同》（2009 年版）或《建设工程施工合同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（示范文本）》（GF—2017—0201）执行。</w:t>
      </w:r>
    </w:p>
    <w:p w14:paraId="6E1A02B0">
      <w:pPr>
        <w:rPr>
          <w:rFonts w:hint="eastAsia" w:ascii="宋体" w:hAnsi="宋体" w:eastAsia="宋体" w:cs="宋体"/>
          <w:color w:val="auto"/>
          <w:highlight w:val="none"/>
        </w:rPr>
      </w:pPr>
    </w:p>
    <w:sectPr>
      <w:footerReference r:id="rId2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BCFF1">
    <w:pPr>
      <w:pStyle w:val="9"/>
    </w:pPr>
    <w:r>
      <w:rPr>
        <w:sz w:val="18"/>
      </w:rPr>
      <mc:AlternateContent>
        <mc:Choice Requires="wps">
          <w:drawing>
            <wp:anchor distT="0" distB="0" distL="114300" distR="114300" simplePos="0" relativeHeight="251680768" behindDoc="0" locked="0" layoutInCell="1" allowOverlap="1">
              <wp:simplePos x="0" y="0"/>
              <wp:positionH relativeFrom="margin">
                <wp:posOffset>3024505</wp:posOffset>
              </wp:positionH>
              <wp:positionV relativeFrom="paragraph">
                <wp:posOffset>-589280</wp:posOffset>
              </wp:positionV>
              <wp:extent cx="133350" cy="33972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33350" cy="339725"/>
                      </a:xfrm>
                      <a:prstGeom prst="rect">
                        <a:avLst/>
                      </a:prstGeom>
                      <a:noFill/>
                      <a:ln>
                        <a:noFill/>
                      </a:ln>
                    </wps:spPr>
                    <wps:txbx>
                      <w:txbxContent>
                        <w:p w14:paraId="14048BC4">
                          <w:pPr>
                            <w:pStyle w:val="9"/>
                          </w:pPr>
                          <w:r>
                            <w:fldChar w:fldCharType="begin"/>
                          </w:r>
                          <w:r>
                            <w:instrText xml:space="preserve"> PAGE  \* MERGEFORMAT </w:instrText>
                          </w:r>
                          <w:r>
                            <w:fldChar w:fldCharType="separate"/>
                          </w:r>
                          <w: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left:238.15pt;margin-top:-46.4pt;height:26.75pt;width:10.5pt;mso-position-horizontal-relative:margin;z-index:251680768;mso-width-relative:page;mso-height-relative:page;" filled="f" stroked="f" coordsize="21600,21600" o:gfxdata="UEsDBAoAAAAAAIdO4kAAAAAAAAAAAAAAAAAEAAAAZHJzL1BLAwQUAAAACACHTuJAwe/Q19kAAAAL&#10;AQAADwAAAGRycy9kb3ducmV2LnhtbE2Py07DMBBF90j8gzWV2LV2myolaZwKIVghIdKwYOnEbmI1&#10;HofYffD3DKuynDtH91Hsrm5gZzMF61HCciGAGWy9tthJ+Kxf54/AQlSo1eDRSPgxAXbl/V2hcu0v&#10;WJnzPnaMTDDkSkIf45hzHtreOBUWfjRIv4OfnIp0Th3Xk7qQuRv4SoiUO2WREno1mufetMf9yUl4&#10;+sLqxX6/Nx/VobJ1nQl8S49SPsyWYgssmmu8wfBXn6pDSZ0af0Id2CBhvUkTQiXMsxVtIGKdbUhp&#10;SEmyBHhZ8P8byl9QSwMEFAAAAAgAh07iQPACNNW7AQAAcwMAAA4AAABkcnMvZTJvRG9jLnhtbK1T&#10;zW4TMRC+I/EOlu/EabaFssqmEopaISFAKn0Ax2tnLflPYye7eQF4A05cuPNceQ7G3mwK5dIDF+94&#10;ZvzNfN/MLm8Ga8heQtTeNfRiNqdEOuFb7bYNffhy++qakpi4a7nxTjb0ICO9Wb18sexDLRe+86aV&#10;QBDExboPDe1SCjVjUXTS8jjzQToMKg+WJ7zClrXAe0S3hi3m89es99AG8ELGiN71GKQnRHgOoFdK&#10;C7n2YmelSyMqSMMTUoqdDpGuSrdKSZE+KRVlIqahyDSVE4ugvcknWy15vQUeOi1OLfDntPCEk+Xa&#10;YdEz1JonTnag/4GyWoCPXqWZ8JaNRIoiyOJi/kSb+44HWbig1DGcRY//D1Z83H8GotuGVpeUOG5x&#10;4sfv344/fh1/fiXoQ4H6EGvMuw+YmYZ3fsC1mfwRnZn3oMDmLzIiGEd5D2d55ZCIyI+qqrrCiMBQ&#10;Vb19s7jKKOzxcYCY7qS3JBsNBZxeEZXvP8Q0pk4puZbzt9qYMkHj/nIgZvaw3PnYYbbSsBlOdDa+&#10;PSAb896hlnkvJgMmYzMZuwB625XFyS1kIJxF6fu0N3nYf95L1uO/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e/Q19kAAAALAQAADwAAAAAAAAABACAAAAAiAAAAZHJzL2Rvd25yZXYueG1sUEsB&#10;AhQAFAAAAAgAh07iQPACNNW7AQAAcwMAAA4AAAAAAAAAAQAgAAAAKAEAAGRycy9lMm9Eb2MueG1s&#10;UEsFBgAAAAAGAAYAWQEAAFUFAAAAAA==&#10;">
              <v:fill on="f" focussize="0,0"/>
              <v:stroke on="f"/>
              <v:imagedata o:title=""/>
              <o:lock v:ext="edit" aspectratio="f"/>
              <v:textbox inset="0mm,0mm,0mm,0mm">
                <w:txbxContent>
                  <w:p w14:paraId="14048B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2095F">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0F5A71">
                          <w:pPr>
                            <w:pStyle w:val="9"/>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200F5A71">
                    <w:pPr>
                      <w:pStyle w:val="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7B9E2">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27C6AD">
                          <w:pPr>
                            <w:pStyle w:val="9"/>
                          </w:pPr>
                          <w:r>
                            <w:fldChar w:fldCharType="begin"/>
                          </w:r>
                          <w:r>
                            <w:instrText xml:space="preserve"> PAGE  \* MERGEFORMAT </w:instrText>
                          </w:r>
                          <w:r>
                            <w:fldChar w:fldCharType="separate"/>
                          </w:r>
                          <w:r>
                            <w:t>83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6627C6AD">
                    <w:pPr>
                      <w:pStyle w:val="9"/>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5D1DA">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F82342">
                          <w:pPr>
                            <w:pStyle w:val="9"/>
                          </w:pPr>
                          <w:r>
                            <w:fldChar w:fldCharType="begin"/>
                          </w:r>
                          <w:r>
                            <w:instrText xml:space="preserve"> PAGE  \* MERGEFORMAT </w:instrText>
                          </w:r>
                          <w:r>
                            <w:fldChar w:fldCharType="separate"/>
                          </w:r>
                          <w:r>
                            <w:t>84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5F82342">
                    <w:pPr>
                      <w:pStyle w:val="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DC5DD">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855985">
                          <w:pPr>
                            <w:pStyle w:val="9"/>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50855985">
                    <w:pPr>
                      <w:pStyle w:val="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74FB">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6963AA">
                          <w:pPr>
                            <w:pStyle w:val="9"/>
                          </w:pPr>
                          <w:r>
                            <w:fldChar w:fldCharType="begin"/>
                          </w:r>
                          <w:r>
                            <w:instrText xml:space="preserve"> PAGE  \* MERGEFORMAT </w:instrText>
                          </w:r>
                          <w:r>
                            <w:fldChar w:fldCharType="separate"/>
                          </w:r>
                          <w:r>
                            <w:t>86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6F6963AA">
                    <w:pPr>
                      <w:pStyle w:val="9"/>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F0500">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07CADE">
                          <w:pPr>
                            <w:pStyle w:val="9"/>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207CADE">
                    <w:pPr>
                      <w:pStyle w:val="9"/>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AAE23">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3F8148">
                          <w:pPr>
                            <w:pStyle w:val="9"/>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13F8148">
                    <w:pPr>
                      <w:pStyle w:val="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CFE25">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C3D902">
                          <w:pPr>
                            <w:pStyle w:val="9"/>
                          </w:pPr>
                          <w:r>
                            <w:fldChar w:fldCharType="begin"/>
                          </w:r>
                          <w:r>
                            <w:instrText xml:space="preserve"> PAGE  \* MERGEFORMAT </w:instrText>
                          </w:r>
                          <w:r>
                            <w:fldChar w:fldCharType="separate"/>
                          </w:r>
                          <w:r>
                            <w:t>91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CC3D902">
                    <w:pPr>
                      <w:pStyle w:val="9"/>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2E3E7">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8C4635">
                          <w:pPr>
                            <w:pStyle w:val="9"/>
                          </w:pPr>
                          <w:r>
                            <w:fldChar w:fldCharType="begin"/>
                          </w:r>
                          <w:r>
                            <w:instrText xml:space="preserve"> PAGE  \* MERGEFORMAT </w:instrText>
                          </w:r>
                          <w:r>
                            <w:fldChar w:fldCharType="separate"/>
                          </w:r>
                          <w: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E8C4635">
                    <w:pPr>
                      <w:pStyle w:val="9"/>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15BA8">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4B6AE3">
                          <w:pPr>
                            <w:pStyle w:val="9"/>
                          </w:pPr>
                          <w:r>
                            <w:fldChar w:fldCharType="begin"/>
                          </w:r>
                          <w:r>
                            <w:instrText xml:space="preserve"> PAGE  \* MERGEFORMAT </w:instrText>
                          </w:r>
                          <w:r>
                            <w:fldChar w:fldCharType="separate"/>
                          </w:r>
                          <w:r>
                            <w:t>94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C4B6AE3">
                    <w:pPr>
                      <w:pStyle w:val="9"/>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863CC">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2BF1E3">
                          <w:pPr>
                            <w:pStyle w:val="9"/>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ErU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ErUcoBAACbAwAADgAAAAAAAAABACAAAAAeAQAAZHJzL2Uyb0Rv&#10;Yy54bWxQSwUGAAAAAAYABgBZAQAAWgUAAAAA&#10;">
              <v:fill on="f" focussize="0,0"/>
              <v:stroke on="f"/>
              <v:imagedata o:title=""/>
              <o:lock v:ext="edit" aspectratio="f"/>
              <v:textbox inset="0mm,0mm,0mm,0mm" style="mso-fit-shape-to-text:t;">
                <w:txbxContent>
                  <w:p w14:paraId="302BF1E3">
                    <w:pPr>
                      <w:pStyle w:val="9"/>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1CEE9">
    <w:pPr>
      <w:pStyle w:val="9"/>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D7758F">
                          <w:pPr>
                            <w:pStyle w:val="9"/>
                          </w:pPr>
                          <w:r>
                            <w:fldChar w:fldCharType="begin"/>
                          </w:r>
                          <w:r>
                            <w:instrText xml:space="preserve"> PAGE  \* MERGEFORMAT </w:instrText>
                          </w:r>
                          <w:r>
                            <w:fldChar w:fldCharType="separate"/>
                          </w:r>
                          <w:r>
                            <w:t>102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8D7758F">
                    <w:pPr>
                      <w:pStyle w:val="9"/>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23C7F">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B32061">
                          <w:pPr>
                            <w:pStyle w:val="9"/>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14:paraId="65B32061">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DB422">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10BB88">
                          <w:pPr>
                            <w:pStyle w:val="9"/>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HiCcoBAACb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dvKH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kHiCcoBAACbAwAADgAAAAAAAAABACAAAAAeAQAAZHJzL2Uyb0Rv&#10;Yy54bWxQSwUGAAAAAAYABgBZAQAAWgUAAAAA&#10;">
              <v:fill on="f" focussize="0,0"/>
              <v:stroke on="f"/>
              <v:imagedata o:title=""/>
              <o:lock v:ext="edit" aspectratio="f"/>
              <v:textbox inset="0mm,0mm,0mm,0mm" style="mso-fit-shape-to-text:t;">
                <w:txbxContent>
                  <w:p w14:paraId="0410BB88">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D792D">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00B6A4">
                          <w:pPr>
                            <w:pStyle w:val="9"/>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4C00B6A4">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5B023">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5A5E67">
                          <w:pPr>
                            <w:pStyle w:val="9"/>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255A5E67">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4CA30">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918AAB">
                          <w:pPr>
                            <w:pStyle w:val="9"/>
                          </w:pPr>
                          <w:r>
                            <w:fldChar w:fldCharType="begin"/>
                          </w:r>
                          <w:r>
                            <w:instrText xml:space="preserve"> PAGE  \* MERGEFORMAT </w:instrText>
                          </w:r>
                          <w:r>
                            <w:fldChar w:fldCharType="separate"/>
                          </w:r>
                          <w:r>
                            <w:t>78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14:paraId="2C918AAB">
                    <w:pPr>
                      <w:pStyle w:val="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99818">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B1D447">
                          <w:pPr>
                            <w:pStyle w:val="9"/>
                          </w:pPr>
                          <w:r>
                            <w:fldChar w:fldCharType="begin"/>
                          </w:r>
                          <w:r>
                            <w:instrText xml:space="preserve"> PAGE  \* MERGEFORMAT </w:instrText>
                          </w:r>
                          <w:r>
                            <w:fldChar w:fldCharType="separate"/>
                          </w:r>
                          <w:r>
                            <w:t>79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4FB1D447">
                    <w:pPr>
                      <w:pStyle w:val="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54FF7">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C4604F">
                          <w:pPr>
                            <w:pStyle w:val="9"/>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52C4604F">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B39B5">
    <w:pPr>
      <w:pStyle w:val="5"/>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5F5FC">
    <w:pPr>
      <w:pStyle w:val="5"/>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A55FF">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E88F5">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abstractNum w:abstractNumId="1">
    <w:nsid w:val="2A188D02"/>
    <w:multiLevelType w:val="singleLevel"/>
    <w:tmpl w:val="2A188D02"/>
    <w:lvl w:ilvl="0" w:tentative="0">
      <w:start w:val="1"/>
      <w:numFmt w:val="decimal"/>
      <w:suff w:val="space"/>
      <w:lvlText w:val="%1."/>
      <w:lvlJc w:val="left"/>
    </w:lvl>
  </w:abstractNum>
  <w:abstractNum w:abstractNumId="2">
    <w:nsid w:val="74C66A40"/>
    <w:multiLevelType w:val="singleLevel"/>
    <w:tmpl w:val="74C66A40"/>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473031"/>
    <w:rsid w:val="00D61DC8"/>
    <w:rsid w:val="01276505"/>
    <w:rsid w:val="012F34E1"/>
    <w:rsid w:val="013F232E"/>
    <w:rsid w:val="014C6B51"/>
    <w:rsid w:val="018B7D8A"/>
    <w:rsid w:val="01B6213A"/>
    <w:rsid w:val="01BE1198"/>
    <w:rsid w:val="01FD63CC"/>
    <w:rsid w:val="02337D11"/>
    <w:rsid w:val="02843A23"/>
    <w:rsid w:val="02BF0C55"/>
    <w:rsid w:val="0358304C"/>
    <w:rsid w:val="039225AD"/>
    <w:rsid w:val="039E06FB"/>
    <w:rsid w:val="04021749"/>
    <w:rsid w:val="04B67F25"/>
    <w:rsid w:val="04BF763A"/>
    <w:rsid w:val="04EF43C3"/>
    <w:rsid w:val="05991ECC"/>
    <w:rsid w:val="05AA684F"/>
    <w:rsid w:val="05E732EC"/>
    <w:rsid w:val="05EC614B"/>
    <w:rsid w:val="063C112F"/>
    <w:rsid w:val="069B537E"/>
    <w:rsid w:val="06C70A28"/>
    <w:rsid w:val="06C929F2"/>
    <w:rsid w:val="06CA23DC"/>
    <w:rsid w:val="07133987"/>
    <w:rsid w:val="07520C39"/>
    <w:rsid w:val="07A1396F"/>
    <w:rsid w:val="07A71DAB"/>
    <w:rsid w:val="084A1910"/>
    <w:rsid w:val="088C763C"/>
    <w:rsid w:val="08CD7283"/>
    <w:rsid w:val="08EB6C4F"/>
    <w:rsid w:val="092D5890"/>
    <w:rsid w:val="09C807D3"/>
    <w:rsid w:val="09F06AB0"/>
    <w:rsid w:val="09FA34EB"/>
    <w:rsid w:val="09FF4A68"/>
    <w:rsid w:val="0A0E67BB"/>
    <w:rsid w:val="0A62467A"/>
    <w:rsid w:val="0A7D4664"/>
    <w:rsid w:val="0AD33307"/>
    <w:rsid w:val="0B3866B7"/>
    <w:rsid w:val="0BD240F7"/>
    <w:rsid w:val="0BD40BEB"/>
    <w:rsid w:val="0C120997"/>
    <w:rsid w:val="0C2B1A59"/>
    <w:rsid w:val="0C4153D2"/>
    <w:rsid w:val="0C49746F"/>
    <w:rsid w:val="0CA07D76"/>
    <w:rsid w:val="0CA27F6D"/>
    <w:rsid w:val="0D03679A"/>
    <w:rsid w:val="0DCB0DFD"/>
    <w:rsid w:val="0DCE22AF"/>
    <w:rsid w:val="0DF525DE"/>
    <w:rsid w:val="0DF61CE0"/>
    <w:rsid w:val="0E1E1875"/>
    <w:rsid w:val="0E684952"/>
    <w:rsid w:val="0E7A2A03"/>
    <w:rsid w:val="0E8E37ED"/>
    <w:rsid w:val="0EAF2E14"/>
    <w:rsid w:val="0EDB59B8"/>
    <w:rsid w:val="0F6F04DC"/>
    <w:rsid w:val="105858FC"/>
    <w:rsid w:val="106C3AC2"/>
    <w:rsid w:val="108403E2"/>
    <w:rsid w:val="109275A9"/>
    <w:rsid w:val="10C15734"/>
    <w:rsid w:val="11533574"/>
    <w:rsid w:val="11785740"/>
    <w:rsid w:val="11862732"/>
    <w:rsid w:val="118F278E"/>
    <w:rsid w:val="119D4F21"/>
    <w:rsid w:val="11A47985"/>
    <w:rsid w:val="11C67A56"/>
    <w:rsid w:val="11D80D88"/>
    <w:rsid w:val="12E7492B"/>
    <w:rsid w:val="12E74FC1"/>
    <w:rsid w:val="12F27F6E"/>
    <w:rsid w:val="14141B79"/>
    <w:rsid w:val="14760C96"/>
    <w:rsid w:val="14882C02"/>
    <w:rsid w:val="150D2643"/>
    <w:rsid w:val="156E41E4"/>
    <w:rsid w:val="15A45AE5"/>
    <w:rsid w:val="15B80793"/>
    <w:rsid w:val="15D97B34"/>
    <w:rsid w:val="15DC13FE"/>
    <w:rsid w:val="16005D04"/>
    <w:rsid w:val="160E0085"/>
    <w:rsid w:val="16443E43"/>
    <w:rsid w:val="16737FC1"/>
    <w:rsid w:val="16CB4A2F"/>
    <w:rsid w:val="16CC58B4"/>
    <w:rsid w:val="1722468F"/>
    <w:rsid w:val="172D27B1"/>
    <w:rsid w:val="173C4B1A"/>
    <w:rsid w:val="17726DD2"/>
    <w:rsid w:val="17751223"/>
    <w:rsid w:val="17C50FB3"/>
    <w:rsid w:val="18226406"/>
    <w:rsid w:val="1825620E"/>
    <w:rsid w:val="182A472E"/>
    <w:rsid w:val="18673E19"/>
    <w:rsid w:val="190B3062"/>
    <w:rsid w:val="1963464B"/>
    <w:rsid w:val="197764F6"/>
    <w:rsid w:val="19BC1F42"/>
    <w:rsid w:val="19CE7192"/>
    <w:rsid w:val="1A3A6836"/>
    <w:rsid w:val="1A584D7E"/>
    <w:rsid w:val="1A5B5BFF"/>
    <w:rsid w:val="1AC50DC4"/>
    <w:rsid w:val="1AE57555"/>
    <w:rsid w:val="1B656D35"/>
    <w:rsid w:val="1B745FC1"/>
    <w:rsid w:val="1C2A3ADB"/>
    <w:rsid w:val="1C324211"/>
    <w:rsid w:val="1C5A440A"/>
    <w:rsid w:val="1C7F3E27"/>
    <w:rsid w:val="1C8C06E6"/>
    <w:rsid w:val="1D0C4F8F"/>
    <w:rsid w:val="1E067C30"/>
    <w:rsid w:val="1E3B5B2B"/>
    <w:rsid w:val="1E3E386E"/>
    <w:rsid w:val="1E491296"/>
    <w:rsid w:val="1E5D49E3"/>
    <w:rsid w:val="1E994221"/>
    <w:rsid w:val="1EDA5344"/>
    <w:rsid w:val="1EE13915"/>
    <w:rsid w:val="1EE461C3"/>
    <w:rsid w:val="1F487665"/>
    <w:rsid w:val="1F683A66"/>
    <w:rsid w:val="20801F1B"/>
    <w:rsid w:val="20CB1F07"/>
    <w:rsid w:val="20F6072B"/>
    <w:rsid w:val="21244F9D"/>
    <w:rsid w:val="213D3171"/>
    <w:rsid w:val="222C2B90"/>
    <w:rsid w:val="22457E73"/>
    <w:rsid w:val="22F866E1"/>
    <w:rsid w:val="233953DA"/>
    <w:rsid w:val="23931F66"/>
    <w:rsid w:val="246102B6"/>
    <w:rsid w:val="24782AD4"/>
    <w:rsid w:val="248726E0"/>
    <w:rsid w:val="249C3951"/>
    <w:rsid w:val="24CB6D2F"/>
    <w:rsid w:val="250E55AB"/>
    <w:rsid w:val="254C2D14"/>
    <w:rsid w:val="256D06AE"/>
    <w:rsid w:val="2582242A"/>
    <w:rsid w:val="25A55F80"/>
    <w:rsid w:val="25B20381"/>
    <w:rsid w:val="25F25669"/>
    <w:rsid w:val="260B04D9"/>
    <w:rsid w:val="264763B7"/>
    <w:rsid w:val="26881A92"/>
    <w:rsid w:val="268B2A3A"/>
    <w:rsid w:val="268B3DAD"/>
    <w:rsid w:val="26A61FB0"/>
    <w:rsid w:val="27415C62"/>
    <w:rsid w:val="278A7BBB"/>
    <w:rsid w:val="27B65EBB"/>
    <w:rsid w:val="282B4E63"/>
    <w:rsid w:val="287722F9"/>
    <w:rsid w:val="28884FF7"/>
    <w:rsid w:val="290F389D"/>
    <w:rsid w:val="2962542C"/>
    <w:rsid w:val="2AAB5DE7"/>
    <w:rsid w:val="2B367172"/>
    <w:rsid w:val="2B7314CC"/>
    <w:rsid w:val="2B784A6E"/>
    <w:rsid w:val="2B9A7B07"/>
    <w:rsid w:val="2BAE2033"/>
    <w:rsid w:val="2BB37649"/>
    <w:rsid w:val="2BFD3113"/>
    <w:rsid w:val="2C0003B4"/>
    <w:rsid w:val="2C15160E"/>
    <w:rsid w:val="2C44430E"/>
    <w:rsid w:val="2C762A20"/>
    <w:rsid w:val="2C9C00DD"/>
    <w:rsid w:val="2CA156F3"/>
    <w:rsid w:val="2D906B09"/>
    <w:rsid w:val="2D9C5EBB"/>
    <w:rsid w:val="2DD973AC"/>
    <w:rsid w:val="2E611B70"/>
    <w:rsid w:val="2E9A689E"/>
    <w:rsid w:val="2ECB6A58"/>
    <w:rsid w:val="2EDD4BB1"/>
    <w:rsid w:val="2F2729AC"/>
    <w:rsid w:val="2F3C0F4C"/>
    <w:rsid w:val="2F6F6AD1"/>
    <w:rsid w:val="2F9C21A2"/>
    <w:rsid w:val="2FB82F9F"/>
    <w:rsid w:val="2FE5383E"/>
    <w:rsid w:val="2FEA4C7F"/>
    <w:rsid w:val="2FF43805"/>
    <w:rsid w:val="3037089D"/>
    <w:rsid w:val="30D864C1"/>
    <w:rsid w:val="31013C49"/>
    <w:rsid w:val="312319EF"/>
    <w:rsid w:val="313C778B"/>
    <w:rsid w:val="31C36B65"/>
    <w:rsid w:val="321A2D0F"/>
    <w:rsid w:val="324D664C"/>
    <w:rsid w:val="32BE6EB2"/>
    <w:rsid w:val="32C7154E"/>
    <w:rsid w:val="33156D5E"/>
    <w:rsid w:val="3317207A"/>
    <w:rsid w:val="331A6B7B"/>
    <w:rsid w:val="331F2052"/>
    <w:rsid w:val="33396D39"/>
    <w:rsid w:val="33643EF5"/>
    <w:rsid w:val="3387564F"/>
    <w:rsid w:val="33C70135"/>
    <w:rsid w:val="33D80BF4"/>
    <w:rsid w:val="342A264E"/>
    <w:rsid w:val="348463F8"/>
    <w:rsid w:val="348F605A"/>
    <w:rsid w:val="34E716B6"/>
    <w:rsid w:val="35233259"/>
    <w:rsid w:val="35357321"/>
    <w:rsid w:val="353B505F"/>
    <w:rsid w:val="359F2BE0"/>
    <w:rsid w:val="35FC399A"/>
    <w:rsid w:val="36B60605"/>
    <w:rsid w:val="36DB3EF8"/>
    <w:rsid w:val="36DB7A54"/>
    <w:rsid w:val="37704A11"/>
    <w:rsid w:val="37C45ACE"/>
    <w:rsid w:val="37E335F2"/>
    <w:rsid w:val="3835053A"/>
    <w:rsid w:val="386B727B"/>
    <w:rsid w:val="389E342F"/>
    <w:rsid w:val="38BE1535"/>
    <w:rsid w:val="390034D4"/>
    <w:rsid w:val="391D7376"/>
    <w:rsid w:val="39403E21"/>
    <w:rsid w:val="397A7B42"/>
    <w:rsid w:val="39B4157B"/>
    <w:rsid w:val="3A104D75"/>
    <w:rsid w:val="3A4C2C68"/>
    <w:rsid w:val="3A5E69D2"/>
    <w:rsid w:val="3B2C2F74"/>
    <w:rsid w:val="3B351E28"/>
    <w:rsid w:val="3B4F53C1"/>
    <w:rsid w:val="3B78218B"/>
    <w:rsid w:val="3BAD62A4"/>
    <w:rsid w:val="3BAE3989"/>
    <w:rsid w:val="3C242530"/>
    <w:rsid w:val="3CCA02B2"/>
    <w:rsid w:val="3CD613E9"/>
    <w:rsid w:val="3CE62383"/>
    <w:rsid w:val="3CEC7A2A"/>
    <w:rsid w:val="3D0433A8"/>
    <w:rsid w:val="3D0F69B6"/>
    <w:rsid w:val="3DCE35B6"/>
    <w:rsid w:val="3DD136B5"/>
    <w:rsid w:val="3E0F3EB7"/>
    <w:rsid w:val="3E2609B2"/>
    <w:rsid w:val="3E7F6463"/>
    <w:rsid w:val="3ECB4852"/>
    <w:rsid w:val="3EEB0292"/>
    <w:rsid w:val="3F281B00"/>
    <w:rsid w:val="3F930BE9"/>
    <w:rsid w:val="3F952DC8"/>
    <w:rsid w:val="3FAB488B"/>
    <w:rsid w:val="3FBC57D3"/>
    <w:rsid w:val="3FE15005"/>
    <w:rsid w:val="3FE77469"/>
    <w:rsid w:val="400E2C48"/>
    <w:rsid w:val="40B901A5"/>
    <w:rsid w:val="41216845"/>
    <w:rsid w:val="41E73751"/>
    <w:rsid w:val="41EA1493"/>
    <w:rsid w:val="427179B7"/>
    <w:rsid w:val="428D039F"/>
    <w:rsid w:val="429E2362"/>
    <w:rsid w:val="42FC0E58"/>
    <w:rsid w:val="435A0011"/>
    <w:rsid w:val="437454B8"/>
    <w:rsid w:val="43947908"/>
    <w:rsid w:val="43AA0EDA"/>
    <w:rsid w:val="43D25E53"/>
    <w:rsid w:val="440138A0"/>
    <w:rsid w:val="44246EDE"/>
    <w:rsid w:val="445B2879"/>
    <w:rsid w:val="44692B43"/>
    <w:rsid w:val="44983428"/>
    <w:rsid w:val="44C47D79"/>
    <w:rsid w:val="451A208F"/>
    <w:rsid w:val="458D2861"/>
    <w:rsid w:val="45B26A37"/>
    <w:rsid w:val="45BB3260"/>
    <w:rsid w:val="46092999"/>
    <w:rsid w:val="4612476D"/>
    <w:rsid w:val="462E5DF2"/>
    <w:rsid w:val="468F5CB4"/>
    <w:rsid w:val="4690085B"/>
    <w:rsid w:val="46B85595"/>
    <w:rsid w:val="46C027C2"/>
    <w:rsid w:val="4743767B"/>
    <w:rsid w:val="474820C5"/>
    <w:rsid w:val="47590C4D"/>
    <w:rsid w:val="475B13E7"/>
    <w:rsid w:val="47947ED7"/>
    <w:rsid w:val="47DD7AD0"/>
    <w:rsid w:val="47E70FBB"/>
    <w:rsid w:val="481D611E"/>
    <w:rsid w:val="48221986"/>
    <w:rsid w:val="487D1C67"/>
    <w:rsid w:val="48B545A9"/>
    <w:rsid w:val="48D34790"/>
    <w:rsid w:val="494C6C0E"/>
    <w:rsid w:val="4955379A"/>
    <w:rsid w:val="498C348F"/>
    <w:rsid w:val="49DA3B9B"/>
    <w:rsid w:val="49FA5FEB"/>
    <w:rsid w:val="4A5573E4"/>
    <w:rsid w:val="4A62606A"/>
    <w:rsid w:val="4B380D6F"/>
    <w:rsid w:val="4BBC29D4"/>
    <w:rsid w:val="4BBF6172"/>
    <w:rsid w:val="4C560DCF"/>
    <w:rsid w:val="4C723258"/>
    <w:rsid w:val="4D0F1621"/>
    <w:rsid w:val="4D24354A"/>
    <w:rsid w:val="4D4E6D7A"/>
    <w:rsid w:val="4D9A1FBF"/>
    <w:rsid w:val="4DCE1F8B"/>
    <w:rsid w:val="4DF94F37"/>
    <w:rsid w:val="4E437F61"/>
    <w:rsid w:val="4E9443B5"/>
    <w:rsid w:val="4F015943"/>
    <w:rsid w:val="4F411EB6"/>
    <w:rsid w:val="4F582EF7"/>
    <w:rsid w:val="4F583A80"/>
    <w:rsid w:val="4FBA24A4"/>
    <w:rsid w:val="50983373"/>
    <w:rsid w:val="50AB5953"/>
    <w:rsid w:val="50D60C20"/>
    <w:rsid w:val="50FB0BF6"/>
    <w:rsid w:val="51183927"/>
    <w:rsid w:val="5135755A"/>
    <w:rsid w:val="51574F11"/>
    <w:rsid w:val="517627EF"/>
    <w:rsid w:val="517B73AD"/>
    <w:rsid w:val="518A5306"/>
    <w:rsid w:val="51983548"/>
    <w:rsid w:val="51AB3D3B"/>
    <w:rsid w:val="51DA0BDC"/>
    <w:rsid w:val="52534816"/>
    <w:rsid w:val="52634928"/>
    <w:rsid w:val="52656647"/>
    <w:rsid w:val="53277999"/>
    <w:rsid w:val="53332C9A"/>
    <w:rsid w:val="53A35FB7"/>
    <w:rsid w:val="53FA209C"/>
    <w:rsid w:val="54016C23"/>
    <w:rsid w:val="5472334E"/>
    <w:rsid w:val="55315F45"/>
    <w:rsid w:val="5563097D"/>
    <w:rsid w:val="559B1C90"/>
    <w:rsid w:val="55D21BD3"/>
    <w:rsid w:val="563130A6"/>
    <w:rsid w:val="564725B8"/>
    <w:rsid w:val="56652099"/>
    <w:rsid w:val="56680EAC"/>
    <w:rsid w:val="56843C9F"/>
    <w:rsid w:val="569B3338"/>
    <w:rsid w:val="56F5281F"/>
    <w:rsid w:val="5765355C"/>
    <w:rsid w:val="57690BD0"/>
    <w:rsid w:val="57C15E41"/>
    <w:rsid w:val="57CA1153"/>
    <w:rsid w:val="57F56770"/>
    <w:rsid w:val="580118E9"/>
    <w:rsid w:val="58032F19"/>
    <w:rsid w:val="580764A3"/>
    <w:rsid w:val="584A495B"/>
    <w:rsid w:val="58947716"/>
    <w:rsid w:val="58B66C06"/>
    <w:rsid w:val="58C779E0"/>
    <w:rsid w:val="5909228A"/>
    <w:rsid w:val="5A2F2D66"/>
    <w:rsid w:val="5A86004F"/>
    <w:rsid w:val="5A8938AD"/>
    <w:rsid w:val="5AAE69DB"/>
    <w:rsid w:val="5AF0582F"/>
    <w:rsid w:val="5AF947C9"/>
    <w:rsid w:val="5B1B6AA6"/>
    <w:rsid w:val="5B224E28"/>
    <w:rsid w:val="5B242EC8"/>
    <w:rsid w:val="5BAF7B56"/>
    <w:rsid w:val="5BF611E3"/>
    <w:rsid w:val="5C0E6052"/>
    <w:rsid w:val="5C313AEE"/>
    <w:rsid w:val="5C86208C"/>
    <w:rsid w:val="5CAC7619"/>
    <w:rsid w:val="5D131446"/>
    <w:rsid w:val="5D5C4B9B"/>
    <w:rsid w:val="5D7C18C6"/>
    <w:rsid w:val="5DA14CA4"/>
    <w:rsid w:val="5DA779D9"/>
    <w:rsid w:val="5DC84953"/>
    <w:rsid w:val="5E304F96"/>
    <w:rsid w:val="5E434081"/>
    <w:rsid w:val="5EAC56AE"/>
    <w:rsid w:val="5EDA0A8B"/>
    <w:rsid w:val="5F013BA5"/>
    <w:rsid w:val="5F0537AA"/>
    <w:rsid w:val="5F20072A"/>
    <w:rsid w:val="5F2117F1"/>
    <w:rsid w:val="5F2B3E04"/>
    <w:rsid w:val="5F760F40"/>
    <w:rsid w:val="5FBE1B3D"/>
    <w:rsid w:val="5FFF5CB2"/>
    <w:rsid w:val="602A4375"/>
    <w:rsid w:val="60673F83"/>
    <w:rsid w:val="606E1F64"/>
    <w:rsid w:val="60C253E7"/>
    <w:rsid w:val="60CE0B25"/>
    <w:rsid w:val="61555832"/>
    <w:rsid w:val="61A30FEA"/>
    <w:rsid w:val="61D5316E"/>
    <w:rsid w:val="61D67CE4"/>
    <w:rsid w:val="61DB6D9C"/>
    <w:rsid w:val="6200643D"/>
    <w:rsid w:val="623C3CCB"/>
    <w:rsid w:val="6277131B"/>
    <w:rsid w:val="62894736"/>
    <w:rsid w:val="62EC69C1"/>
    <w:rsid w:val="6301077D"/>
    <w:rsid w:val="63520F1A"/>
    <w:rsid w:val="636E0BBA"/>
    <w:rsid w:val="63964B41"/>
    <w:rsid w:val="646C600B"/>
    <w:rsid w:val="647C3D75"/>
    <w:rsid w:val="64CC5E52"/>
    <w:rsid w:val="658D4138"/>
    <w:rsid w:val="659B6065"/>
    <w:rsid w:val="65B365DF"/>
    <w:rsid w:val="65B768E4"/>
    <w:rsid w:val="66043DF1"/>
    <w:rsid w:val="661D46CA"/>
    <w:rsid w:val="66887A48"/>
    <w:rsid w:val="66A92A7C"/>
    <w:rsid w:val="66B94E0C"/>
    <w:rsid w:val="66BB1AFB"/>
    <w:rsid w:val="66CF7EED"/>
    <w:rsid w:val="66E83943"/>
    <w:rsid w:val="673D6A15"/>
    <w:rsid w:val="67960780"/>
    <w:rsid w:val="682E5386"/>
    <w:rsid w:val="68324D3D"/>
    <w:rsid w:val="6884575B"/>
    <w:rsid w:val="688D47A2"/>
    <w:rsid w:val="68CD623B"/>
    <w:rsid w:val="68DB72BC"/>
    <w:rsid w:val="68FD36D6"/>
    <w:rsid w:val="69562DE6"/>
    <w:rsid w:val="695E105C"/>
    <w:rsid w:val="696012B6"/>
    <w:rsid w:val="69642093"/>
    <w:rsid w:val="69C02956"/>
    <w:rsid w:val="69CA6B08"/>
    <w:rsid w:val="6A042666"/>
    <w:rsid w:val="6A39608B"/>
    <w:rsid w:val="6A9736F0"/>
    <w:rsid w:val="6B3E783A"/>
    <w:rsid w:val="6B680BAF"/>
    <w:rsid w:val="6B6C68F1"/>
    <w:rsid w:val="6B7E21AF"/>
    <w:rsid w:val="6BA17D14"/>
    <w:rsid w:val="6BB71DB7"/>
    <w:rsid w:val="6BCC55E2"/>
    <w:rsid w:val="6C0905E4"/>
    <w:rsid w:val="6CF3436B"/>
    <w:rsid w:val="6D056FFD"/>
    <w:rsid w:val="6D5B6316"/>
    <w:rsid w:val="6D9143ED"/>
    <w:rsid w:val="6DC74A88"/>
    <w:rsid w:val="6DDC0B81"/>
    <w:rsid w:val="6DEA2117"/>
    <w:rsid w:val="6DEB2DEB"/>
    <w:rsid w:val="6E0C6BA8"/>
    <w:rsid w:val="6E4C538F"/>
    <w:rsid w:val="6E8C1058"/>
    <w:rsid w:val="6EAC5256"/>
    <w:rsid w:val="6EBF142E"/>
    <w:rsid w:val="6FB97C2B"/>
    <w:rsid w:val="6FE70C3C"/>
    <w:rsid w:val="70A47AAD"/>
    <w:rsid w:val="70E51DA8"/>
    <w:rsid w:val="71551BD5"/>
    <w:rsid w:val="71946BA2"/>
    <w:rsid w:val="71A843FB"/>
    <w:rsid w:val="721E450C"/>
    <w:rsid w:val="7256750B"/>
    <w:rsid w:val="7262278F"/>
    <w:rsid w:val="73397A01"/>
    <w:rsid w:val="736A253A"/>
    <w:rsid w:val="73A429A0"/>
    <w:rsid w:val="73AC2D59"/>
    <w:rsid w:val="73EC5B91"/>
    <w:rsid w:val="74CF1255"/>
    <w:rsid w:val="74E7523A"/>
    <w:rsid w:val="74FB54A4"/>
    <w:rsid w:val="751A7B05"/>
    <w:rsid w:val="751E1C96"/>
    <w:rsid w:val="75220020"/>
    <w:rsid w:val="75611CC1"/>
    <w:rsid w:val="75DD731F"/>
    <w:rsid w:val="76642085"/>
    <w:rsid w:val="768014A2"/>
    <w:rsid w:val="7682438C"/>
    <w:rsid w:val="768857E3"/>
    <w:rsid w:val="768D4B1F"/>
    <w:rsid w:val="77060EB2"/>
    <w:rsid w:val="77120FDD"/>
    <w:rsid w:val="775C2950"/>
    <w:rsid w:val="77610F13"/>
    <w:rsid w:val="778C37F8"/>
    <w:rsid w:val="779D7E32"/>
    <w:rsid w:val="77B12E34"/>
    <w:rsid w:val="77D46CD2"/>
    <w:rsid w:val="77D83D50"/>
    <w:rsid w:val="781D0CC1"/>
    <w:rsid w:val="7823193A"/>
    <w:rsid w:val="782E61C7"/>
    <w:rsid w:val="78322C70"/>
    <w:rsid w:val="783B33E4"/>
    <w:rsid w:val="7844130F"/>
    <w:rsid w:val="78534B66"/>
    <w:rsid w:val="787B0197"/>
    <w:rsid w:val="787E1A12"/>
    <w:rsid w:val="78BE10F6"/>
    <w:rsid w:val="78CA4C57"/>
    <w:rsid w:val="78D43D28"/>
    <w:rsid w:val="794672BF"/>
    <w:rsid w:val="79E263BE"/>
    <w:rsid w:val="7A3C1D44"/>
    <w:rsid w:val="7ACB4CB6"/>
    <w:rsid w:val="7ADD5362"/>
    <w:rsid w:val="7B036E36"/>
    <w:rsid w:val="7B1A0118"/>
    <w:rsid w:val="7B31160A"/>
    <w:rsid w:val="7B62386D"/>
    <w:rsid w:val="7B6E2211"/>
    <w:rsid w:val="7B8F0935"/>
    <w:rsid w:val="7BD227A0"/>
    <w:rsid w:val="7C85264B"/>
    <w:rsid w:val="7C9932BE"/>
    <w:rsid w:val="7CBD69D7"/>
    <w:rsid w:val="7CC76395"/>
    <w:rsid w:val="7D1961AD"/>
    <w:rsid w:val="7D7A30EF"/>
    <w:rsid w:val="7D9D293A"/>
    <w:rsid w:val="7E0B01EB"/>
    <w:rsid w:val="7E1E7F1F"/>
    <w:rsid w:val="7E1F5EFC"/>
    <w:rsid w:val="7E321E60"/>
    <w:rsid w:val="7E493D4F"/>
    <w:rsid w:val="7E5356EF"/>
    <w:rsid w:val="7E881DA7"/>
    <w:rsid w:val="7E9B65C0"/>
    <w:rsid w:val="7EF74710"/>
    <w:rsid w:val="7F3D58B7"/>
    <w:rsid w:val="7F405C73"/>
    <w:rsid w:val="7F6B3277"/>
    <w:rsid w:val="7F7C3A97"/>
    <w:rsid w:val="7FFA67D9"/>
    <w:rsid w:val="7FFB9374"/>
    <w:rsid w:val="DFBBF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2">
    <w:name w:val="heading 4"/>
    <w:basedOn w:val="1"/>
    <w:next w:val="1"/>
    <w:qFormat/>
    <w:uiPriority w:val="0"/>
    <w:pPr>
      <w:keepNext/>
      <w:keepLines/>
      <w:spacing w:line="374" w:lineRule="auto"/>
      <w:outlineLvl w:val="3"/>
    </w:pPr>
    <w:rPr>
      <w:rFonts w:ascii="Arial" w:hAnsi="Arial"/>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next w:val="1"/>
    <w:qFormat/>
    <w:uiPriority w:val="0"/>
    <w:pPr>
      <w:adjustRightInd w:val="0"/>
      <w:spacing w:line="360" w:lineRule="atLeast"/>
      <w:jc w:val="left"/>
      <w:textAlignment w:val="baseline"/>
    </w:pPr>
    <w:rPr>
      <w:kern w:val="0"/>
    </w:rPr>
  </w:style>
  <w:style w:type="paragraph" w:styleId="5">
    <w:name w:val="Body Text"/>
    <w:basedOn w:val="1"/>
    <w:next w:val="6"/>
    <w:semiHidden/>
    <w:qFormat/>
    <w:uiPriority w:val="0"/>
    <w:rPr>
      <w:rFonts w:ascii="Arial" w:hAnsi="Arial" w:eastAsia="Arial" w:cs="Arial"/>
      <w:sz w:val="21"/>
      <w:szCs w:val="21"/>
      <w:lang w:val="en-US" w:eastAsia="en-US" w:bidi="ar-SA"/>
    </w:rPr>
  </w:style>
  <w:style w:type="paragraph" w:styleId="6">
    <w:name w:val="Body Text 2"/>
    <w:basedOn w:val="1"/>
    <w:next w:val="5"/>
    <w:qFormat/>
    <w:uiPriority w:val="0"/>
    <w:pPr>
      <w:spacing w:line="500" w:lineRule="exact"/>
    </w:pPr>
    <w:rPr>
      <w:rFonts w:ascii="宋体" w:hAnsi="Times New Roman" w:eastAsia="宋体" w:cs="Times New Roman"/>
      <w:sz w:val="24"/>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qFormat/>
    <w:uiPriority w:val="99"/>
    <w:pPr>
      <w:spacing w:line="240" w:lineRule="auto"/>
      <w:ind w:firstLine="420" w:firstLineChars="100"/>
    </w:pPr>
    <w:rPr>
      <w:rFonts w:ascii="Times New Roman" w:cs="Times New Roman"/>
      <w:sz w:val="20"/>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18">
    <w:name w:val="NormalCharacter"/>
    <w:qFormat/>
    <w:uiPriority w:val="99"/>
  </w:style>
  <w:style w:type="paragraph" w:customStyle="1" w:styleId="19">
    <w:name w:val="Table Text"/>
    <w:basedOn w:val="1"/>
    <w:semiHidden/>
    <w:qFormat/>
    <w:uiPriority w:val="0"/>
    <w:rPr>
      <w:rFonts w:ascii="Arial" w:hAnsi="Arial" w:eastAsia="Arial" w:cs="Arial"/>
      <w:sz w:val="21"/>
      <w:szCs w:val="21"/>
      <w:lang w:val="en-US" w:eastAsia="en-US" w:bidi="ar-SA"/>
    </w:rPr>
  </w:style>
  <w:style w:type="paragraph" w:customStyle="1" w:styleId="2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缩进1"/>
    <w:basedOn w:val="1"/>
    <w:qFormat/>
    <w:uiPriority w:val="0"/>
    <w:pPr>
      <w:widowControl/>
      <w:ind w:firstLine="420"/>
      <w:jc w:val="left"/>
    </w:pPr>
    <w:rPr>
      <w:kern w:val="0"/>
    </w:rPr>
  </w:style>
  <w:style w:type="paragraph" w:customStyle="1" w:styleId="22">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3">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4">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5">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6">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
    <w:name w:val="Heading2"/>
    <w:basedOn w:val="1"/>
    <w:next w:val="1"/>
    <w:qFormat/>
    <w:uiPriority w:val="99"/>
    <w:pPr>
      <w:jc w:val="left"/>
    </w:pPr>
    <w:rPr>
      <w:kern w:val="0"/>
    </w:rPr>
  </w:style>
  <w:style w:type="paragraph" w:customStyle="1" w:styleId="28">
    <w:name w:val="AnnotationText"/>
    <w:basedOn w:val="1"/>
    <w:qFormat/>
    <w:uiPriority w:val="99"/>
    <w:pPr>
      <w:spacing w:line="360" w:lineRule="atLeast"/>
      <w:jc w:val="left"/>
    </w:pPr>
    <w:rPr>
      <w:kern w:val="0"/>
    </w:rPr>
  </w:style>
  <w:style w:type="paragraph" w:customStyle="1" w:styleId="29">
    <w:name w:val="UserStyle_44"/>
    <w:basedOn w:val="30"/>
    <w:qFormat/>
    <w:uiPriority w:val="99"/>
    <w:rPr>
      <w:sz w:val="24"/>
      <w:szCs w:val="24"/>
    </w:rPr>
  </w:style>
  <w:style w:type="paragraph" w:customStyle="1" w:styleId="30">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1">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32">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3">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34">
    <w:name w:val="BodyText"/>
    <w:basedOn w:val="1"/>
    <w:next w:val="35"/>
    <w:qFormat/>
    <w:uiPriority w:val="99"/>
    <w:pPr>
      <w:spacing w:after="120"/>
    </w:pPr>
  </w:style>
  <w:style w:type="paragraph" w:customStyle="1" w:styleId="35">
    <w:name w:val="BodyText2"/>
    <w:basedOn w:val="1"/>
    <w:qFormat/>
    <w:uiPriority w:val="99"/>
    <w:pPr>
      <w:spacing w:line="500" w:lineRule="exact"/>
    </w:pPr>
  </w:style>
  <w:style w:type="paragraph" w:customStyle="1" w:styleId="36">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7">
    <w:name w:val="正文缩进 New"/>
    <w:basedOn w:val="38"/>
    <w:qFormat/>
    <w:uiPriority w:val="0"/>
    <w:pPr>
      <w:widowControl/>
      <w:ind w:firstLine="420"/>
      <w:jc w:val="left"/>
    </w:pPr>
    <w:rPr>
      <w:kern w:val="0"/>
      <w:sz w:val="20"/>
    </w:rPr>
  </w:style>
  <w:style w:type="paragraph" w:customStyle="1" w:styleId="38">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9">
    <w:name w:val="正文文本 New"/>
    <w:basedOn w:val="1"/>
    <w:qFormat/>
    <w:uiPriority w:val="0"/>
    <w:pPr>
      <w:spacing w:after="120" w:line="360" w:lineRule="auto"/>
    </w:pPr>
    <w:rPr>
      <w:rFonts w:ascii="宋体" w:hAnsi="Times New Roman" w:eastAsia="宋体" w:cs="Times New Roman"/>
      <w:sz w:val="24"/>
      <w:szCs w:val="20"/>
    </w:rPr>
  </w:style>
  <w:style w:type="character" w:customStyle="1" w:styleId="40">
    <w:name w:val="正文文本 (2) + 间距 0 pt3"/>
    <w:basedOn w:val="16"/>
    <w:qFormat/>
    <w:uiPriority w:val="0"/>
    <w:rPr>
      <w:rFonts w:ascii="MingLiU" w:hAnsi="Times New Roman" w:eastAsia="MingLiU" w:cs="MingLiU"/>
      <w:spacing w:val="0"/>
      <w:sz w:val="22"/>
      <w:szCs w:val="22"/>
      <w:u w:val="none"/>
    </w:rPr>
  </w:style>
  <w:style w:type="paragraph" w:customStyle="1" w:styleId="41">
    <w:name w:val="正文文本1"/>
    <w:basedOn w:val="1"/>
    <w:qFormat/>
    <w:uiPriority w:val="0"/>
    <w:pPr>
      <w:spacing w:after="120"/>
    </w:pPr>
  </w:style>
  <w:style w:type="paragraph" w:customStyle="1" w:styleId="42">
    <w:name w:val="Default"/>
    <w:qFormat/>
    <w:uiPriority w:val="0"/>
    <w:pPr>
      <w:widowControl w:val="0"/>
      <w:autoSpaceDE w:val="0"/>
      <w:autoSpaceDN w:val="0"/>
      <w:adjustRightInd w:val="0"/>
    </w:pPr>
    <w:rPr>
      <w:rFonts w:hint="eastAsia" w:ascii="仿宋" w:hAnsi="仿宋" w:eastAsia="仿宋"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17.png"/><Relationship Id="rId55" Type="http://schemas.openxmlformats.org/officeDocument/2006/relationships/image" Target="media/image16.jpeg"/><Relationship Id="rId54" Type="http://schemas.openxmlformats.org/officeDocument/2006/relationships/image" Target="media/image15.png"/><Relationship Id="rId53" Type="http://schemas.openxmlformats.org/officeDocument/2006/relationships/image" Target="media/image14.png"/><Relationship Id="rId52" Type="http://schemas.openxmlformats.org/officeDocument/2006/relationships/image" Target="media/image13.wmf"/><Relationship Id="rId51" Type="http://schemas.openxmlformats.org/officeDocument/2006/relationships/oleObject" Target="embeddings/oleObject12.bin"/><Relationship Id="rId50" Type="http://schemas.openxmlformats.org/officeDocument/2006/relationships/image" Target="media/image12.wmf"/><Relationship Id="rId5" Type="http://schemas.openxmlformats.org/officeDocument/2006/relationships/footer" Target="footer1.xml"/><Relationship Id="rId49" Type="http://schemas.openxmlformats.org/officeDocument/2006/relationships/oleObject" Target="embeddings/oleObject11.bin"/><Relationship Id="rId48" Type="http://schemas.openxmlformats.org/officeDocument/2006/relationships/image" Target="media/image11.wmf"/><Relationship Id="rId47" Type="http://schemas.openxmlformats.org/officeDocument/2006/relationships/oleObject" Target="embeddings/oleObject10.bin"/><Relationship Id="rId46" Type="http://schemas.openxmlformats.org/officeDocument/2006/relationships/image" Target="media/image10.wmf"/><Relationship Id="rId45" Type="http://schemas.openxmlformats.org/officeDocument/2006/relationships/oleObject" Target="embeddings/oleObject9.bin"/><Relationship Id="rId44" Type="http://schemas.openxmlformats.org/officeDocument/2006/relationships/image" Target="media/image9.wmf"/><Relationship Id="rId43" Type="http://schemas.openxmlformats.org/officeDocument/2006/relationships/oleObject" Target="embeddings/oleObject8.bin"/><Relationship Id="rId42" Type="http://schemas.openxmlformats.org/officeDocument/2006/relationships/image" Target="media/image8.wmf"/><Relationship Id="rId41" Type="http://schemas.openxmlformats.org/officeDocument/2006/relationships/oleObject" Target="embeddings/oleObject7.bin"/><Relationship Id="rId40" Type="http://schemas.openxmlformats.org/officeDocument/2006/relationships/image" Target="media/image7.wmf"/><Relationship Id="rId4" Type="http://schemas.openxmlformats.org/officeDocument/2006/relationships/header" Target="header2.xml"/><Relationship Id="rId39" Type="http://schemas.openxmlformats.org/officeDocument/2006/relationships/oleObject" Target="embeddings/oleObject6.bin"/><Relationship Id="rId38" Type="http://schemas.openxmlformats.org/officeDocument/2006/relationships/image" Target="media/image6.wmf"/><Relationship Id="rId37" Type="http://schemas.openxmlformats.org/officeDocument/2006/relationships/oleObject" Target="embeddings/oleObject5.bin"/><Relationship Id="rId36" Type="http://schemas.openxmlformats.org/officeDocument/2006/relationships/image" Target="media/image5.wmf"/><Relationship Id="rId35" Type="http://schemas.openxmlformats.org/officeDocument/2006/relationships/oleObject" Target="embeddings/oleObject4.bin"/><Relationship Id="rId34" Type="http://schemas.openxmlformats.org/officeDocument/2006/relationships/image" Target="media/image4.wmf"/><Relationship Id="rId33" Type="http://schemas.openxmlformats.org/officeDocument/2006/relationships/oleObject" Target="embeddings/oleObject3.bin"/><Relationship Id="rId32" Type="http://schemas.openxmlformats.org/officeDocument/2006/relationships/image" Target="media/image3.wmf"/><Relationship Id="rId31" Type="http://schemas.openxmlformats.org/officeDocument/2006/relationships/oleObject" Target="embeddings/oleObject2.bin"/><Relationship Id="rId30" Type="http://schemas.openxmlformats.org/officeDocument/2006/relationships/image" Target="media/image2.wmf"/><Relationship Id="rId3" Type="http://schemas.openxmlformats.org/officeDocument/2006/relationships/header" Target="header1.xml"/><Relationship Id="rId29" Type="http://schemas.openxmlformats.org/officeDocument/2006/relationships/oleObject" Target="embeddings/oleObject1.bin"/><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11161</Words>
  <Characters>12180</Characters>
  <Lines>0</Lines>
  <Paragraphs>0</Paragraphs>
  <TotalTime>11</TotalTime>
  <ScaleCrop>false</ScaleCrop>
  <LinksUpToDate>false</LinksUpToDate>
  <CharactersWithSpaces>12680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2024-09-28T12:36:00Z</dcterms:created>
  <dc:creator>Administrator</dc:creator>
  <cp:lastModifiedBy>何海涛✨ </cp:lastModifiedBy>
  <cp:lastPrinted>2026-01-09T08:18:00Z</cp:lastPrinted>
  <dcterms:modified xsi:type="dcterms:W3CDTF">2026-01-14T08:26:15Z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57602BE310F040869B4F21FE5B52BFFC_13</vt:lpwstr>
  </property>
  <property fmtid="{D5CDD505-2E9C-101B-9397-08002B2CF9AE}" pid="4" name="KSOTemplateDocerSaveRecord">
    <vt:lpwstr>eyJoZGlkIjoiZjY5NmE1MzVkMjM0ZTYyMmZlNmI5NGYzZWEyZmNkYWQiLCJ1c2VySWQiOiIyOTExNDg2NzEifQ==</vt:lpwstr>
  </property>
</Properties>
</file>