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FBF7D7">
      <w:pPr>
        <w:spacing w:line="800" w:lineRule="exact"/>
        <w:jc w:val="center"/>
        <w:rPr>
          <w:rFonts w:hint="default" w:asciiTheme="minorEastAsia" w:hAnsiTheme="minorEastAsia" w:eastAsiaTheme="minorEastAsia" w:cstheme="minorEastAsia"/>
          <w:b/>
          <w:color w:val="auto"/>
          <w:sz w:val="40"/>
          <w:szCs w:val="40"/>
          <w:highlight w:val="none"/>
        </w:rPr>
      </w:pPr>
      <w:bookmarkStart w:id="0" w:name="OLE_LINK45"/>
      <w:bookmarkStart w:id="1" w:name="OLE_LINK54"/>
      <w:r>
        <w:rPr>
          <w:rFonts w:hint="eastAsia" w:asciiTheme="minorEastAsia" w:hAnsiTheme="minorEastAsia" w:eastAsiaTheme="minorEastAsia" w:cstheme="minorEastAsia"/>
          <w:b/>
          <w:color w:val="auto"/>
          <w:sz w:val="36"/>
          <w:szCs w:val="36"/>
          <w:highlight w:val="none"/>
          <w:lang w:eastAsia="zh-CN"/>
        </w:rPr>
        <w:t>南雄市“银杏染秋”乡村振兴示范带建设项目-黄坑镇典型村建设项目</w:t>
      </w:r>
      <w:r>
        <w:rPr>
          <w:rFonts w:asciiTheme="minorEastAsia" w:hAnsiTheme="minorEastAsia" w:eastAsiaTheme="minorEastAsia" w:cstheme="minorEastAsia"/>
          <w:b/>
          <w:color w:val="auto"/>
          <w:sz w:val="36"/>
          <w:szCs w:val="36"/>
          <w:highlight w:val="none"/>
        </w:rPr>
        <w:t>设计、施工总承包</w:t>
      </w:r>
    </w:p>
    <w:bookmarkEnd w:id="0"/>
    <w:p w14:paraId="065F44E8">
      <w:pPr>
        <w:spacing w:line="360" w:lineRule="auto"/>
        <w:rPr>
          <w:rFonts w:hint="default" w:asciiTheme="minorEastAsia" w:hAnsiTheme="minorEastAsia" w:eastAsiaTheme="minorEastAsia" w:cstheme="minorEastAsia"/>
          <w:b/>
          <w:color w:val="auto"/>
          <w:highlight w:val="none"/>
        </w:rPr>
      </w:pPr>
    </w:p>
    <w:p w14:paraId="4F86C319">
      <w:pPr>
        <w:spacing w:line="360" w:lineRule="auto"/>
        <w:rPr>
          <w:rFonts w:hint="default" w:asciiTheme="minorEastAsia" w:hAnsiTheme="minorEastAsia" w:eastAsiaTheme="minorEastAsia" w:cstheme="minorEastAsia"/>
          <w:b/>
          <w:color w:val="auto"/>
          <w:highlight w:val="none"/>
        </w:rPr>
      </w:pPr>
    </w:p>
    <w:p w14:paraId="093CCCF2">
      <w:pPr>
        <w:spacing w:line="360" w:lineRule="auto"/>
        <w:rPr>
          <w:rFonts w:hint="default" w:asciiTheme="minorEastAsia" w:hAnsiTheme="minorEastAsia" w:eastAsiaTheme="minorEastAsia" w:cstheme="minorEastAsia"/>
          <w:b/>
          <w:color w:val="auto"/>
          <w:highlight w:val="none"/>
        </w:rPr>
      </w:pPr>
    </w:p>
    <w:p w14:paraId="7C326580">
      <w:pPr>
        <w:pStyle w:val="8"/>
        <w:rPr>
          <w:rFonts w:hint="default" w:asciiTheme="minorEastAsia" w:hAnsiTheme="minorEastAsia" w:eastAsiaTheme="minorEastAsia" w:cstheme="minorEastAsia"/>
          <w:color w:val="auto"/>
          <w:highlight w:val="none"/>
        </w:rPr>
      </w:pPr>
    </w:p>
    <w:p w14:paraId="4FB118CC">
      <w:pPr>
        <w:pStyle w:val="9"/>
        <w:rPr>
          <w:rFonts w:hint="default" w:asciiTheme="minorEastAsia" w:hAnsiTheme="minorEastAsia" w:eastAsiaTheme="minorEastAsia" w:cstheme="minorEastAsia"/>
          <w:color w:val="auto"/>
          <w:highlight w:val="none"/>
        </w:rPr>
      </w:pPr>
    </w:p>
    <w:p w14:paraId="2199C5BD">
      <w:pPr>
        <w:pStyle w:val="40"/>
        <w:spacing w:line="360" w:lineRule="auto"/>
        <w:jc w:val="center"/>
        <w:rPr>
          <w:rFonts w:asciiTheme="minorEastAsia" w:hAnsiTheme="minorEastAsia" w:eastAsiaTheme="minorEastAsia" w:cstheme="minorEastAsia"/>
          <w:b/>
          <w:bCs/>
          <w:color w:val="auto"/>
          <w:spacing w:val="26"/>
          <w:sz w:val="84"/>
          <w:szCs w:val="84"/>
          <w:highlight w:val="none"/>
        </w:rPr>
      </w:pPr>
      <w:r>
        <w:rPr>
          <w:rFonts w:hint="eastAsia" w:asciiTheme="minorEastAsia" w:hAnsiTheme="minorEastAsia" w:eastAsiaTheme="minorEastAsia" w:cstheme="minorEastAsia"/>
          <w:b/>
          <w:bCs/>
          <w:color w:val="auto"/>
          <w:spacing w:val="26"/>
          <w:sz w:val="84"/>
          <w:szCs w:val="84"/>
          <w:highlight w:val="none"/>
        </w:rPr>
        <w:t>招标文件</w:t>
      </w:r>
    </w:p>
    <w:p w14:paraId="039C6FC6">
      <w:pPr>
        <w:spacing w:line="360" w:lineRule="auto"/>
        <w:ind w:left="240" w:leftChars="100"/>
        <w:jc w:val="center"/>
        <w:rPr>
          <w:rFonts w:hint="default" w:asciiTheme="minorEastAsia" w:hAnsiTheme="minorEastAsia" w:eastAsiaTheme="minorEastAsia" w:cstheme="minorEastAsia"/>
          <w:b/>
          <w:color w:val="auto"/>
          <w:sz w:val="32"/>
          <w:szCs w:val="32"/>
          <w:highlight w:val="none"/>
        </w:rPr>
      </w:pPr>
    </w:p>
    <w:tbl>
      <w:tblPr>
        <w:tblStyle w:val="24"/>
        <w:tblpPr w:leftFromText="180" w:rightFromText="180" w:vertAnchor="text" w:horzAnchor="page" w:tblpX="1372" w:tblpY="753"/>
        <w:tblW w:w="9799" w:type="dxa"/>
        <w:tblInd w:w="0" w:type="dxa"/>
        <w:tblLayout w:type="fixed"/>
        <w:tblCellMar>
          <w:top w:w="0" w:type="dxa"/>
          <w:left w:w="0" w:type="dxa"/>
          <w:bottom w:w="0" w:type="dxa"/>
          <w:right w:w="0" w:type="dxa"/>
        </w:tblCellMar>
      </w:tblPr>
      <w:tblGrid>
        <w:gridCol w:w="4671"/>
        <w:gridCol w:w="5128"/>
      </w:tblGrid>
      <w:tr w14:paraId="1E357720">
        <w:tblPrEx>
          <w:tblCellMar>
            <w:top w:w="0" w:type="dxa"/>
            <w:left w:w="0" w:type="dxa"/>
            <w:bottom w:w="0" w:type="dxa"/>
            <w:right w:w="0" w:type="dxa"/>
          </w:tblCellMar>
        </w:tblPrEx>
        <w:trPr>
          <w:trHeight w:val="935" w:hRule="atLeast"/>
        </w:trPr>
        <w:tc>
          <w:tcPr>
            <w:tcW w:w="4671" w:type="dxa"/>
            <w:noWrap/>
            <w:vAlign w:val="center"/>
          </w:tcPr>
          <w:p w14:paraId="0654E45D">
            <w:pPr>
              <w:pStyle w:val="41"/>
              <w:jc w:val="distribute"/>
              <w:rPr>
                <w:rFonts w:asciiTheme="minorEastAsia" w:hAnsiTheme="minorEastAsia" w:eastAsiaTheme="minorEastAsia" w:cstheme="minorEastAsia"/>
                <w:color w:val="auto"/>
                <w:sz w:val="28"/>
                <w:highlight w:val="none"/>
              </w:rPr>
            </w:pPr>
            <w:r>
              <w:rPr>
                <w:rFonts w:hint="eastAsia" w:asciiTheme="minorEastAsia" w:hAnsiTheme="minorEastAsia" w:eastAsiaTheme="minorEastAsia" w:cstheme="minorEastAsia"/>
                <w:color w:val="auto"/>
                <w:sz w:val="28"/>
                <w:highlight w:val="none"/>
              </w:rPr>
              <w:t>招   标   人（盖单位章）：</w:t>
            </w:r>
          </w:p>
        </w:tc>
        <w:tc>
          <w:tcPr>
            <w:tcW w:w="5128" w:type="dxa"/>
            <w:noWrap/>
            <w:vAlign w:val="center"/>
          </w:tcPr>
          <w:p w14:paraId="2DFFF369">
            <w:pPr>
              <w:pStyle w:val="41"/>
              <w:rPr>
                <w:rFonts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南雄市黄坑镇人民政府</w:t>
            </w:r>
          </w:p>
        </w:tc>
      </w:tr>
      <w:tr w14:paraId="726E2D4A">
        <w:tblPrEx>
          <w:tblCellMar>
            <w:top w:w="0" w:type="dxa"/>
            <w:left w:w="0" w:type="dxa"/>
            <w:bottom w:w="0" w:type="dxa"/>
            <w:right w:w="0" w:type="dxa"/>
          </w:tblCellMar>
        </w:tblPrEx>
        <w:trPr>
          <w:trHeight w:val="1059" w:hRule="atLeast"/>
        </w:trPr>
        <w:tc>
          <w:tcPr>
            <w:tcW w:w="4671" w:type="dxa"/>
            <w:noWrap/>
            <w:vAlign w:val="center"/>
          </w:tcPr>
          <w:p w14:paraId="58AF4663">
            <w:pPr>
              <w:pStyle w:val="41"/>
              <w:jc w:val="distribute"/>
              <w:rPr>
                <w:rFonts w:asciiTheme="minorEastAsia" w:hAnsiTheme="minorEastAsia" w:eastAsiaTheme="minorEastAsia" w:cstheme="minorEastAsia"/>
                <w:color w:val="auto"/>
                <w:sz w:val="28"/>
                <w:highlight w:val="none"/>
              </w:rPr>
            </w:pPr>
            <w:r>
              <w:rPr>
                <w:rFonts w:hint="eastAsia" w:asciiTheme="minorEastAsia" w:hAnsiTheme="minorEastAsia" w:eastAsiaTheme="minorEastAsia" w:cstheme="minorEastAsia"/>
                <w:color w:val="auto"/>
                <w:sz w:val="28"/>
                <w:highlight w:val="none"/>
              </w:rPr>
              <w:t>招标人工作领导小组负责人（签字）：</w:t>
            </w:r>
          </w:p>
        </w:tc>
        <w:tc>
          <w:tcPr>
            <w:tcW w:w="5128" w:type="dxa"/>
            <w:noWrap/>
            <w:vAlign w:val="center"/>
          </w:tcPr>
          <w:p w14:paraId="6CBEF97A">
            <w:pPr>
              <w:pStyle w:val="41"/>
              <w:rPr>
                <w:rFonts w:asciiTheme="minorEastAsia" w:hAnsiTheme="minorEastAsia" w:eastAsiaTheme="minorEastAsia" w:cstheme="minorEastAsia"/>
                <w:color w:val="auto"/>
                <w:sz w:val="28"/>
                <w:szCs w:val="28"/>
                <w:highlight w:val="none"/>
              </w:rPr>
            </w:pPr>
          </w:p>
        </w:tc>
      </w:tr>
      <w:tr w14:paraId="032C9A01">
        <w:tblPrEx>
          <w:tblCellMar>
            <w:top w:w="0" w:type="dxa"/>
            <w:left w:w="0" w:type="dxa"/>
            <w:bottom w:w="0" w:type="dxa"/>
            <w:right w:w="0" w:type="dxa"/>
          </w:tblCellMar>
        </w:tblPrEx>
        <w:trPr>
          <w:trHeight w:val="1031" w:hRule="atLeast"/>
        </w:trPr>
        <w:tc>
          <w:tcPr>
            <w:tcW w:w="4671" w:type="dxa"/>
            <w:noWrap/>
            <w:vAlign w:val="center"/>
          </w:tcPr>
          <w:p w14:paraId="0FD939D6">
            <w:pPr>
              <w:pStyle w:val="41"/>
              <w:jc w:val="distribute"/>
              <w:rPr>
                <w:rFonts w:asciiTheme="minorEastAsia" w:hAnsiTheme="minorEastAsia" w:eastAsiaTheme="minorEastAsia" w:cstheme="minorEastAsia"/>
                <w:color w:val="auto"/>
                <w:sz w:val="28"/>
                <w:highlight w:val="none"/>
              </w:rPr>
            </w:pPr>
            <w:r>
              <w:rPr>
                <w:rFonts w:hint="eastAsia" w:asciiTheme="minorEastAsia" w:hAnsiTheme="minorEastAsia" w:eastAsiaTheme="minorEastAsia" w:cstheme="minorEastAsia"/>
                <w:color w:val="auto"/>
                <w:sz w:val="28"/>
                <w:highlight w:val="none"/>
              </w:rPr>
              <w:t>招 标 代 理 机 构 （盖章）：</w:t>
            </w:r>
          </w:p>
        </w:tc>
        <w:tc>
          <w:tcPr>
            <w:tcW w:w="5128" w:type="dxa"/>
            <w:noWrap/>
            <w:vAlign w:val="center"/>
          </w:tcPr>
          <w:p w14:paraId="7A909A66">
            <w:pPr>
              <w:pStyle w:val="41"/>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snapToGrid w:val="0"/>
                <w:color w:val="auto"/>
                <w:kern w:val="0"/>
                <w:sz w:val="28"/>
                <w:szCs w:val="28"/>
                <w:highlight w:val="none"/>
                <w:lang w:eastAsia="zh-CN"/>
              </w:rPr>
              <w:t>韶关市繁盛项目管理有限公司</w:t>
            </w:r>
          </w:p>
        </w:tc>
      </w:tr>
      <w:tr w14:paraId="717B553F">
        <w:tblPrEx>
          <w:tblCellMar>
            <w:top w:w="0" w:type="dxa"/>
            <w:left w:w="0" w:type="dxa"/>
            <w:bottom w:w="0" w:type="dxa"/>
            <w:right w:w="0" w:type="dxa"/>
          </w:tblCellMar>
        </w:tblPrEx>
        <w:trPr>
          <w:trHeight w:val="809" w:hRule="atLeast"/>
        </w:trPr>
        <w:tc>
          <w:tcPr>
            <w:tcW w:w="4671" w:type="dxa"/>
            <w:noWrap/>
            <w:vAlign w:val="center"/>
          </w:tcPr>
          <w:p w14:paraId="735EF152">
            <w:pPr>
              <w:pStyle w:val="41"/>
              <w:jc w:val="distribute"/>
              <w:rPr>
                <w:rFonts w:asciiTheme="minorEastAsia" w:hAnsiTheme="minorEastAsia" w:eastAsiaTheme="minorEastAsia" w:cstheme="minorEastAsia"/>
                <w:color w:val="auto"/>
                <w:sz w:val="28"/>
                <w:highlight w:val="none"/>
              </w:rPr>
            </w:pPr>
            <w:r>
              <w:rPr>
                <w:rFonts w:hint="eastAsia" w:asciiTheme="minorEastAsia" w:hAnsiTheme="minorEastAsia" w:eastAsiaTheme="minorEastAsia" w:cstheme="minorEastAsia"/>
                <w:color w:val="auto"/>
                <w:sz w:val="28"/>
                <w:highlight w:val="none"/>
              </w:rPr>
              <w:t>招标文件编制人（签字）：</w:t>
            </w:r>
          </w:p>
        </w:tc>
        <w:tc>
          <w:tcPr>
            <w:tcW w:w="5128" w:type="dxa"/>
            <w:noWrap/>
            <w:vAlign w:val="center"/>
          </w:tcPr>
          <w:p w14:paraId="09D224EC">
            <w:pPr>
              <w:pStyle w:val="41"/>
              <w:rPr>
                <w:rFonts w:asciiTheme="minorEastAsia" w:hAnsiTheme="minorEastAsia" w:eastAsiaTheme="minorEastAsia" w:cstheme="minorEastAsia"/>
                <w:color w:val="auto"/>
                <w:sz w:val="28"/>
                <w:szCs w:val="28"/>
                <w:highlight w:val="none"/>
              </w:rPr>
            </w:pPr>
          </w:p>
        </w:tc>
      </w:tr>
      <w:tr w14:paraId="1CAD840D">
        <w:tblPrEx>
          <w:tblCellMar>
            <w:top w:w="0" w:type="dxa"/>
            <w:left w:w="0" w:type="dxa"/>
            <w:bottom w:w="0" w:type="dxa"/>
            <w:right w:w="0" w:type="dxa"/>
          </w:tblCellMar>
        </w:tblPrEx>
        <w:trPr>
          <w:trHeight w:val="863" w:hRule="atLeast"/>
        </w:trPr>
        <w:tc>
          <w:tcPr>
            <w:tcW w:w="4671" w:type="dxa"/>
            <w:noWrap/>
            <w:vAlign w:val="center"/>
          </w:tcPr>
          <w:p w14:paraId="29CABD38">
            <w:pPr>
              <w:pStyle w:val="41"/>
              <w:wordWrap w:val="0"/>
              <w:jc w:val="distribute"/>
              <w:rPr>
                <w:rFonts w:asciiTheme="minorEastAsia" w:hAnsiTheme="minorEastAsia" w:eastAsiaTheme="minorEastAsia" w:cstheme="minorEastAsia"/>
                <w:color w:val="auto"/>
                <w:sz w:val="28"/>
                <w:highlight w:val="none"/>
              </w:rPr>
            </w:pPr>
            <w:r>
              <w:rPr>
                <w:rFonts w:hint="eastAsia" w:asciiTheme="minorEastAsia" w:hAnsiTheme="minorEastAsia" w:eastAsiaTheme="minorEastAsia" w:cstheme="minorEastAsia"/>
                <w:color w:val="auto"/>
                <w:sz w:val="28"/>
                <w:highlight w:val="none"/>
              </w:rPr>
              <w:t>招标代理机构项目负责人（签字）：</w:t>
            </w:r>
          </w:p>
        </w:tc>
        <w:tc>
          <w:tcPr>
            <w:tcW w:w="5128" w:type="dxa"/>
            <w:noWrap/>
            <w:vAlign w:val="center"/>
          </w:tcPr>
          <w:p w14:paraId="12B6498B">
            <w:pPr>
              <w:pStyle w:val="41"/>
              <w:rPr>
                <w:rFonts w:asciiTheme="minorEastAsia" w:hAnsiTheme="minorEastAsia" w:eastAsiaTheme="minorEastAsia" w:cstheme="minorEastAsia"/>
                <w:color w:val="auto"/>
                <w:sz w:val="28"/>
                <w:szCs w:val="28"/>
                <w:highlight w:val="none"/>
              </w:rPr>
            </w:pPr>
          </w:p>
        </w:tc>
      </w:tr>
      <w:tr w14:paraId="635E390E">
        <w:tblPrEx>
          <w:tblCellMar>
            <w:top w:w="0" w:type="dxa"/>
            <w:left w:w="0" w:type="dxa"/>
            <w:bottom w:w="0" w:type="dxa"/>
            <w:right w:w="0" w:type="dxa"/>
          </w:tblCellMar>
        </w:tblPrEx>
        <w:trPr>
          <w:trHeight w:val="1047" w:hRule="atLeast"/>
        </w:trPr>
        <w:tc>
          <w:tcPr>
            <w:tcW w:w="4671" w:type="dxa"/>
            <w:noWrap/>
            <w:vAlign w:val="center"/>
          </w:tcPr>
          <w:p w14:paraId="747EEE1F">
            <w:pPr>
              <w:pStyle w:val="41"/>
              <w:wordWrap w:val="0"/>
              <w:jc w:val="distribute"/>
              <w:rPr>
                <w:rFonts w:asciiTheme="minorEastAsia" w:hAnsiTheme="minorEastAsia" w:eastAsiaTheme="minorEastAsia" w:cstheme="minorEastAsia"/>
                <w:color w:val="auto"/>
                <w:sz w:val="28"/>
                <w:highlight w:val="none"/>
              </w:rPr>
            </w:pPr>
            <w:r>
              <w:rPr>
                <w:rFonts w:hint="eastAsia" w:asciiTheme="minorEastAsia" w:hAnsiTheme="minorEastAsia" w:eastAsiaTheme="minorEastAsia" w:cstheme="minorEastAsia"/>
                <w:color w:val="auto"/>
                <w:sz w:val="28"/>
                <w:highlight w:val="none"/>
              </w:rPr>
              <w:t>招标文件编制日期：</w:t>
            </w:r>
          </w:p>
        </w:tc>
        <w:tc>
          <w:tcPr>
            <w:tcW w:w="5128" w:type="dxa"/>
            <w:noWrap/>
            <w:vAlign w:val="center"/>
          </w:tcPr>
          <w:p w14:paraId="4D71A75A">
            <w:pPr>
              <w:pStyle w:val="41"/>
              <w:rPr>
                <w:rFonts w:asciiTheme="minorEastAsia" w:hAnsiTheme="minorEastAsia" w:eastAsiaTheme="minorEastAsia" w:cstheme="minorEastAsia"/>
                <w:color w:val="auto"/>
                <w:sz w:val="28"/>
                <w:highlight w:val="none"/>
              </w:rPr>
            </w:pPr>
            <w:r>
              <w:rPr>
                <w:rFonts w:hint="eastAsia" w:asciiTheme="minorEastAsia" w:hAnsiTheme="minorEastAsia" w:eastAsiaTheme="minorEastAsia" w:cstheme="minorEastAsia"/>
                <w:color w:val="auto"/>
                <w:sz w:val="28"/>
                <w:highlight w:val="none"/>
              </w:rPr>
              <w:t>202</w:t>
            </w:r>
            <w:r>
              <w:rPr>
                <w:rFonts w:hint="eastAsia" w:asciiTheme="minorEastAsia" w:hAnsiTheme="minorEastAsia" w:eastAsiaTheme="minorEastAsia" w:cstheme="minorEastAsia"/>
                <w:color w:val="auto"/>
                <w:sz w:val="28"/>
                <w:highlight w:val="none"/>
                <w:lang w:val="en-US" w:eastAsia="zh-CN"/>
              </w:rPr>
              <w:t>6</w:t>
            </w:r>
            <w:r>
              <w:rPr>
                <w:rFonts w:hint="eastAsia" w:asciiTheme="minorEastAsia" w:hAnsiTheme="minorEastAsia" w:eastAsiaTheme="minorEastAsia" w:cstheme="minorEastAsia"/>
                <w:color w:val="auto"/>
                <w:sz w:val="28"/>
                <w:highlight w:val="none"/>
              </w:rPr>
              <w:t>年</w:t>
            </w:r>
            <w:r>
              <w:rPr>
                <w:rFonts w:hint="eastAsia" w:asciiTheme="minorEastAsia" w:hAnsiTheme="minorEastAsia" w:eastAsiaTheme="minorEastAsia" w:cstheme="minorEastAsia"/>
                <w:color w:val="auto"/>
                <w:sz w:val="28"/>
                <w:highlight w:val="none"/>
                <w:lang w:val="en-US" w:eastAsia="zh-CN"/>
              </w:rPr>
              <w:t>9</w:t>
            </w:r>
            <w:r>
              <w:rPr>
                <w:rFonts w:hint="eastAsia" w:asciiTheme="minorEastAsia" w:hAnsiTheme="minorEastAsia" w:eastAsiaTheme="minorEastAsia" w:cstheme="minorEastAsia"/>
                <w:color w:val="auto"/>
                <w:sz w:val="28"/>
                <w:highlight w:val="none"/>
              </w:rPr>
              <w:t>月</w:t>
            </w:r>
          </w:p>
        </w:tc>
      </w:tr>
    </w:tbl>
    <w:p w14:paraId="2B5C33D2">
      <w:pPr>
        <w:rPr>
          <w:rFonts w:hint="default" w:asciiTheme="minorEastAsia" w:hAnsiTheme="minorEastAsia" w:eastAsiaTheme="minorEastAsia" w:cstheme="minorEastAsia"/>
          <w:b/>
          <w:color w:val="auto"/>
          <w:sz w:val="28"/>
          <w:szCs w:val="28"/>
          <w:highlight w:val="none"/>
        </w:rPr>
      </w:pPr>
    </w:p>
    <w:p w14:paraId="12ECC0D6">
      <w:pPr>
        <w:rPr>
          <w:rFonts w:hint="default" w:asciiTheme="minorEastAsia" w:hAnsiTheme="minorEastAsia" w:eastAsiaTheme="minorEastAsia" w:cstheme="minorEastAsia"/>
          <w:b/>
          <w:color w:val="auto"/>
          <w:sz w:val="28"/>
          <w:szCs w:val="28"/>
          <w:highlight w:val="none"/>
        </w:rPr>
      </w:pPr>
      <w:r>
        <w:rPr>
          <w:rFonts w:asciiTheme="minorEastAsia" w:hAnsiTheme="minorEastAsia" w:eastAsiaTheme="minorEastAsia" w:cstheme="minorEastAsia"/>
          <w:b/>
          <w:color w:val="auto"/>
          <w:sz w:val="28"/>
          <w:szCs w:val="28"/>
          <w:highlight w:val="none"/>
        </w:rPr>
        <w:br w:type="page"/>
      </w:r>
    </w:p>
    <w:p w14:paraId="138A6232">
      <w:pPr>
        <w:rPr>
          <w:rFonts w:hint="default" w:asciiTheme="minorEastAsia" w:hAnsiTheme="minorEastAsia" w:eastAsiaTheme="minorEastAsia" w:cstheme="minorEastAsia"/>
          <w:b/>
          <w:color w:val="auto"/>
          <w:sz w:val="28"/>
          <w:szCs w:val="28"/>
          <w:highlight w:val="none"/>
        </w:rPr>
      </w:pPr>
      <w:r>
        <w:rPr>
          <w:rFonts w:asciiTheme="minorEastAsia" w:hAnsiTheme="minorEastAsia" w:eastAsiaTheme="minorEastAsia" w:cstheme="minorEastAsia"/>
          <w:b/>
          <w:color w:val="auto"/>
          <w:sz w:val="28"/>
          <w:szCs w:val="28"/>
          <w:highlight w:val="none"/>
        </w:rPr>
        <w:br w:type="page"/>
      </w:r>
    </w:p>
    <w:p w14:paraId="7A1155EE">
      <w:pPr>
        <w:pStyle w:val="42"/>
        <w:tabs>
          <w:tab w:val="left" w:pos="4935"/>
        </w:tabs>
        <w:jc w:val="center"/>
        <w:rPr>
          <w:rFonts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t>目  录</w:t>
      </w:r>
    </w:p>
    <w:p w14:paraId="0D00D025">
      <w:pPr>
        <w:pStyle w:val="17"/>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asciiTheme="minorEastAsia" w:hAnsiTheme="minorEastAsia" w:eastAsiaTheme="minorEastAsia" w:cstheme="minorEastAsia"/>
          <w:color w:val="auto"/>
          <w:sz w:val="21"/>
          <w:szCs w:val="21"/>
          <w:highlight w:val="none"/>
        </w:rPr>
        <w:fldChar w:fldCharType="begin"/>
      </w:r>
      <w:r>
        <w:rPr>
          <w:rFonts w:asciiTheme="minorEastAsia" w:hAnsiTheme="minorEastAsia" w:eastAsiaTheme="minorEastAsia" w:cstheme="minorEastAsia"/>
          <w:color w:val="auto"/>
          <w:sz w:val="21"/>
          <w:szCs w:val="21"/>
          <w:highlight w:val="none"/>
        </w:rPr>
        <w:instrText xml:space="preserve"> TOC \o "1-4" \h \z </w:instrText>
      </w:r>
      <w:r>
        <w:rPr>
          <w:rFonts w:asciiTheme="minorEastAsia" w:hAnsiTheme="minorEastAsia" w:eastAsiaTheme="minorEastAsia" w:cstheme="minorEastAsia"/>
          <w:color w:val="auto"/>
          <w:sz w:val="21"/>
          <w:szCs w:val="21"/>
          <w:highlight w:val="none"/>
        </w:rPr>
        <w:fldChar w:fldCharType="separate"/>
      </w: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_Toc11631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44"/>
          <w:sz w:val="22"/>
          <w:szCs w:val="32"/>
          <w:highlight w:val="none"/>
        </w:rPr>
        <w:t>第一章投标须知</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_Toc11631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5</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657958ED">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_Toc7938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18"/>
          <w:highlight w:val="none"/>
        </w:rPr>
        <w:t>第一节</w:t>
      </w:r>
      <w:r>
        <w:rPr>
          <w:rFonts w:hint="eastAsia" w:asciiTheme="minorEastAsia" w:hAnsiTheme="minorEastAsia" w:eastAsiaTheme="minorEastAsia" w:cstheme="minorEastAsia"/>
          <w:color w:val="auto"/>
          <w:kern w:val="2"/>
          <w:sz w:val="22"/>
          <w:szCs w:val="18"/>
          <w:highlight w:val="none"/>
          <w:lang w:val="en-US" w:eastAsia="zh-CN"/>
        </w:rPr>
        <w:t xml:space="preserve">   </w:t>
      </w:r>
      <w:r>
        <w:rPr>
          <w:rFonts w:hint="eastAsia" w:asciiTheme="minorEastAsia" w:hAnsiTheme="minorEastAsia" w:eastAsiaTheme="minorEastAsia" w:cstheme="minorEastAsia"/>
          <w:color w:val="auto"/>
          <w:kern w:val="2"/>
          <w:sz w:val="22"/>
          <w:szCs w:val="18"/>
          <w:highlight w:val="none"/>
        </w:rPr>
        <w:t>投标须知前附表</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_Toc7938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5</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18C2CB29">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_Toc5664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2"/>
          <w:highlight w:val="none"/>
        </w:rPr>
        <w:t>第二节</w:t>
      </w:r>
      <w:r>
        <w:rPr>
          <w:rFonts w:hint="eastAsia" w:asciiTheme="minorEastAsia" w:hAnsiTheme="minorEastAsia" w:eastAsiaTheme="minorEastAsia" w:cstheme="minorEastAsia"/>
          <w:color w:val="auto"/>
          <w:kern w:val="2"/>
          <w:sz w:val="22"/>
          <w:szCs w:val="22"/>
          <w:highlight w:val="none"/>
          <w:lang w:val="en-US" w:eastAsia="zh-CN"/>
        </w:rPr>
        <w:t xml:space="preserve">  </w:t>
      </w:r>
      <w:r>
        <w:rPr>
          <w:rFonts w:hint="eastAsia" w:asciiTheme="minorEastAsia" w:hAnsiTheme="minorEastAsia" w:eastAsiaTheme="minorEastAsia" w:cstheme="minorEastAsia"/>
          <w:color w:val="auto"/>
          <w:kern w:val="2"/>
          <w:sz w:val="22"/>
          <w:szCs w:val="22"/>
          <w:highlight w:val="none"/>
        </w:rPr>
        <w:t>重要事项时间地点一览表.</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_Toc5664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12</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4EEFAC88">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_Toc20271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2"/>
          <w:highlight w:val="none"/>
        </w:rPr>
        <w:t>第三节 投标须知正文</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_Toc20271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13</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4108F010">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_Toc761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1、 工程概况综合说明</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_Toc761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13</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41AFE55F">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_Toc23595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2 、招标范围</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_Toc23595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13</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1149F1C0">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_Toc32407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4 、投标人资质及条件要求</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_Toc32407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14</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2BE55BAE">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_Toc22466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5 、工程招标内容及要求</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_Toc22466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16</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19E32CE6">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_Toc16958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6 、招标工程施工条件及现场踏勘</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_Toc16958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19</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19D565CE">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_Toc23635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7 、其他招标说明</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_Toc23635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20</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3728E472">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_Toc10600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8 、招标答疑</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_Toc10600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21</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34E5E7D7">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_Toc14430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9 、投标报价的编制</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_Toc14430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22</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620997BD">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_Toc4178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sz w:val="22"/>
          <w:szCs w:val="20"/>
          <w:highlight w:val="none"/>
        </w:rPr>
        <w:t>11、</w:t>
      </w:r>
      <w:r>
        <w:rPr>
          <w:rFonts w:hint="eastAsia" w:asciiTheme="minorEastAsia" w:hAnsiTheme="minorEastAsia" w:eastAsiaTheme="minorEastAsia" w:cstheme="minorEastAsia"/>
          <w:color w:val="auto"/>
          <w:kern w:val="2"/>
          <w:sz w:val="22"/>
          <w:szCs w:val="20"/>
          <w:highlight w:val="none"/>
        </w:rPr>
        <w:t>投标</w:t>
      </w:r>
      <w:r>
        <w:rPr>
          <w:rFonts w:hint="eastAsia" w:asciiTheme="minorEastAsia" w:hAnsiTheme="minorEastAsia" w:eastAsiaTheme="minorEastAsia" w:cstheme="minorEastAsia"/>
          <w:color w:val="auto"/>
          <w:sz w:val="22"/>
          <w:szCs w:val="20"/>
          <w:highlight w:val="none"/>
        </w:rPr>
        <w:t>文件的编制要求</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_Toc4178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23</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5DE5C822">
      <w:pPr>
        <w:pStyle w:val="11"/>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_Toc929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snapToGrid w:val="0"/>
          <w:color w:val="auto"/>
          <w:sz w:val="22"/>
          <w:szCs w:val="20"/>
          <w:highlight w:val="none"/>
        </w:rPr>
        <w:t>11.1 一般要求</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_Toc929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24</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1E4D5BD6">
      <w:pPr>
        <w:pStyle w:val="11"/>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_Toc23329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snapToGrid w:val="0"/>
          <w:color w:val="auto"/>
          <w:sz w:val="22"/>
          <w:szCs w:val="20"/>
          <w:highlight w:val="none"/>
        </w:rPr>
        <w:t>11.2 投标标书的编制要求</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_Toc23329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24</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7578C86C">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_Toc6027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12、 投标有效期及对投标人的其他要求</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_Toc6027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27</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28911B79">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_Toc21498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13、开标</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_Toc21498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27</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1EB57206">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_Toc23128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14、评标的方法和标准</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_Toc23128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28</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20B967D1">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_Toc8751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0"/>
          <w:highlight w:val="none"/>
        </w:rPr>
        <w:t>第四节 否决投标条件</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_Toc8751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36</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3342592F">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_Toc20490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0"/>
          <w:highlight w:val="none"/>
        </w:rPr>
        <w:t>第</w:t>
      </w:r>
      <w:r>
        <w:rPr>
          <w:rFonts w:hint="eastAsia" w:asciiTheme="minorEastAsia" w:hAnsiTheme="minorEastAsia" w:eastAsiaTheme="minorEastAsia" w:cstheme="minorEastAsia"/>
          <w:bCs/>
          <w:color w:val="auto"/>
          <w:sz w:val="22"/>
          <w:szCs w:val="20"/>
          <w:highlight w:val="none"/>
          <w:lang w:val="en-US" w:eastAsia="zh-CN"/>
        </w:rPr>
        <w:t>五</w:t>
      </w:r>
      <w:r>
        <w:rPr>
          <w:rFonts w:hint="eastAsia" w:asciiTheme="minorEastAsia" w:hAnsiTheme="minorEastAsia" w:eastAsiaTheme="minorEastAsia" w:cstheme="minorEastAsia"/>
          <w:bCs/>
          <w:color w:val="auto"/>
          <w:sz w:val="22"/>
          <w:szCs w:val="20"/>
          <w:highlight w:val="none"/>
        </w:rPr>
        <w:t>节 定标</w:t>
      </w:r>
      <w:r>
        <w:rPr>
          <w:rFonts w:hint="eastAsia" w:asciiTheme="minorEastAsia" w:hAnsiTheme="minorEastAsia" w:eastAsiaTheme="minorEastAsia" w:cstheme="minorEastAsia"/>
          <w:bCs/>
          <w:color w:val="auto"/>
          <w:sz w:val="22"/>
          <w:szCs w:val="20"/>
          <w:highlight w:val="none"/>
          <w:lang w:eastAsia="zh-CN"/>
        </w:rPr>
        <w:t>规定</w:t>
      </w:r>
      <w:r>
        <w:rPr>
          <w:rFonts w:hint="eastAsia" w:asciiTheme="minorEastAsia" w:hAnsiTheme="minorEastAsia" w:eastAsiaTheme="minorEastAsia" w:cstheme="minorEastAsia"/>
          <w:bCs/>
          <w:color w:val="auto"/>
          <w:sz w:val="22"/>
          <w:szCs w:val="20"/>
          <w:highlight w:val="none"/>
          <w:lang w:val="en-US" w:eastAsia="zh-CN"/>
        </w:rPr>
        <w:t>及细则</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_Toc20490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38</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199E5E66">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_Toc13256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0"/>
          <w:highlight w:val="none"/>
        </w:rPr>
        <w:t>第</w:t>
      </w:r>
      <w:r>
        <w:rPr>
          <w:rFonts w:hint="eastAsia" w:asciiTheme="minorEastAsia" w:hAnsiTheme="minorEastAsia" w:eastAsiaTheme="minorEastAsia" w:cstheme="minorEastAsia"/>
          <w:bCs/>
          <w:color w:val="auto"/>
          <w:sz w:val="22"/>
          <w:szCs w:val="20"/>
          <w:highlight w:val="none"/>
          <w:lang w:val="en-US" w:eastAsia="zh-CN"/>
        </w:rPr>
        <w:t>六</w:t>
      </w:r>
      <w:r>
        <w:rPr>
          <w:rFonts w:hint="eastAsia" w:asciiTheme="minorEastAsia" w:hAnsiTheme="minorEastAsia" w:eastAsiaTheme="minorEastAsia" w:cstheme="minorEastAsia"/>
          <w:bCs/>
          <w:color w:val="auto"/>
          <w:sz w:val="22"/>
          <w:szCs w:val="20"/>
          <w:highlight w:val="none"/>
        </w:rPr>
        <w:t>节 中标确认</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_Toc13256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40</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793B54C0">
      <w:pPr>
        <w:pStyle w:val="17"/>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_Toc2131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44"/>
          <w:sz w:val="22"/>
          <w:szCs w:val="32"/>
          <w:highlight w:val="none"/>
        </w:rPr>
        <w:t>第二章 拟签订合同的主要条款</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_Toc2131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42</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59ADEAF3">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_Toc29775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1 工程承包方式</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_Toc29775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42</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6634A6B3">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_Toc30893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sz w:val="22"/>
          <w:szCs w:val="20"/>
          <w:highlight w:val="none"/>
        </w:rPr>
        <w:t>2 施工图工程量清单预算的编制原则</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_Toc30893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42</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31A9E0AE">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_Toc17167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3 工程结算原则</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_Toc17167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42</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3E119928">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_Toc3109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4 工程付款办法</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_Toc3109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45</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464A9716">
      <w:pPr>
        <w:pStyle w:val="17"/>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_Toc27678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44"/>
          <w:sz w:val="22"/>
          <w:szCs w:val="32"/>
          <w:highlight w:val="none"/>
        </w:rPr>
        <w:t>第三章 中标人须知</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_Toc27678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65</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60CE79E3">
      <w:pPr>
        <w:pStyle w:val="17"/>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_Toc16050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44"/>
          <w:sz w:val="22"/>
          <w:szCs w:val="32"/>
          <w:highlight w:val="none"/>
        </w:rPr>
        <w:t>第四章 投标人提交的其他材料</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_Toc16050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75</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31C423D8">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_Toc17133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0"/>
          <w:highlight w:val="none"/>
        </w:rPr>
        <w:t>1、 投标保证</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_Toc17133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75</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2A0526C8">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_Toc2057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0"/>
          <w:highlight w:val="none"/>
        </w:rPr>
        <w:t>2、 履约保证金</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_Toc2057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75</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6A619AE1">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_Toc12857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0"/>
          <w:highlight w:val="none"/>
        </w:rPr>
        <w:t>3、质量保证</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_Toc12857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76</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65CDE970">
      <w:pPr>
        <w:pStyle w:val="17"/>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_Toc14927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44"/>
          <w:sz w:val="22"/>
          <w:szCs w:val="32"/>
          <w:highlight w:val="none"/>
        </w:rPr>
        <w:t>第五章 招标工程的技术要求和前期文件</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_Toc14927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78</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73AF6620">
      <w:pPr>
        <w:pStyle w:val="11"/>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_Toc29833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snapToGrid w:val="0"/>
          <w:color w:val="auto"/>
          <w:sz w:val="22"/>
          <w:szCs w:val="20"/>
          <w:highlight w:val="none"/>
        </w:rPr>
        <w:t>1．工程设计标准规范</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_Toc29833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78</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5E4FC986">
      <w:pPr>
        <w:pStyle w:val="11"/>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_Toc23320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sz w:val="22"/>
          <w:szCs w:val="15"/>
          <w:highlight w:val="none"/>
        </w:rPr>
        <w:t>2.房屋建筑工程建设项目</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_Toc23320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78</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43CF93A3">
      <w:pPr>
        <w:pStyle w:val="11"/>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_Toc419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sz w:val="22"/>
          <w:szCs w:val="15"/>
          <w:highlight w:val="none"/>
        </w:rPr>
        <w:t>3.市政基础设施工程建设项目</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_Toc419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79</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5CA5AF8D">
      <w:pPr>
        <w:pStyle w:val="11"/>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_Toc29070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snapToGrid w:val="0"/>
          <w:color w:val="auto"/>
          <w:sz w:val="22"/>
          <w:szCs w:val="20"/>
          <w:highlight w:val="none"/>
          <w:lang w:val="en-US" w:eastAsia="zh-CN"/>
        </w:rPr>
        <w:t>4</w:t>
      </w:r>
      <w:r>
        <w:rPr>
          <w:rFonts w:hint="eastAsia" w:asciiTheme="minorEastAsia" w:hAnsiTheme="minorEastAsia" w:eastAsiaTheme="minorEastAsia" w:cstheme="minorEastAsia"/>
          <w:snapToGrid w:val="0"/>
          <w:color w:val="auto"/>
          <w:sz w:val="22"/>
          <w:szCs w:val="20"/>
          <w:highlight w:val="none"/>
        </w:rPr>
        <w:t>.备查要求</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_Toc29070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80</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57D77F66">
      <w:pPr>
        <w:pStyle w:val="17"/>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_Toc24730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44"/>
          <w:sz w:val="22"/>
          <w:szCs w:val="32"/>
          <w:highlight w:val="none"/>
        </w:rPr>
        <w:t>第六章  招标文件的附件</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_Toc24730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81</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3E9D20DB">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_Toc23231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snapToGrid w:val="0"/>
          <w:color w:val="auto"/>
          <w:sz w:val="22"/>
          <w:szCs w:val="22"/>
          <w:highlight w:val="none"/>
        </w:rPr>
        <w:t>格式一 封面</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_Toc23231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81</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034292A2">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_Toc19303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2"/>
          <w:highlight w:val="none"/>
        </w:rPr>
        <w:t>格式二 《投标函》及《工程项目总价表》</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_Toc19303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82</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7D03205F">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_Toc32091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sz w:val="22"/>
          <w:szCs w:val="22"/>
          <w:highlight w:val="none"/>
        </w:rPr>
        <w:t>格式三 各项</w:t>
      </w:r>
      <w:r>
        <w:rPr>
          <w:rFonts w:hint="eastAsia" w:asciiTheme="minorEastAsia" w:hAnsiTheme="minorEastAsia" w:eastAsiaTheme="minorEastAsia" w:cstheme="minorEastAsia"/>
          <w:bCs/>
          <w:color w:val="auto"/>
          <w:sz w:val="22"/>
          <w:szCs w:val="22"/>
          <w:highlight w:val="none"/>
        </w:rPr>
        <w:t>承诺</w:t>
      </w:r>
      <w:r>
        <w:rPr>
          <w:rFonts w:hint="eastAsia" w:asciiTheme="minorEastAsia" w:hAnsiTheme="minorEastAsia" w:eastAsiaTheme="minorEastAsia" w:cstheme="minorEastAsia"/>
          <w:color w:val="auto"/>
          <w:sz w:val="22"/>
          <w:szCs w:val="22"/>
          <w:highlight w:val="none"/>
        </w:rPr>
        <w:t>一览表</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_Toc32091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84</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57E4D5EA">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_Toc14377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2"/>
          <w:highlight w:val="none"/>
        </w:rPr>
        <w:t>格式四 授权委托书</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_Toc14377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89</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26D902B5">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_Toc16495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2"/>
          <w:highlight w:val="none"/>
        </w:rPr>
        <w:t>格式五 法定代表人身份证明</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_Toc16495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90</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4F1AFE78">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_Toc15742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2"/>
          <w:highlight w:val="none"/>
        </w:rPr>
        <w:t>格式六 联合体协议书</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_Toc15742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91</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372A1399">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_Toc1243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2"/>
          <w:highlight w:val="none"/>
        </w:rPr>
        <w:t>格式七 投标人基本情况表</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_Toc1243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93</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13EE1050">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_Toc12951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2"/>
          <w:highlight w:val="none"/>
        </w:rPr>
        <w:t>格式八 项目经理简历表</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_Toc12951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94</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01DF74B8">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_Toc8086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2"/>
          <w:highlight w:val="none"/>
        </w:rPr>
        <w:t>格式九 项目经理任职声明</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_Toc8086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95</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3495615D">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_Toc12530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2"/>
          <w:highlight w:val="none"/>
        </w:rPr>
        <w:t>格式十 项目技术负责人简历表</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_Toc12530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96</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7FA6DEAD">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_Toc768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0"/>
          <w:highlight w:val="none"/>
        </w:rPr>
        <w:t>格式十一 项目设计负责人负责人简历表</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_Toc768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97</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3523CCB0">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_Toc3297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snapToGrid w:val="0"/>
          <w:color w:val="auto"/>
          <w:sz w:val="22"/>
          <w:szCs w:val="20"/>
          <w:highlight w:val="none"/>
        </w:rPr>
        <w:t>格式十二 项目管理机构组成表</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_Toc3297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98</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07BED702">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_Toc30671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2"/>
          <w:highlight w:val="none"/>
        </w:rPr>
        <w:t>格式十三 原件一览表</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_Toc30671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99</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296A98F8">
      <w:pPr>
        <w:pStyle w:val="17"/>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_Toc17220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44"/>
          <w:sz w:val="22"/>
          <w:szCs w:val="28"/>
          <w:highlight w:val="none"/>
        </w:rPr>
        <w:t>第七章  廉政合同、履约保函、预付款保函、支付保函</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_Toc17220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101</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3DCBC21F">
      <w:pPr>
        <w:pStyle w:val="11"/>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_Toc2651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8"/>
          <w:highlight w:val="none"/>
        </w:rPr>
        <w:t>廉政合同</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_Toc2651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101</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3B891635">
      <w:pPr>
        <w:pStyle w:val="11"/>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_Toc3619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8"/>
          <w:highlight w:val="none"/>
        </w:rPr>
        <w:t>履约保函</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_Toc3619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103</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297A1248">
      <w:pPr>
        <w:pStyle w:val="11"/>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_Toc14165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8"/>
          <w:highlight w:val="none"/>
        </w:rPr>
        <w:t>预付款保函</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_Toc14165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105</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4D4EEB92">
      <w:pPr>
        <w:pStyle w:val="11"/>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_Toc7948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8"/>
          <w:highlight w:val="none"/>
        </w:rPr>
        <w:t>支付保函</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_Toc7948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107</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480F8CCF">
      <w:pPr>
        <w:pStyle w:val="17"/>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_Toc31537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44"/>
          <w:sz w:val="22"/>
          <w:szCs w:val="32"/>
          <w:highlight w:val="none"/>
        </w:rPr>
        <w:t>第八章  建设工程合同</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_Toc31537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109</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7814D102">
      <w:pPr>
        <w:pStyle w:val="17"/>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color w:val="auto"/>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_Toc13659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44"/>
          <w:sz w:val="22"/>
          <w:szCs w:val="32"/>
          <w:highlight w:val="none"/>
          <w:lang w:val="en-US" w:eastAsia="zh-CN"/>
        </w:rPr>
        <w:t>第九章 设计任务书</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_Toc13659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110</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138EE198">
      <w:pPr>
        <w:pStyle w:val="42"/>
        <w:tabs>
          <w:tab w:val="left" w:pos="4935"/>
        </w:tabs>
        <w:jc w:val="center"/>
        <w:rPr>
          <w:rFonts w:asciiTheme="minorEastAsia" w:hAnsiTheme="minorEastAsia" w:eastAsiaTheme="minorEastAsia" w:cstheme="minorEastAsia"/>
          <w:color w:val="auto"/>
          <w:szCs w:val="21"/>
          <w:highlight w:val="none"/>
        </w:rPr>
        <w:sectPr>
          <w:footerReference r:id="rId3" w:type="default"/>
          <w:endnotePr>
            <w:numFmt w:val="decimal"/>
          </w:endnotePr>
          <w:pgSz w:w="11906" w:h="16838"/>
          <w:pgMar w:top="1440" w:right="1080" w:bottom="1440" w:left="1080" w:header="851" w:footer="992" w:gutter="0"/>
          <w:pgNumType w:start="1"/>
          <w:cols w:space="720" w:num="1"/>
          <w:docGrid w:type="lines" w:linePitch="312" w:charSpace="0"/>
        </w:sectPr>
      </w:pPr>
      <w:r>
        <w:rPr>
          <w:rFonts w:hint="eastAsia" w:asciiTheme="minorEastAsia" w:hAnsiTheme="minorEastAsia" w:eastAsiaTheme="minorEastAsia" w:cstheme="minorEastAsia"/>
          <w:color w:val="auto"/>
          <w:szCs w:val="21"/>
          <w:highlight w:val="none"/>
        </w:rPr>
        <w:fldChar w:fldCharType="end"/>
      </w:r>
    </w:p>
    <w:p w14:paraId="397A30D8">
      <w:pPr>
        <w:pStyle w:val="43"/>
        <w:keepNext/>
        <w:keepLines/>
        <w:jc w:val="center"/>
        <w:rPr>
          <w:rFonts w:asciiTheme="minorEastAsia" w:hAnsiTheme="minorEastAsia" w:eastAsiaTheme="minorEastAsia" w:cstheme="minorEastAsia"/>
          <w:b/>
          <w:color w:val="auto"/>
          <w:kern w:val="44"/>
          <w:sz w:val="36"/>
          <w:szCs w:val="36"/>
          <w:highlight w:val="none"/>
        </w:rPr>
      </w:pPr>
      <w:bookmarkStart w:id="2" w:name="_Toc11631"/>
      <w:bookmarkStart w:id="3" w:name="_Hlt111690251"/>
      <w:r>
        <w:rPr>
          <w:rFonts w:hint="eastAsia" w:asciiTheme="minorEastAsia" w:hAnsiTheme="minorEastAsia" w:eastAsiaTheme="minorEastAsia" w:cstheme="minorEastAsia"/>
          <w:b/>
          <w:color w:val="auto"/>
          <w:kern w:val="44"/>
          <w:sz w:val="36"/>
          <w:szCs w:val="36"/>
          <w:highlight w:val="none"/>
        </w:rPr>
        <w:t>第一章投标须知</w:t>
      </w:r>
      <w:bookmarkEnd w:id="2"/>
    </w:p>
    <w:p w14:paraId="1783681C">
      <w:pPr>
        <w:pStyle w:val="44"/>
        <w:keepNext/>
        <w:keepLines/>
        <w:autoSpaceDE/>
        <w:autoSpaceDN/>
        <w:adjustRightInd/>
        <w:spacing w:line="360" w:lineRule="exact"/>
        <w:ind w:firstLine="482" w:firstLineChars="200"/>
        <w:jc w:val="center"/>
        <w:rPr>
          <w:rFonts w:asciiTheme="minorEastAsia" w:hAnsiTheme="minorEastAsia" w:eastAsiaTheme="minorEastAsia" w:cstheme="minorEastAsia"/>
          <w:b/>
          <w:color w:val="auto"/>
          <w:kern w:val="2"/>
          <w:highlight w:val="none"/>
        </w:rPr>
      </w:pPr>
      <w:bookmarkStart w:id="4" w:name="_Hlt127175444"/>
      <w:bookmarkEnd w:id="4"/>
      <w:bookmarkStart w:id="5" w:name="_Toc7938"/>
      <w:bookmarkStart w:id="6" w:name="_Hlt120077520"/>
      <w:r>
        <w:rPr>
          <w:rFonts w:hint="eastAsia" w:asciiTheme="minorEastAsia" w:hAnsiTheme="minorEastAsia" w:eastAsiaTheme="minorEastAsia" w:cstheme="minorEastAsia"/>
          <w:b/>
          <w:color w:val="auto"/>
          <w:kern w:val="2"/>
          <w:highlight w:val="none"/>
        </w:rPr>
        <w:t>第一节</w:t>
      </w:r>
      <w:r>
        <w:rPr>
          <w:rFonts w:hint="eastAsia" w:asciiTheme="minorEastAsia" w:hAnsiTheme="minorEastAsia" w:eastAsiaTheme="minorEastAsia" w:cstheme="minorEastAsia"/>
          <w:b/>
          <w:color w:val="auto"/>
          <w:kern w:val="2"/>
          <w:highlight w:val="none"/>
          <w:lang w:val="en-US" w:eastAsia="zh-CN"/>
        </w:rPr>
        <w:t xml:space="preserve">   </w:t>
      </w:r>
      <w:r>
        <w:rPr>
          <w:rFonts w:hint="eastAsia" w:asciiTheme="minorEastAsia" w:hAnsiTheme="minorEastAsia" w:eastAsiaTheme="minorEastAsia" w:cstheme="minorEastAsia"/>
          <w:b/>
          <w:color w:val="auto"/>
          <w:kern w:val="2"/>
          <w:highlight w:val="none"/>
        </w:rPr>
        <w:t>投标须知前附表</w:t>
      </w:r>
      <w:bookmarkEnd w:id="5"/>
    </w:p>
    <w:tbl>
      <w:tblPr>
        <w:tblStyle w:val="24"/>
        <w:tblW w:w="1031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810"/>
        <w:gridCol w:w="1612"/>
        <w:gridCol w:w="7889"/>
      </w:tblGrid>
      <w:tr w14:paraId="71344B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4"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4D2D3818">
            <w:pPr>
              <w:bidi w:val="0"/>
              <w:jc w:val="center"/>
              <w:rPr>
                <w:rFonts w:hint="eastAsia" w:asciiTheme="minorEastAsia" w:hAnsiTheme="minorEastAsia" w:eastAsiaTheme="minorEastAsia" w:cstheme="minorEastAsia"/>
                <w:b/>
                <w:bCs/>
                <w:color w:val="auto"/>
                <w:sz w:val="21"/>
                <w:szCs w:val="16"/>
                <w:highlight w:val="none"/>
              </w:rPr>
            </w:pPr>
            <w:r>
              <w:rPr>
                <w:rFonts w:hint="eastAsia" w:asciiTheme="minorEastAsia" w:hAnsiTheme="minorEastAsia" w:eastAsiaTheme="minorEastAsia" w:cstheme="minorEastAsia"/>
                <w:b/>
                <w:bCs/>
                <w:color w:val="auto"/>
                <w:sz w:val="21"/>
                <w:szCs w:val="16"/>
                <w:highlight w:val="none"/>
              </w:rPr>
              <w:t>序号</w:t>
            </w:r>
          </w:p>
        </w:tc>
        <w:tc>
          <w:tcPr>
            <w:tcW w:w="1612" w:type="dxa"/>
            <w:tcBorders>
              <w:top w:val="single" w:color="auto" w:sz="4" w:space="0"/>
              <w:left w:val="single" w:color="auto" w:sz="4" w:space="0"/>
              <w:bottom w:val="single" w:color="auto" w:sz="4" w:space="0"/>
              <w:right w:val="single" w:color="auto" w:sz="4" w:space="0"/>
            </w:tcBorders>
            <w:noWrap/>
            <w:vAlign w:val="center"/>
          </w:tcPr>
          <w:p w14:paraId="3D7C750B">
            <w:pPr>
              <w:bidi w:val="0"/>
              <w:jc w:val="center"/>
              <w:rPr>
                <w:rFonts w:hint="eastAsia" w:asciiTheme="minorEastAsia" w:hAnsiTheme="minorEastAsia" w:eastAsiaTheme="minorEastAsia" w:cstheme="minorEastAsia"/>
                <w:b/>
                <w:bCs/>
                <w:color w:val="auto"/>
                <w:sz w:val="21"/>
                <w:szCs w:val="16"/>
                <w:highlight w:val="none"/>
              </w:rPr>
            </w:pPr>
            <w:r>
              <w:rPr>
                <w:rFonts w:hint="eastAsia" w:asciiTheme="minorEastAsia" w:hAnsiTheme="minorEastAsia" w:eastAsiaTheme="minorEastAsia" w:cstheme="minorEastAsia"/>
                <w:b/>
                <w:bCs/>
                <w:color w:val="auto"/>
                <w:sz w:val="21"/>
                <w:szCs w:val="16"/>
                <w:highlight w:val="none"/>
              </w:rPr>
              <w:t>内容</w:t>
            </w:r>
          </w:p>
        </w:tc>
        <w:tc>
          <w:tcPr>
            <w:tcW w:w="7889" w:type="dxa"/>
            <w:tcBorders>
              <w:top w:val="single" w:color="auto" w:sz="4" w:space="0"/>
              <w:left w:val="single" w:color="auto" w:sz="4" w:space="0"/>
              <w:bottom w:val="single" w:color="auto" w:sz="4" w:space="0"/>
              <w:right w:val="single" w:color="auto" w:sz="4" w:space="0"/>
            </w:tcBorders>
            <w:noWrap/>
            <w:vAlign w:val="center"/>
          </w:tcPr>
          <w:p w14:paraId="2AE7E813">
            <w:pPr>
              <w:bidi w:val="0"/>
              <w:jc w:val="center"/>
              <w:rPr>
                <w:rFonts w:hint="eastAsia" w:asciiTheme="minorEastAsia" w:hAnsiTheme="minorEastAsia" w:eastAsiaTheme="minorEastAsia" w:cstheme="minorEastAsia"/>
                <w:b/>
                <w:bCs/>
                <w:color w:val="auto"/>
                <w:sz w:val="21"/>
                <w:szCs w:val="16"/>
                <w:highlight w:val="none"/>
              </w:rPr>
            </w:pPr>
            <w:r>
              <w:rPr>
                <w:rFonts w:hint="eastAsia" w:asciiTheme="minorEastAsia" w:hAnsiTheme="minorEastAsia" w:eastAsiaTheme="minorEastAsia" w:cstheme="minorEastAsia"/>
                <w:b/>
                <w:bCs/>
                <w:color w:val="auto"/>
                <w:sz w:val="21"/>
                <w:szCs w:val="16"/>
                <w:highlight w:val="none"/>
              </w:rPr>
              <w:t>说明与要求</w:t>
            </w:r>
          </w:p>
        </w:tc>
      </w:tr>
      <w:tr w14:paraId="3C211E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9"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5BCC585B">
            <w:pPr>
              <w:pStyle w:val="42"/>
              <w:jc w:val="center"/>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1612" w:type="dxa"/>
            <w:tcBorders>
              <w:top w:val="single" w:color="auto" w:sz="4" w:space="0"/>
              <w:left w:val="single" w:color="auto" w:sz="4" w:space="0"/>
              <w:bottom w:val="single" w:color="auto" w:sz="4" w:space="0"/>
              <w:right w:val="single" w:color="auto" w:sz="4" w:space="0"/>
            </w:tcBorders>
            <w:noWrap/>
            <w:vAlign w:val="center"/>
          </w:tcPr>
          <w:p w14:paraId="3B9B6517">
            <w:pPr>
              <w:bidi w:val="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项目名称</w:t>
            </w:r>
          </w:p>
        </w:tc>
        <w:tc>
          <w:tcPr>
            <w:tcW w:w="7889" w:type="dxa"/>
            <w:tcBorders>
              <w:top w:val="single" w:color="auto" w:sz="4" w:space="0"/>
              <w:left w:val="single" w:color="auto" w:sz="4" w:space="0"/>
              <w:bottom w:val="single" w:color="auto" w:sz="4" w:space="0"/>
              <w:right w:val="single" w:color="auto" w:sz="4" w:space="0"/>
            </w:tcBorders>
            <w:noWrap/>
            <w:vAlign w:val="top"/>
          </w:tcPr>
          <w:p w14:paraId="282C12FD">
            <w:pPr>
              <w:bidi w:val="0"/>
              <w:spacing w:line="360" w:lineRule="auto"/>
              <w:ind w:firstLine="210" w:firstLineChars="1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南雄市“银杏染秋”乡村振兴示范带建设项目-黄坑镇典型村建设项目设计、施工总承包</w:t>
            </w:r>
          </w:p>
        </w:tc>
      </w:tr>
      <w:tr w14:paraId="09E2D3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08C0E07F">
            <w:pPr>
              <w:pStyle w:val="42"/>
              <w:jc w:val="center"/>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tc>
        <w:tc>
          <w:tcPr>
            <w:tcW w:w="1612" w:type="dxa"/>
            <w:tcBorders>
              <w:top w:val="single" w:color="auto" w:sz="4" w:space="0"/>
              <w:left w:val="single" w:color="auto" w:sz="4" w:space="0"/>
              <w:bottom w:val="single" w:color="auto" w:sz="4" w:space="0"/>
              <w:right w:val="single" w:color="auto" w:sz="4" w:space="0"/>
            </w:tcBorders>
            <w:noWrap/>
            <w:vAlign w:val="center"/>
          </w:tcPr>
          <w:p w14:paraId="26378EBE">
            <w:pPr>
              <w:bidi w:val="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项目业主</w:t>
            </w:r>
          </w:p>
        </w:tc>
        <w:tc>
          <w:tcPr>
            <w:tcW w:w="7889" w:type="dxa"/>
            <w:tcBorders>
              <w:top w:val="single" w:color="auto" w:sz="4" w:space="0"/>
              <w:left w:val="single" w:color="auto" w:sz="4" w:space="0"/>
              <w:bottom w:val="single" w:color="auto" w:sz="4" w:space="0"/>
              <w:right w:val="single" w:color="auto" w:sz="4" w:space="0"/>
            </w:tcBorders>
            <w:noWrap/>
            <w:vAlign w:val="center"/>
          </w:tcPr>
          <w:p w14:paraId="7844BFD5">
            <w:pPr>
              <w:bidi w:val="0"/>
              <w:ind w:firstLine="210" w:firstLineChars="1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南雄市黄坑镇人民政府</w:t>
            </w:r>
          </w:p>
        </w:tc>
      </w:tr>
      <w:tr w14:paraId="595B5C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0CA246CB">
            <w:pPr>
              <w:wordWrap w:val="0"/>
              <w:adjustRightInd w:val="0"/>
              <w:snapToGrid w:val="0"/>
              <w:spacing w:line="360" w:lineRule="auto"/>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snapToGrid w:val="0"/>
                <w:color w:val="auto"/>
                <w:kern w:val="0"/>
                <w:sz w:val="21"/>
                <w:szCs w:val="21"/>
                <w:highlight w:val="none"/>
              </w:rPr>
              <w:t>3</w:t>
            </w:r>
          </w:p>
        </w:tc>
        <w:tc>
          <w:tcPr>
            <w:tcW w:w="1612" w:type="dxa"/>
            <w:tcBorders>
              <w:top w:val="single" w:color="auto" w:sz="4" w:space="0"/>
              <w:left w:val="single" w:color="auto" w:sz="4" w:space="0"/>
              <w:bottom w:val="single" w:color="auto" w:sz="4" w:space="0"/>
              <w:right w:val="single" w:color="auto" w:sz="4" w:space="0"/>
            </w:tcBorders>
            <w:noWrap/>
            <w:vAlign w:val="center"/>
          </w:tcPr>
          <w:p w14:paraId="3E413B1B">
            <w:pPr>
              <w:bidi w:val="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项目批准部门</w:t>
            </w:r>
          </w:p>
        </w:tc>
        <w:tc>
          <w:tcPr>
            <w:tcW w:w="7889" w:type="dxa"/>
            <w:tcBorders>
              <w:top w:val="single" w:color="auto" w:sz="4" w:space="0"/>
              <w:left w:val="single" w:color="auto" w:sz="4" w:space="0"/>
              <w:bottom w:val="single" w:color="auto" w:sz="4" w:space="0"/>
              <w:right w:val="single" w:color="auto" w:sz="4" w:space="0"/>
            </w:tcBorders>
            <w:noWrap/>
            <w:vAlign w:val="center"/>
          </w:tcPr>
          <w:p w14:paraId="1C5712D7">
            <w:pPr>
              <w:bidi w:val="0"/>
              <w:ind w:firstLine="210" w:firstLineChars="1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南雄市发展和改革局</w:t>
            </w:r>
          </w:p>
        </w:tc>
      </w:tr>
      <w:tr w14:paraId="375476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41B82C02">
            <w:pPr>
              <w:wordWrap w:val="0"/>
              <w:adjustRightInd w:val="0"/>
              <w:snapToGrid w:val="0"/>
              <w:spacing w:line="360" w:lineRule="auto"/>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4</w:t>
            </w:r>
          </w:p>
        </w:tc>
        <w:tc>
          <w:tcPr>
            <w:tcW w:w="1612" w:type="dxa"/>
            <w:tcBorders>
              <w:top w:val="single" w:color="auto" w:sz="4" w:space="0"/>
              <w:left w:val="single" w:color="auto" w:sz="4" w:space="0"/>
              <w:bottom w:val="single" w:color="auto" w:sz="4" w:space="0"/>
              <w:right w:val="single" w:color="auto" w:sz="4" w:space="0"/>
            </w:tcBorders>
            <w:noWrap/>
            <w:vAlign w:val="center"/>
          </w:tcPr>
          <w:p w14:paraId="42A2954F">
            <w:pPr>
              <w:bidi w:val="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项目批准文号</w:t>
            </w:r>
          </w:p>
        </w:tc>
        <w:tc>
          <w:tcPr>
            <w:tcW w:w="7889" w:type="dxa"/>
            <w:tcBorders>
              <w:top w:val="single" w:color="auto" w:sz="4" w:space="0"/>
              <w:left w:val="single" w:color="auto" w:sz="4" w:space="0"/>
              <w:bottom w:val="single" w:color="auto" w:sz="4" w:space="0"/>
              <w:right w:val="single" w:color="auto" w:sz="4" w:space="0"/>
            </w:tcBorders>
            <w:noWrap/>
            <w:vAlign w:val="center"/>
          </w:tcPr>
          <w:p w14:paraId="407E08E1">
            <w:pPr>
              <w:bidi w:val="0"/>
              <w:ind w:firstLine="210" w:firstLineChars="1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雄发改投审[2024]106号、雄发改投审[2026]95号</w:t>
            </w:r>
          </w:p>
        </w:tc>
      </w:tr>
      <w:tr w14:paraId="59C8C5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1B441A0A">
            <w:pPr>
              <w:wordWrap w:val="0"/>
              <w:adjustRightInd w:val="0"/>
              <w:snapToGrid w:val="0"/>
              <w:spacing w:line="360" w:lineRule="auto"/>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5</w:t>
            </w:r>
          </w:p>
        </w:tc>
        <w:tc>
          <w:tcPr>
            <w:tcW w:w="1612" w:type="dxa"/>
            <w:tcBorders>
              <w:top w:val="single" w:color="auto" w:sz="4" w:space="0"/>
              <w:left w:val="single" w:color="auto" w:sz="4" w:space="0"/>
              <w:bottom w:val="single" w:color="auto" w:sz="4" w:space="0"/>
              <w:right w:val="single" w:color="auto" w:sz="4" w:space="0"/>
            </w:tcBorders>
            <w:noWrap/>
            <w:vAlign w:val="center"/>
          </w:tcPr>
          <w:p w14:paraId="279B6608">
            <w:pPr>
              <w:bidi w:val="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项目代码</w:t>
            </w:r>
          </w:p>
        </w:tc>
        <w:tc>
          <w:tcPr>
            <w:tcW w:w="7889" w:type="dxa"/>
            <w:tcBorders>
              <w:top w:val="single" w:color="auto" w:sz="4" w:space="0"/>
              <w:left w:val="single" w:color="auto" w:sz="4" w:space="0"/>
              <w:bottom w:val="single" w:color="auto" w:sz="4" w:space="0"/>
              <w:right w:val="single" w:color="auto" w:sz="4" w:space="0"/>
            </w:tcBorders>
            <w:noWrap/>
            <w:vAlign w:val="center"/>
          </w:tcPr>
          <w:p w14:paraId="44596F5B">
            <w:pPr>
              <w:bidi w:val="0"/>
              <w:ind w:firstLine="210" w:firstLineChars="1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2407-440282-20-01-288869</w:t>
            </w:r>
          </w:p>
        </w:tc>
      </w:tr>
      <w:tr w14:paraId="12C1E4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1BFE0E02">
            <w:pPr>
              <w:wordWrap w:val="0"/>
              <w:adjustRightInd w:val="0"/>
              <w:snapToGrid w:val="0"/>
              <w:spacing w:line="360" w:lineRule="auto"/>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6</w:t>
            </w:r>
          </w:p>
        </w:tc>
        <w:tc>
          <w:tcPr>
            <w:tcW w:w="1612" w:type="dxa"/>
            <w:tcBorders>
              <w:top w:val="single" w:color="auto" w:sz="4" w:space="0"/>
              <w:left w:val="single" w:color="auto" w:sz="4" w:space="0"/>
              <w:bottom w:val="single" w:color="auto" w:sz="4" w:space="0"/>
              <w:right w:val="single" w:color="auto" w:sz="4" w:space="0"/>
            </w:tcBorders>
            <w:noWrap/>
            <w:vAlign w:val="center"/>
          </w:tcPr>
          <w:p w14:paraId="109F8C4F">
            <w:pPr>
              <w:bidi w:val="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资金来源</w:t>
            </w:r>
          </w:p>
          <w:p w14:paraId="50B623FA">
            <w:pPr>
              <w:bidi w:val="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及出资比例</w:t>
            </w:r>
          </w:p>
        </w:tc>
        <w:tc>
          <w:tcPr>
            <w:tcW w:w="7889" w:type="dxa"/>
            <w:tcBorders>
              <w:top w:val="single" w:color="auto" w:sz="4" w:space="0"/>
              <w:left w:val="single" w:color="auto" w:sz="4" w:space="0"/>
              <w:bottom w:val="single" w:color="auto" w:sz="4" w:space="0"/>
              <w:right w:val="single" w:color="auto" w:sz="4" w:space="0"/>
            </w:tcBorders>
            <w:noWrap/>
            <w:vAlign w:val="center"/>
          </w:tcPr>
          <w:p w14:paraId="0B211B49">
            <w:pPr>
              <w:bidi w:val="0"/>
              <w:ind w:firstLine="210" w:firstLineChars="1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上级财政资金，100%</w:t>
            </w:r>
          </w:p>
        </w:tc>
      </w:tr>
      <w:tr w14:paraId="516D7B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1B0A6A4C">
            <w:pPr>
              <w:pStyle w:val="42"/>
              <w:jc w:val="center"/>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w:t>
            </w:r>
          </w:p>
        </w:tc>
        <w:tc>
          <w:tcPr>
            <w:tcW w:w="1612" w:type="dxa"/>
            <w:tcBorders>
              <w:top w:val="single" w:color="auto" w:sz="4" w:space="0"/>
              <w:left w:val="single" w:color="auto" w:sz="4" w:space="0"/>
              <w:bottom w:val="single" w:color="auto" w:sz="4" w:space="0"/>
              <w:right w:val="single" w:color="auto" w:sz="4" w:space="0"/>
            </w:tcBorders>
            <w:noWrap/>
            <w:vAlign w:val="center"/>
          </w:tcPr>
          <w:p w14:paraId="3FF048EA">
            <w:pPr>
              <w:bidi w:val="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招标人</w:t>
            </w:r>
          </w:p>
        </w:tc>
        <w:tc>
          <w:tcPr>
            <w:tcW w:w="7889" w:type="dxa"/>
            <w:tcBorders>
              <w:top w:val="single" w:color="auto" w:sz="4" w:space="0"/>
              <w:left w:val="single" w:color="auto" w:sz="4" w:space="0"/>
              <w:bottom w:val="single" w:color="auto" w:sz="4" w:space="0"/>
              <w:right w:val="single" w:color="auto" w:sz="4" w:space="0"/>
            </w:tcBorders>
            <w:noWrap/>
            <w:vAlign w:val="center"/>
          </w:tcPr>
          <w:p w14:paraId="59D9476D">
            <w:pPr>
              <w:bidi w:val="0"/>
              <w:ind w:firstLine="210" w:firstLineChars="1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南雄市黄坑镇人民政府</w:t>
            </w:r>
          </w:p>
        </w:tc>
      </w:tr>
      <w:tr w14:paraId="3B6169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68"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29B05D3F">
            <w:pPr>
              <w:wordWrap w:val="0"/>
              <w:adjustRightInd w:val="0"/>
              <w:snapToGrid w:val="0"/>
              <w:spacing w:line="360" w:lineRule="auto"/>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snapToGrid w:val="0"/>
                <w:color w:val="auto"/>
                <w:kern w:val="0"/>
                <w:sz w:val="21"/>
                <w:szCs w:val="21"/>
                <w:highlight w:val="none"/>
              </w:rPr>
              <w:t>8</w:t>
            </w:r>
          </w:p>
        </w:tc>
        <w:tc>
          <w:tcPr>
            <w:tcW w:w="1612" w:type="dxa"/>
            <w:tcBorders>
              <w:top w:val="single" w:color="auto" w:sz="4" w:space="0"/>
              <w:left w:val="single" w:color="auto" w:sz="4" w:space="0"/>
              <w:bottom w:val="single" w:color="auto" w:sz="4" w:space="0"/>
              <w:right w:val="single" w:color="auto" w:sz="4" w:space="0"/>
            </w:tcBorders>
            <w:noWrap/>
            <w:vAlign w:val="center"/>
          </w:tcPr>
          <w:p w14:paraId="1C75AE83">
            <w:pPr>
              <w:bidi w:val="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招标代理机构</w:t>
            </w:r>
          </w:p>
        </w:tc>
        <w:tc>
          <w:tcPr>
            <w:tcW w:w="7889" w:type="dxa"/>
            <w:tcBorders>
              <w:top w:val="single" w:color="auto" w:sz="4" w:space="0"/>
              <w:left w:val="single" w:color="auto" w:sz="4" w:space="0"/>
              <w:bottom w:val="single" w:color="auto" w:sz="4" w:space="0"/>
              <w:right w:val="single" w:color="auto" w:sz="4" w:space="0"/>
            </w:tcBorders>
            <w:noWrap/>
            <w:vAlign w:val="center"/>
          </w:tcPr>
          <w:p w14:paraId="3F7ED043">
            <w:pPr>
              <w:bidi w:val="0"/>
              <w:ind w:firstLine="210" w:firstLineChars="100"/>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韶关市繁盛项目管理有限公司</w:t>
            </w:r>
          </w:p>
        </w:tc>
      </w:tr>
      <w:tr w14:paraId="705106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00"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388C353A">
            <w:pPr>
              <w:pStyle w:val="42"/>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color w:val="auto"/>
                <w:sz w:val="21"/>
                <w:szCs w:val="21"/>
                <w:highlight w:val="none"/>
              </w:rPr>
              <w:t>9</w:t>
            </w:r>
          </w:p>
        </w:tc>
        <w:tc>
          <w:tcPr>
            <w:tcW w:w="1612" w:type="dxa"/>
            <w:tcBorders>
              <w:top w:val="single" w:color="auto" w:sz="4" w:space="0"/>
              <w:left w:val="single" w:color="auto" w:sz="4" w:space="0"/>
              <w:bottom w:val="single" w:color="auto" w:sz="4" w:space="0"/>
              <w:right w:val="single" w:color="auto" w:sz="4" w:space="0"/>
            </w:tcBorders>
            <w:noWrap/>
            <w:vAlign w:val="center"/>
          </w:tcPr>
          <w:p w14:paraId="2D1BFE02">
            <w:pPr>
              <w:bidi w:val="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项目总投资</w:t>
            </w:r>
          </w:p>
        </w:tc>
        <w:tc>
          <w:tcPr>
            <w:tcW w:w="7889" w:type="dxa"/>
            <w:tcBorders>
              <w:top w:val="single" w:color="auto" w:sz="4" w:space="0"/>
              <w:left w:val="single" w:color="auto" w:sz="4" w:space="0"/>
              <w:bottom w:val="single" w:color="auto" w:sz="4" w:space="0"/>
              <w:right w:val="single" w:color="auto" w:sz="4" w:space="0"/>
            </w:tcBorders>
            <w:noWrap/>
            <w:vAlign w:val="center"/>
          </w:tcPr>
          <w:p w14:paraId="218D0823">
            <w:pPr>
              <w:bidi w:val="0"/>
              <w:spacing w:line="360" w:lineRule="auto"/>
              <w:ind w:firstLine="210" w:firstLineChars="100"/>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eastAsia="zh-CN"/>
              </w:rPr>
              <w:t>项目总概算约366.58万元，其中工程建安费约302.86万元，工程建设其他费约46.27万元，预备费约17.46万元，</w:t>
            </w:r>
            <w:r>
              <w:rPr>
                <w:rFonts w:hint="eastAsia" w:asciiTheme="minorEastAsia" w:hAnsiTheme="minorEastAsia" w:eastAsiaTheme="minorEastAsia" w:cstheme="minorEastAsia"/>
                <w:color w:val="auto"/>
                <w:sz w:val="21"/>
                <w:szCs w:val="21"/>
                <w:highlight w:val="none"/>
                <w:lang w:val="en-US" w:eastAsia="zh-CN"/>
              </w:rPr>
              <w:t>其中设计费约为8.21万元。</w:t>
            </w:r>
          </w:p>
        </w:tc>
      </w:tr>
      <w:tr w14:paraId="4D0902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50"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7C9AA333">
            <w:pPr>
              <w:pStyle w:val="42"/>
              <w:jc w:val="center"/>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10</w:t>
            </w:r>
          </w:p>
        </w:tc>
        <w:tc>
          <w:tcPr>
            <w:tcW w:w="1612" w:type="dxa"/>
            <w:tcBorders>
              <w:top w:val="single" w:color="auto" w:sz="4" w:space="0"/>
              <w:left w:val="single" w:color="auto" w:sz="4" w:space="0"/>
              <w:bottom w:val="single" w:color="auto" w:sz="4" w:space="0"/>
              <w:right w:val="single" w:color="auto" w:sz="4" w:space="0"/>
            </w:tcBorders>
            <w:noWrap/>
            <w:vAlign w:val="center"/>
          </w:tcPr>
          <w:p w14:paraId="5BEA67CC">
            <w:pPr>
              <w:bidi w:val="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建设地点</w:t>
            </w:r>
          </w:p>
        </w:tc>
        <w:tc>
          <w:tcPr>
            <w:tcW w:w="7889" w:type="dxa"/>
            <w:tcBorders>
              <w:top w:val="single" w:color="auto" w:sz="4" w:space="0"/>
              <w:left w:val="single" w:color="auto" w:sz="4" w:space="0"/>
              <w:bottom w:val="single" w:color="auto" w:sz="4" w:space="0"/>
              <w:right w:val="single" w:color="auto" w:sz="4" w:space="0"/>
            </w:tcBorders>
            <w:noWrap/>
            <w:vAlign w:val="center"/>
          </w:tcPr>
          <w:p w14:paraId="0FF5AA3A">
            <w:pPr>
              <w:bidi w:val="0"/>
              <w:ind w:firstLine="210" w:firstLineChars="1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南雄市黄坑镇</w:t>
            </w:r>
            <w:r>
              <w:rPr>
                <w:rFonts w:hint="eastAsia" w:asciiTheme="minorEastAsia" w:hAnsiTheme="minorEastAsia" w:eastAsiaTheme="minorEastAsia" w:cstheme="minorEastAsia"/>
                <w:color w:val="auto"/>
                <w:sz w:val="21"/>
                <w:szCs w:val="21"/>
                <w:highlight w:val="none"/>
                <w:lang w:val="en-US" w:eastAsia="zh-CN"/>
              </w:rPr>
              <w:t>上象村</w:t>
            </w:r>
          </w:p>
        </w:tc>
      </w:tr>
      <w:tr w14:paraId="045EB6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931"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681B292F">
            <w:pPr>
              <w:pStyle w:val="42"/>
              <w:jc w:val="center"/>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w:t>
            </w:r>
          </w:p>
        </w:tc>
        <w:tc>
          <w:tcPr>
            <w:tcW w:w="1612" w:type="dxa"/>
            <w:tcBorders>
              <w:top w:val="single" w:color="auto" w:sz="4" w:space="0"/>
              <w:left w:val="single" w:color="auto" w:sz="4" w:space="0"/>
              <w:bottom w:val="single" w:color="auto" w:sz="4" w:space="0"/>
              <w:right w:val="single" w:color="auto" w:sz="4" w:space="0"/>
            </w:tcBorders>
            <w:noWrap/>
            <w:vAlign w:val="center"/>
          </w:tcPr>
          <w:p w14:paraId="6B5B2B2D">
            <w:pPr>
              <w:bidi w:val="0"/>
              <w:jc w:val="center"/>
              <w:rPr>
                <w:rFonts w:hint="eastAsia" w:asciiTheme="minorEastAsia" w:hAnsiTheme="minorEastAsia" w:eastAsiaTheme="minorEastAsia" w:cstheme="minorEastAsia"/>
                <w:color w:val="auto"/>
                <w:sz w:val="21"/>
                <w:szCs w:val="16"/>
                <w:highlight w:val="none"/>
              </w:rPr>
            </w:pPr>
            <w:r>
              <w:rPr>
                <w:rFonts w:hint="eastAsia" w:asciiTheme="minorEastAsia" w:hAnsiTheme="minorEastAsia" w:eastAsiaTheme="minorEastAsia" w:cstheme="minorEastAsia"/>
                <w:color w:val="auto"/>
                <w:sz w:val="21"/>
                <w:szCs w:val="16"/>
                <w:highlight w:val="none"/>
              </w:rPr>
              <w:t>项目建设内容</w:t>
            </w:r>
          </w:p>
          <w:p w14:paraId="68552555">
            <w:pPr>
              <w:bidi w:val="0"/>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 w:val="21"/>
                <w:szCs w:val="16"/>
                <w:highlight w:val="none"/>
              </w:rPr>
              <w:t>和规模</w:t>
            </w:r>
          </w:p>
        </w:tc>
        <w:tc>
          <w:tcPr>
            <w:tcW w:w="7889" w:type="dxa"/>
            <w:tcBorders>
              <w:top w:val="single" w:color="auto" w:sz="4" w:space="0"/>
              <w:left w:val="single" w:color="auto" w:sz="4" w:space="0"/>
              <w:bottom w:val="single" w:color="auto" w:sz="4" w:space="0"/>
              <w:right w:val="single" w:color="auto" w:sz="4" w:space="0"/>
            </w:tcBorders>
            <w:noWrap/>
            <w:vAlign w:val="center"/>
          </w:tcPr>
          <w:p w14:paraId="6EA788D0">
            <w:pPr>
              <w:bidi w:val="0"/>
              <w:spacing w:line="360" w:lineRule="auto"/>
              <w:ind w:firstLine="210" w:firstLineChars="100"/>
              <w:rPr>
                <w:rFonts w:hint="default" w:asciiTheme="minorEastAsia" w:hAnsiTheme="minorEastAsia" w:eastAsiaTheme="minorEastAsia" w:cstheme="minorEastAsia"/>
                <w:color w:val="auto"/>
                <w:sz w:val="21"/>
                <w:szCs w:val="18"/>
                <w:highlight w:val="none"/>
                <w:lang w:val="en-US" w:eastAsia="zh-CN"/>
              </w:rPr>
            </w:pPr>
            <w:r>
              <w:rPr>
                <w:rFonts w:hint="default" w:asciiTheme="minorEastAsia" w:hAnsiTheme="minorEastAsia" w:eastAsiaTheme="minorEastAsia" w:cstheme="minorEastAsia"/>
                <w:color w:val="auto"/>
                <w:sz w:val="21"/>
                <w:szCs w:val="18"/>
                <w:highlight w:val="none"/>
                <w:lang w:val="en-US" w:eastAsia="zh-CN"/>
              </w:rPr>
              <w:t>1.人居环境整治：场地清杂。</w:t>
            </w:r>
          </w:p>
          <w:p w14:paraId="3B904982">
            <w:pPr>
              <w:bidi w:val="0"/>
              <w:spacing w:line="360" w:lineRule="auto"/>
              <w:ind w:firstLine="210" w:firstLineChars="100"/>
              <w:rPr>
                <w:rFonts w:hint="default" w:asciiTheme="minorEastAsia" w:hAnsiTheme="minorEastAsia" w:eastAsiaTheme="minorEastAsia" w:cstheme="minorEastAsia"/>
                <w:color w:val="auto"/>
                <w:sz w:val="21"/>
                <w:szCs w:val="18"/>
                <w:highlight w:val="none"/>
                <w:lang w:val="en-US" w:eastAsia="zh-CN"/>
              </w:rPr>
            </w:pPr>
            <w:r>
              <w:rPr>
                <w:rFonts w:hint="default" w:asciiTheme="minorEastAsia" w:hAnsiTheme="minorEastAsia" w:eastAsiaTheme="minorEastAsia" w:cstheme="minorEastAsia"/>
                <w:color w:val="auto"/>
                <w:sz w:val="21"/>
                <w:szCs w:val="18"/>
                <w:highlight w:val="none"/>
                <w:lang w:val="en-US" w:eastAsia="zh-CN"/>
              </w:rPr>
              <w:t>2.基础设施建设：新建混凝土路面，彩色混凝土路面，新建排水沟，新建混凝土暗管，新建排水沟盖板，新建树脂瓦，晒谷坪翻新，新建健身广场，新建悬挑平台，植草砖停车位，新建挡土墙，桥梁拓宽，新建青砖矮墙，碎石路面，新建路沿石，村委前广场平台翻新，球场围网，新建台阶，村委场地地坪漆翻新。</w:t>
            </w:r>
          </w:p>
          <w:p w14:paraId="13F14073">
            <w:pPr>
              <w:bidi w:val="0"/>
              <w:spacing w:line="360" w:lineRule="auto"/>
              <w:ind w:firstLine="210" w:firstLineChars="100"/>
              <w:rPr>
                <w:rFonts w:hint="default" w:asciiTheme="minorEastAsia" w:hAnsiTheme="minorEastAsia" w:eastAsiaTheme="minorEastAsia" w:cstheme="minorEastAsia"/>
                <w:color w:val="auto"/>
                <w:sz w:val="21"/>
                <w:szCs w:val="18"/>
                <w:highlight w:val="none"/>
                <w:lang w:val="en-US" w:eastAsia="zh-CN"/>
              </w:rPr>
            </w:pPr>
            <w:r>
              <w:rPr>
                <w:rFonts w:hint="default" w:asciiTheme="minorEastAsia" w:hAnsiTheme="minorEastAsia" w:eastAsiaTheme="minorEastAsia" w:cstheme="minorEastAsia"/>
                <w:color w:val="auto"/>
                <w:sz w:val="21"/>
                <w:szCs w:val="18"/>
                <w:highlight w:val="none"/>
                <w:lang w:val="en-US" w:eastAsia="zh-CN"/>
              </w:rPr>
              <w:t>3.风貌管控：村委风貌提升。</w:t>
            </w:r>
          </w:p>
          <w:p w14:paraId="114E5447">
            <w:pPr>
              <w:bidi w:val="0"/>
              <w:spacing w:line="360" w:lineRule="auto"/>
              <w:ind w:firstLine="210" w:firstLineChars="100"/>
              <w:rPr>
                <w:rFonts w:hint="default" w:asciiTheme="minorEastAsia" w:hAnsiTheme="minorEastAsia" w:eastAsiaTheme="minorEastAsia" w:cstheme="minorEastAsia"/>
                <w:color w:val="auto"/>
                <w:szCs w:val="21"/>
                <w:highlight w:val="none"/>
              </w:rPr>
            </w:pPr>
            <w:r>
              <w:rPr>
                <w:rFonts w:hint="default" w:asciiTheme="minorEastAsia" w:hAnsiTheme="minorEastAsia" w:eastAsiaTheme="minorEastAsia" w:cstheme="minorEastAsia"/>
                <w:color w:val="auto"/>
                <w:sz w:val="21"/>
                <w:szCs w:val="18"/>
                <w:highlight w:val="none"/>
                <w:lang w:val="en-US" w:eastAsia="zh-CN"/>
              </w:rPr>
              <w:t>4.绿化美化建设：绿化提升，新建花池，新建四小园，新建树池，新建混凝土仿木栏杆。</w:t>
            </w:r>
          </w:p>
        </w:tc>
      </w:tr>
      <w:tr w14:paraId="16FDE6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5D181598">
            <w:pPr>
              <w:wordWrap w:val="0"/>
              <w:adjustRightInd w:val="0"/>
              <w:snapToGrid w:val="0"/>
              <w:spacing w:line="360" w:lineRule="auto"/>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12</w:t>
            </w:r>
          </w:p>
        </w:tc>
        <w:tc>
          <w:tcPr>
            <w:tcW w:w="1612" w:type="dxa"/>
            <w:tcBorders>
              <w:top w:val="single" w:color="auto" w:sz="4" w:space="0"/>
              <w:left w:val="single" w:color="auto" w:sz="4" w:space="0"/>
              <w:bottom w:val="single" w:color="auto" w:sz="4" w:space="0"/>
              <w:right w:val="single" w:color="auto" w:sz="4" w:space="0"/>
            </w:tcBorders>
            <w:noWrap/>
            <w:vAlign w:val="center"/>
          </w:tcPr>
          <w:p w14:paraId="6CD65053">
            <w:pPr>
              <w:pStyle w:val="42"/>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color w:val="auto"/>
                <w:sz w:val="21"/>
                <w:szCs w:val="21"/>
                <w:highlight w:val="none"/>
              </w:rPr>
              <w:t>招标范围</w:t>
            </w:r>
          </w:p>
        </w:tc>
        <w:tc>
          <w:tcPr>
            <w:tcW w:w="7889" w:type="dxa"/>
            <w:tcBorders>
              <w:top w:val="single" w:color="auto" w:sz="4" w:space="0"/>
              <w:left w:val="single" w:color="auto" w:sz="4" w:space="0"/>
              <w:bottom w:val="single" w:color="auto" w:sz="4" w:space="0"/>
              <w:right w:val="single" w:color="auto" w:sz="4" w:space="0"/>
            </w:tcBorders>
            <w:noWrap/>
            <w:vAlign w:val="center"/>
          </w:tcPr>
          <w:p w14:paraId="74A61F67">
            <w:pPr>
              <w:pStyle w:val="42"/>
              <w:ind w:firstLine="210" w:firstLineChars="100"/>
              <w:jc w:val="left"/>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本工程所涉及的内容包括但不限于以下（1）</w:t>
            </w:r>
            <w:r>
              <w:rPr>
                <w:rFonts w:hint="eastAsia" w:hAnsi="宋体" w:cs="宋体"/>
                <w:snapToGrid w:val="0"/>
                <w:color w:val="auto"/>
                <w:kern w:val="0"/>
                <w:sz w:val="21"/>
                <w:szCs w:val="21"/>
                <w:highlight w:val="none"/>
              </w:rPr>
              <w:t>～</w:t>
            </w:r>
            <w:r>
              <w:rPr>
                <w:rFonts w:hint="eastAsia" w:asciiTheme="minorEastAsia" w:hAnsiTheme="minorEastAsia" w:eastAsiaTheme="minorEastAsia" w:cstheme="minorEastAsia"/>
                <w:snapToGrid w:val="0"/>
                <w:color w:val="auto"/>
                <w:kern w:val="0"/>
                <w:sz w:val="21"/>
                <w:szCs w:val="21"/>
                <w:highlight w:val="none"/>
              </w:rPr>
              <w:t>（</w:t>
            </w:r>
            <w:r>
              <w:rPr>
                <w:rFonts w:hint="eastAsia" w:asciiTheme="minorEastAsia" w:hAnsiTheme="minorEastAsia" w:eastAsiaTheme="minorEastAsia" w:cstheme="minorEastAsia"/>
                <w:snapToGrid w:val="0"/>
                <w:color w:val="auto"/>
                <w:kern w:val="0"/>
                <w:sz w:val="21"/>
                <w:szCs w:val="21"/>
                <w:highlight w:val="none"/>
                <w:lang w:val="en-US" w:eastAsia="zh-CN"/>
              </w:rPr>
              <w:t>2</w:t>
            </w:r>
            <w:r>
              <w:rPr>
                <w:rFonts w:hint="eastAsia" w:asciiTheme="minorEastAsia" w:hAnsiTheme="minorEastAsia" w:eastAsiaTheme="minorEastAsia" w:cstheme="minorEastAsia"/>
                <w:snapToGrid w:val="0"/>
                <w:color w:val="auto"/>
                <w:kern w:val="0"/>
                <w:sz w:val="21"/>
                <w:szCs w:val="21"/>
                <w:highlight w:val="none"/>
              </w:rPr>
              <w:t>）：</w:t>
            </w:r>
          </w:p>
          <w:p w14:paraId="11F3B679">
            <w:pPr>
              <w:pStyle w:val="42"/>
              <w:ind w:firstLine="210" w:firstLineChars="10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（1）设计部分：</w:t>
            </w:r>
            <w:r>
              <w:rPr>
                <w:rFonts w:hint="eastAsia" w:ascii="宋体" w:hAnsi="宋体" w:eastAsia="宋体" w:cs="宋体"/>
                <w:snapToGrid w:val="0"/>
                <w:color w:val="auto"/>
                <w:kern w:val="0"/>
                <w:sz w:val="21"/>
                <w:szCs w:val="21"/>
                <w:highlight w:val="none"/>
                <w:lang w:val="zh-CN"/>
              </w:rPr>
              <w:t>确保项目顺利实施的报建、报批、施工等所需的所有建安工程等设计文件。包括但不限于：施工图设计、</w:t>
            </w:r>
            <w:r>
              <w:rPr>
                <w:rFonts w:hint="eastAsia" w:ascii="宋体" w:hAnsi="宋体" w:eastAsia="宋体" w:cs="宋体"/>
                <w:snapToGrid w:val="0"/>
                <w:color w:val="auto"/>
                <w:kern w:val="0"/>
                <w:sz w:val="21"/>
                <w:szCs w:val="21"/>
                <w:highlight w:val="none"/>
              </w:rPr>
              <w:t>提供项目所需相关检测项的明细表和危险性较大的分部分项工程清单及保障安全相关说明、</w:t>
            </w:r>
            <w:r>
              <w:rPr>
                <w:rFonts w:hint="eastAsia" w:ascii="宋体" w:hAnsi="宋体" w:eastAsia="宋体" w:cs="宋体"/>
                <w:snapToGrid w:val="0"/>
                <w:color w:val="auto"/>
                <w:kern w:val="0"/>
                <w:sz w:val="21"/>
                <w:szCs w:val="21"/>
                <w:highlight w:val="none"/>
                <w:lang w:val="zh-CN"/>
              </w:rPr>
              <w:t>工地现场服务、验收过程中的设计指导及配合阶段验收及档案整理、协助施工单位编制竣工图及后续设计服务工作</w:t>
            </w:r>
            <w:r>
              <w:rPr>
                <w:rFonts w:hint="eastAsia" w:ascii="宋体" w:hAnsi="宋体" w:eastAsia="宋体" w:cs="宋体"/>
                <w:snapToGrid w:val="0"/>
                <w:color w:val="auto"/>
                <w:kern w:val="0"/>
                <w:sz w:val="21"/>
                <w:szCs w:val="21"/>
                <w:highlight w:val="none"/>
              </w:rPr>
              <w:t>。</w:t>
            </w:r>
          </w:p>
          <w:p w14:paraId="4F922CE4">
            <w:pPr>
              <w:pStyle w:val="42"/>
              <w:ind w:firstLine="211" w:firstLineChars="100"/>
              <w:jc w:val="left"/>
              <w:rPr>
                <w:rFonts w:hint="eastAsia" w:ascii="宋体" w:hAnsi="宋体" w:eastAsia="宋体" w:cs="宋体"/>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注：设计文件深度要求必须满足住房和城乡建设部《市政公用工程设计文件编制深度规定（2013版）》和《建筑工程设计文件编制深度规定（2016版）》的要求，各专业还应该满足各专业工程设计文件编制深度规范或规定的要求</w:t>
            </w:r>
            <w:r>
              <w:rPr>
                <w:rFonts w:hint="eastAsia" w:ascii="宋体" w:hAnsi="宋体" w:eastAsia="宋体" w:cs="宋体"/>
                <w:snapToGrid w:val="0"/>
                <w:color w:val="auto"/>
                <w:kern w:val="0"/>
                <w:sz w:val="21"/>
                <w:szCs w:val="21"/>
                <w:highlight w:val="none"/>
              </w:rPr>
              <w:t>。</w:t>
            </w:r>
          </w:p>
          <w:p w14:paraId="4CF62DC5">
            <w:pPr>
              <w:pStyle w:val="42"/>
              <w:ind w:firstLine="210" w:firstLineChars="100"/>
              <w:jc w:val="left"/>
              <w:rPr>
                <w:rFonts w:hint="eastAsia" w:eastAsia="宋体" w:asciiTheme="minorEastAsia" w:hAnsiTheme="minorEastAsia" w:cstheme="minorEastAsia"/>
                <w:color w:val="auto"/>
                <w:sz w:val="21"/>
                <w:szCs w:val="21"/>
                <w:highlight w:val="none"/>
                <w:lang w:eastAsia="zh-CN"/>
              </w:rPr>
            </w:pPr>
            <w:r>
              <w:rPr>
                <w:rFonts w:hint="eastAsia" w:ascii="宋体" w:hAnsi="宋体" w:eastAsia="宋体" w:cs="宋体"/>
                <w:snapToGrid w:val="0"/>
                <w:color w:val="auto"/>
                <w:kern w:val="0"/>
                <w:sz w:val="21"/>
                <w:szCs w:val="21"/>
                <w:highlight w:val="none"/>
              </w:rPr>
              <w:t>（2）施工部分：设计文件及工程量清单范围内的所有工程及配套设施等的施工及配合阶段验收、档案整理、保修期维护等</w:t>
            </w:r>
            <w:r>
              <w:rPr>
                <w:rFonts w:hint="eastAsia" w:ascii="宋体" w:hAnsi="宋体" w:eastAsia="宋体" w:cs="宋体"/>
                <w:snapToGrid w:val="0"/>
                <w:color w:val="auto"/>
                <w:kern w:val="0"/>
                <w:sz w:val="21"/>
                <w:szCs w:val="21"/>
                <w:highlight w:val="none"/>
                <w:lang w:eastAsia="zh-CN"/>
              </w:rPr>
              <w:t>。</w:t>
            </w:r>
          </w:p>
        </w:tc>
      </w:tr>
      <w:tr w14:paraId="61A9B0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1BF71F57">
            <w:pPr>
              <w:wordWrap w:val="0"/>
              <w:adjustRightInd w:val="0"/>
              <w:snapToGrid w:val="0"/>
              <w:spacing w:line="360" w:lineRule="auto"/>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13</w:t>
            </w:r>
          </w:p>
        </w:tc>
        <w:tc>
          <w:tcPr>
            <w:tcW w:w="1612" w:type="dxa"/>
            <w:tcBorders>
              <w:top w:val="single" w:color="auto" w:sz="4" w:space="0"/>
              <w:left w:val="single" w:color="auto" w:sz="4" w:space="0"/>
              <w:bottom w:val="single" w:color="auto" w:sz="4" w:space="0"/>
              <w:right w:val="single" w:color="auto" w:sz="4" w:space="0"/>
            </w:tcBorders>
            <w:noWrap/>
            <w:vAlign w:val="center"/>
          </w:tcPr>
          <w:p w14:paraId="6AE57F86">
            <w:pPr>
              <w:wordWrap w:val="0"/>
              <w:adjustRightInd w:val="0"/>
              <w:snapToGrid w:val="0"/>
              <w:spacing w:line="360" w:lineRule="auto"/>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snapToGrid w:val="0"/>
                <w:color w:val="auto"/>
                <w:kern w:val="0"/>
                <w:sz w:val="21"/>
                <w:szCs w:val="21"/>
                <w:highlight w:val="none"/>
              </w:rPr>
              <w:t>标段划分</w:t>
            </w:r>
          </w:p>
        </w:tc>
        <w:tc>
          <w:tcPr>
            <w:tcW w:w="7889" w:type="dxa"/>
            <w:tcBorders>
              <w:top w:val="single" w:color="auto" w:sz="4" w:space="0"/>
              <w:left w:val="single" w:color="auto" w:sz="4" w:space="0"/>
              <w:bottom w:val="single" w:color="auto" w:sz="4" w:space="0"/>
              <w:right w:val="single" w:color="auto" w:sz="4" w:space="0"/>
            </w:tcBorders>
            <w:noWrap/>
            <w:vAlign w:val="center"/>
          </w:tcPr>
          <w:p w14:paraId="047E4B27">
            <w:pPr>
              <w:wordWrap w:val="0"/>
              <w:adjustRightInd w:val="0"/>
              <w:snapToGrid w:val="0"/>
              <w:spacing w:line="360" w:lineRule="auto"/>
              <w:ind w:firstLine="210" w:firstLineChars="100"/>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本招标项目不划分标段。</w:t>
            </w:r>
          </w:p>
        </w:tc>
      </w:tr>
      <w:tr w14:paraId="7F5A80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52D33AD5">
            <w:pPr>
              <w:wordWrap w:val="0"/>
              <w:adjustRightInd w:val="0"/>
              <w:snapToGrid w:val="0"/>
              <w:spacing w:line="360" w:lineRule="auto"/>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14</w:t>
            </w:r>
          </w:p>
        </w:tc>
        <w:tc>
          <w:tcPr>
            <w:tcW w:w="1612" w:type="dxa"/>
            <w:tcBorders>
              <w:top w:val="single" w:color="auto" w:sz="4" w:space="0"/>
              <w:left w:val="single" w:color="auto" w:sz="4" w:space="0"/>
              <w:bottom w:val="single" w:color="auto" w:sz="4" w:space="0"/>
              <w:right w:val="single" w:color="auto" w:sz="4" w:space="0"/>
            </w:tcBorders>
            <w:noWrap/>
            <w:vAlign w:val="center"/>
          </w:tcPr>
          <w:p w14:paraId="510D6E82">
            <w:pPr>
              <w:wordWrap w:val="0"/>
              <w:adjustRightInd w:val="0"/>
              <w:snapToGrid w:val="0"/>
              <w:spacing w:line="360" w:lineRule="auto"/>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工期</w:t>
            </w:r>
          </w:p>
        </w:tc>
        <w:tc>
          <w:tcPr>
            <w:tcW w:w="7889" w:type="dxa"/>
            <w:tcBorders>
              <w:top w:val="single" w:color="auto" w:sz="4" w:space="0"/>
              <w:left w:val="single" w:color="auto" w:sz="4" w:space="0"/>
              <w:bottom w:val="single" w:color="auto" w:sz="4" w:space="0"/>
              <w:right w:val="single" w:color="auto" w:sz="4" w:space="0"/>
            </w:tcBorders>
            <w:noWrap/>
            <w:vAlign w:val="center"/>
          </w:tcPr>
          <w:p w14:paraId="00BB5E23">
            <w:pPr>
              <w:wordWrap w:val="0"/>
              <w:adjustRightInd w:val="0"/>
              <w:snapToGrid w:val="0"/>
              <w:spacing w:line="360" w:lineRule="auto"/>
              <w:ind w:firstLine="210" w:firstLineChars="100"/>
              <w:jc w:val="lef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设计、施工总工期</w:t>
            </w:r>
            <w:r>
              <w:rPr>
                <w:rFonts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u w:val="single"/>
                <w:lang w:val="en-US" w:eastAsia="zh-CN"/>
              </w:rPr>
              <w:t>170</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日历天，其中：设计工期为</w:t>
            </w:r>
            <w:r>
              <w:rPr>
                <w:rFonts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u w:val="single"/>
                <w:lang w:val="en-US" w:eastAsia="zh-CN"/>
              </w:rPr>
              <w:t>50</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日历天、施工工期为</w:t>
            </w:r>
            <w:r>
              <w:rPr>
                <w:rFonts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u w:val="single"/>
                <w:lang w:val="en-US" w:eastAsia="zh-CN"/>
              </w:rPr>
              <w:t>120</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日历天。</w:t>
            </w:r>
          </w:p>
        </w:tc>
      </w:tr>
      <w:tr w14:paraId="5F99FD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11399E47">
            <w:pPr>
              <w:wordWrap w:val="0"/>
              <w:adjustRightInd w:val="0"/>
              <w:snapToGrid w:val="0"/>
              <w:spacing w:line="360" w:lineRule="auto"/>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15</w:t>
            </w:r>
          </w:p>
        </w:tc>
        <w:tc>
          <w:tcPr>
            <w:tcW w:w="1612" w:type="dxa"/>
            <w:tcBorders>
              <w:top w:val="single" w:color="auto" w:sz="4" w:space="0"/>
              <w:left w:val="single" w:color="auto" w:sz="4" w:space="0"/>
              <w:bottom w:val="single" w:color="auto" w:sz="4" w:space="0"/>
              <w:right w:val="single" w:color="auto" w:sz="4" w:space="0"/>
            </w:tcBorders>
            <w:noWrap/>
            <w:vAlign w:val="center"/>
          </w:tcPr>
          <w:p w14:paraId="43AF1BE3">
            <w:pPr>
              <w:wordWrap w:val="0"/>
              <w:adjustRightInd w:val="0"/>
              <w:snapToGrid w:val="0"/>
              <w:spacing w:line="360" w:lineRule="auto"/>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质量标准</w:t>
            </w:r>
          </w:p>
        </w:tc>
        <w:tc>
          <w:tcPr>
            <w:tcW w:w="7889" w:type="dxa"/>
            <w:tcBorders>
              <w:top w:val="single" w:color="auto" w:sz="4" w:space="0"/>
              <w:left w:val="single" w:color="auto" w:sz="4" w:space="0"/>
              <w:bottom w:val="single" w:color="auto" w:sz="4" w:space="0"/>
              <w:right w:val="single" w:color="auto" w:sz="4" w:space="0"/>
            </w:tcBorders>
            <w:noWrap/>
            <w:vAlign w:val="center"/>
          </w:tcPr>
          <w:p w14:paraId="372B0022">
            <w:pPr>
              <w:pStyle w:val="42"/>
              <w:ind w:firstLine="210" w:firstLineChars="100"/>
              <w:jc w:val="left"/>
              <w:rPr>
                <w:rFonts w:asciiTheme="minorEastAsia" w:hAnsiTheme="minorEastAsia" w:eastAsiaTheme="minorEastAsia" w:cstheme="minorEastAsia"/>
                <w:snapToGrid w:val="0"/>
                <w:color w:val="auto"/>
                <w:kern w:val="0"/>
                <w:sz w:val="21"/>
                <w:szCs w:val="21"/>
                <w:highlight w:val="none"/>
              </w:rPr>
            </w:pPr>
            <w:bookmarkStart w:id="7" w:name="OLE_LINK25"/>
            <w:r>
              <w:rPr>
                <w:rFonts w:hint="eastAsia" w:hAnsi="宋体" w:cs="Calibri"/>
                <w:bCs/>
                <w:color w:val="auto"/>
                <w:sz w:val="21"/>
                <w:szCs w:val="21"/>
                <w:highlight w:val="none"/>
                <w:lang w:val="zh-CN"/>
              </w:rPr>
              <w:t>（</w:t>
            </w:r>
            <w:r>
              <w:rPr>
                <w:rFonts w:hint="eastAsia" w:hAnsi="宋体" w:cs="Calibri"/>
                <w:bCs/>
                <w:color w:val="auto"/>
                <w:sz w:val="21"/>
                <w:szCs w:val="21"/>
                <w:highlight w:val="none"/>
              </w:rPr>
              <w:t>1）</w:t>
            </w:r>
            <w:r>
              <w:rPr>
                <w:rFonts w:hint="eastAsia" w:asciiTheme="minorEastAsia" w:hAnsiTheme="minorEastAsia" w:eastAsiaTheme="minorEastAsia" w:cstheme="minorEastAsia"/>
                <w:snapToGrid w:val="0"/>
                <w:color w:val="auto"/>
                <w:kern w:val="0"/>
                <w:sz w:val="21"/>
                <w:szCs w:val="21"/>
                <w:highlight w:val="none"/>
              </w:rPr>
              <w:t>设计要求：符合国家或行业颁布的现行有效的有关设计的规范要求，符合设计任务书的相关要求，并必须通过有关部门的审查及经有资质的审图机构审查合格。</w:t>
            </w:r>
          </w:p>
          <w:p w14:paraId="19F25AD1">
            <w:pPr>
              <w:pStyle w:val="42"/>
              <w:ind w:firstLine="210" w:firstLineChars="100"/>
              <w:jc w:val="left"/>
              <w:rPr>
                <w:rFonts w:asciiTheme="minorEastAsia" w:hAnsiTheme="minorEastAsia" w:eastAsiaTheme="minorEastAsia" w:cstheme="minorEastAsia"/>
                <w:bCs/>
                <w:color w:val="auto"/>
                <w:sz w:val="21"/>
                <w:szCs w:val="21"/>
                <w:highlight w:val="none"/>
              </w:rPr>
            </w:pPr>
            <w:r>
              <w:rPr>
                <w:rFonts w:hint="eastAsia" w:hAnsi="宋体" w:cs="Calibri"/>
                <w:bCs/>
                <w:color w:val="auto"/>
                <w:sz w:val="21"/>
                <w:szCs w:val="21"/>
                <w:highlight w:val="none"/>
                <w:lang w:val="zh-CN"/>
              </w:rPr>
              <w:t>（</w:t>
            </w:r>
            <w:r>
              <w:rPr>
                <w:rFonts w:hint="eastAsia" w:hAnsi="宋体" w:cs="Calibri"/>
                <w:bCs/>
                <w:color w:val="auto"/>
                <w:sz w:val="21"/>
                <w:szCs w:val="21"/>
                <w:highlight w:val="none"/>
              </w:rPr>
              <w:t>2）施工</w:t>
            </w:r>
            <w:r>
              <w:rPr>
                <w:rFonts w:hint="eastAsia" w:asciiTheme="minorEastAsia" w:hAnsiTheme="minorEastAsia" w:eastAsiaTheme="minorEastAsia" w:cstheme="minorEastAsia"/>
                <w:snapToGrid w:val="0"/>
                <w:color w:val="auto"/>
                <w:kern w:val="0"/>
                <w:sz w:val="21"/>
                <w:szCs w:val="21"/>
                <w:highlight w:val="none"/>
              </w:rPr>
              <w:t>要求：施工质量必须达到合格标准，符合现行国家有关工程施工质量验收规范和标准的要求。</w:t>
            </w:r>
            <w:bookmarkEnd w:id="7"/>
          </w:p>
        </w:tc>
      </w:tr>
      <w:tr w14:paraId="67D24F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70939522">
            <w:pPr>
              <w:wordWrap w:val="0"/>
              <w:adjustRightInd w:val="0"/>
              <w:snapToGrid w:val="0"/>
              <w:spacing w:line="360" w:lineRule="auto"/>
              <w:jc w:val="center"/>
              <w:rPr>
                <w:rFonts w:hint="default" w:asciiTheme="minorEastAsia" w:hAnsiTheme="minorEastAsia" w:eastAsiaTheme="minorEastAsia" w:cstheme="minorEastAsia"/>
                <w:snapToGrid w:val="0"/>
                <w:color w:val="auto"/>
                <w:kern w:val="0"/>
                <w:sz w:val="21"/>
                <w:szCs w:val="21"/>
                <w:highlight w:val="none"/>
              </w:rPr>
            </w:pPr>
            <w:bookmarkStart w:id="8" w:name="OLE_LINK18" w:colFirst="1" w:colLast="2"/>
            <w:bookmarkStart w:id="9" w:name="OLE_LINK19" w:colFirst="2" w:colLast="2"/>
            <w:r>
              <w:rPr>
                <w:rFonts w:asciiTheme="minorEastAsia" w:hAnsiTheme="minorEastAsia" w:eastAsiaTheme="minorEastAsia" w:cstheme="minorEastAsia"/>
                <w:snapToGrid w:val="0"/>
                <w:color w:val="auto"/>
                <w:kern w:val="0"/>
                <w:sz w:val="21"/>
                <w:szCs w:val="21"/>
                <w:highlight w:val="none"/>
              </w:rPr>
              <w:t>16</w:t>
            </w:r>
          </w:p>
        </w:tc>
        <w:tc>
          <w:tcPr>
            <w:tcW w:w="1612" w:type="dxa"/>
            <w:tcBorders>
              <w:top w:val="single" w:color="auto" w:sz="4" w:space="0"/>
              <w:left w:val="single" w:color="auto" w:sz="4" w:space="0"/>
              <w:bottom w:val="single" w:color="auto" w:sz="4" w:space="0"/>
              <w:right w:val="single" w:color="auto" w:sz="4" w:space="0"/>
            </w:tcBorders>
            <w:noWrap/>
            <w:vAlign w:val="center"/>
          </w:tcPr>
          <w:p w14:paraId="28843FCF">
            <w:pPr>
              <w:pStyle w:val="42"/>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color w:val="auto"/>
                <w:sz w:val="21"/>
                <w:szCs w:val="21"/>
                <w:highlight w:val="none"/>
              </w:rPr>
              <w:t>最高投标限价</w:t>
            </w:r>
          </w:p>
        </w:tc>
        <w:tc>
          <w:tcPr>
            <w:tcW w:w="7889" w:type="dxa"/>
            <w:tcBorders>
              <w:top w:val="single" w:color="auto" w:sz="4" w:space="0"/>
              <w:left w:val="single" w:color="auto" w:sz="4" w:space="0"/>
              <w:bottom w:val="single" w:color="auto" w:sz="4" w:space="0"/>
              <w:right w:val="single" w:color="auto" w:sz="4" w:space="0"/>
            </w:tcBorders>
            <w:noWrap/>
            <w:vAlign w:val="center"/>
          </w:tcPr>
          <w:p w14:paraId="42EC4331">
            <w:pPr>
              <w:pStyle w:val="42"/>
              <w:spacing w:line="360" w:lineRule="auto"/>
              <w:ind w:firstLine="210" w:firstLineChars="100"/>
              <w:rPr>
                <w:rFonts w:asciiTheme="minorEastAsia" w:hAnsiTheme="minorEastAsia" w:cstheme="minorEastAsia"/>
                <w:snapToGrid w:val="0"/>
                <w:color w:val="auto"/>
                <w:kern w:val="0"/>
                <w:sz w:val="21"/>
                <w:szCs w:val="21"/>
                <w:highlight w:val="none"/>
              </w:rPr>
            </w:pPr>
            <w:r>
              <w:rPr>
                <w:rFonts w:hint="eastAsia" w:asciiTheme="minorEastAsia" w:hAnsiTheme="minorEastAsia" w:cstheme="minorEastAsia"/>
                <w:snapToGrid w:val="0"/>
                <w:color w:val="auto"/>
                <w:kern w:val="0"/>
                <w:sz w:val="21"/>
                <w:szCs w:val="21"/>
                <w:highlight w:val="none"/>
              </w:rPr>
              <w:t>本项目最高投标限价</w:t>
            </w:r>
            <w:r>
              <w:rPr>
                <w:rFonts w:hint="eastAsia" w:asciiTheme="minorEastAsia" w:hAnsiTheme="minorEastAsia" w:cstheme="minorEastAsia"/>
                <w:snapToGrid w:val="0"/>
                <w:color w:val="auto"/>
                <w:kern w:val="0"/>
                <w:sz w:val="21"/>
                <w:szCs w:val="21"/>
                <w:highlight w:val="none"/>
                <w:lang w:val="en-US" w:eastAsia="zh-CN"/>
              </w:rPr>
              <w:t>为人民币(大写):</w:t>
            </w:r>
            <w:r>
              <w:rPr>
                <w:rFonts w:hint="eastAsia" w:asciiTheme="minorEastAsia" w:hAnsiTheme="minorEastAsia" w:eastAsiaTheme="minorEastAsia" w:cstheme="minorEastAsia"/>
                <w:sz w:val="21"/>
                <w:szCs w:val="16"/>
                <w:highlight w:val="none"/>
                <w:lang w:val="en-US" w:eastAsia="zh-CN"/>
              </w:rPr>
              <w:t>叁佰壹拾万零贰仟壹佰元整</w:t>
            </w:r>
            <w:r>
              <w:rPr>
                <w:rFonts w:hint="eastAsia" w:asciiTheme="minorEastAsia" w:hAnsiTheme="minorEastAsia" w:cstheme="minorEastAsia"/>
                <w:snapToGrid w:val="0"/>
                <w:color w:val="auto"/>
                <w:kern w:val="0"/>
                <w:sz w:val="21"/>
                <w:szCs w:val="21"/>
                <w:highlight w:val="none"/>
                <w:lang w:val="en-US" w:eastAsia="zh-CN"/>
              </w:rPr>
              <w:t>(小写:¥</w:t>
            </w:r>
            <w:r>
              <w:rPr>
                <w:rFonts w:hint="eastAsia" w:asciiTheme="minorEastAsia" w:hAnsiTheme="minorEastAsia" w:eastAsiaTheme="minorEastAsia" w:cstheme="minorEastAsia"/>
                <w:sz w:val="21"/>
                <w:szCs w:val="16"/>
                <w:highlight w:val="none"/>
                <w:lang w:val="zh-CN" w:eastAsia="zh-CN"/>
              </w:rPr>
              <w:t>3102100.00</w:t>
            </w:r>
            <w:r>
              <w:rPr>
                <w:rFonts w:hint="eastAsia" w:asciiTheme="minorEastAsia" w:hAnsiTheme="minorEastAsia" w:cstheme="minorEastAsia"/>
                <w:snapToGrid w:val="0"/>
                <w:color w:val="auto"/>
                <w:kern w:val="0"/>
                <w:sz w:val="21"/>
                <w:szCs w:val="21"/>
                <w:highlight w:val="none"/>
                <w:lang w:val="en-US" w:eastAsia="zh-CN"/>
              </w:rPr>
              <w:t>元)。</w:t>
            </w:r>
          </w:p>
        </w:tc>
      </w:tr>
      <w:bookmarkEnd w:id="8"/>
      <w:bookmarkEnd w:id="9"/>
      <w:tr w14:paraId="377E29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446E8369">
            <w:pPr>
              <w:wordWrap w:val="0"/>
              <w:adjustRightInd w:val="0"/>
              <w:snapToGrid w:val="0"/>
              <w:spacing w:line="360" w:lineRule="auto"/>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17</w:t>
            </w:r>
          </w:p>
        </w:tc>
        <w:tc>
          <w:tcPr>
            <w:tcW w:w="1612" w:type="dxa"/>
            <w:tcBorders>
              <w:top w:val="single" w:color="auto" w:sz="4" w:space="0"/>
              <w:left w:val="single" w:color="auto" w:sz="4" w:space="0"/>
              <w:bottom w:val="single" w:color="auto" w:sz="4" w:space="0"/>
              <w:right w:val="single" w:color="auto" w:sz="4" w:space="0"/>
            </w:tcBorders>
            <w:noWrap/>
            <w:vAlign w:val="center"/>
          </w:tcPr>
          <w:p w14:paraId="3F8E9675">
            <w:pPr>
              <w:pStyle w:val="42"/>
              <w:jc w:val="center"/>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投标人资格要求</w:t>
            </w:r>
          </w:p>
        </w:tc>
        <w:tc>
          <w:tcPr>
            <w:tcW w:w="7889" w:type="dxa"/>
            <w:tcBorders>
              <w:top w:val="single" w:color="auto" w:sz="4" w:space="0"/>
              <w:left w:val="single" w:color="auto" w:sz="4" w:space="0"/>
              <w:bottom w:val="single" w:color="auto" w:sz="4" w:space="0"/>
              <w:right w:val="single" w:color="auto" w:sz="4" w:space="0"/>
            </w:tcBorders>
            <w:noWrap/>
            <w:vAlign w:val="center"/>
          </w:tcPr>
          <w:p w14:paraId="293F3642">
            <w:pPr>
              <w:pStyle w:val="45"/>
              <w:wordWrap w:val="0"/>
              <w:adjustRightInd w:val="0"/>
              <w:snapToGrid w:val="0"/>
              <w:spacing w:line="360" w:lineRule="auto"/>
              <w:ind w:firstLine="420" w:firstLineChars="200"/>
              <w:jc w:val="left"/>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1．本次招标</w:t>
            </w:r>
            <w:r>
              <w:rPr>
                <w:rFonts w:hint="eastAsia" w:asciiTheme="minorEastAsia" w:hAnsiTheme="minorEastAsia" w:eastAsiaTheme="minorEastAsia" w:cstheme="minorEastAsia"/>
                <w:b/>
                <w:bCs/>
                <w:color w:val="auto"/>
                <w:sz w:val="21"/>
                <w:szCs w:val="21"/>
                <w:highlight w:val="none"/>
              </w:rPr>
              <w:t>接受</w:t>
            </w:r>
            <w:r>
              <w:rPr>
                <w:rFonts w:hint="eastAsia" w:asciiTheme="minorEastAsia" w:hAnsiTheme="minorEastAsia" w:eastAsiaTheme="minorEastAsia" w:cstheme="minorEastAsia"/>
                <w:color w:val="auto"/>
                <w:sz w:val="21"/>
                <w:szCs w:val="21"/>
                <w:highlight w:val="none"/>
              </w:rPr>
              <w:t>联合体投标，联合体以一个投标人的身份共同投标。</w:t>
            </w:r>
          </w:p>
          <w:p w14:paraId="26B255B5">
            <w:pPr>
              <w:pStyle w:val="45"/>
              <w:wordWrap w:val="0"/>
              <w:adjustRightInd w:val="0"/>
              <w:snapToGrid w:val="0"/>
              <w:spacing w:line="360" w:lineRule="auto"/>
              <w:ind w:firstLine="420" w:firstLineChars="200"/>
              <w:jc w:val="left"/>
              <w:rPr>
                <w:rFonts w:asciiTheme="minorEastAsia" w:hAnsiTheme="minorEastAsia" w:eastAsiaTheme="minorEastAsia" w:cstheme="minorEastAsia"/>
                <w:color w:val="auto"/>
                <w:sz w:val="21"/>
                <w:szCs w:val="21"/>
                <w:highlight w:val="none"/>
                <w:shd w:val="clear"/>
              </w:rPr>
            </w:pPr>
            <w:r>
              <w:rPr>
                <w:rFonts w:hint="eastAsia" w:asciiTheme="minorEastAsia" w:hAnsiTheme="minorEastAsia" w:eastAsiaTheme="minorEastAsia" w:cstheme="minorEastAsia"/>
                <w:color w:val="auto"/>
                <w:sz w:val="21"/>
                <w:szCs w:val="21"/>
                <w:highlight w:val="none"/>
              </w:rPr>
              <w:t xml:space="preserve">1.1 </w:t>
            </w:r>
            <w:r>
              <w:rPr>
                <w:rFonts w:hint="eastAsia" w:asciiTheme="minorEastAsia" w:hAnsiTheme="minorEastAsia" w:eastAsiaTheme="minorEastAsia" w:cstheme="minorEastAsia"/>
                <w:color w:val="auto"/>
                <w:sz w:val="21"/>
                <w:szCs w:val="21"/>
                <w:highlight w:val="none"/>
                <w:shd w:val="clear"/>
              </w:rPr>
              <w:t>联合体成员数量不超过</w:t>
            </w:r>
            <w:r>
              <w:rPr>
                <w:rFonts w:hint="eastAsia" w:asciiTheme="minorEastAsia" w:hAnsiTheme="minorEastAsia" w:eastAsiaTheme="minorEastAsia" w:cstheme="minorEastAsia"/>
                <w:color w:val="auto"/>
                <w:sz w:val="21"/>
                <w:szCs w:val="21"/>
                <w:highlight w:val="none"/>
                <w:shd w:val="clear"/>
                <w:lang w:val="en-US" w:eastAsia="zh-CN"/>
              </w:rPr>
              <w:t>2</w:t>
            </w:r>
            <w:r>
              <w:rPr>
                <w:rFonts w:hint="eastAsia" w:asciiTheme="minorEastAsia" w:hAnsiTheme="minorEastAsia" w:eastAsiaTheme="minorEastAsia" w:cstheme="minorEastAsia"/>
                <w:color w:val="auto"/>
                <w:sz w:val="21"/>
                <w:szCs w:val="21"/>
                <w:highlight w:val="none"/>
                <w:shd w:val="clear"/>
              </w:rPr>
              <w:t>个。</w:t>
            </w:r>
          </w:p>
          <w:p w14:paraId="2E97F2B2">
            <w:pPr>
              <w:pStyle w:val="45"/>
              <w:wordWrap w:val="0"/>
              <w:adjustRightInd w:val="0"/>
              <w:snapToGrid w:val="0"/>
              <w:spacing w:line="360" w:lineRule="auto"/>
              <w:ind w:firstLine="420" w:firstLineChars="200"/>
              <w:jc w:val="left"/>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1.2 联合体各方应按招标文件提供的格式签订联合体协议书，明确联合体牵头人和各方权利义务，并承诺就中标项目向招标人承担连带责任。《联合体协议书》作为投标文件的组成部分向招标人提交。</w:t>
            </w:r>
          </w:p>
          <w:p w14:paraId="0F5B1BF2">
            <w:pPr>
              <w:pStyle w:val="45"/>
              <w:wordWrap w:val="0"/>
              <w:adjustRightInd w:val="0"/>
              <w:snapToGrid w:val="0"/>
              <w:spacing w:line="360" w:lineRule="auto"/>
              <w:ind w:firstLine="420" w:firstLineChars="200"/>
              <w:jc w:val="left"/>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1.3 联合体成员单位均应具备拟承担的工作内容（以《联合体协议书》的约定为准）所规定的资格条件。若同一工作内容由两个或两个以上单位共同承担，该项工作内容按照资质等级较低的单位确定联合体资质等级。</w:t>
            </w:r>
          </w:p>
          <w:p w14:paraId="644633E6">
            <w:pPr>
              <w:pStyle w:val="45"/>
              <w:wordWrap w:val="0"/>
              <w:adjustRightInd w:val="0"/>
              <w:snapToGrid w:val="0"/>
              <w:spacing w:line="360" w:lineRule="auto"/>
              <w:ind w:firstLine="420" w:firstLineChars="200"/>
              <w:jc w:val="left"/>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1.4联合体各方不得再以自己名义单独或参加其他联合体在本招标项目中投标，否则各相关投标均无效。</w:t>
            </w:r>
          </w:p>
          <w:p w14:paraId="62EAF8F4">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2.资质要求</w:t>
            </w:r>
          </w:p>
          <w:p w14:paraId="356D5B4E">
            <w:pPr>
              <w:pStyle w:val="45"/>
              <w:wordWrap w:val="0"/>
              <w:adjustRightInd w:val="0"/>
              <w:snapToGrid w:val="0"/>
              <w:spacing w:line="360" w:lineRule="auto"/>
              <w:ind w:firstLine="420" w:firstLineChars="200"/>
              <w:jc w:val="left"/>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2.1投标人须具备独立法人资格，按国家法律经营。</w:t>
            </w:r>
          </w:p>
          <w:p w14:paraId="3AC011BB">
            <w:pPr>
              <w:pStyle w:val="45"/>
              <w:wordWrap w:val="0"/>
              <w:adjustRightInd w:val="0"/>
              <w:snapToGrid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2.2投标人须持有行政主管部门颁发的企业资质证书。</w:t>
            </w:r>
          </w:p>
          <w:p w14:paraId="37B7B455">
            <w:pPr>
              <w:bidi w:val="0"/>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2.3</w:t>
            </w:r>
            <w:r>
              <w:rPr>
                <w:rFonts w:hint="eastAsia" w:asciiTheme="minorEastAsia" w:hAnsiTheme="minorEastAsia" w:eastAsiaTheme="minorEastAsia" w:cstheme="minorEastAsia"/>
                <w:color w:val="auto"/>
                <w:sz w:val="21"/>
                <w:szCs w:val="21"/>
                <w:highlight w:val="none"/>
                <w:lang w:val="zh-CN"/>
              </w:rPr>
              <w:t>参加投标的投标人可以是单一独立法人或由不超</w:t>
            </w:r>
            <w:r>
              <w:rPr>
                <w:rFonts w:hint="eastAsia" w:asciiTheme="minorEastAsia" w:hAnsiTheme="minorEastAsia" w:eastAsiaTheme="minorEastAsia" w:cstheme="minorEastAsia"/>
                <w:color w:val="auto"/>
                <w:sz w:val="21"/>
                <w:szCs w:val="21"/>
                <w:highlight w:val="none"/>
                <w:shd w:val="clear"/>
                <w:lang w:val="zh-CN"/>
              </w:rPr>
              <w:t>过</w:t>
            </w:r>
            <w:r>
              <w:rPr>
                <w:rFonts w:hint="eastAsia" w:asciiTheme="minorEastAsia" w:hAnsiTheme="minorEastAsia" w:eastAsiaTheme="minorEastAsia" w:cstheme="minorEastAsia"/>
                <w:color w:val="auto"/>
                <w:sz w:val="21"/>
                <w:szCs w:val="21"/>
                <w:highlight w:val="none"/>
                <w:shd w:val="clear"/>
                <w:lang w:val="en-US" w:eastAsia="zh-CN"/>
              </w:rPr>
              <w:t>2</w:t>
            </w:r>
            <w:r>
              <w:rPr>
                <w:rFonts w:hint="eastAsia" w:asciiTheme="minorEastAsia" w:hAnsiTheme="minorEastAsia" w:eastAsiaTheme="minorEastAsia" w:cstheme="minorEastAsia"/>
                <w:color w:val="auto"/>
                <w:sz w:val="21"/>
                <w:szCs w:val="21"/>
                <w:highlight w:val="none"/>
                <w:shd w:val="clear"/>
                <w:lang w:val="zh-CN"/>
              </w:rPr>
              <w:t>家</w:t>
            </w:r>
            <w:r>
              <w:rPr>
                <w:rFonts w:hint="eastAsia" w:asciiTheme="minorEastAsia" w:hAnsiTheme="minorEastAsia" w:eastAsiaTheme="minorEastAsia" w:cstheme="minorEastAsia"/>
                <w:color w:val="auto"/>
                <w:sz w:val="21"/>
                <w:szCs w:val="21"/>
                <w:highlight w:val="none"/>
                <w:lang w:val="zh-CN"/>
              </w:rPr>
              <w:t>独立法人组成的联合体，联合体各方不得再以自己的名义单独申请，也不得同时参加两个或两个以上的联合体进行本项目的投标。单一独立法人必须至少同时具备以下①～</w:t>
            </w:r>
            <w:r>
              <w:rPr>
                <w:rFonts w:hint="eastAsia" w:ascii="宋体" w:hAnsi="宋体" w:eastAsia="宋体" w:cs="宋体"/>
                <w:color w:val="auto"/>
                <w:sz w:val="21"/>
                <w:szCs w:val="21"/>
                <w:highlight w:val="none"/>
              </w:rPr>
              <w:t>②</w:t>
            </w:r>
            <w:r>
              <w:rPr>
                <w:rFonts w:hint="eastAsia" w:asciiTheme="minorEastAsia" w:hAnsiTheme="minorEastAsia" w:eastAsiaTheme="minorEastAsia" w:cstheme="minorEastAsia"/>
                <w:color w:val="auto"/>
                <w:sz w:val="21"/>
                <w:szCs w:val="21"/>
                <w:highlight w:val="none"/>
                <w:lang w:val="zh-CN"/>
              </w:rPr>
              <w:t>资质，组成联合体投标的，联合后必须至少具备以下①～</w:t>
            </w:r>
            <w:r>
              <w:rPr>
                <w:rFonts w:hint="eastAsia" w:ascii="宋体" w:hAnsi="宋体" w:eastAsia="宋体" w:cs="宋体"/>
                <w:color w:val="auto"/>
                <w:sz w:val="21"/>
                <w:szCs w:val="21"/>
                <w:highlight w:val="none"/>
              </w:rPr>
              <w:t>②</w:t>
            </w:r>
            <w:r>
              <w:rPr>
                <w:rFonts w:hint="eastAsia" w:asciiTheme="minorEastAsia" w:hAnsiTheme="minorEastAsia" w:eastAsiaTheme="minorEastAsia" w:cstheme="minorEastAsia"/>
                <w:color w:val="auto"/>
                <w:sz w:val="21"/>
                <w:szCs w:val="21"/>
                <w:highlight w:val="none"/>
                <w:lang w:val="zh-CN"/>
              </w:rPr>
              <w:t>资质，联合体牵头人必须具备①资质</w:t>
            </w:r>
            <w:r>
              <w:rPr>
                <w:rFonts w:hint="eastAsia" w:asciiTheme="minorEastAsia" w:hAnsiTheme="minorEastAsia" w:eastAsiaTheme="minorEastAsia" w:cstheme="minorEastAsia"/>
                <w:color w:val="auto"/>
                <w:sz w:val="21"/>
                <w:szCs w:val="21"/>
                <w:highlight w:val="none"/>
              </w:rPr>
              <w:t>：</w:t>
            </w:r>
          </w:p>
          <w:p w14:paraId="53236109">
            <w:pPr>
              <w:pStyle w:val="45"/>
              <w:wordWrap w:val="0"/>
              <w:adjustRightInd w:val="0"/>
              <w:snapToGrid w:val="0"/>
              <w:spacing w:line="360" w:lineRule="auto"/>
              <w:ind w:firstLine="420" w:firstLineChars="20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①施工资质：具备建设行政主管部门颁发的</w:t>
            </w:r>
            <w:r>
              <w:rPr>
                <w:rFonts w:hint="eastAsia" w:ascii="宋体" w:hAnsi="宋体" w:eastAsia="宋体" w:cs="宋体"/>
                <w:color w:val="auto"/>
                <w:sz w:val="21"/>
                <w:szCs w:val="21"/>
                <w:highlight w:val="none"/>
              </w:rPr>
              <w:t>市政公用工程施工</w:t>
            </w:r>
            <w:r>
              <w:rPr>
                <w:rFonts w:hint="eastAsia" w:ascii="宋体" w:hAnsi="宋体" w:eastAsia="宋体" w:cs="宋体"/>
                <w:color w:val="auto"/>
                <w:sz w:val="21"/>
                <w:szCs w:val="21"/>
                <w:highlight w:val="none"/>
                <w:lang w:val="zh-CN"/>
              </w:rPr>
              <w:t>总承包</w:t>
            </w:r>
            <w:r>
              <w:rPr>
                <w:rFonts w:hint="eastAsia" w:ascii="宋体" w:hAnsi="宋体" w:eastAsia="宋体" w:cs="宋体"/>
                <w:color w:val="auto"/>
                <w:sz w:val="21"/>
                <w:szCs w:val="21"/>
                <w:highlight w:val="none"/>
              </w:rPr>
              <w:t>三</w:t>
            </w:r>
            <w:r>
              <w:rPr>
                <w:rFonts w:hint="eastAsia" w:ascii="宋体" w:hAnsi="宋体" w:eastAsia="宋体" w:cs="宋体"/>
                <w:color w:val="auto"/>
                <w:sz w:val="21"/>
                <w:szCs w:val="21"/>
                <w:highlight w:val="none"/>
                <w:lang w:val="zh-CN"/>
              </w:rPr>
              <w:t>级以上（含</w:t>
            </w:r>
            <w:r>
              <w:rPr>
                <w:rFonts w:hint="eastAsia" w:ascii="宋体" w:hAnsi="宋体" w:eastAsia="宋体" w:cs="宋体"/>
                <w:color w:val="auto"/>
                <w:sz w:val="21"/>
                <w:szCs w:val="21"/>
                <w:highlight w:val="none"/>
              </w:rPr>
              <w:t>三</w:t>
            </w:r>
            <w:r>
              <w:rPr>
                <w:rFonts w:hint="eastAsia" w:ascii="宋体" w:hAnsi="宋体" w:eastAsia="宋体" w:cs="宋体"/>
                <w:color w:val="auto"/>
                <w:sz w:val="21"/>
                <w:szCs w:val="21"/>
                <w:highlight w:val="none"/>
                <w:lang w:val="zh-CN"/>
              </w:rPr>
              <w:t>级）资质</w:t>
            </w:r>
            <w:r>
              <w:rPr>
                <w:rFonts w:hint="eastAsia" w:ascii="宋体" w:hAnsi="宋体" w:cs="宋体"/>
                <w:color w:val="auto"/>
                <w:sz w:val="21"/>
                <w:szCs w:val="21"/>
                <w:highlight w:val="none"/>
                <w:lang w:val="en-US" w:eastAsia="zh-CN"/>
              </w:rPr>
              <w:t>或建筑工程施工总承包三级以上（含三级）资质</w:t>
            </w:r>
            <w:r>
              <w:rPr>
                <w:rFonts w:hint="eastAsia" w:ascii="宋体" w:hAnsi="宋体" w:eastAsia="宋体" w:cs="宋体"/>
                <w:color w:val="auto"/>
                <w:sz w:val="21"/>
                <w:szCs w:val="21"/>
                <w:highlight w:val="none"/>
                <w:lang w:val="zh-CN"/>
              </w:rPr>
              <w:t>，并获得安全生产许可证的独立法人。</w:t>
            </w:r>
          </w:p>
          <w:p w14:paraId="691E3238">
            <w:pPr>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②设计资质必须具备建设行政主管部门颁发的以下“</w:t>
            </w:r>
            <w:r>
              <w:rPr>
                <w:rFonts w:hint="eastAsia" w:hAnsi="宋体" w:eastAsia="宋体" w:cs="宋体"/>
                <w:color w:val="auto"/>
                <w:sz w:val="21"/>
                <w:szCs w:val="21"/>
                <w:highlight w:val="none"/>
                <w:lang w:eastAsia="zh-CN"/>
              </w:rPr>
              <w:t>（</w:t>
            </w:r>
            <w:r>
              <w:rPr>
                <w:rFonts w:hint="eastAsia" w:hAnsi="宋体" w:eastAsia="宋体" w:cs="宋体"/>
                <w:color w:val="auto"/>
                <w:sz w:val="21"/>
                <w:szCs w:val="21"/>
                <w:highlight w:val="none"/>
                <w:lang w:val="en-US" w:eastAsia="zh-CN"/>
              </w:rPr>
              <w:t>1</w:t>
            </w:r>
            <w:r>
              <w:rPr>
                <w:rFonts w:hint="eastAsia"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”或“（2）”资质：</w:t>
            </w:r>
          </w:p>
          <w:p w14:paraId="0DC61707">
            <w:pPr>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（1）综合资质：工程设计综合甲级资质；</w:t>
            </w:r>
          </w:p>
          <w:p w14:paraId="491BEF7E">
            <w:pPr>
              <w:snapToGrid w:val="0"/>
              <w:spacing w:line="360" w:lineRule="auto"/>
              <w:ind w:firstLine="420" w:firstLineChars="20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w:t>
            </w:r>
            <w:r>
              <w:rPr>
                <w:rFonts w:hint="eastAsia" w:hAnsi="宋体" w:eastAsia="宋体" w:cs="宋体"/>
                <w:color w:val="auto"/>
                <w:sz w:val="21"/>
                <w:szCs w:val="21"/>
                <w:highlight w:val="none"/>
                <w:lang w:val="en-US" w:eastAsia="zh-CN"/>
              </w:rPr>
              <w:t>同时具备以下a、b资质：</w:t>
            </w:r>
          </w:p>
          <w:p w14:paraId="1A9966A5">
            <w:pPr>
              <w:snapToGrid w:val="0"/>
              <w:spacing w:line="360" w:lineRule="auto"/>
              <w:ind w:firstLine="420" w:firstLineChars="200"/>
              <w:rPr>
                <w:rFonts w:hint="eastAsia" w:ascii="宋体" w:hAnsi="宋体" w:eastAsia="宋体" w:cs="宋体"/>
                <w:color w:val="auto"/>
                <w:sz w:val="21"/>
                <w:szCs w:val="21"/>
                <w:highlight w:val="none"/>
              </w:rPr>
            </w:pPr>
            <w:r>
              <w:rPr>
                <w:rFonts w:hint="eastAsia" w:hAnsi="宋体" w:eastAsia="宋体" w:cs="宋体"/>
                <w:color w:val="auto"/>
                <w:sz w:val="21"/>
                <w:szCs w:val="21"/>
                <w:highlight w:val="none"/>
                <w:lang w:val="en-US" w:eastAsia="zh-CN"/>
              </w:rPr>
              <w:t>a、</w:t>
            </w:r>
            <w:r>
              <w:rPr>
                <w:rFonts w:hint="eastAsia" w:ascii="宋体" w:hAnsi="宋体" w:eastAsia="宋体" w:cs="宋体"/>
                <w:color w:val="auto"/>
                <w:sz w:val="21"/>
                <w:szCs w:val="21"/>
                <w:highlight w:val="none"/>
              </w:rPr>
              <w:t>市政行业资质之一：</w:t>
            </w:r>
          </w:p>
          <w:p w14:paraId="090D071D">
            <w:pPr>
              <w:snapToGrid w:val="0"/>
              <w:spacing w:line="360" w:lineRule="auto"/>
              <w:ind w:firstLine="420" w:firstLineChars="200"/>
              <w:rPr>
                <w:rFonts w:hint="eastAsia" w:ascii="宋体" w:hAnsi="宋体" w:eastAsia="宋体" w:cs="宋体"/>
                <w:color w:val="auto"/>
                <w:sz w:val="21"/>
                <w:szCs w:val="21"/>
                <w:highlight w:val="none"/>
              </w:rPr>
            </w:pPr>
            <w:r>
              <w:rPr>
                <w:rFonts w:hint="eastAsia"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工程设计市政行业乙级以上（含乙级）资质；</w:t>
            </w:r>
          </w:p>
          <w:p w14:paraId="299F990B">
            <w:pPr>
              <w:snapToGrid w:val="0"/>
              <w:spacing w:line="360" w:lineRule="auto"/>
              <w:ind w:firstLine="420" w:firstLineChars="200"/>
              <w:rPr>
                <w:rFonts w:hint="eastAsia" w:ascii="宋体" w:hAnsi="宋体" w:eastAsia="宋体" w:cs="宋体"/>
                <w:color w:val="auto"/>
                <w:sz w:val="21"/>
                <w:szCs w:val="21"/>
                <w:highlight w:val="none"/>
              </w:rPr>
            </w:pPr>
            <w:r>
              <w:rPr>
                <w:rFonts w:hint="eastAsia"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工程设计市政行业乙级（燃气工程、轨道交通工程除外）以上（含乙级）资质；</w:t>
            </w:r>
          </w:p>
          <w:p w14:paraId="25C7FB22">
            <w:pPr>
              <w:bidi w:val="0"/>
              <w:spacing w:line="360" w:lineRule="auto"/>
              <w:ind w:firstLine="420" w:firstLineChars="200"/>
              <w:rPr>
                <w:rFonts w:hint="eastAsia" w:eastAsia="宋体" w:asciiTheme="minorEastAsia" w:hAnsiTheme="minorEastAsia" w:cstheme="minorEastAsia"/>
                <w:color w:val="auto"/>
                <w:sz w:val="21"/>
                <w:szCs w:val="21"/>
                <w:highlight w:val="none"/>
                <w:lang w:eastAsia="zh-CN"/>
              </w:rPr>
            </w:pPr>
            <w:r>
              <w:rPr>
                <w:rFonts w:hint="eastAsia"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工程设计市政行业（道路工程）专业乙级以上（含乙级）资质</w:t>
            </w:r>
            <w:r>
              <w:rPr>
                <w:rFonts w:hint="eastAsia" w:asciiTheme="minorEastAsia" w:hAnsiTheme="minorEastAsia" w:eastAsiaTheme="minorEastAsia" w:cstheme="minorEastAsia"/>
                <w:color w:val="auto"/>
                <w:sz w:val="21"/>
                <w:szCs w:val="21"/>
                <w:highlight w:val="none"/>
                <w:lang w:eastAsia="zh-CN"/>
              </w:rPr>
              <w:t>；</w:t>
            </w:r>
          </w:p>
          <w:p w14:paraId="0FFD5F8B">
            <w:pPr>
              <w:snapToGrid w:val="0"/>
              <w:spacing w:line="360" w:lineRule="auto"/>
              <w:ind w:firstLine="420" w:firstLineChars="200"/>
              <w:rPr>
                <w:rFonts w:hint="eastAsia" w:ascii="宋体" w:hAnsi="宋体" w:eastAsia="宋体" w:cs="宋体"/>
                <w:color w:val="auto"/>
                <w:sz w:val="21"/>
                <w:szCs w:val="21"/>
                <w:highlight w:val="none"/>
              </w:rPr>
            </w:pPr>
            <w:r>
              <w:rPr>
                <w:rFonts w:hint="eastAsia" w:hAnsi="宋体" w:eastAsia="宋体" w:cs="宋体"/>
                <w:color w:val="auto"/>
                <w:sz w:val="21"/>
                <w:szCs w:val="21"/>
                <w:highlight w:val="none"/>
                <w:lang w:val="en-US" w:eastAsia="zh-CN"/>
              </w:rPr>
              <w:t>b、</w:t>
            </w:r>
            <w:r>
              <w:rPr>
                <w:rFonts w:hint="eastAsia" w:ascii="宋体" w:hAnsi="宋体" w:eastAsia="宋体" w:cs="宋体"/>
                <w:color w:val="auto"/>
                <w:sz w:val="21"/>
                <w:szCs w:val="21"/>
                <w:highlight w:val="none"/>
                <w:lang w:val="en-US" w:eastAsia="zh-CN"/>
              </w:rPr>
              <w:t>建筑</w:t>
            </w:r>
            <w:r>
              <w:rPr>
                <w:rFonts w:hint="eastAsia" w:ascii="宋体" w:hAnsi="宋体" w:eastAsia="宋体" w:cs="宋体"/>
                <w:color w:val="auto"/>
                <w:sz w:val="21"/>
                <w:szCs w:val="21"/>
                <w:highlight w:val="none"/>
              </w:rPr>
              <w:t>行业资质之一：</w:t>
            </w:r>
          </w:p>
          <w:p w14:paraId="653F04EF">
            <w:pPr>
              <w:bidi w:val="0"/>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工程设计建筑行业</w:t>
            </w:r>
            <w:bookmarkStart w:id="10" w:name="OLE_LINK12"/>
            <w:r>
              <w:rPr>
                <w:rFonts w:hint="eastAsia" w:asciiTheme="minorEastAsia" w:hAnsiTheme="minorEastAsia" w:eastAsiaTheme="minorEastAsia" w:cstheme="minorEastAsia"/>
                <w:color w:val="auto"/>
                <w:sz w:val="21"/>
                <w:szCs w:val="21"/>
                <w:highlight w:val="none"/>
              </w:rPr>
              <w:t>乙级以上（含乙级）资</w:t>
            </w:r>
            <w:bookmarkEnd w:id="10"/>
            <w:r>
              <w:rPr>
                <w:rFonts w:hint="eastAsia" w:asciiTheme="minorEastAsia" w:hAnsiTheme="minorEastAsia" w:eastAsiaTheme="minorEastAsia" w:cstheme="minorEastAsia"/>
                <w:color w:val="auto"/>
                <w:sz w:val="21"/>
                <w:szCs w:val="21"/>
                <w:highlight w:val="none"/>
              </w:rPr>
              <w:t>质；</w:t>
            </w:r>
          </w:p>
          <w:p w14:paraId="073E2AC8">
            <w:pPr>
              <w:bidi w:val="0"/>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工程设计建筑行业（建筑工程）专业乙级以上（含乙级）资质。</w:t>
            </w:r>
          </w:p>
          <w:p w14:paraId="7D587A63">
            <w:pPr>
              <w:snapToGrid w:val="0"/>
              <w:spacing w:line="360" w:lineRule="auto"/>
              <w:ind w:left="120" w:leftChars="50" w:firstLine="420" w:firstLineChars="200"/>
              <w:rPr>
                <w:rFonts w:hint="default" w:hAnsi="宋体" w:eastAsia="宋体" w:cs="宋体"/>
                <w:color w:val="auto"/>
                <w:sz w:val="21"/>
                <w:szCs w:val="21"/>
                <w:highlight w:val="none"/>
                <w:lang w:val="zh-CN"/>
              </w:rPr>
            </w:pPr>
            <w:r>
              <w:rPr>
                <w:rFonts w:hAnsi="宋体" w:eastAsia="宋体" w:cs="宋体"/>
                <w:color w:val="auto"/>
                <w:sz w:val="21"/>
                <w:szCs w:val="21"/>
                <w:highlight w:val="none"/>
                <w:lang w:val="zh-CN"/>
              </w:rPr>
              <w:t>注：投标人若不具备相应勘察资质的，则在中标后，由中标单位委托有相应资质的单位完成本工程的勘察工作。</w:t>
            </w:r>
          </w:p>
          <w:p w14:paraId="4BFF5F85">
            <w:pPr>
              <w:pStyle w:val="45"/>
              <w:wordWrap w:val="0"/>
              <w:adjustRightInd w:val="0"/>
              <w:snapToGrid w:val="0"/>
              <w:spacing w:line="360" w:lineRule="auto"/>
              <w:ind w:firstLine="480"/>
              <w:jc w:val="left"/>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2.4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7008CF96">
            <w:pPr>
              <w:pStyle w:val="45"/>
              <w:wordWrap w:val="0"/>
              <w:adjustRightInd w:val="0"/>
              <w:snapToGrid w:val="0"/>
              <w:spacing w:line="360" w:lineRule="auto"/>
              <w:ind w:firstLine="480"/>
              <w:jc w:val="left"/>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3．相关人员要求</w:t>
            </w:r>
          </w:p>
          <w:p w14:paraId="077539E8">
            <w:pPr>
              <w:pStyle w:val="45"/>
              <w:wordWrap w:val="0"/>
              <w:adjustRightInd w:val="0"/>
              <w:snapToGrid w:val="0"/>
              <w:spacing w:line="360" w:lineRule="auto"/>
              <w:ind w:firstLine="420" w:firstLineChars="200"/>
              <w:jc w:val="left"/>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3.1</w:t>
            </w:r>
            <w:bookmarkStart w:id="11" w:name="OLE_LINK29"/>
            <w:r>
              <w:rPr>
                <w:rFonts w:hint="eastAsia" w:asciiTheme="minorEastAsia" w:hAnsiTheme="minorEastAsia" w:eastAsiaTheme="minorEastAsia" w:cstheme="minorEastAsia"/>
                <w:snapToGrid w:val="0"/>
                <w:color w:val="auto"/>
                <w:kern w:val="0"/>
                <w:sz w:val="21"/>
                <w:szCs w:val="21"/>
                <w:highlight w:val="none"/>
              </w:rPr>
              <w:t>拟派项目经理为具有</w:t>
            </w:r>
            <w:r>
              <w:rPr>
                <w:rFonts w:hint="eastAsia" w:asciiTheme="minorEastAsia" w:hAnsiTheme="minorEastAsia" w:eastAsiaTheme="minorEastAsia" w:cstheme="minorEastAsia"/>
                <w:snapToGrid w:val="0"/>
                <w:color w:val="auto"/>
                <w:kern w:val="0"/>
                <w:sz w:val="21"/>
                <w:szCs w:val="21"/>
                <w:highlight w:val="none"/>
                <w:u w:val="single"/>
              </w:rPr>
              <w:t>市政公用工程</w:t>
            </w:r>
            <w:r>
              <w:rPr>
                <w:rFonts w:hint="eastAsia" w:asciiTheme="minorEastAsia" w:hAnsiTheme="minorEastAsia" w:eastAsiaTheme="minorEastAsia" w:cstheme="minorEastAsia"/>
                <w:snapToGrid w:val="0"/>
                <w:color w:val="auto"/>
                <w:kern w:val="0"/>
                <w:sz w:val="21"/>
                <w:szCs w:val="21"/>
                <w:highlight w:val="none"/>
                <w:u w:val="single"/>
                <w:lang w:val="en-US" w:eastAsia="zh-CN"/>
              </w:rPr>
              <w:t>或建筑工程</w:t>
            </w:r>
            <w:r>
              <w:rPr>
                <w:rFonts w:hint="eastAsia" w:asciiTheme="minorEastAsia" w:hAnsiTheme="minorEastAsia" w:eastAsiaTheme="minorEastAsia" w:cstheme="minorEastAsia"/>
                <w:snapToGrid w:val="0"/>
                <w:color w:val="auto"/>
                <w:kern w:val="0"/>
                <w:sz w:val="21"/>
                <w:szCs w:val="21"/>
                <w:highlight w:val="none"/>
              </w:rPr>
              <w:t>专业一级或二级注册建造师，应持有住建部门印发的在使用有效期内的有效电子注册证书（根据广东省住房和城乡建设厅（粤建市函〔2023〕469号）文件精神，二级注册建造师可随注册企业在全国范围内执业）。同时均须具备有效安全生产考核合格证明（B证），且未担任其他在施（包括已中标未开工、已建成未竣工）建设工程项目的项目经理</w:t>
            </w:r>
            <w:bookmarkEnd w:id="11"/>
            <w:r>
              <w:rPr>
                <w:rFonts w:hint="eastAsia" w:asciiTheme="minorEastAsia" w:hAnsiTheme="minorEastAsia" w:eastAsiaTheme="minorEastAsia" w:cstheme="minorEastAsia"/>
                <w:snapToGrid w:val="0"/>
                <w:color w:val="auto"/>
                <w:kern w:val="0"/>
                <w:sz w:val="21"/>
                <w:szCs w:val="21"/>
                <w:highlight w:val="none"/>
              </w:rPr>
              <w:t>。</w:t>
            </w:r>
          </w:p>
          <w:p w14:paraId="20265CA8">
            <w:pPr>
              <w:pStyle w:val="45"/>
              <w:wordWrap w:val="0"/>
              <w:adjustRightInd w:val="0"/>
              <w:snapToGrid w:val="0"/>
              <w:spacing w:line="360" w:lineRule="auto"/>
              <w:jc w:val="left"/>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3.2拟派项目技术负责人须具备</w:t>
            </w:r>
            <w:bookmarkStart w:id="12" w:name="OLE_LINK11"/>
            <w:r>
              <w:rPr>
                <w:rFonts w:hint="eastAsia" w:ascii="宋体" w:hAnsi="宋体" w:eastAsia="宋体" w:cs="宋体"/>
                <w:snapToGrid w:val="0"/>
                <w:color w:val="auto"/>
                <w:kern w:val="0"/>
                <w:sz w:val="21"/>
                <w:szCs w:val="21"/>
                <w:highlight w:val="none"/>
                <w:u w:val="single"/>
              </w:rPr>
              <w:t xml:space="preserve"> 中 </w:t>
            </w:r>
            <w:r>
              <w:rPr>
                <w:rFonts w:hint="eastAsia" w:ascii="宋体" w:hAnsi="宋体" w:eastAsia="宋体" w:cs="宋体"/>
                <w:snapToGrid w:val="0"/>
                <w:color w:val="auto"/>
                <w:kern w:val="0"/>
                <w:sz w:val="21"/>
                <w:szCs w:val="21"/>
                <w:highlight w:val="none"/>
              </w:rPr>
              <w:t>级以上（含中级）</w:t>
            </w:r>
            <w:bookmarkEnd w:id="12"/>
            <w:r>
              <w:rPr>
                <w:rFonts w:hint="eastAsia" w:ascii="宋体" w:hAnsi="宋体" w:eastAsia="宋体" w:cs="宋体"/>
                <w:snapToGrid w:val="0"/>
                <w:color w:val="auto"/>
                <w:kern w:val="0"/>
                <w:sz w:val="21"/>
                <w:szCs w:val="21"/>
                <w:highlight w:val="none"/>
              </w:rPr>
              <w:t>技术职称</w:t>
            </w:r>
            <w:r>
              <w:rPr>
                <w:rFonts w:hint="eastAsia" w:ascii="宋体" w:hAnsi="宋体" w:eastAsia="宋体" w:cs="宋体"/>
                <w:snapToGrid w:val="0"/>
                <w:color w:val="auto"/>
                <w:kern w:val="0"/>
                <w:sz w:val="21"/>
                <w:szCs w:val="21"/>
                <w:highlight w:val="none"/>
                <w:lang w:eastAsia="zh-CN"/>
              </w:rPr>
              <w:t>。</w:t>
            </w:r>
          </w:p>
          <w:p w14:paraId="6B60A169">
            <w:pPr>
              <w:pStyle w:val="45"/>
              <w:wordWrap w:val="0"/>
              <w:adjustRightInd w:val="0"/>
              <w:snapToGrid w:val="0"/>
              <w:spacing w:line="360" w:lineRule="auto"/>
              <w:jc w:val="left"/>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3.3</w:t>
            </w:r>
            <w:bookmarkStart w:id="13" w:name="OLE_LINK30"/>
            <w:r>
              <w:rPr>
                <w:rFonts w:hint="eastAsia" w:asciiTheme="minorEastAsia" w:hAnsiTheme="minorEastAsia" w:eastAsiaTheme="minorEastAsia" w:cstheme="minorEastAsia"/>
                <w:color w:val="auto"/>
                <w:sz w:val="21"/>
                <w:szCs w:val="21"/>
                <w:highlight w:val="none"/>
              </w:rPr>
              <w:t>拟派专职安全生产管理人员须具备有效安全生产考核合格证明（C证，安全生产考核合格证书或广东省建筑施工企业管理人员安全生产考核系统考核合格信息打印页），且不少于</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人。</w:t>
            </w:r>
            <w:bookmarkEnd w:id="13"/>
          </w:p>
          <w:p w14:paraId="00155998">
            <w:pPr>
              <w:pStyle w:val="45"/>
              <w:wordWrap w:val="0"/>
              <w:adjustRightInd w:val="0"/>
              <w:snapToGrid w:val="0"/>
              <w:spacing w:line="360" w:lineRule="auto"/>
              <w:ind w:firstLine="420" w:firstLineChars="200"/>
              <w:jc w:val="left"/>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3.4</w:t>
            </w:r>
            <w:bookmarkStart w:id="14" w:name="OLE_LINK31"/>
            <w:r>
              <w:rPr>
                <w:rFonts w:hint="eastAsia" w:asciiTheme="minorEastAsia" w:hAnsiTheme="minorEastAsia" w:eastAsiaTheme="minorEastAsia" w:cstheme="minorEastAsia"/>
                <w:color w:val="auto"/>
                <w:sz w:val="21"/>
                <w:szCs w:val="21"/>
                <w:highlight w:val="none"/>
              </w:rPr>
              <w:t>拟派项目设计负责人须具备市政类</w:t>
            </w:r>
            <w:r>
              <w:rPr>
                <w:rFonts w:hint="eastAsia" w:asciiTheme="minorEastAsia" w:hAnsiTheme="minorEastAsia" w:eastAsiaTheme="minorEastAsia" w:cstheme="minorEastAsia"/>
                <w:color w:val="auto"/>
                <w:sz w:val="21"/>
                <w:szCs w:val="21"/>
                <w:highlight w:val="none"/>
                <w:lang w:val="en-US" w:eastAsia="zh-CN"/>
              </w:rPr>
              <w:t>或建筑类</w:t>
            </w:r>
            <w:r>
              <w:rPr>
                <w:rFonts w:hint="eastAsia" w:asciiTheme="minorEastAsia" w:hAnsiTheme="minorEastAsia" w:eastAsiaTheme="minorEastAsia" w:cstheme="minorEastAsia"/>
                <w:color w:val="auto"/>
                <w:sz w:val="21"/>
                <w:szCs w:val="21"/>
                <w:highlight w:val="none"/>
              </w:rPr>
              <w:t>相关专业工程师或以上职称。</w:t>
            </w:r>
          </w:p>
          <w:bookmarkEnd w:id="14"/>
          <w:p w14:paraId="46D4C7BF">
            <w:pPr>
              <w:pStyle w:val="45"/>
              <w:wordWrap w:val="0"/>
              <w:adjustRightInd w:val="0"/>
              <w:snapToGrid w:val="0"/>
              <w:spacing w:line="360" w:lineRule="auto"/>
              <w:ind w:firstLine="420" w:firstLineChars="200"/>
              <w:jc w:val="left"/>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3.5投标人（包括组成联合体的所有成员单位）与其拟派往本项目管理机构的所有人员之间必须具备合法、唯一的劳动聘用关系。拟派人员中具备注册执业资格的，其注册单位须与投标人保持一致。</w:t>
            </w:r>
          </w:p>
          <w:p w14:paraId="10AB46C3">
            <w:pPr>
              <w:wordWrap w:val="0"/>
              <w:adjustRightInd w:val="0"/>
              <w:snapToGrid w:val="0"/>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4．禁止投标条款：</w:t>
            </w:r>
          </w:p>
          <w:p w14:paraId="524200AC">
            <w:pPr>
              <w:wordWrap w:val="0"/>
              <w:adjustRightInd w:val="0"/>
              <w:snapToGrid w:val="0"/>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4.1．投标人不得存在下列情形之一：</w:t>
            </w:r>
          </w:p>
          <w:p w14:paraId="025150B1">
            <w:pPr>
              <w:wordWrap w:val="0"/>
              <w:adjustRightInd w:val="0"/>
              <w:snapToGrid w:val="0"/>
              <w:spacing w:line="360" w:lineRule="auto"/>
              <w:ind w:firstLine="210" w:firstLine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（1）为招标人不具有独立法人资格的附属机构（单位）；</w:t>
            </w:r>
          </w:p>
          <w:p w14:paraId="187B04EF">
            <w:pPr>
              <w:wordWrap w:val="0"/>
              <w:adjustRightInd w:val="0"/>
              <w:snapToGrid w:val="0"/>
              <w:spacing w:line="360" w:lineRule="auto"/>
              <w:ind w:firstLine="210" w:firstLine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（2）为本招标项目前期准备提供咨询服务的；</w:t>
            </w:r>
          </w:p>
          <w:p w14:paraId="503474F2">
            <w:pPr>
              <w:wordWrap w:val="0"/>
              <w:adjustRightInd w:val="0"/>
              <w:snapToGrid w:val="0"/>
              <w:spacing w:line="360" w:lineRule="auto"/>
              <w:ind w:firstLine="210" w:firstLine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（3）与本招标项目的其他投标人为同一个单位负责人；</w:t>
            </w:r>
          </w:p>
          <w:p w14:paraId="48F0149E">
            <w:pPr>
              <w:wordWrap w:val="0"/>
              <w:adjustRightInd w:val="0"/>
              <w:snapToGrid w:val="0"/>
              <w:spacing w:line="360" w:lineRule="auto"/>
              <w:ind w:firstLine="210" w:firstLine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（4）与本招标项目的其他投标人存在控股、管理关系；</w:t>
            </w:r>
          </w:p>
          <w:p w14:paraId="138A5222">
            <w:pPr>
              <w:wordWrap w:val="0"/>
              <w:adjustRightInd w:val="0"/>
              <w:snapToGrid w:val="0"/>
              <w:spacing w:line="360" w:lineRule="auto"/>
              <w:ind w:firstLine="210" w:firstLine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（5）为本招标项目的监理人；</w:t>
            </w:r>
          </w:p>
          <w:p w14:paraId="13A25CA5">
            <w:pPr>
              <w:wordWrap w:val="0"/>
              <w:adjustRightInd w:val="0"/>
              <w:snapToGrid w:val="0"/>
              <w:spacing w:line="360" w:lineRule="auto"/>
              <w:ind w:firstLine="210" w:firstLine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（6）为本招标项目的代建人；</w:t>
            </w:r>
          </w:p>
          <w:p w14:paraId="034D6213">
            <w:pPr>
              <w:wordWrap w:val="0"/>
              <w:adjustRightInd w:val="0"/>
              <w:snapToGrid w:val="0"/>
              <w:spacing w:line="360" w:lineRule="auto"/>
              <w:ind w:firstLine="210" w:firstLine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（7）为本招标项目的招标代理机构；</w:t>
            </w:r>
          </w:p>
          <w:p w14:paraId="7D0C60D0">
            <w:pPr>
              <w:wordWrap w:val="0"/>
              <w:adjustRightInd w:val="0"/>
              <w:snapToGrid w:val="0"/>
              <w:spacing w:line="360" w:lineRule="auto"/>
              <w:ind w:firstLine="210" w:firstLine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（8）与本招标项目的监理人或代建人或招标代理机构同为一个法定代表人；</w:t>
            </w:r>
          </w:p>
          <w:p w14:paraId="3B9837B9">
            <w:pPr>
              <w:wordWrap w:val="0"/>
              <w:adjustRightInd w:val="0"/>
              <w:snapToGrid w:val="0"/>
              <w:spacing w:line="360" w:lineRule="auto"/>
              <w:ind w:firstLine="210" w:firstLine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（9）与本招标项目的监理人或代建人或招标代理机构存在控股或参股关系；</w:t>
            </w:r>
          </w:p>
          <w:p w14:paraId="098E0BFE">
            <w:pPr>
              <w:wordWrap w:val="0"/>
              <w:adjustRightInd w:val="0"/>
              <w:snapToGrid w:val="0"/>
              <w:spacing w:line="360" w:lineRule="auto"/>
              <w:ind w:firstLine="210" w:firstLine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（10）与本招标项目的监理人或代建人或招标代理机构存在相互任职或工作关系；</w:t>
            </w:r>
          </w:p>
          <w:p w14:paraId="33BFFF0C">
            <w:pPr>
              <w:wordWrap w:val="0"/>
              <w:adjustRightInd w:val="0"/>
              <w:snapToGrid w:val="0"/>
              <w:spacing w:line="360" w:lineRule="auto"/>
              <w:ind w:firstLine="210" w:firstLine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（11）被依法暂停或者取消投标资格；</w:t>
            </w:r>
          </w:p>
          <w:p w14:paraId="276C09F3">
            <w:pPr>
              <w:wordWrap w:val="0"/>
              <w:adjustRightInd w:val="0"/>
              <w:snapToGrid w:val="0"/>
              <w:spacing w:line="360" w:lineRule="auto"/>
              <w:ind w:firstLine="210" w:firstLine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（12）被责令停产停业、暂扣或者吊销许可证、暂扣或者吊销执照；</w:t>
            </w:r>
          </w:p>
          <w:p w14:paraId="14A05645">
            <w:pPr>
              <w:wordWrap w:val="0"/>
              <w:adjustRightInd w:val="0"/>
              <w:snapToGrid w:val="0"/>
              <w:spacing w:line="360" w:lineRule="auto"/>
              <w:ind w:left="240" w:left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（13）进入清算程序，或被宣告破产，或其他丧失履约能力的情形；</w:t>
            </w:r>
          </w:p>
          <w:p w14:paraId="35C94C4E">
            <w:pPr>
              <w:wordWrap w:val="0"/>
              <w:adjustRightInd w:val="0"/>
              <w:snapToGrid w:val="0"/>
              <w:spacing w:line="360" w:lineRule="auto"/>
              <w:ind w:left="240" w:left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（14）在最近三年内发生重大工程质量或安全问题（以相关行业主管部门的行政处罚决定或司法机关出具的有关法律文书为准）；</w:t>
            </w:r>
          </w:p>
          <w:p w14:paraId="54616134">
            <w:pPr>
              <w:wordWrap w:val="0"/>
              <w:adjustRightInd w:val="0"/>
              <w:snapToGrid w:val="0"/>
              <w:spacing w:line="360" w:lineRule="auto"/>
              <w:ind w:firstLine="210" w:firstLine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（15）被“信用中国”网站（https://www.creditchina.gov.cn）发布的《法人和非法人组织公共信用信息报告》列入严重失信主体名单的。</w:t>
            </w:r>
          </w:p>
          <w:p w14:paraId="530C1AAA">
            <w:pPr>
              <w:wordWrap w:val="0"/>
              <w:adjustRightInd w:val="0"/>
              <w:snapToGrid w:val="0"/>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4.2．招标人拒绝以下名单中的单位参加本次投标：</w:t>
            </w:r>
          </w:p>
          <w:tbl>
            <w:tblPr>
              <w:tblStyle w:val="24"/>
              <w:tblW w:w="0" w:type="auto"/>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3577"/>
              <w:gridCol w:w="3180"/>
            </w:tblGrid>
            <w:tr w14:paraId="7E285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662" w:type="dxa"/>
                  <w:noWrap/>
                  <w:vAlign w:val="center"/>
                </w:tcPr>
                <w:p w14:paraId="7B9465E9">
                  <w:pPr>
                    <w:bidi w:val="0"/>
                    <w:spacing w:line="240" w:lineRule="auto"/>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序号</w:t>
                  </w:r>
                </w:p>
              </w:tc>
              <w:tc>
                <w:tcPr>
                  <w:tcW w:w="3577" w:type="dxa"/>
                  <w:noWrap/>
                  <w:vAlign w:val="center"/>
                </w:tcPr>
                <w:p w14:paraId="6D3F82BE">
                  <w:pPr>
                    <w:bidi w:val="0"/>
                    <w:spacing w:line="240" w:lineRule="auto"/>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单位名称</w:t>
                  </w:r>
                </w:p>
              </w:tc>
              <w:tc>
                <w:tcPr>
                  <w:tcW w:w="3180" w:type="dxa"/>
                  <w:noWrap/>
                  <w:vAlign w:val="center"/>
                </w:tcPr>
                <w:p w14:paraId="4886E9AB">
                  <w:pPr>
                    <w:bidi w:val="0"/>
                    <w:spacing w:line="240" w:lineRule="auto"/>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拒绝原因</w:t>
                  </w:r>
                </w:p>
              </w:tc>
            </w:tr>
            <w:tr w14:paraId="01C9A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662" w:type="dxa"/>
                  <w:noWrap/>
                  <w:vAlign w:val="center"/>
                </w:tcPr>
                <w:p w14:paraId="4CA6AB90">
                  <w:pPr>
                    <w:pageBreakBefore w:val="0"/>
                    <w:topLinePunct w:val="0"/>
                    <w:bidi w:val="0"/>
                    <w:spacing w:line="360" w:lineRule="exact"/>
                    <w:jc w:val="center"/>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sz w:val="21"/>
                      <w:szCs w:val="21"/>
                    </w:rPr>
                    <w:t>1</w:t>
                  </w:r>
                </w:p>
              </w:tc>
              <w:tc>
                <w:tcPr>
                  <w:tcW w:w="3577" w:type="dxa"/>
                  <w:noWrap/>
                  <w:vAlign w:val="center"/>
                </w:tcPr>
                <w:p w14:paraId="0122A614">
                  <w:pPr>
                    <w:bidi w:val="0"/>
                    <w:spacing w:line="240" w:lineRule="auto"/>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sz w:val="21"/>
                      <w:szCs w:val="21"/>
                      <w:highlight w:val="none"/>
                    </w:rPr>
                    <w:t>南雄市黄坑镇人民政府</w:t>
                  </w:r>
                </w:p>
              </w:tc>
              <w:tc>
                <w:tcPr>
                  <w:tcW w:w="3180" w:type="dxa"/>
                  <w:noWrap/>
                  <w:vAlign w:val="center"/>
                </w:tcPr>
                <w:p w14:paraId="3DDA3F93">
                  <w:pPr>
                    <w:bidi w:val="0"/>
                    <w:spacing w:line="240" w:lineRule="auto"/>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sz w:val="21"/>
                      <w:szCs w:val="21"/>
                      <w:highlight w:val="none"/>
                    </w:rPr>
                    <w:t>为本招标项目的招标人</w:t>
                  </w:r>
                </w:p>
              </w:tc>
            </w:tr>
            <w:tr w14:paraId="0A97B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662" w:type="dxa"/>
                  <w:shd w:val="clear" w:color="auto" w:fill="auto"/>
                  <w:noWrap/>
                  <w:vAlign w:val="center"/>
                </w:tcPr>
                <w:p w14:paraId="7D4FA445">
                  <w:pPr>
                    <w:pageBreakBefore w:val="0"/>
                    <w:topLinePunct w:val="0"/>
                    <w:bidi w:val="0"/>
                    <w:spacing w:line="360" w:lineRule="exact"/>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sz w:val="21"/>
                      <w:szCs w:val="21"/>
                    </w:rPr>
                    <w:t>2</w:t>
                  </w:r>
                </w:p>
              </w:tc>
              <w:tc>
                <w:tcPr>
                  <w:tcW w:w="3577" w:type="dxa"/>
                  <w:noWrap/>
                  <w:vAlign w:val="center"/>
                </w:tcPr>
                <w:p w14:paraId="5C2773F1">
                  <w:pPr>
                    <w:bidi w:val="0"/>
                    <w:spacing w:line="240" w:lineRule="auto"/>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sz w:val="21"/>
                      <w:szCs w:val="21"/>
                      <w:highlight w:val="none"/>
                      <w:lang w:val="en-US" w:eastAsia="zh-CN"/>
                    </w:rPr>
                    <w:t>中庚工程技术有限公司</w:t>
                  </w:r>
                </w:p>
              </w:tc>
              <w:tc>
                <w:tcPr>
                  <w:tcW w:w="3180" w:type="dxa"/>
                  <w:noWrap/>
                  <w:vAlign w:val="center"/>
                </w:tcPr>
                <w:p w14:paraId="0F31FC17">
                  <w:pPr>
                    <w:bidi w:val="0"/>
                    <w:spacing w:line="240" w:lineRule="auto"/>
                    <w:rPr>
                      <w:rFonts w:hint="default" w:asciiTheme="minorEastAsia" w:hAnsiTheme="minorEastAsia" w:eastAsiaTheme="minorEastAsia" w:cstheme="minorEastAsia"/>
                      <w:color w:val="auto"/>
                      <w:sz w:val="21"/>
                      <w:szCs w:val="21"/>
                      <w:highlight w:val="none"/>
                      <w:lang w:val="en-US" w:eastAsia="zh-CN"/>
                    </w:rPr>
                  </w:pPr>
                  <w:r>
                    <w:rPr>
                      <w:rFonts w:hint="eastAsia" w:ascii="宋体" w:hAnsi="宋体" w:eastAsia="宋体" w:cs="宋体"/>
                      <w:color w:val="auto"/>
                      <w:sz w:val="21"/>
                      <w:szCs w:val="21"/>
                      <w:highlight w:val="none"/>
                    </w:rPr>
                    <w:t>为本招标项目的</w:t>
                  </w:r>
                  <w:r>
                    <w:rPr>
                      <w:rFonts w:hint="eastAsia" w:ascii="宋体" w:hAnsi="宋体" w:eastAsia="宋体" w:cs="宋体"/>
                      <w:color w:val="auto"/>
                      <w:sz w:val="21"/>
                      <w:szCs w:val="21"/>
                      <w:highlight w:val="none"/>
                      <w:lang w:val="en-US" w:eastAsia="zh-CN"/>
                    </w:rPr>
                    <w:t>初步设计单位</w:t>
                  </w:r>
                </w:p>
              </w:tc>
            </w:tr>
            <w:tr w14:paraId="1BC32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662" w:type="dxa"/>
                  <w:shd w:val="clear" w:color="auto" w:fill="auto"/>
                  <w:noWrap/>
                  <w:vAlign w:val="center"/>
                </w:tcPr>
                <w:p w14:paraId="76F96A2D">
                  <w:pPr>
                    <w:pageBreakBefore w:val="0"/>
                    <w:topLinePunct w:val="0"/>
                    <w:bidi w:val="0"/>
                    <w:spacing w:line="360" w:lineRule="exact"/>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sz w:val="21"/>
                      <w:szCs w:val="21"/>
                    </w:rPr>
                    <w:t>3</w:t>
                  </w:r>
                </w:p>
              </w:tc>
              <w:tc>
                <w:tcPr>
                  <w:tcW w:w="3577" w:type="dxa"/>
                  <w:shd w:val="clear" w:color="auto" w:fill="auto"/>
                  <w:noWrap/>
                  <w:vAlign w:val="center"/>
                </w:tcPr>
                <w:p w14:paraId="7D2110A8">
                  <w:pPr>
                    <w:bidi w:val="0"/>
                    <w:spacing w:line="240" w:lineRule="auto"/>
                    <w:rPr>
                      <w:rFonts w:hint="eastAsia" w:asciiTheme="minorEastAsia" w:hAnsiTheme="minorEastAsia" w:eastAsiaTheme="minorEastAsia" w:cstheme="minorEastAsia"/>
                      <w:color w:val="auto"/>
                      <w:sz w:val="21"/>
                      <w:szCs w:val="21"/>
                      <w:highlight w:val="none"/>
                      <w:lang w:eastAsia="zh-CN"/>
                    </w:rPr>
                  </w:pPr>
                  <w:r>
                    <w:rPr>
                      <w:rFonts w:hint="eastAsia" w:ascii="宋体" w:hAnsi="宋体" w:eastAsia="宋体" w:cs="宋体"/>
                      <w:sz w:val="21"/>
                      <w:szCs w:val="21"/>
                      <w:lang w:val="en-US" w:eastAsia="zh-CN"/>
                    </w:rPr>
                    <w:t>中咨管理顾问有限责任公司</w:t>
                  </w:r>
                </w:p>
              </w:tc>
              <w:tc>
                <w:tcPr>
                  <w:tcW w:w="3180" w:type="dxa"/>
                  <w:shd w:val="clear" w:color="auto" w:fill="auto"/>
                  <w:noWrap/>
                  <w:vAlign w:val="center"/>
                </w:tcPr>
                <w:p w14:paraId="23A6CF9A">
                  <w:pPr>
                    <w:bidi w:val="0"/>
                    <w:spacing w:line="240" w:lineRule="auto"/>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color w:val="auto"/>
                      <w:sz w:val="21"/>
                      <w:szCs w:val="21"/>
                      <w:highlight w:val="none"/>
                    </w:rPr>
                    <w:t>为本招标项目的可行性研究报告</w:t>
                  </w:r>
                  <w:r>
                    <w:rPr>
                      <w:rFonts w:hint="eastAsia" w:ascii="宋体" w:hAnsi="宋体" w:eastAsia="宋体" w:cs="宋体"/>
                      <w:color w:val="auto"/>
                      <w:sz w:val="21"/>
                      <w:szCs w:val="21"/>
                      <w:highlight w:val="none"/>
                      <w:lang w:val="en-US" w:eastAsia="zh-CN"/>
                    </w:rPr>
                    <w:t>编制</w:t>
                  </w:r>
                  <w:r>
                    <w:rPr>
                      <w:rFonts w:hint="eastAsia" w:ascii="宋体" w:hAnsi="宋体" w:eastAsia="宋体" w:cs="宋体"/>
                      <w:color w:val="auto"/>
                      <w:sz w:val="21"/>
                      <w:szCs w:val="21"/>
                      <w:highlight w:val="none"/>
                    </w:rPr>
                    <w:t>单位</w:t>
                  </w:r>
                </w:p>
              </w:tc>
            </w:tr>
            <w:tr w14:paraId="5AA84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662" w:type="dxa"/>
                  <w:shd w:val="clear" w:color="auto" w:fill="auto"/>
                  <w:noWrap/>
                  <w:vAlign w:val="center"/>
                </w:tcPr>
                <w:p w14:paraId="32F1FCB6">
                  <w:pPr>
                    <w:pageBreakBefore w:val="0"/>
                    <w:topLinePunct w:val="0"/>
                    <w:bidi w:val="0"/>
                    <w:spacing w:line="360" w:lineRule="exact"/>
                    <w:jc w:val="center"/>
                    <w:rPr>
                      <w:rFonts w:hint="eastAsia" w:asciiTheme="minorEastAsia" w:hAnsiTheme="minorEastAsia" w:eastAsiaTheme="minorEastAsia" w:cstheme="minorEastAsia"/>
                      <w:color w:val="auto"/>
                      <w:sz w:val="21"/>
                      <w:szCs w:val="21"/>
                      <w:highlight w:val="none"/>
                    </w:rPr>
                  </w:pPr>
                  <w:bookmarkStart w:id="15" w:name="OLE_LINK26" w:colFirst="2" w:colLast="2"/>
                  <w:r>
                    <w:rPr>
                      <w:rFonts w:hint="eastAsia" w:ascii="宋体" w:hAnsi="宋体" w:eastAsia="宋体" w:cs="宋体"/>
                      <w:sz w:val="21"/>
                      <w:szCs w:val="21"/>
                    </w:rPr>
                    <w:t>4</w:t>
                  </w:r>
                </w:p>
              </w:tc>
              <w:tc>
                <w:tcPr>
                  <w:tcW w:w="3577" w:type="dxa"/>
                  <w:shd w:val="clear" w:color="auto" w:fill="auto"/>
                  <w:noWrap/>
                  <w:vAlign w:val="center"/>
                </w:tcPr>
                <w:p w14:paraId="6F6DF900">
                  <w:pPr>
                    <w:bidi w:val="0"/>
                    <w:spacing w:line="240" w:lineRule="auto"/>
                    <w:rPr>
                      <w:rFonts w:hint="eastAsia" w:asciiTheme="minorEastAsia" w:hAnsiTheme="minorEastAsia" w:eastAsiaTheme="minorEastAsia" w:cstheme="minorEastAsia"/>
                      <w:color w:val="auto"/>
                      <w:sz w:val="21"/>
                      <w:szCs w:val="21"/>
                      <w:highlight w:val="none"/>
                      <w:lang w:eastAsia="zh-CN"/>
                    </w:rPr>
                  </w:pPr>
                  <w:r>
                    <w:rPr>
                      <w:rFonts w:hint="eastAsia" w:ascii="宋体" w:hAnsi="宋体" w:eastAsia="宋体" w:cs="宋体"/>
                      <w:color w:val="auto"/>
                      <w:sz w:val="21"/>
                      <w:szCs w:val="21"/>
                      <w:highlight w:val="none"/>
                      <w:lang w:eastAsia="zh-CN"/>
                    </w:rPr>
                    <w:t>广东省国际工程咨询有限公司</w:t>
                  </w:r>
                </w:p>
              </w:tc>
              <w:tc>
                <w:tcPr>
                  <w:tcW w:w="3180" w:type="dxa"/>
                  <w:shd w:val="clear" w:color="auto" w:fill="auto"/>
                  <w:noWrap/>
                  <w:vAlign w:val="center"/>
                </w:tcPr>
                <w:p w14:paraId="56BEB15E">
                  <w:pPr>
                    <w:bidi w:val="0"/>
                    <w:spacing w:line="240" w:lineRule="auto"/>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sz w:val="21"/>
                      <w:szCs w:val="21"/>
                      <w:highlight w:val="none"/>
                    </w:rPr>
                    <w:t>为本招标项目的可行性研究报告</w:t>
                  </w:r>
                  <w:r>
                    <w:rPr>
                      <w:rFonts w:hint="eastAsia" w:ascii="宋体" w:hAnsi="宋体" w:eastAsia="宋体" w:cs="宋体"/>
                      <w:color w:val="auto"/>
                      <w:sz w:val="21"/>
                      <w:szCs w:val="21"/>
                      <w:highlight w:val="none"/>
                      <w:lang w:val="en-US" w:eastAsia="zh-CN"/>
                    </w:rPr>
                    <w:t>修编</w:t>
                  </w:r>
                  <w:r>
                    <w:rPr>
                      <w:rFonts w:hint="eastAsia" w:ascii="宋体" w:hAnsi="宋体" w:eastAsia="宋体" w:cs="宋体"/>
                      <w:color w:val="auto"/>
                      <w:sz w:val="21"/>
                      <w:szCs w:val="21"/>
                      <w:highlight w:val="none"/>
                    </w:rPr>
                    <w:t>单位</w:t>
                  </w:r>
                </w:p>
              </w:tc>
            </w:tr>
            <w:tr w14:paraId="02151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662" w:type="dxa"/>
                  <w:shd w:val="clear" w:color="auto" w:fill="auto"/>
                  <w:noWrap/>
                  <w:vAlign w:val="center"/>
                </w:tcPr>
                <w:p w14:paraId="7E7D41A4">
                  <w:pPr>
                    <w:pageBreakBefore w:val="0"/>
                    <w:topLinePunct w:val="0"/>
                    <w:bidi w:val="0"/>
                    <w:spacing w:line="360" w:lineRule="exact"/>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sz w:val="21"/>
                      <w:szCs w:val="21"/>
                      <w:lang w:val="en-US" w:eastAsia="zh-CN"/>
                    </w:rPr>
                    <w:t>5</w:t>
                  </w:r>
                </w:p>
              </w:tc>
              <w:tc>
                <w:tcPr>
                  <w:tcW w:w="3577" w:type="dxa"/>
                  <w:shd w:val="clear" w:color="auto" w:fill="auto"/>
                  <w:noWrap/>
                  <w:vAlign w:val="center"/>
                </w:tcPr>
                <w:p w14:paraId="0B69202C">
                  <w:pPr>
                    <w:bidi w:val="0"/>
                    <w:spacing w:line="240" w:lineRule="auto"/>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中庚工程技术有限公司</w:t>
                  </w:r>
                </w:p>
              </w:tc>
              <w:tc>
                <w:tcPr>
                  <w:tcW w:w="3180" w:type="dxa"/>
                  <w:shd w:val="clear" w:color="auto" w:fill="auto"/>
                  <w:noWrap/>
                  <w:vAlign w:val="center"/>
                </w:tcPr>
                <w:p w14:paraId="38BA20DF">
                  <w:pPr>
                    <w:bidi w:val="0"/>
                    <w:spacing w:line="240" w:lineRule="auto"/>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为本招标项目的概算编制单位</w:t>
                  </w:r>
                </w:p>
              </w:tc>
            </w:tr>
            <w:bookmarkEnd w:id="15"/>
            <w:tr w14:paraId="2D4F6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662" w:type="dxa"/>
                  <w:shd w:val="clear" w:color="auto" w:fill="auto"/>
                  <w:noWrap/>
                  <w:vAlign w:val="center"/>
                </w:tcPr>
                <w:p w14:paraId="47083E66">
                  <w:pPr>
                    <w:pageBreakBefore w:val="0"/>
                    <w:topLinePunct w:val="0"/>
                    <w:bidi w:val="0"/>
                    <w:spacing w:line="360" w:lineRule="exact"/>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sz w:val="21"/>
                      <w:szCs w:val="21"/>
                      <w:lang w:val="en-US" w:eastAsia="zh-CN"/>
                    </w:rPr>
                    <w:t>6</w:t>
                  </w:r>
                </w:p>
              </w:tc>
              <w:tc>
                <w:tcPr>
                  <w:tcW w:w="3577" w:type="dxa"/>
                  <w:shd w:val="clear" w:color="auto" w:fill="auto"/>
                  <w:noWrap/>
                  <w:vAlign w:val="center"/>
                </w:tcPr>
                <w:p w14:paraId="4B141E02">
                  <w:pPr>
                    <w:bidi w:val="0"/>
                    <w:spacing w:line="240" w:lineRule="auto"/>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韶关市繁盛项目管理有限公司</w:t>
                  </w:r>
                </w:p>
              </w:tc>
              <w:tc>
                <w:tcPr>
                  <w:tcW w:w="3180" w:type="dxa"/>
                  <w:shd w:val="clear" w:color="auto" w:fill="auto"/>
                  <w:noWrap/>
                  <w:vAlign w:val="center"/>
                </w:tcPr>
                <w:p w14:paraId="63FA673D">
                  <w:pPr>
                    <w:bidi w:val="0"/>
                    <w:spacing w:line="240" w:lineRule="auto"/>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color w:val="auto"/>
                      <w:sz w:val="21"/>
                      <w:szCs w:val="21"/>
                      <w:highlight w:val="none"/>
                    </w:rPr>
                    <w:t>为本招标项目的招标代理机构</w:t>
                  </w:r>
                </w:p>
              </w:tc>
            </w:tr>
            <w:tr w14:paraId="60D8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662" w:type="dxa"/>
                  <w:noWrap/>
                  <w:vAlign w:val="center"/>
                </w:tcPr>
                <w:p w14:paraId="21C548A0">
                  <w:pPr>
                    <w:pageBreakBefore w:val="0"/>
                    <w:topLinePunct w:val="0"/>
                    <w:bidi w:val="0"/>
                    <w:spacing w:line="360" w:lineRule="exact"/>
                    <w:jc w:val="center"/>
                    <w:rPr>
                      <w:rFonts w:hint="default" w:asciiTheme="minorEastAsia" w:hAnsiTheme="minorEastAsia" w:eastAsiaTheme="minorEastAsia" w:cstheme="minorEastAsia"/>
                      <w:color w:val="auto"/>
                      <w:sz w:val="21"/>
                      <w:szCs w:val="21"/>
                      <w:highlight w:val="none"/>
                      <w:lang w:val="en-US" w:eastAsia="zh-CN"/>
                    </w:rPr>
                  </w:pPr>
                  <w:r>
                    <w:rPr>
                      <w:rFonts w:hint="eastAsia" w:ascii="宋体" w:hAnsi="宋体" w:eastAsia="宋体" w:cs="宋体"/>
                      <w:sz w:val="21"/>
                      <w:szCs w:val="21"/>
                      <w:lang w:val="en-US" w:eastAsia="zh-CN"/>
                    </w:rPr>
                    <w:t>7</w:t>
                  </w:r>
                </w:p>
              </w:tc>
              <w:tc>
                <w:tcPr>
                  <w:tcW w:w="3577" w:type="dxa"/>
                  <w:shd w:val="clear" w:color="auto" w:fill="auto"/>
                  <w:noWrap/>
                  <w:vAlign w:val="center"/>
                </w:tcPr>
                <w:p w14:paraId="3BF79E71">
                  <w:pPr>
                    <w:bidi w:val="0"/>
                    <w:spacing w:line="240" w:lineRule="auto"/>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color w:val="auto"/>
                      <w:sz w:val="21"/>
                      <w:szCs w:val="21"/>
                      <w:highlight w:val="none"/>
                    </w:rPr>
                    <w:t>待定</w:t>
                  </w:r>
                </w:p>
              </w:tc>
              <w:tc>
                <w:tcPr>
                  <w:tcW w:w="3180" w:type="dxa"/>
                  <w:shd w:val="clear" w:color="auto" w:fill="auto"/>
                  <w:noWrap/>
                  <w:vAlign w:val="center"/>
                </w:tcPr>
                <w:p w14:paraId="19D45752">
                  <w:pPr>
                    <w:bidi w:val="0"/>
                    <w:spacing w:line="240" w:lineRule="auto"/>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color w:val="auto"/>
                      <w:sz w:val="21"/>
                      <w:szCs w:val="21"/>
                      <w:highlight w:val="none"/>
                    </w:rPr>
                    <w:t>为本招标项目的监理单位</w:t>
                  </w:r>
                </w:p>
              </w:tc>
            </w:tr>
          </w:tbl>
          <w:p w14:paraId="1337A6F0">
            <w:pPr>
              <w:pStyle w:val="46"/>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5.省外企业（包括组成联合体的所有成员单位）须按照《广东省住房和城乡建设厅关于取消省外建筑企业和人员进粤信息备案有关工作的通知》（粤建市﹝2015﹞52号）规定在“进粤企业和人员诚信信息登记平台”录入相关信息并通过数据规范检查。</w:t>
            </w:r>
          </w:p>
        </w:tc>
      </w:tr>
      <w:tr w14:paraId="3BFF60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6BEE5FBB">
            <w:pPr>
              <w:wordWrap w:val="0"/>
              <w:adjustRightInd w:val="0"/>
              <w:snapToGrid w:val="0"/>
              <w:spacing w:line="360" w:lineRule="auto"/>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18</w:t>
            </w:r>
          </w:p>
        </w:tc>
        <w:tc>
          <w:tcPr>
            <w:tcW w:w="1612" w:type="dxa"/>
            <w:tcBorders>
              <w:top w:val="single" w:color="auto" w:sz="4" w:space="0"/>
              <w:left w:val="single" w:color="auto" w:sz="4" w:space="0"/>
              <w:bottom w:val="single" w:color="auto" w:sz="4" w:space="0"/>
              <w:right w:val="single" w:color="auto" w:sz="4" w:space="0"/>
            </w:tcBorders>
            <w:noWrap/>
            <w:vAlign w:val="center"/>
          </w:tcPr>
          <w:p w14:paraId="2A87C482">
            <w:pPr>
              <w:snapToGrid w:val="0"/>
              <w:spacing w:beforeLines="50" w:line="360" w:lineRule="auto"/>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color w:val="auto"/>
                <w:sz w:val="21"/>
                <w:szCs w:val="21"/>
                <w:highlight w:val="none"/>
              </w:rPr>
              <w:t>投标保证</w:t>
            </w:r>
          </w:p>
        </w:tc>
        <w:tc>
          <w:tcPr>
            <w:tcW w:w="7889" w:type="dxa"/>
            <w:tcBorders>
              <w:top w:val="single" w:color="auto" w:sz="4" w:space="0"/>
              <w:left w:val="single" w:color="auto" w:sz="4" w:space="0"/>
              <w:bottom w:val="single" w:color="auto" w:sz="4" w:space="0"/>
              <w:right w:val="single" w:color="auto" w:sz="4" w:space="0"/>
            </w:tcBorders>
            <w:noWrap/>
            <w:vAlign w:val="center"/>
          </w:tcPr>
          <w:p w14:paraId="47540C56">
            <w:pPr>
              <w:wordWrap w:val="0"/>
              <w:adjustRightInd w:val="0"/>
              <w:snapToGrid w:val="0"/>
              <w:spacing w:line="360" w:lineRule="auto"/>
              <w:ind w:firstLine="210" w:firstLineChars="1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1．投标人须缴纳金额为人民币</w:t>
            </w:r>
            <w:r>
              <w:rPr>
                <w:rFonts w:hint="eastAsia" w:asciiTheme="minorEastAsia" w:hAnsiTheme="minorEastAsia" w:eastAsiaTheme="minorEastAsia" w:cstheme="minorEastAsia"/>
                <w:b/>
                <w:bCs/>
                <w:snapToGrid w:val="0"/>
                <w:color w:val="auto"/>
                <w:kern w:val="0"/>
                <w:sz w:val="21"/>
                <w:szCs w:val="21"/>
                <w:highlight w:val="none"/>
                <w:u w:val="single"/>
                <w:lang w:val="en-US" w:eastAsia="zh-CN"/>
              </w:rPr>
              <w:t>5</w:t>
            </w:r>
            <w:r>
              <w:rPr>
                <w:rFonts w:asciiTheme="minorEastAsia" w:hAnsiTheme="minorEastAsia" w:eastAsiaTheme="minorEastAsia" w:cstheme="minorEastAsia"/>
                <w:b/>
                <w:bCs/>
                <w:snapToGrid w:val="0"/>
                <w:color w:val="auto"/>
                <w:kern w:val="0"/>
                <w:sz w:val="21"/>
                <w:szCs w:val="21"/>
                <w:highlight w:val="none"/>
                <w:u w:val="single"/>
              </w:rPr>
              <w:t>万元整</w:t>
            </w:r>
            <w:r>
              <w:rPr>
                <w:rFonts w:asciiTheme="minorEastAsia" w:hAnsiTheme="minorEastAsia" w:eastAsiaTheme="minorEastAsia" w:cstheme="minorEastAsia"/>
                <w:snapToGrid w:val="0"/>
                <w:color w:val="auto"/>
                <w:kern w:val="0"/>
                <w:sz w:val="21"/>
                <w:szCs w:val="21"/>
                <w:highlight w:val="none"/>
              </w:rPr>
              <w:t>的投标保证。联合体投标的，由联合体牵头人缴纳。</w:t>
            </w:r>
          </w:p>
          <w:p w14:paraId="02F081CC">
            <w:pPr>
              <w:wordWrap w:val="0"/>
              <w:adjustRightInd w:val="0"/>
              <w:snapToGrid w:val="0"/>
              <w:spacing w:line="360" w:lineRule="auto"/>
              <w:ind w:firstLine="420"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2．投标保证的形式包括投标保证金、投标保证担保、投标保证保险三种，由投标人自主选择。</w:t>
            </w:r>
          </w:p>
          <w:p w14:paraId="2174A28B">
            <w:pPr>
              <w:wordWrap w:val="0"/>
              <w:adjustRightInd w:val="0"/>
              <w:snapToGrid w:val="0"/>
              <w:spacing w:line="360" w:lineRule="auto"/>
              <w:ind w:firstLine="210" w:firstLineChars="1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采用投标保证金的，投标人在建设工程交易系统获取招标文件完毕后，即可在系统申请缴纳投标保证金，获取本次招标投标保证金缴纳账号。投标人必须于投标保证金到账截止时间（见本章“重要事项时间地点一览表”）前，从其基本账户将投标保证金转账到指定的缴纳账号。逾期到账的、从非投标人基本账户转出的，其投标无效。</w:t>
            </w:r>
          </w:p>
          <w:p w14:paraId="015E4620">
            <w:pPr>
              <w:wordWrap w:val="0"/>
              <w:adjustRightInd w:val="0"/>
              <w:snapToGrid w:val="0"/>
              <w:spacing w:line="360" w:lineRule="auto"/>
              <w:ind w:firstLine="210" w:firstLineChars="1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2）采用投标保证担保的，投标人应提交有效的银行保函，银行保函的有效期不得短于投标有效期。投标人必须在投标保证担保截止时间（见本章“重要事项时间地点一览表”）前，使用工程建设交易系统完成网上办理电子保函。</w:t>
            </w:r>
          </w:p>
          <w:p w14:paraId="35E427E1">
            <w:pPr>
              <w:wordWrap w:val="0"/>
              <w:adjustRightInd w:val="0"/>
              <w:snapToGrid w:val="0"/>
              <w:spacing w:line="360" w:lineRule="auto"/>
              <w:ind w:firstLine="210" w:firstLineChars="1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3）采用投标保证保险的，投标人须在投标保证保险投保截止时间（见本章“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7DDA9423">
            <w:pPr>
              <w:wordWrap w:val="0"/>
              <w:adjustRightInd w:val="0"/>
              <w:snapToGrid w:val="0"/>
              <w:spacing w:line="360" w:lineRule="auto"/>
              <w:ind w:firstLine="420"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14:paraId="1E0B51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1C7DAB60">
            <w:pPr>
              <w:wordWrap w:val="0"/>
              <w:adjustRightInd w:val="0"/>
              <w:snapToGrid w:val="0"/>
              <w:spacing w:line="360" w:lineRule="auto"/>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snapToGrid w:val="0"/>
                <w:color w:val="auto"/>
                <w:kern w:val="0"/>
                <w:sz w:val="21"/>
                <w:szCs w:val="21"/>
                <w:highlight w:val="none"/>
              </w:rPr>
              <w:t>19</w:t>
            </w:r>
          </w:p>
        </w:tc>
        <w:tc>
          <w:tcPr>
            <w:tcW w:w="1612" w:type="dxa"/>
            <w:tcBorders>
              <w:top w:val="single" w:color="auto" w:sz="4" w:space="0"/>
              <w:left w:val="single" w:color="auto" w:sz="4" w:space="0"/>
              <w:bottom w:val="single" w:color="auto" w:sz="4" w:space="0"/>
              <w:right w:val="single" w:color="auto" w:sz="4" w:space="0"/>
            </w:tcBorders>
            <w:noWrap/>
            <w:vAlign w:val="center"/>
          </w:tcPr>
          <w:p w14:paraId="24C84F4B">
            <w:pPr>
              <w:wordWrap w:val="0"/>
              <w:adjustRightInd w:val="0"/>
              <w:snapToGrid w:val="0"/>
              <w:spacing w:line="360" w:lineRule="auto"/>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snapToGrid w:val="0"/>
                <w:color w:val="auto"/>
                <w:kern w:val="0"/>
                <w:sz w:val="21"/>
                <w:szCs w:val="21"/>
                <w:highlight w:val="none"/>
              </w:rPr>
              <w:t>投标有效期</w:t>
            </w:r>
          </w:p>
        </w:tc>
        <w:tc>
          <w:tcPr>
            <w:tcW w:w="7889" w:type="dxa"/>
            <w:tcBorders>
              <w:top w:val="single" w:color="auto" w:sz="4" w:space="0"/>
              <w:left w:val="single" w:color="auto" w:sz="4" w:space="0"/>
              <w:bottom w:val="single" w:color="auto" w:sz="4" w:space="0"/>
              <w:right w:val="single" w:color="auto" w:sz="4" w:space="0"/>
            </w:tcBorders>
            <w:noWrap/>
            <w:vAlign w:val="center"/>
          </w:tcPr>
          <w:p w14:paraId="50199BE6">
            <w:pPr>
              <w:wordWrap w:val="0"/>
              <w:adjustRightInd w:val="0"/>
              <w:snapToGrid w:val="0"/>
              <w:spacing w:line="360" w:lineRule="auto"/>
              <w:rPr>
                <w:rFonts w:hint="default" w:asciiTheme="minorEastAsia" w:hAnsiTheme="minorEastAsia" w:eastAsiaTheme="minorEastAsia" w:cstheme="minorEastAsia"/>
                <w:bCs/>
                <w:color w:val="auto"/>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本次招标的投标有效期为</w:t>
            </w:r>
            <w:r>
              <w:rPr>
                <w:rFonts w:asciiTheme="minorEastAsia" w:hAnsiTheme="minorEastAsia" w:eastAsiaTheme="minorEastAsia" w:cstheme="minorEastAsia"/>
                <w:snapToGrid w:val="0"/>
                <w:color w:val="auto"/>
                <w:kern w:val="0"/>
                <w:sz w:val="21"/>
                <w:szCs w:val="21"/>
                <w:highlight w:val="none"/>
                <w:u w:val="single"/>
              </w:rPr>
              <w:t>120</w:t>
            </w:r>
            <w:r>
              <w:rPr>
                <w:rFonts w:asciiTheme="minorEastAsia" w:hAnsiTheme="minorEastAsia" w:eastAsiaTheme="minorEastAsia" w:cstheme="minorEastAsia"/>
                <w:snapToGrid w:val="0"/>
                <w:color w:val="auto"/>
                <w:kern w:val="0"/>
                <w:sz w:val="21"/>
                <w:szCs w:val="21"/>
                <w:highlight w:val="none"/>
              </w:rPr>
              <w:t>个日历天。</w:t>
            </w:r>
          </w:p>
        </w:tc>
      </w:tr>
      <w:tr w14:paraId="1FF40D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7"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5C5F63EC">
            <w:pPr>
              <w:wordWrap w:val="0"/>
              <w:adjustRightInd w:val="0"/>
              <w:snapToGrid w:val="0"/>
              <w:spacing w:line="360" w:lineRule="auto"/>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20</w:t>
            </w:r>
          </w:p>
        </w:tc>
        <w:tc>
          <w:tcPr>
            <w:tcW w:w="1612" w:type="dxa"/>
            <w:tcBorders>
              <w:top w:val="single" w:color="auto" w:sz="4" w:space="0"/>
              <w:left w:val="single" w:color="auto" w:sz="4" w:space="0"/>
              <w:bottom w:val="single" w:color="auto" w:sz="4" w:space="0"/>
              <w:right w:val="single" w:color="auto" w:sz="4" w:space="0"/>
            </w:tcBorders>
            <w:noWrap/>
            <w:vAlign w:val="center"/>
          </w:tcPr>
          <w:p w14:paraId="25434B64">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投标文件</w:t>
            </w:r>
          </w:p>
          <w:p w14:paraId="23D7345C">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组成</w:t>
            </w:r>
          </w:p>
        </w:tc>
        <w:tc>
          <w:tcPr>
            <w:tcW w:w="7889" w:type="dxa"/>
            <w:tcBorders>
              <w:top w:val="single" w:color="auto" w:sz="4" w:space="0"/>
              <w:left w:val="single" w:color="auto" w:sz="4" w:space="0"/>
              <w:bottom w:val="single" w:color="auto" w:sz="4" w:space="0"/>
              <w:right w:val="single" w:color="auto" w:sz="4" w:space="0"/>
            </w:tcBorders>
            <w:noWrap/>
            <w:vAlign w:val="center"/>
          </w:tcPr>
          <w:p w14:paraId="7B1A642D">
            <w:pPr>
              <w:wordWrap w:val="0"/>
              <w:adjustRightInd w:val="0"/>
              <w:snapToGrid w:val="0"/>
              <w:ind w:firstLine="210" w:firstLineChars="100"/>
              <w:jc w:val="left"/>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投标标书</w:t>
            </w:r>
            <w:r>
              <w:rPr>
                <w:rFonts w:hint="eastAsia" w:asciiTheme="minorEastAsia" w:hAnsiTheme="minorEastAsia" w:eastAsiaTheme="minorEastAsia" w:cstheme="minorEastAsia"/>
                <w:snapToGrid w:val="0"/>
                <w:color w:val="auto"/>
                <w:kern w:val="0"/>
                <w:sz w:val="21"/>
                <w:szCs w:val="21"/>
                <w:highlight w:val="none"/>
                <w:lang w:val="en-US" w:eastAsia="zh-CN"/>
              </w:rPr>
              <w:t>包含</w:t>
            </w:r>
            <w:r>
              <w:rPr>
                <w:rFonts w:asciiTheme="minorEastAsia" w:hAnsiTheme="minorEastAsia" w:eastAsiaTheme="minorEastAsia" w:cstheme="minorEastAsia"/>
                <w:snapToGrid w:val="0"/>
                <w:color w:val="auto"/>
                <w:kern w:val="0"/>
                <w:sz w:val="21"/>
                <w:szCs w:val="21"/>
                <w:highlight w:val="none"/>
              </w:rPr>
              <w:t>投标文件</w:t>
            </w:r>
            <w:r>
              <w:rPr>
                <w:rFonts w:hint="eastAsia" w:asciiTheme="minorEastAsia" w:hAnsiTheme="minorEastAsia" w:eastAsiaTheme="minorEastAsia" w:cstheme="minorEastAsia"/>
                <w:snapToGrid w:val="0"/>
                <w:color w:val="auto"/>
                <w:kern w:val="0"/>
                <w:sz w:val="21"/>
                <w:szCs w:val="21"/>
                <w:highlight w:val="none"/>
                <w:lang w:val="en-US" w:eastAsia="zh-CN"/>
              </w:rPr>
              <w:t>和定标文件两个分册</w:t>
            </w:r>
            <w:r>
              <w:rPr>
                <w:rFonts w:asciiTheme="minorEastAsia" w:hAnsiTheme="minorEastAsia" w:eastAsiaTheme="minorEastAsia" w:cstheme="minorEastAsia"/>
                <w:snapToGrid w:val="0"/>
                <w:color w:val="auto"/>
                <w:kern w:val="0"/>
                <w:sz w:val="21"/>
                <w:szCs w:val="21"/>
                <w:highlight w:val="none"/>
              </w:rPr>
              <w:t>。</w:t>
            </w:r>
          </w:p>
        </w:tc>
      </w:tr>
      <w:tr w14:paraId="2C32CF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484FBF8A">
            <w:pPr>
              <w:wordWrap w:val="0"/>
              <w:adjustRightInd w:val="0"/>
              <w:snapToGrid w:val="0"/>
              <w:spacing w:line="360" w:lineRule="auto"/>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21</w:t>
            </w:r>
          </w:p>
        </w:tc>
        <w:tc>
          <w:tcPr>
            <w:tcW w:w="1612" w:type="dxa"/>
            <w:tcBorders>
              <w:top w:val="single" w:color="auto" w:sz="4" w:space="0"/>
              <w:left w:val="single" w:color="auto" w:sz="4" w:space="0"/>
              <w:bottom w:val="single" w:color="auto" w:sz="4" w:space="0"/>
              <w:right w:val="single" w:color="auto" w:sz="4" w:space="0"/>
            </w:tcBorders>
            <w:noWrap/>
            <w:vAlign w:val="center"/>
          </w:tcPr>
          <w:p w14:paraId="6E0FC0D4">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评标委员会</w:t>
            </w:r>
          </w:p>
        </w:tc>
        <w:tc>
          <w:tcPr>
            <w:tcW w:w="7889" w:type="dxa"/>
            <w:tcBorders>
              <w:top w:val="single" w:color="auto" w:sz="4" w:space="0"/>
              <w:left w:val="single" w:color="auto" w:sz="4" w:space="0"/>
              <w:bottom w:val="single" w:color="auto" w:sz="4" w:space="0"/>
              <w:right w:val="single" w:color="auto" w:sz="4" w:space="0"/>
            </w:tcBorders>
            <w:noWrap/>
            <w:vAlign w:val="center"/>
          </w:tcPr>
          <w:p w14:paraId="6023D5D6">
            <w:pPr>
              <w:wordWrap w:val="0"/>
              <w:adjustRightInd w:val="0"/>
              <w:snapToGrid w:val="0"/>
              <w:spacing w:line="360" w:lineRule="auto"/>
              <w:ind w:firstLine="210" w:firstLineChars="100"/>
              <w:jc w:val="lef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评标委员会由5人组成，其中招标人代表0人，专家5人。专家从广东省综合评标评审专家库－</w:t>
            </w:r>
            <w:r>
              <w:rPr>
                <w:rFonts w:hint="eastAsia" w:asciiTheme="minorEastAsia" w:hAnsiTheme="minorEastAsia" w:eastAsiaTheme="minorEastAsia" w:cstheme="minorEastAsia"/>
                <w:snapToGrid w:val="0"/>
                <w:color w:val="auto"/>
                <w:kern w:val="0"/>
                <w:sz w:val="21"/>
                <w:szCs w:val="21"/>
                <w:highlight w:val="none"/>
                <w:lang w:val="en-US" w:eastAsia="zh-CN"/>
              </w:rPr>
              <w:t>韶关区域</w:t>
            </w:r>
            <w:r>
              <w:rPr>
                <w:rFonts w:asciiTheme="minorEastAsia" w:hAnsiTheme="minorEastAsia" w:eastAsiaTheme="minorEastAsia" w:cstheme="minorEastAsia"/>
                <w:snapToGrid w:val="0"/>
                <w:color w:val="auto"/>
                <w:kern w:val="0"/>
                <w:sz w:val="21"/>
                <w:szCs w:val="21"/>
                <w:highlight w:val="none"/>
              </w:rPr>
              <w:t>中随机抽取，其中技术类专家3人，经济类专家2人。</w:t>
            </w:r>
          </w:p>
        </w:tc>
      </w:tr>
      <w:tr w14:paraId="710566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151F81D3">
            <w:pPr>
              <w:wordWrap w:val="0"/>
              <w:adjustRightInd w:val="0"/>
              <w:snapToGrid w:val="0"/>
              <w:spacing w:line="360" w:lineRule="auto"/>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22</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1F63B7">
            <w:pPr>
              <w:jc w:val="center"/>
              <w:rPr>
                <w:rFonts w:hint="default" w:ascii="宋体" w:hAnsi="宋体" w:eastAsia="宋体" w:cs="宋体"/>
                <w:snapToGrid w:val="0"/>
                <w:color w:val="auto"/>
                <w:kern w:val="0"/>
                <w:sz w:val="21"/>
                <w:szCs w:val="21"/>
                <w:highlight w:val="none"/>
                <w:lang w:val="en-US" w:eastAsia="zh-CN" w:bidi="ar-SA"/>
              </w:rPr>
            </w:pPr>
            <w:r>
              <w:rPr>
                <w:rFonts w:hint="eastAsia" w:asciiTheme="minorEastAsia" w:hAnsiTheme="minorEastAsia" w:eastAsiaTheme="minorEastAsia" w:cstheme="minorEastAsia"/>
                <w:color w:val="auto"/>
                <w:sz w:val="21"/>
                <w:szCs w:val="16"/>
                <w:highlight w:val="none"/>
                <w:lang w:eastAsia="zh-CN"/>
              </w:rPr>
              <w:t>定</w:t>
            </w:r>
            <w:r>
              <w:rPr>
                <w:rFonts w:hint="eastAsia" w:asciiTheme="minorEastAsia" w:hAnsiTheme="minorEastAsia" w:eastAsiaTheme="minorEastAsia" w:cstheme="minorEastAsia"/>
                <w:color w:val="auto"/>
                <w:sz w:val="21"/>
                <w:szCs w:val="16"/>
                <w:highlight w:val="none"/>
              </w:rPr>
              <w:t>标委员会</w:t>
            </w:r>
          </w:p>
        </w:tc>
        <w:tc>
          <w:tcPr>
            <w:tcW w:w="78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2D208C">
            <w:pPr>
              <w:wordWrap w:val="0"/>
              <w:adjustRightInd w:val="0"/>
              <w:snapToGrid w:val="0"/>
              <w:ind w:firstLine="210" w:firstLineChars="100"/>
              <w:jc w:val="left"/>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本</w:t>
            </w:r>
            <w:r>
              <w:rPr>
                <w:rFonts w:hint="eastAsia" w:asciiTheme="minorEastAsia" w:hAnsiTheme="minorEastAsia" w:eastAsiaTheme="minorEastAsia" w:cstheme="minorEastAsia"/>
                <w:snapToGrid w:val="0"/>
                <w:color w:val="auto"/>
                <w:kern w:val="0"/>
                <w:sz w:val="21"/>
                <w:szCs w:val="21"/>
                <w:highlight w:val="none"/>
                <w:lang w:eastAsia="zh-CN"/>
              </w:rPr>
              <w:t>项目</w:t>
            </w:r>
            <w:r>
              <w:rPr>
                <w:rFonts w:hint="eastAsia" w:asciiTheme="minorEastAsia" w:hAnsiTheme="minorEastAsia" w:eastAsiaTheme="minorEastAsia" w:cstheme="minorEastAsia"/>
                <w:snapToGrid w:val="0"/>
                <w:color w:val="auto"/>
                <w:kern w:val="0"/>
                <w:sz w:val="21"/>
                <w:szCs w:val="21"/>
                <w:highlight w:val="none"/>
              </w:rPr>
              <w:t>定标委员会</w:t>
            </w:r>
            <w:r>
              <w:rPr>
                <w:rFonts w:hint="eastAsia" w:asciiTheme="minorEastAsia" w:hAnsiTheme="minorEastAsia" w:eastAsiaTheme="minorEastAsia" w:cstheme="minorEastAsia"/>
                <w:snapToGrid w:val="0"/>
                <w:color w:val="auto"/>
                <w:kern w:val="0"/>
                <w:sz w:val="21"/>
                <w:szCs w:val="21"/>
                <w:highlight w:val="none"/>
                <w:lang w:eastAsia="zh-CN"/>
              </w:rPr>
              <w:t>组成人</w:t>
            </w:r>
            <w:r>
              <w:rPr>
                <w:rFonts w:hint="eastAsia" w:asciiTheme="minorEastAsia" w:hAnsiTheme="minorEastAsia" w:eastAsiaTheme="minorEastAsia" w:cstheme="minorEastAsia"/>
                <w:snapToGrid w:val="0"/>
                <w:color w:val="auto"/>
                <w:kern w:val="0"/>
                <w:sz w:val="21"/>
                <w:szCs w:val="21"/>
                <w:highlight w:val="none"/>
              </w:rPr>
              <w:t xml:space="preserve">员为 </w:t>
            </w:r>
            <w:r>
              <w:rPr>
                <w:rFonts w:hint="eastAsia" w:asciiTheme="minorEastAsia" w:hAnsiTheme="minorEastAsia" w:eastAsiaTheme="minorEastAsia" w:cstheme="minorEastAsia"/>
                <w:snapToGrid w:val="0"/>
                <w:color w:val="auto"/>
                <w:kern w:val="0"/>
                <w:sz w:val="21"/>
                <w:szCs w:val="21"/>
                <w:highlight w:val="none"/>
                <w:lang w:val="en-US" w:eastAsia="zh-CN"/>
              </w:rPr>
              <w:t xml:space="preserve">7 </w:t>
            </w:r>
            <w:r>
              <w:rPr>
                <w:rFonts w:hint="eastAsia" w:asciiTheme="minorEastAsia" w:hAnsiTheme="minorEastAsia" w:eastAsiaTheme="minorEastAsia" w:cstheme="minorEastAsia"/>
                <w:snapToGrid w:val="0"/>
                <w:color w:val="auto"/>
                <w:kern w:val="0"/>
                <w:sz w:val="21"/>
                <w:szCs w:val="21"/>
                <w:highlight w:val="none"/>
              </w:rPr>
              <w:t>人</w:t>
            </w:r>
            <w:r>
              <w:rPr>
                <w:rFonts w:hint="eastAsia" w:asciiTheme="minorEastAsia" w:hAnsiTheme="minorEastAsia" w:eastAsiaTheme="minorEastAsia" w:cstheme="minorEastAsia"/>
                <w:snapToGrid w:val="0"/>
                <w:color w:val="auto"/>
                <w:kern w:val="0"/>
                <w:sz w:val="21"/>
                <w:szCs w:val="21"/>
                <w:highlight w:val="none"/>
                <w:lang w:eastAsia="zh-CN"/>
              </w:rPr>
              <w:t>。</w:t>
            </w:r>
          </w:p>
        </w:tc>
      </w:tr>
      <w:tr w14:paraId="2116B5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7"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6FD5DE">
            <w:pPr>
              <w:pStyle w:val="42"/>
              <w:jc w:val="center"/>
              <w:rPr>
                <w:rFonts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23</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478D96">
            <w:pPr>
              <w:jc w:val="center"/>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rPr>
              <w:t>评标方法</w:t>
            </w:r>
          </w:p>
        </w:tc>
        <w:tc>
          <w:tcPr>
            <w:tcW w:w="78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A60F4B">
            <w:pPr>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rPr>
              <w:t xml:space="preserve">  综合评估法</w:t>
            </w:r>
          </w:p>
        </w:tc>
      </w:tr>
      <w:tr w14:paraId="0AD223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7A5133">
            <w:pPr>
              <w:pStyle w:val="42"/>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24</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D8E0BD">
            <w:pPr>
              <w:bidi w:val="0"/>
              <w:spacing w:line="360" w:lineRule="auto"/>
              <w:jc w:val="center"/>
              <w:rPr>
                <w:rFonts w:hint="eastAsia" w:ascii="宋体" w:hAnsi="宋体" w:eastAsia="宋体" w:cs="宋体"/>
                <w:snapToGrid w:val="0"/>
                <w:color w:val="auto"/>
                <w:kern w:val="0"/>
                <w:sz w:val="21"/>
                <w:szCs w:val="21"/>
                <w:highlight w:val="none"/>
                <w:lang w:val="en-US" w:eastAsia="zh-CN" w:bidi="ar-SA"/>
              </w:rPr>
            </w:pPr>
            <w:r>
              <w:rPr>
                <w:rFonts w:hint="eastAsia" w:asciiTheme="minorEastAsia" w:hAnsiTheme="minorEastAsia" w:eastAsiaTheme="minorEastAsia" w:cstheme="minorEastAsia"/>
                <w:color w:val="auto"/>
                <w:sz w:val="21"/>
                <w:szCs w:val="16"/>
                <w:highlight w:val="none"/>
                <w:lang w:val="en-US" w:eastAsia="zh-CN"/>
              </w:rPr>
              <w:t>投标文件编制及份数要求</w:t>
            </w:r>
          </w:p>
        </w:tc>
        <w:tc>
          <w:tcPr>
            <w:tcW w:w="78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B03E14">
            <w:pPr>
              <w:bidi w:val="0"/>
              <w:spacing w:line="360" w:lineRule="auto"/>
              <w:ind w:firstLine="210" w:firstLineChars="100"/>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投标人须上传（递交）投标文件：</w:t>
            </w:r>
          </w:p>
          <w:p w14:paraId="4B17E9E8">
            <w:pPr>
              <w:bidi w:val="0"/>
              <w:spacing w:line="360" w:lineRule="auto"/>
              <w:ind w:firstLine="210" w:firstLineChars="100"/>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1、电子投标文件1份：</w:t>
            </w:r>
          </w:p>
          <w:p w14:paraId="368C0D35">
            <w:pPr>
              <w:bidi w:val="0"/>
              <w:spacing w:line="360" w:lineRule="auto"/>
              <w:ind w:firstLine="210" w:firstLineChars="100"/>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2、定标文件1份；</w:t>
            </w:r>
          </w:p>
          <w:p w14:paraId="6771D5E8">
            <w:pPr>
              <w:bidi w:val="0"/>
              <w:spacing w:line="360" w:lineRule="auto"/>
              <w:ind w:firstLine="210" w:firstLineChars="100"/>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3、对应评审要求的分项响应文件（如有）。</w:t>
            </w:r>
          </w:p>
          <w:p w14:paraId="2E37E39C">
            <w:pPr>
              <w:bidi w:val="0"/>
              <w:spacing w:line="360" w:lineRule="auto"/>
              <w:ind w:firstLine="210" w:firstLineChars="100"/>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投标文件、定标文件全部采用电子文档，投标文件、定标文件所附证书证件均为原件扫描件，并采用单位数字证书，按招标文件要求在相应位置加盖电子印章。投标文件、定标文件中需个人签字或盖章的，应加盖个人电子印章或在线下完成后扫描上传。按照交易平台关于全流程电子化项目的相关指南进行操作。详见：全国公共资源交易平台（广东省·韶关市）（https://ygp.gdzwfw.gov.cn/ggzy-portal/#/440200/index）交易指引。</w:t>
            </w:r>
          </w:p>
          <w:p w14:paraId="1867F188">
            <w:pPr>
              <w:bidi w:val="0"/>
              <w:spacing w:line="360" w:lineRule="auto"/>
              <w:ind w:firstLine="210" w:firstLineChars="100"/>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注：投标人被确定为中标人后，应从交易系统打印二套纸质投标文件、定标文件（含签名盖章页），内容同电子投标文件、定标文件，在签订本招标项目承包合同前分别提交给招标人和招标管理部门。（除招标文件约定外，纸质标书须与电子标书一致，不一致的以电子标书为准）。</w:t>
            </w:r>
          </w:p>
        </w:tc>
      </w:tr>
      <w:tr w14:paraId="7FCB0B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309D57">
            <w:pPr>
              <w:pStyle w:val="42"/>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25</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75C82D">
            <w:pPr>
              <w:bidi w:val="0"/>
              <w:jc w:val="center"/>
              <w:rPr>
                <w:rFonts w:hint="eastAsia" w:ascii="宋体" w:hAnsi="宋体" w:eastAsia="宋体" w:cs="宋体"/>
                <w:snapToGrid w:val="0"/>
                <w:color w:val="auto"/>
                <w:kern w:val="0"/>
                <w:sz w:val="21"/>
                <w:szCs w:val="21"/>
                <w:highlight w:val="none"/>
                <w:lang w:val="en-US" w:eastAsia="zh-CN" w:bidi="ar-SA"/>
              </w:rPr>
            </w:pPr>
            <w:r>
              <w:rPr>
                <w:rFonts w:hint="eastAsia" w:asciiTheme="minorEastAsia" w:hAnsiTheme="minorEastAsia" w:eastAsiaTheme="minorEastAsia" w:cstheme="minorEastAsia"/>
                <w:color w:val="auto"/>
                <w:sz w:val="21"/>
                <w:szCs w:val="16"/>
                <w:highlight w:val="none"/>
                <w:lang w:val="en-US" w:eastAsia="zh-CN"/>
              </w:rPr>
              <w:t>定标办法</w:t>
            </w:r>
          </w:p>
        </w:tc>
        <w:tc>
          <w:tcPr>
            <w:tcW w:w="78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D32CA0">
            <w:pPr>
              <w:bidi w:val="0"/>
              <w:spacing w:line="360" w:lineRule="auto"/>
              <w:ind w:firstLine="210" w:firstLineChars="100"/>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采用评定分离的项目，应选定下列定标办法：</w:t>
            </w:r>
          </w:p>
          <w:p w14:paraId="1B49A1FF">
            <w:pPr>
              <w:bidi w:val="0"/>
              <w:spacing w:line="360" w:lineRule="auto"/>
              <w:ind w:firstLine="210" w:firstLineChars="100"/>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☑票决数量法</w:t>
            </w:r>
          </w:p>
          <w:p w14:paraId="40D0BE1E">
            <w:pPr>
              <w:bidi w:val="0"/>
              <w:spacing w:line="360" w:lineRule="auto"/>
              <w:ind w:firstLine="210" w:firstLineChars="100"/>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□票决计分法</w:t>
            </w:r>
          </w:p>
          <w:p w14:paraId="5AAB874D">
            <w:pPr>
              <w:bidi w:val="0"/>
              <w:spacing w:line="360" w:lineRule="auto"/>
              <w:ind w:firstLine="210" w:firstLineChars="100"/>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□集体议事法</w:t>
            </w:r>
          </w:p>
          <w:p w14:paraId="128E70AD">
            <w:pPr>
              <w:bidi w:val="0"/>
              <w:spacing w:line="360" w:lineRule="auto"/>
              <w:ind w:firstLine="210" w:firstLineChars="100"/>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□其他方法：</w:t>
            </w:r>
          </w:p>
        </w:tc>
      </w:tr>
      <w:tr w14:paraId="1B7460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47C1F9">
            <w:pPr>
              <w:pStyle w:val="42"/>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26</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CC1AAB">
            <w:pPr>
              <w:bidi w:val="0"/>
              <w:jc w:val="center"/>
              <w:rPr>
                <w:rFonts w:hint="eastAsia" w:asciiTheme="minorEastAsia" w:hAnsiTheme="minorEastAsia" w:eastAsiaTheme="minorEastAsia" w:cstheme="minorEastAsia"/>
                <w:color w:val="auto"/>
                <w:kern w:val="2"/>
                <w:sz w:val="21"/>
                <w:szCs w:val="16"/>
                <w:highlight w:val="none"/>
                <w:lang w:val="en-US" w:eastAsia="zh-CN" w:bidi="ar-SA"/>
              </w:rPr>
            </w:pPr>
            <w:r>
              <w:rPr>
                <w:rFonts w:hint="eastAsia" w:asciiTheme="minorEastAsia" w:hAnsiTheme="minorEastAsia" w:eastAsiaTheme="minorEastAsia" w:cstheme="minorEastAsia"/>
                <w:color w:val="auto"/>
                <w:sz w:val="21"/>
                <w:szCs w:val="16"/>
                <w:highlight w:val="none"/>
              </w:rPr>
              <w:t>安全文明施工</w:t>
            </w:r>
          </w:p>
        </w:tc>
        <w:tc>
          <w:tcPr>
            <w:tcW w:w="78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FB6CAF">
            <w:pPr>
              <w:bidi w:val="0"/>
              <w:ind w:firstLine="210" w:firstLineChars="100"/>
              <w:rPr>
                <w:rFonts w:hint="eastAsia" w:asciiTheme="minorEastAsia" w:hAnsiTheme="minorEastAsia" w:eastAsiaTheme="minorEastAsia" w:cstheme="minorEastAsia"/>
                <w:color w:val="auto"/>
                <w:kern w:val="2"/>
                <w:sz w:val="21"/>
                <w:szCs w:val="16"/>
                <w:highlight w:val="none"/>
                <w:lang w:val="en-US" w:eastAsia="zh-CN" w:bidi="ar-SA"/>
              </w:rPr>
            </w:pPr>
            <w:r>
              <w:rPr>
                <w:rFonts w:hint="eastAsia" w:asciiTheme="minorEastAsia" w:hAnsiTheme="minorEastAsia" w:eastAsiaTheme="minorEastAsia" w:cstheme="minorEastAsia"/>
                <w:color w:val="auto"/>
                <w:sz w:val="21"/>
                <w:szCs w:val="16"/>
                <w:highlight w:val="none"/>
              </w:rPr>
              <w:t>达到国家、省、市有关标准</w:t>
            </w:r>
          </w:p>
        </w:tc>
      </w:tr>
      <w:tr w14:paraId="1E18F7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BCC797">
            <w:pPr>
              <w:pStyle w:val="42"/>
              <w:jc w:val="center"/>
              <w:rPr>
                <w:rFonts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27</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693BF0">
            <w:pPr>
              <w:bidi w:val="0"/>
              <w:jc w:val="center"/>
              <w:rPr>
                <w:rFonts w:hint="eastAsia" w:asciiTheme="minorEastAsia" w:hAnsiTheme="minorEastAsia" w:eastAsiaTheme="minorEastAsia" w:cstheme="minorEastAsia"/>
                <w:color w:val="auto"/>
                <w:sz w:val="21"/>
                <w:szCs w:val="16"/>
                <w:highlight w:val="none"/>
              </w:rPr>
            </w:pPr>
            <w:r>
              <w:rPr>
                <w:rFonts w:hint="eastAsia" w:asciiTheme="minorEastAsia" w:hAnsiTheme="minorEastAsia" w:eastAsiaTheme="minorEastAsia" w:cstheme="minorEastAsia"/>
                <w:color w:val="auto"/>
                <w:sz w:val="21"/>
                <w:szCs w:val="16"/>
                <w:highlight w:val="none"/>
              </w:rPr>
              <w:t>房屋建筑工程</w:t>
            </w:r>
          </w:p>
          <w:p w14:paraId="7304DB75">
            <w:pPr>
              <w:bidi w:val="0"/>
              <w:jc w:val="center"/>
              <w:rPr>
                <w:rFonts w:hint="eastAsia" w:asciiTheme="minorEastAsia" w:hAnsiTheme="minorEastAsia" w:eastAsiaTheme="minorEastAsia" w:cstheme="minorEastAsia"/>
                <w:color w:val="auto"/>
                <w:kern w:val="2"/>
                <w:sz w:val="21"/>
                <w:szCs w:val="16"/>
                <w:highlight w:val="none"/>
                <w:lang w:val="en-US" w:eastAsia="zh-CN" w:bidi="ar-SA"/>
              </w:rPr>
            </w:pPr>
            <w:r>
              <w:rPr>
                <w:rFonts w:hint="eastAsia" w:asciiTheme="minorEastAsia" w:hAnsiTheme="minorEastAsia" w:eastAsiaTheme="minorEastAsia" w:cstheme="minorEastAsia"/>
                <w:color w:val="auto"/>
                <w:sz w:val="21"/>
                <w:szCs w:val="16"/>
                <w:highlight w:val="none"/>
              </w:rPr>
              <w:t>绿色建筑标准</w:t>
            </w:r>
          </w:p>
        </w:tc>
        <w:tc>
          <w:tcPr>
            <w:tcW w:w="78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A01300">
            <w:pPr>
              <w:bidi w:val="0"/>
              <w:ind w:firstLine="210" w:firstLineChars="100"/>
              <w:rPr>
                <w:rFonts w:hint="eastAsia" w:asciiTheme="minorEastAsia" w:hAnsiTheme="minorEastAsia" w:eastAsiaTheme="minorEastAsia" w:cstheme="minorEastAsia"/>
                <w:color w:val="auto"/>
                <w:kern w:val="2"/>
                <w:sz w:val="21"/>
                <w:szCs w:val="16"/>
                <w:highlight w:val="none"/>
                <w:lang w:val="en-US" w:eastAsia="zh-CN" w:bidi="ar-SA"/>
              </w:rPr>
            </w:pPr>
            <w:r>
              <w:rPr>
                <w:rFonts w:hint="eastAsia" w:asciiTheme="minorEastAsia" w:hAnsiTheme="minorEastAsia" w:eastAsiaTheme="minorEastAsia" w:cstheme="minorEastAsia"/>
                <w:color w:val="auto"/>
                <w:sz w:val="21"/>
                <w:szCs w:val="16"/>
                <w:highlight w:val="none"/>
              </w:rPr>
              <w:t>本招标项目不纳入绿色建设实施范围。</w:t>
            </w:r>
          </w:p>
        </w:tc>
      </w:tr>
      <w:tr w14:paraId="46EAF2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00"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516ED">
            <w:pPr>
              <w:pStyle w:val="42"/>
              <w:jc w:val="center"/>
              <w:rPr>
                <w:rFonts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28</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29D320">
            <w:pPr>
              <w:pStyle w:val="42"/>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履约保证金</w:t>
            </w:r>
          </w:p>
        </w:tc>
        <w:tc>
          <w:tcPr>
            <w:tcW w:w="78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FF3A59">
            <w:pPr>
              <w:pStyle w:val="42"/>
              <w:ind w:firstLine="210" w:firstLineChars="10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履约保证金为中标价的</w:t>
            </w:r>
            <w:r>
              <w:rPr>
                <w:rFonts w:hint="eastAsia" w:asciiTheme="minorEastAsia" w:hAnsiTheme="minorEastAsia" w:eastAsiaTheme="minorEastAsia" w:cstheme="minorEastAsia"/>
                <w:color w:val="auto"/>
                <w:sz w:val="21"/>
                <w:szCs w:val="21"/>
                <w:highlight w:val="none"/>
                <w:u w:val="single"/>
              </w:rPr>
              <w:t>5</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snapToGrid w:val="0"/>
                <w:color w:val="auto"/>
                <w:kern w:val="0"/>
                <w:sz w:val="21"/>
                <w:szCs w:val="21"/>
                <w:highlight w:val="none"/>
              </w:rPr>
              <w:t>在领取中标通知书之日起</w:t>
            </w:r>
            <w:r>
              <w:rPr>
                <w:rFonts w:hint="eastAsia" w:asciiTheme="minorEastAsia" w:hAnsiTheme="minorEastAsia" w:eastAsiaTheme="minorEastAsia" w:cstheme="minorEastAsia"/>
                <w:snapToGrid w:val="0"/>
                <w:color w:val="auto"/>
                <w:kern w:val="0"/>
                <w:sz w:val="21"/>
                <w:szCs w:val="21"/>
                <w:highlight w:val="none"/>
                <w:u w:val="single"/>
              </w:rPr>
              <w:t>5</w:t>
            </w:r>
            <w:r>
              <w:rPr>
                <w:rFonts w:hint="eastAsia" w:asciiTheme="minorEastAsia" w:hAnsiTheme="minorEastAsia" w:eastAsiaTheme="minorEastAsia" w:cstheme="minorEastAsia"/>
                <w:snapToGrid w:val="0"/>
                <w:color w:val="auto"/>
                <w:kern w:val="0"/>
                <w:sz w:val="21"/>
                <w:szCs w:val="21"/>
                <w:highlight w:val="none"/>
              </w:rPr>
              <w:t>个工作日内、签订合同前缴纳</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kern w:val="0"/>
                <w:sz w:val="21"/>
                <w:szCs w:val="21"/>
                <w:highlight w:val="none"/>
              </w:rPr>
              <w:t>组成联合体时，由联合体牵头人缴纳</w:t>
            </w:r>
            <w:r>
              <w:rPr>
                <w:rFonts w:hint="eastAsia" w:asciiTheme="minorEastAsia" w:hAnsiTheme="minorEastAsia" w:eastAsiaTheme="minorEastAsia" w:cstheme="minorEastAsia"/>
                <w:color w:val="auto"/>
                <w:sz w:val="21"/>
                <w:szCs w:val="21"/>
                <w:highlight w:val="none"/>
              </w:rPr>
              <w:t>）。</w:t>
            </w:r>
          </w:p>
          <w:p w14:paraId="42CB41C0">
            <w:pPr>
              <w:pStyle w:val="42"/>
              <w:ind w:firstLine="210" w:firstLineChars="100"/>
              <w:rPr>
                <w:rFonts w:hint="eastAsia" w:asciiTheme="minorEastAsia" w:hAnsiTheme="minorEastAsia" w:eastAsiaTheme="minorEastAsia" w:cstheme="minorEastAsia"/>
                <w:color w:val="auto"/>
                <w:kern w:val="2"/>
                <w:sz w:val="21"/>
                <w:szCs w:val="21"/>
                <w:highlight w:val="none"/>
                <w:u w:val="single"/>
                <w:lang w:val="en-US" w:eastAsia="zh-CN" w:bidi="ar-SA"/>
              </w:rPr>
            </w:pPr>
            <w:r>
              <w:rPr>
                <w:rFonts w:hint="eastAsia" w:asciiTheme="minorEastAsia" w:hAnsiTheme="minorEastAsia" w:eastAsiaTheme="minorEastAsia" w:cstheme="minorEastAsia"/>
                <w:snapToGrid w:val="0"/>
                <w:color w:val="auto"/>
                <w:kern w:val="0"/>
                <w:sz w:val="21"/>
                <w:szCs w:val="21"/>
                <w:highlight w:val="none"/>
              </w:rPr>
              <w:t>履约保证的形式包括履约保证金、</w:t>
            </w:r>
            <w:r>
              <w:rPr>
                <w:rFonts w:asciiTheme="minorEastAsia" w:hAnsiTheme="minorEastAsia" w:eastAsiaTheme="minorEastAsia" w:cstheme="minorEastAsia"/>
                <w:snapToGrid w:val="0"/>
                <w:color w:val="auto"/>
                <w:kern w:val="0"/>
                <w:sz w:val="21"/>
                <w:szCs w:val="21"/>
                <w:highlight w:val="none"/>
              </w:rPr>
              <w:t>履约保证担保</w:t>
            </w:r>
            <w:r>
              <w:rPr>
                <w:rFonts w:hint="eastAsia" w:asciiTheme="minorEastAsia" w:hAnsiTheme="minorEastAsia" w:eastAsiaTheme="minorEastAsia" w:cstheme="minorEastAsia"/>
                <w:snapToGrid w:val="0"/>
                <w:color w:val="auto"/>
                <w:kern w:val="0"/>
                <w:sz w:val="21"/>
                <w:szCs w:val="21"/>
                <w:highlight w:val="none"/>
              </w:rPr>
              <w:t>两种，由中标人自主选择</w:t>
            </w:r>
            <w:r>
              <w:rPr>
                <w:rFonts w:hint="eastAsia" w:asciiTheme="minorEastAsia" w:hAnsiTheme="minorEastAsia" w:eastAsiaTheme="minorEastAsia" w:cstheme="minorEastAsia"/>
                <w:color w:val="auto"/>
                <w:sz w:val="21"/>
                <w:szCs w:val="21"/>
                <w:highlight w:val="none"/>
              </w:rPr>
              <w:t>，保函有效期不得少于</w:t>
            </w:r>
            <w:r>
              <w:rPr>
                <w:rFonts w:hint="eastAsia" w:asciiTheme="minorEastAsia" w:hAnsiTheme="minorEastAsia" w:eastAsiaTheme="minorEastAsia" w:cstheme="minorEastAsia"/>
                <w:color w:val="auto"/>
                <w:sz w:val="21"/>
                <w:szCs w:val="21"/>
                <w:highlight w:val="none"/>
                <w:u w:val="single"/>
              </w:rPr>
              <w:t>本工程总工期</w:t>
            </w:r>
            <w:r>
              <w:rPr>
                <w:rFonts w:hint="eastAsia" w:asciiTheme="minorEastAsia" w:hAnsiTheme="minorEastAsia" w:eastAsiaTheme="minorEastAsia" w:cstheme="minorEastAsia"/>
                <w:color w:val="auto"/>
                <w:sz w:val="21"/>
                <w:szCs w:val="21"/>
                <w:highlight w:val="none"/>
              </w:rPr>
              <w:t>，</w:t>
            </w:r>
            <w:r>
              <w:rPr>
                <w:rFonts w:hint="eastAsia" w:hAnsi="宋体" w:cs="宋体"/>
                <w:color w:val="auto"/>
                <w:sz w:val="21"/>
                <w:szCs w:val="21"/>
                <w:highlight w:val="none"/>
              </w:rPr>
              <w:t>中标人根据《关于统一在市公共资源交易一体化服务平台缴退工程建设项目履约保证金的通知》办理相关手续</w:t>
            </w:r>
            <w:r>
              <w:rPr>
                <w:rFonts w:hint="eastAsia" w:asciiTheme="minorEastAsia" w:hAnsiTheme="minorEastAsia" w:eastAsiaTheme="minorEastAsia" w:cstheme="minorEastAsia"/>
                <w:color w:val="auto"/>
                <w:sz w:val="21"/>
                <w:szCs w:val="21"/>
                <w:highlight w:val="none"/>
              </w:rPr>
              <w:t>。</w:t>
            </w:r>
          </w:p>
        </w:tc>
      </w:tr>
      <w:tr w14:paraId="66E48A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47985C">
            <w:pPr>
              <w:wordWrap w:val="0"/>
              <w:adjustRightInd w:val="0"/>
              <w:snapToGrid w:val="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asciiTheme="minorEastAsia" w:hAnsiTheme="minorEastAsia" w:eastAsiaTheme="minorEastAsia" w:cstheme="minorEastAsia"/>
                <w:color w:val="auto"/>
                <w:sz w:val="21"/>
                <w:szCs w:val="21"/>
                <w:highlight w:val="none"/>
              </w:rPr>
              <w:t>29</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F74725">
            <w:pPr>
              <w:pStyle w:val="42"/>
              <w:jc w:val="center"/>
              <w:rPr>
                <w:rFonts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工程款支付</w:t>
            </w:r>
          </w:p>
        </w:tc>
        <w:tc>
          <w:tcPr>
            <w:tcW w:w="78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EF836D">
            <w:pPr>
              <w:pStyle w:val="42"/>
              <w:ind w:firstLine="210" w:firstLineChars="100"/>
              <w:rPr>
                <w:rFonts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详见本招标文件“2-4、工程付款办法”</w:t>
            </w:r>
          </w:p>
        </w:tc>
      </w:tr>
      <w:tr w14:paraId="11EBD5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4DEA42">
            <w:pPr>
              <w:wordWrap w:val="0"/>
              <w:adjustRightInd w:val="0"/>
              <w:snapToGrid w:val="0"/>
              <w:spacing w:line="360" w:lineRule="auto"/>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asciiTheme="minorEastAsia" w:hAnsiTheme="minorEastAsia" w:eastAsiaTheme="minorEastAsia" w:cstheme="minorEastAsia"/>
                <w:snapToGrid w:val="0"/>
                <w:color w:val="auto"/>
                <w:kern w:val="0"/>
                <w:sz w:val="21"/>
                <w:szCs w:val="21"/>
                <w:highlight w:val="none"/>
              </w:rPr>
              <w:t>30</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129A78">
            <w:pPr>
              <w:pStyle w:val="42"/>
              <w:spacing w:line="240" w:lineRule="auto"/>
              <w:jc w:val="center"/>
              <w:rPr>
                <w:rFonts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工程质量保证金</w:t>
            </w:r>
          </w:p>
        </w:tc>
        <w:tc>
          <w:tcPr>
            <w:tcW w:w="78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677805">
            <w:pPr>
              <w:pStyle w:val="42"/>
              <w:spacing w:line="240" w:lineRule="auto"/>
              <w:ind w:firstLine="210" w:firstLineChars="100"/>
              <w:rPr>
                <w:rFonts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工程质量保证金总金额为结算价的3%，从工程竣工验收合格之日起计满2年。</w:t>
            </w:r>
          </w:p>
        </w:tc>
      </w:tr>
      <w:tr w14:paraId="62DA6C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E45F1A">
            <w:pPr>
              <w:wordWrap w:val="0"/>
              <w:adjustRightInd w:val="0"/>
              <w:snapToGrid w:val="0"/>
              <w:spacing w:line="360" w:lineRule="auto"/>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asciiTheme="minorEastAsia" w:hAnsiTheme="minorEastAsia" w:eastAsiaTheme="minorEastAsia" w:cstheme="minorEastAsia"/>
                <w:snapToGrid w:val="0"/>
                <w:color w:val="auto"/>
                <w:kern w:val="0"/>
                <w:sz w:val="21"/>
                <w:szCs w:val="21"/>
                <w:highlight w:val="none"/>
              </w:rPr>
              <w:t>31</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4C8965">
            <w:pPr>
              <w:bidi w:val="0"/>
              <w:spacing w:line="360" w:lineRule="auto"/>
              <w:jc w:val="center"/>
              <w:rPr>
                <w:rFonts w:hint="eastAsia" w:asciiTheme="minorEastAsia" w:hAnsiTheme="minorEastAsia" w:eastAsiaTheme="minorEastAsia" w:cstheme="minorEastAsia"/>
                <w:color w:val="auto"/>
                <w:kern w:val="2"/>
                <w:sz w:val="21"/>
                <w:szCs w:val="16"/>
                <w:highlight w:val="none"/>
                <w:lang w:val="en-US" w:eastAsia="zh-CN" w:bidi="ar-SA"/>
              </w:rPr>
            </w:pPr>
            <w:r>
              <w:rPr>
                <w:rFonts w:hint="eastAsia" w:asciiTheme="minorEastAsia" w:hAnsiTheme="minorEastAsia" w:eastAsiaTheme="minorEastAsia" w:cstheme="minorEastAsia"/>
                <w:color w:val="auto"/>
                <w:sz w:val="21"/>
                <w:szCs w:val="16"/>
                <w:highlight w:val="none"/>
                <w:lang w:val="en-US" w:eastAsia="zh-CN"/>
              </w:rPr>
              <w:t>安全生产措施费</w:t>
            </w:r>
          </w:p>
        </w:tc>
        <w:tc>
          <w:tcPr>
            <w:tcW w:w="78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77AE9D">
            <w:pPr>
              <w:bidi w:val="0"/>
              <w:spacing w:line="360" w:lineRule="auto"/>
              <w:rPr>
                <w:rFonts w:hint="eastAsia" w:asciiTheme="minorEastAsia" w:hAnsiTheme="minorEastAsia" w:eastAsiaTheme="minorEastAsia" w:cstheme="minorEastAsia"/>
                <w:color w:val="auto"/>
                <w:kern w:val="2"/>
                <w:sz w:val="21"/>
                <w:szCs w:val="16"/>
                <w:highlight w:val="none"/>
                <w:lang w:val="en-US" w:eastAsia="zh-CN" w:bidi="ar-SA"/>
              </w:rPr>
            </w:pPr>
            <w:r>
              <w:rPr>
                <w:rFonts w:hint="eastAsia" w:asciiTheme="minorEastAsia" w:hAnsiTheme="minorEastAsia" w:eastAsiaTheme="minorEastAsia" w:cstheme="minorEastAsia"/>
                <w:color w:val="auto"/>
                <w:sz w:val="21"/>
                <w:szCs w:val="16"/>
                <w:highlight w:val="none"/>
              </w:rPr>
              <w:t>按《建设工程工程量清单计价规范》（GB/T50500-2024）、《广东省建设工程计价依据（2018）》等最新规定执行。</w:t>
            </w:r>
          </w:p>
        </w:tc>
      </w:tr>
      <w:tr w14:paraId="43D081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65ACAA">
            <w:pPr>
              <w:wordWrap w:val="0"/>
              <w:adjustRightInd w:val="0"/>
              <w:snapToGrid w:val="0"/>
              <w:spacing w:line="360" w:lineRule="auto"/>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asciiTheme="minorEastAsia" w:hAnsiTheme="minorEastAsia" w:eastAsiaTheme="minorEastAsia" w:cstheme="minorEastAsia"/>
                <w:snapToGrid w:val="0"/>
                <w:color w:val="auto"/>
                <w:kern w:val="0"/>
                <w:sz w:val="21"/>
                <w:szCs w:val="21"/>
                <w:highlight w:val="none"/>
              </w:rPr>
              <w:t>32</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317E6B">
            <w:pPr>
              <w:wordWrap w:val="0"/>
              <w:adjustRightInd w:val="0"/>
              <w:snapToGrid w:val="0"/>
              <w:spacing w:line="360" w:lineRule="exact"/>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asciiTheme="minorEastAsia" w:hAnsiTheme="minorEastAsia" w:eastAsiaTheme="minorEastAsia" w:cstheme="minorEastAsia"/>
                <w:snapToGrid w:val="0"/>
                <w:color w:val="auto"/>
                <w:kern w:val="0"/>
                <w:sz w:val="21"/>
                <w:szCs w:val="21"/>
                <w:highlight w:val="none"/>
              </w:rPr>
              <w:t>招标代理费</w:t>
            </w:r>
          </w:p>
        </w:tc>
        <w:tc>
          <w:tcPr>
            <w:tcW w:w="78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7CF132">
            <w:pPr>
              <w:bidi w:val="0"/>
              <w:spacing w:line="360" w:lineRule="auto"/>
              <w:ind w:firstLine="210" w:firstLineChars="100"/>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16"/>
                <w:highlight w:val="none"/>
                <w:lang w:val="en-US" w:eastAsia="zh-CN"/>
              </w:rPr>
              <w:t>本项目由中标人支付招标代理服务费,其中招标代理服务费以中标价为计费基数，根据《招标代理服务收费管理暂行办法》（计价格[2002]1980号）文收取。中标人须在中标公告公示期结束后,领取中标通知书前须向招标代理机构一次性付清招标代理服务费，方可领取中标通知书。</w:t>
            </w:r>
          </w:p>
        </w:tc>
      </w:tr>
      <w:tr w14:paraId="0EF855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37D656">
            <w:pPr>
              <w:wordWrap w:val="0"/>
              <w:adjustRightInd w:val="0"/>
              <w:snapToGrid w:val="0"/>
              <w:spacing w:line="360" w:lineRule="auto"/>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asciiTheme="minorEastAsia" w:hAnsiTheme="minorEastAsia" w:eastAsiaTheme="minorEastAsia" w:cstheme="minorEastAsia"/>
                <w:snapToGrid w:val="0"/>
                <w:color w:val="auto"/>
                <w:kern w:val="0"/>
                <w:sz w:val="21"/>
                <w:szCs w:val="21"/>
                <w:highlight w:val="none"/>
              </w:rPr>
              <w:t>33</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3CF387">
            <w:pPr>
              <w:wordWrap w:val="0"/>
              <w:adjustRightInd w:val="0"/>
              <w:snapToGrid w:val="0"/>
              <w:spacing w:line="360" w:lineRule="auto"/>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招标人</w:t>
            </w:r>
          </w:p>
          <w:p w14:paraId="000795C2">
            <w:pPr>
              <w:wordWrap w:val="0"/>
              <w:adjustRightInd w:val="0"/>
              <w:snapToGrid w:val="0"/>
              <w:spacing w:line="360" w:lineRule="auto"/>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asciiTheme="minorEastAsia" w:hAnsiTheme="minorEastAsia" w:eastAsiaTheme="minorEastAsia" w:cstheme="minorEastAsia"/>
                <w:snapToGrid w:val="0"/>
                <w:color w:val="auto"/>
                <w:kern w:val="0"/>
                <w:sz w:val="21"/>
                <w:szCs w:val="21"/>
                <w:highlight w:val="none"/>
              </w:rPr>
              <w:t>联系方式</w:t>
            </w:r>
          </w:p>
        </w:tc>
        <w:tc>
          <w:tcPr>
            <w:tcW w:w="78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ECAC1E">
            <w:pPr>
              <w:wordWrap w:val="0"/>
              <w:adjustRightInd w:val="0"/>
              <w:snapToGrid w:val="0"/>
              <w:spacing w:line="360" w:lineRule="auto"/>
              <w:ind w:firstLine="210" w:firstLineChars="100"/>
              <w:jc w:val="left"/>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单位名称：南雄市黄坑镇人民政府</w:t>
            </w:r>
          </w:p>
          <w:p w14:paraId="7DF4CE8D">
            <w:pPr>
              <w:wordWrap w:val="0"/>
              <w:adjustRightInd w:val="0"/>
              <w:snapToGrid w:val="0"/>
              <w:spacing w:line="360" w:lineRule="auto"/>
              <w:ind w:firstLine="210" w:firstLineChars="100"/>
              <w:jc w:val="left"/>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办公地址：南雄市黄坑镇文明中路33号</w:t>
            </w:r>
          </w:p>
          <w:p w14:paraId="7251BB3A">
            <w:pPr>
              <w:wordWrap w:val="0"/>
              <w:adjustRightInd w:val="0"/>
              <w:snapToGrid w:val="0"/>
              <w:spacing w:line="360" w:lineRule="auto"/>
              <w:ind w:firstLine="210" w:firstLineChars="100"/>
              <w:jc w:val="left"/>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联系人：孙先生</w:t>
            </w:r>
          </w:p>
          <w:p w14:paraId="7AA899B2">
            <w:pPr>
              <w:wordWrap w:val="0"/>
              <w:adjustRightInd w:val="0"/>
              <w:snapToGrid w:val="0"/>
              <w:spacing w:line="360" w:lineRule="auto"/>
              <w:ind w:firstLine="210" w:firstLineChars="100"/>
              <w:jc w:val="left"/>
              <w:rPr>
                <w:rFonts w:hint="default" w:asciiTheme="minorEastAsia" w:hAnsiTheme="minorEastAsia" w:eastAsiaTheme="minorEastAsia" w:cstheme="minorEastAsia"/>
                <w:color w:val="auto"/>
                <w:kern w:val="2"/>
                <w:sz w:val="21"/>
                <w:szCs w:val="21"/>
                <w:highlight w:val="none"/>
                <w:lang w:val="en-US" w:eastAsia="zh-CN" w:bidi="ar-SA"/>
              </w:rPr>
            </w:pPr>
            <w:r>
              <w:rPr>
                <w:rFonts w:asciiTheme="minorEastAsia" w:hAnsiTheme="minorEastAsia" w:eastAsiaTheme="minorEastAsia" w:cstheme="minorEastAsia"/>
                <w:color w:val="auto"/>
                <w:sz w:val="21"/>
                <w:szCs w:val="21"/>
                <w:highlight w:val="none"/>
              </w:rPr>
              <w:t>联系电话：0751-3682001</w:t>
            </w:r>
          </w:p>
        </w:tc>
      </w:tr>
      <w:tr w14:paraId="6B0D9B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45C3D8">
            <w:pPr>
              <w:wordWrap w:val="0"/>
              <w:adjustRightInd w:val="0"/>
              <w:snapToGrid w:val="0"/>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34</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E345DF">
            <w:pPr>
              <w:wordWrap w:val="0"/>
              <w:adjustRightInd w:val="0"/>
              <w:snapToGrid w:val="0"/>
              <w:spacing w:line="360" w:lineRule="auto"/>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招标代理机构</w:t>
            </w:r>
          </w:p>
          <w:p w14:paraId="41FD0495">
            <w:pPr>
              <w:wordWrap w:val="0"/>
              <w:adjustRightInd w:val="0"/>
              <w:snapToGrid w:val="0"/>
              <w:spacing w:line="360" w:lineRule="auto"/>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asciiTheme="minorEastAsia" w:hAnsiTheme="minorEastAsia" w:eastAsiaTheme="minorEastAsia" w:cstheme="minorEastAsia"/>
                <w:snapToGrid w:val="0"/>
                <w:color w:val="auto"/>
                <w:kern w:val="0"/>
                <w:sz w:val="21"/>
                <w:szCs w:val="21"/>
                <w:highlight w:val="none"/>
              </w:rPr>
              <w:t>联系方式</w:t>
            </w:r>
          </w:p>
        </w:tc>
        <w:tc>
          <w:tcPr>
            <w:tcW w:w="78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B01C99">
            <w:pPr>
              <w:wordWrap w:val="0"/>
              <w:adjustRightInd w:val="0"/>
              <w:snapToGrid w:val="0"/>
              <w:spacing w:line="360" w:lineRule="auto"/>
              <w:ind w:firstLine="210" w:firstLineChars="100"/>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rPr>
              <w:t>单位名称：</w:t>
            </w:r>
            <w:r>
              <w:rPr>
                <w:rFonts w:hint="eastAsia" w:asciiTheme="minorEastAsia" w:hAnsiTheme="minorEastAsia" w:eastAsiaTheme="minorEastAsia" w:cstheme="minorEastAsia"/>
                <w:snapToGrid w:val="0"/>
                <w:color w:val="auto"/>
                <w:kern w:val="0"/>
                <w:sz w:val="21"/>
                <w:szCs w:val="21"/>
                <w:highlight w:val="none"/>
                <w:lang w:val="en-US" w:eastAsia="zh-CN"/>
              </w:rPr>
              <w:t>韶关市繁盛项目管理有限公司</w:t>
            </w:r>
          </w:p>
          <w:p w14:paraId="747C29CC">
            <w:pPr>
              <w:wordWrap w:val="0"/>
              <w:adjustRightInd w:val="0"/>
              <w:snapToGrid w:val="0"/>
              <w:spacing w:line="360" w:lineRule="auto"/>
              <w:ind w:firstLine="210" w:firstLineChars="100"/>
              <w:jc w:val="left"/>
              <w:rPr>
                <w:rFonts w:hint="eastAsia" w:asciiTheme="minorEastAsia" w:hAnsiTheme="minorEastAsia" w:eastAsiaTheme="minorEastAsia" w:cstheme="minorEastAsia"/>
                <w:snapToGrid w:val="0"/>
                <w:color w:val="auto"/>
                <w:kern w:val="0"/>
                <w:sz w:val="21"/>
                <w:szCs w:val="21"/>
                <w:highlight w:val="none"/>
                <w:lang w:val="en-US"/>
              </w:rPr>
            </w:pPr>
            <w:r>
              <w:rPr>
                <w:rFonts w:hint="eastAsia" w:asciiTheme="minorEastAsia" w:hAnsiTheme="minorEastAsia" w:eastAsiaTheme="minorEastAsia" w:cstheme="minorEastAsia"/>
                <w:snapToGrid w:val="0"/>
                <w:color w:val="auto"/>
                <w:kern w:val="0"/>
                <w:sz w:val="21"/>
                <w:szCs w:val="21"/>
                <w:highlight w:val="none"/>
                <w:lang w:val="en-US"/>
              </w:rPr>
              <w:t>办公地址：</w:t>
            </w:r>
            <w:r>
              <w:rPr>
                <w:rFonts w:hint="eastAsia" w:asciiTheme="minorEastAsia" w:hAnsiTheme="minorEastAsia" w:eastAsiaTheme="minorEastAsia" w:cstheme="minorEastAsia"/>
                <w:snapToGrid w:val="0"/>
                <w:color w:val="auto"/>
                <w:kern w:val="0"/>
                <w:sz w:val="21"/>
                <w:szCs w:val="21"/>
                <w:highlight w:val="none"/>
                <w:lang w:val="en-US" w:eastAsia="zh-CN"/>
              </w:rPr>
              <w:t>韶关市曲江区马坝镇马坝村委下街村民小组安置房1号楼5楼自编502号</w:t>
            </w:r>
          </w:p>
          <w:p w14:paraId="4A0536CB">
            <w:pPr>
              <w:wordWrap w:val="0"/>
              <w:adjustRightInd w:val="0"/>
              <w:snapToGrid w:val="0"/>
              <w:spacing w:line="360" w:lineRule="auto"/>
              <w:ind w:firstLine="210" w:firstLineChars="100"/>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rPr>
              <w:t>项目负责人：</w:t>
            </w:r>
            <w:r>
              <w:rPr>
                <w:rFonts w:hint="eastAsia" w:asciiTheme="minorEastAsia" w:hAnsiTheme="minorEastAsia" w:eastAsiaTheme="minorEastAsia" w:cstheme="minorEastAsia"/>
                <w:snapToGrid w:val="0"/>
                <w:color w:val="auto"/>
                <w:kern w:val="0"/>
                <w:sz w:val="21"/>
                <w:szCs w:val="21"/>
                <w:highlight w:val="none"/>
                <w:lang w:val="en-US" w:eastAsia="zh-CN"/>
              </w:rPr>
              <w:t>范繁丹</w:t>
            </w:r>
          </w:p>
          <w:p w14:paraId="5E46569D">
            <w:pPr>
              <w:wordWrap w:val="0"/>
              <w:adjustRightInd w:val="0"/>
              <w:snapToGrid w:val="0"/>
              <w:spacing w:line="360" w:lineRule="auto"/>
              <w:ind w:firstLine="210" w:firstLineChars="100"/>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rPr>
              <w:t>经办人：</w:t>
            </w:r>
            <w:r>
              <w:rPr>
                <w:rFonts w:hint="eastAsia" w:asciiTheme="minorEastAsia" w:hAnsiTheme="minorEastAsia" w:eastAsiaTheme="minorEastAsia" w:cstheme="minorEastAsia"/>
                <w:snapToGrid w:val="0"/>
                <w:color w:val="auto"/>
                <w:kern w:val="0"/>
                <w:sz w:val="21"/>
                <w:szCs w:val="21"/>
                <w:highlight w:val="none"/>
                <w:lang w:val="en-US" w:eastAsia="zh-CN"/>
              </w:rPr>
              <w:t>郑爱玲、朱嫦玲</w:t>
            </w:r>
          </w:p>
          <w:p w14:paraId="0939210B">
            <w:pPr>
              <w:wordWrap w:val="0"/>
              <w:adjustRightInd w:val="0"/>
              <w:snapToGrid w:val="0"/>
              <w:spacing w:line="360" w:lineRule="auto"/>
              <w:ind w:firstLine="210" w:firstLineChars="100"/>
              <w:jc w:val="left"/>
              <w:rPr>
                <w:rFonts w:hint="default" w:asciiTheme="minorEastAsia" w:hAnsiTheme="minorEastAsia" w:eastAsiaTheme="minorEastAsia" w:cstheme="minorEastAsia"/>
                <w:snapToGrid w:val="0"/>
                <w:color w:val="auto"/>
                <w:kern w:val="0"/>
                <w:sz w:val="21"/>
                <w:szCs w:val="21"/>
                <w:highlight w:val="none"/>
                <w:lang w:val="en-US" w:eastAsia="zh-CN" w:bidi="ar-SA"/>
              </w:rPr>
            </w:pPr>
            <w:r>
              <w:rPr>
                <w:rFonts w:hint="default" w:asciiTheme="minorEastAsia" w:hAnsiTheme="minorEastAsia" w:eastAsiaTheme="minorEastAsia" w:cstheme="minorEastAsia"/>
                <w:snapToGrid w:val="0"/>
                <w:color w:val="auto"/>
                <w:kern w:val="0"/>
                <w:sz w:val="21"/>
                <w:szCs w:val="21"/>
                <w:highlight w:val="none"/>
              </w:rPr>
              <w:t>联系电话</w:t>
            </w:r>
            <w:r>
              <w:rPr>
                <w:rFonts w:hint="eastAsia" w:asciiTheme="minorEastAsia" w:hAnsiTheme="minorEastAsia" w:eastAsiaTheme="minorEastAsia" w:cstheme="minorEastAsia"/>
                <w:snapToGrid w:val="0"/>
                <w:color w:val="auto"/>
                <w:kern w:val="0"/>
                <w:sz w:val="21"/>
                <w:szCs w:val="21"/>
                <w:highlight w:val="none"/>
                <w:lang w:val="en-US"/>
              </w:rPr>
              <w:t>：</w:t>
            </w:r>
            <w:r>
              <w:rPr>
                <w:rFonts w:hint="eastAsia" w:asciiTheme="minorEastAsia" w:hAnsiTheme="minorEastAsia" w:eastAsiaTheme="minorEastAsia" w:cstheme="minorEastAsia"/>
                <w:snapToGrid w:val="0"/>
                <w:color w:val="auto"/>
                <w:kern w:val="0"/>
                <w:sz w:val="21"/>
                <w:szCs w:val="21"/>
                <w:highlight w:val="none"/>
                <w:lang w:val="en-US" w:eastAsia="zh-CN"/>
              </w:rPr>
              <w:t>0751-8896636</w:t>
            </w:r>
          </w:p>
        </w:tc>
      </w:tr>
      <w:tr w14:paraId="2A4C6C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42A719">
            <w:pPr>
              <w:wordWrap w:val="0"/>
              <w:adjustRightInd w:val="0"/>
              <w:snapToGrid w:val="0"/>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35</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3317CD">
            <w:pPr>
              <w:wordWrap w:val="0"/>
              <w:adjustRightInd w:val="0"/>
              <w:snapToGrid w:val="0"/>
              <w:spacing w:line="360" w:lineRule="auto"/>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交易场所</w:t>
            </w:r>
          </w:p>
          <w:p w14:paraId="3A293DC2">
            <w:pPr>
              <w:wordWrap w:val="0"/>
              <w:adjustRightInd w:val="0"/>
              <w:snapToGrid w:val="0"/>
              <w:spacing w:line="360" w:lineRule="auto"/>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asciiTheme="minorEastAsia" w:hAnsiTheme="minorEastAsia" w:eastAsiaTheme="minorEastAsia" w:cstheme="minorEastAsia"/>
                <w:snapToGrid w:val="0"/>
                <w:color w:val="auto"/>
                <w:kern w:val="0"/>
                <w:sz w:val="21"/>
                <w:szCs w:val="21"/>
                <w:highlight w:val="none"/>
              </w:rPr>
              <w:t>联系方式</w:t>
            </w:r>
          </w:p>
        </w:tc>
        <w:tc>
          <w:tcPr>
            <w:tcW w:w="78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B35441">
            <w:pPr>
              <w:wordWrap w:val="0"/>
              <w:adjustRightInd w:val="0"/>
              <w:snapToGrid w:val="0"/>
              <w:spacing w:line="360" w:lineRule="auto"/>
              <w:ind w:firstLine="210" w:firstLineChars="100"/>
              <w:jc w:val="left"/>
              <w:rPr>
                <w:rFonts w:hint="default" w:asciiTheme="minorEastAsia" w:hAnsiTheme="minorEastAsia" w:eastAsiaTheme="minorEastAsia" w:cstheme="minorEastAsia"/>
                <w:snapToGrid w:val="0"/>
                <w:color w:val="auto"/>
                <w:kern w:val="0"/>
                <w:sz w:val="21"/>
                <w:szCs w:val="21"/>
                <w:highlight w:val="none"/>
              </w:rPr>
            </w:pPr>
            <w:r>
              <w:rPr>
                <w:rFonts w:hint="default" w:asciiTheme="minorEastAsia" w:hAnsiTheme="minorEastAsia" w:eastAsiaTheme="minorEastAsia" w:cstheme="minorEastAsia"/>
                <w:snapToGrid w:val="0"/>
                <w:color w:val="auto"/>
                <w:kern w:val="0"/>
                <w:sz w:val="21"/>
                <w:szCs w:val="21"/>
                <w:highlight w:val="none"/>
              </w:rPr>
              <w:t>单位名称：韶关市公共资源交易中心</w:t>
            </w:r>
          </w:p>
          <w:p w14:paraId="7DF77C88">
            <w:pPr>
              <w:wordWrap w:val="0"/>
              <w:adjustRightInd w:val="0"/>
              <w:snapToGrid w:val="0"/>
              <w:spacing w:line="360" w:lineRule="auto"/>
              <w:ind w:firstLine="210" w:firstLineChars="100"/>
              <w:jc w:val="left"/>
              <w:rPr>
                <w:rFonts w:hint="default" w:asciiTheme="minorEastAsia" w:hAnsiTheme="minorEastAsia" w:eastAsiaTheme="minorEastAsia" w:cstheme="minorEastAsia"/>
                <w:snapToGrid w:val="0"/>
                <w:color w:val="auto"/>
                <w:kern w:val="0"/>
                <w:sz w:val="21"/>
                <w:szCs w:val="21"/>
                <w:highlight w:val="none"/>
              </w:rPr>
            </w:pPr>
            <w:r>
              <w:rPr>
                <w:rFonts w:hint="default" w:asciiTheme="minorEastAsia" w:hAnsiTheme="minorEastAsia" w:eastAsiaTheme="minorEastAsia" w:cstheme="minorEastAsia"/>
                <w:snapToGrid w:val="0"/>
                <w:color w:val="auto"/>
                <w:kern w:val="0"/>
                <w:sz w:val="21"/>
                <w:szCs w:val="21"/>
                <w:highlight w:val="none"/>
              </w:rPr>
              <w:t>办公地址：韶关市公共资源交易中心南雄分中心（南雄市雄东路1号大润发四楼）南雄市公共服务中心内</w:t>
            </w:r>
          </w:p>
          <w:p w14:paraId="6D8778CB">
            <w:pPr>
              <w:wordWrap w:val="0"/>
              <w:adjustRightInd w:val="0"/>
              <w:snapToGrid w:val="0"/>
              <w:spacing w:line="360" w:lineRule="auto"/>
              <w:ind w:firstLine="210" w:firstLineChars="100"/>
              <w:jc w:val="left"/>
              <w:rPr>
                <w:rFonts w:hint="default" w:asciiTheme="minorEastAsia" w:hAnsiTheme="minorEastAsia" w:eastAsiaTheme="minorEastAsia" w:cstheme="minorEastAsia"/>
                <w:snapToGrid w:val="0"/>
                <w:color w:val="auto"/>
                <w:kern w:val="0"/>
                <w:sz w:val="21"/>
                <w:szCs w:val="21"/>
                <w:highlight w:val="none"/>
              </w:rPr>
            </w:pPr>
            <w:r>
              <w:rPr>
                <w:rFonts w:hint="default" w:asciiTheme="minorEastAsia" w:hAnsiTheme="minorEastAsia" w:eastAsiaTheme="minorEastAsia" w:cstheme="minorEastAsia"/>
                <w:snapToGrid w:val="0"/>
                <w:color w:val="auto"/>
                <w:kern w:val="0"/>
                <w:sz w:val="21"/>
                <w:szCs w:val="21"/>
                <w:highlight w:val="none"/>
              </w:rPr>
              <w:t>联系人（部门）：工程交易部</w:t>
            </w:r>
          </w:p>
          <w:p w14:paraId="4F4C11B5">
            <w:pPr>
              <w:wordWrap w:val="0"/>
              <w:adjustRightInd w:val="0"/>
              <w:snapToGrid w:val="0"/>
              <w:spacing w:line="360" w:lineRule="auto"/>
              <w:ind w:firstLine="210" w:firstLineChars="100"/>
              <w:jc w:val="left"/>
              <w:rPr>
                <w:rFonts w:hint="default" w:asciiTheme="minorEastAsia" w:hAnsiTheme="minorEastAsia" w:eastAsiaTheme="minorEastAsia" w:cstheme="minorEastAsia"/>
                <w:snapToGrid w:val="0"/>
                <w:color w:val="auto"/>
                <w:kern w:val="0"/>
                <w:sz w:val="21"/>
                <w:szCs w:val="21"/>
                <w:highlight w:val="none"/>
                <w:lang w:val="en-US" w:eastAsia="zh-CN" w:bidi="ar-SA"/>
              </w:rPr>
            </w:pPr>
            <w:r>
              <w:rPr>
                <w:rFonts w:hint="default" w:asciiTheme="minorEastAsia" w:hAnsiTheme="minorEastAsia" w:eastAsiaTheme="minorEastAsia" w:cstheme="minorEastAsia"/>
                <w:snapToGrid w:val="0"/>
                <w:color w:val="auto"/>
                <w:kern w:val="0"/>
                <w:sz w:val="21"/>
                <w:szCs w:val="21"/>
                <w:highlight w:val="none"/>
              </w:rPr>
              <w:t>联系电话： 0751-3860729</w:t>
            </w:r>
          </w:p>
        </w:tc>
      </w:tr>
      <w:tr w14:paraId="1F797B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515"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F1D952">
            <w:pPr>
              <w:wordWrap w:val="0"/>
              <w:adjustRightInd w:val="0"/>
              <w:snapToGrid w:val="0"/>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36</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C615ED">
            <w:pPr>
              <w:wordWrap w:val="0"/>
              <w:adjustRightInd w:val="0"/>
              <w:snapToGrid w:val="0"/>
              <w:spacing w:line="360" w:lineRule="auto"/>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行政监督部门</w:t>
            </w:r>
          </w:p>
          <w:p w14:paraId="32DAE40C">
            <w:pPr>
              <w:wordWrap w:val="0"/>
              <w:adjustRightInd w:val="0"/>
              <w:snapToGrid w:val="0"/>
              <w:spacing w:line="360" w:lineRule="auto"/>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asciiTheme="minorEastAsia" w:hAnsiTheme="minorEastAsia" w:eastAsiaTheme="minorEastAsia" w:cstheme="minorEastAsia"/>
                <w:snapToGrid w:val="0"/>
                <w:color w:val="auto"/>
                <w:kern w:val="0"/>
                <w:sz w:val="21"/>
                <w:szCs w:val="21"/>
                <w:highlight w:val="none"/>
              </w:rPr>
              <w:t>联系方式</w:t>
            </w:r>
          </w:p>
        </w:tc>
        <w:tc>
          <w:tcPr>
            <w:tcW w:w="78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99CF75">
            <w:pPr>
              <w:wordWrap w:val="0"/>
              <w:adjustRightInd w:val="0"/>
              <w:snapToGrid w:val="0"/>
              <w:spacing w:line="360" w:lineRule="auto"/>
              <w:ind w:firstLine="210" w:firstLineChars="100"/>
              <w:jc w:val="left"/>
              <w:rPr>
                <w:rFonts w:hint="default" w:asciiTheme="minorEastAsia" w:hAnsiTheme="minorEastAsia" w:eastAsiaTheme="minorEastAsia" w:cstheme="minorEastAsia"/>
                <w:color w:val="auto"/>
                <w:kern w:val="0"/>
                <w:sz w:val="21"/>
                <w:szCs w:val="21"/>
                <w:highlight w:val="none"/>
              </w:rPr>
            </w:pPr>
            <w:r>
              <w:rPr>
                <w:rFonts w:hint="default" w:asciiTheme="minorEastAsia" w:hAnsiTheme="minorEastAsia" w:eastAsiaTheme="minorEastAsia" w:cstheme="minorEastAsia"/>
                <w:color w:val="auto"/>
                <w:kern w:val="0"/>
                <w:sz w:val="21"/>
                <w:szCs w:val="21"/>
                <w:highlight w:val="none"/>
                <w:lang w:val="en-US" w:eastAsia="zh-CN"/>
              </w:rPr>
              <w:t>单位名称：</w:t>
            </w:r>
            <w:r>
              <w:rPr>
                <w:rFonts w:hint="default" w:asciiTheme="minorEastAsia" w:hAnsiTheme="minorEastAsia" w:eastAsiaTheme="minorEastAsia" w:cstheme="minorEastAsia"/>
                <w:color w:val="auto"/>
                <w:kern w:val="0"/>
                <w:sz w:val="21"/>
                <w:szCs w:val="21"/>
                <w:highlight w:val="none"/>
              </w:rPr>
              <w:t>南雄市农业农村局</w:t>
            </w:r>
          </w:p>
          <w:p w14:paraId="3B6E2AFE">
            <w:pPr>
              <w:wordWrap w:val="0"/>
              <w:adjustRightInd w:val="0"/>
              <w:snapToGrid w:val="0"/>
              <w:spacing w:line="360" w:lineRule="auto"/>
              <w:ind w:firstLine="210" w:firstLineChars="100"/>
              <w:jc w:val="left"/>
              <w:rPr>
                <w:rFonts w:hint="default" w:asciiTheme="minorEastAsia" w:hAnsiTheme="minorEastAsia" w:eastAsiaTheme="minorEastAsia" w:cstheme="minorEastAsia"/>
                <w:color w:val="auto"/>
                <w:kern w:val="0"/>
                <w:sz w:val="21"/>
                <w:szCs w:val="21"/>
                <w:highlight w:val="none"/>
                <w:lang w:val="en-US" w:eastAsia="zh-CN"/>
              </w:rPr>
            </w:pPr>
            <w:r>
              <w:rPr>
                <w:rFonts w:hint="default" w:asciiTheme="minorEastAsia" w:hAnsiTheme="minorEastAsia" w:eastAsiaTheme="minorEastAsia" w:cstheme="minorEastAsia"/>
                <w:color w:val="auto"/>
                <w:kern w:val="0"/>
                <w:sz w:val="21"/>
                <w:szCs w:val="21"/>
                <w:highlight w:val="none"/>
                <w:lang w:val="en-US" w:eastAsia="zh-CN"/>
              </w:rPr>
              <w:t xml:space="preserve">办公地址：韶关市南雄市沿江西路98号 </w:t>
            </w:r>
          </w:p>
          <w:p w14:paraId="4364ABCC">
            <w:pPr>
              <w:wordWrap w:val="0"/>
              <w:adjustRightInd w:val="0"/>
              <w:snapToGrid w:val="0"/>
              <w:spacing w:line="360" w:lineRule="auto"/>
              <w:ind w:firstLine="210" w:firstLineChars="100"/>
              <w:jc w:val="left"/>
              <w:rPr>
                <w:rFonts w:hint="default" w:asciiTheme="minorEastAsia" w:hAnsiTheme="minorEastAsia" w:eastAsiaTheme="minorEastAsia" w:cstheme="minorEastAsia"/>
                <w:color w:val="auto"/>
                <w:kern w:val="0"/>
                <w:sz w:val="21"/>
                <w:szCs w:val="21"/>
                <w:highlight w:val="none"/>
                <w:lang w:val="en-US" w:eastAsia="zh-CN"/>
              </w:rPr>
            </w:pPr>
            <w:r>
              <w:rPr>
                <w:rFonts w:hint="default" w:asciiTheme="minorEastAsia" w:hAnsiTheme="minorEastAsia" w:eastAsiaTheme="minorEastAsia" w:cstheme="minorEastAsia"/>
                <w:color w:val="auto"/>
                <w:kern w:val="0"/>
                <w:sz w:val="21"/>
                <w:szCs w:val="21"/>
                <w:highlight w:val="none"/>
                <w:lang w:val="en-US" w:eastAsia="zh-CN"/>
              </w:rPr>
              <w:t xml:space="preserve">联系人(部门)：邹工 </w:t>
            </w:r>
          </w:p>
          <w:p w14:paraId="51227BB1">
            <w:pPr>
              <w:wordWrap w:val="0"/>
              <w:adjustRightInd w:val="0"/>
              <w:snapToGrid w:val="0"/>
              <w:spacing w:line="360" w:lineRule="auto"/>
              <w:ind w:firstLine="210" w:firstLineChars="100"/>
              <w:jc w:val="left"/>
              <w:rPr>
                <w:rFonts w:hint="default" w:asciiTheme="minorEastAsia" w:hAnsiTheme="minorEastAsia" w:eastAsiaTheme="minorEastAsia" w:cstheme="minorEastAsia"/>
                <w:color w:val="auto"/>
                <w:kern w:val="0"/>
                <w:sz w:val="21"/>
                <w:szCs w:val="21"/>
                <w:highlight w:val="none"/>
                <w:lang w:val="en-US" w:eastAsia="zh-CN" w:bidi="ar-SA"/>
              </w:rPr>
            </w:pPr>
            <w:r>
              <w:rPr>
                <w:rFonts w:hint="default" w:asciiTheme="minorEastAsia" w:hAnsiTheme="minorEastAsia" w:eastAsiaTheme="minorEastAsia" w:cstheme="minorEastAsia"/>
                <w:color w:val="auto"/>
                <w:kern w:val="0"/>
                <w:sz w:val="21"/>
                <w:szCs w:val="21"/>
                <w:highlight w:val="none"/>
                <w:lang w:val="en-US" w:eastAsia="zh-CN"/>
              </w:rPr>
              <w:t>联系电话：0751-3822128</w:t>
            </w:r>
            <w:r>
              <w:rPr>
                <w:rFonts w:hint="default" w:asciiTheme="minorEastAsia" w:hAnsiTheme="minorEastAsia" w:eastAsiaTheme="minorEastAsia" w:cstheme="minorEastAsia"/>
                <w:color w:val="auto"/>
                <w:kern w:val="0"/>
                <w:sz w:val="21"/>
                <w:szCs w:val="21"/>
                <w:highlight w:val="none"/>
              </w:rPr>
              <w:t> </w:t>
            </w:r>
          </w:p>
        </w:tc>
      </w:tr>
      <w:bookmarkEnd w:id="6"/>
    </w:tbl>
    <w:p w14:paraId="56EF2E46">
      <w:pPr>
        <w:pStyle w:val="3"/>
        <w:wordWrap w:val="0"/>
        <w:autoSpaceDE/>
        <w:autoSpaceDN/>
        <w:snapToGrid w:val="0"/>
        <w:spacing w:after="260" w:line="440" w:lineRule="exact"/>
        <w:jc w:val="center"/>
        <w:rPr>
          <w:rFonts w:hint="default" w:asciiTheme="minorEastAsia" w:hAnsiTheme="minorEastAsia" w:eastAsiaTheme="minorEastAsia" w:cstheme="minorEastAsia"/>
          <w:b/>
          <w:color w:val="auto"/>
          <w:kern w:val="2"/>
          <w:highlight w:val="none"/>
        </w:rPr>
      </w:pPr>
      <w:bookmarkStart w:id="16" w:name="_Toc122859103"/>
      <w:bookmarkStart w:id="17" w:name="_Toc122769943"/>
      <w:bookmarkStart w:id="18" w:name="_Toc122671103"/>
      <w:r>
        <w:rPr>
          <w:rFonts w:asciiTheme="minorEastAsia" w:hAnsiTheme="minorEastAsia" w:eastAsiaTheme="minorEastAsia" w:cstheme="minorEastAsia"/>
          <w:b/>
          <w:color w:val="auto"/>
          <w:kern w:val="2"/>
          <w:highlight w:val="none"/>
        </w:rPr>
        <w:br w:type="page"/>
      </w:r>
      <w:bookmarkEnd w:id="16"/>
      <w:bookmarkEnd w:id="17"/>
      <w:bookmarkEnd w:id="18"/>
      <w:bookmarkStart w:id="19" w:name="_Toc5664"/>
      <w:r>
        <w:rPr>
          <w:rFonts w:asciiTheme="minorEastAsia" w:hAnsiTheme="minorEastAsia" w:eastAsiaTheme="minorEastAsia" w:cstheme="minorEastAsia"/>
          <w:b/>
          <w:color w:val="auto"/>
          <w:kern w:val="2"/>
          <w:szCs w:val="24"/>
          <w:highlight w:val="none"/>
        </w:rPr>
        <w:t>第二节</w:t>
      </w:r>
      <w:r>
        <w:rPr>
          <w:rFonts w:hint="eastAsia" w:asciiTheme="minorEastAsia" w:hAnsiTheme="minorEastAsia" w:eastAsiaTheme="minorEastAsia" w:cstheme="minorEastAsia"/>
          <w:b/>
          <w:color w:val="auto"/>
          <w:kern w:val="2"/>
          <w:szCs w:val="24"/>
          <w:highlight w:val="none"/>
          <w:lang w:val="en-US" w:eastAsia="zh-CN"/>
        </w:rPr>
        <w:t xml:space="preserve">  </w:t>
      </w:r>
      <w:r>
        <w:rPr>
          <w:rFonts w:asciiTheme="minorEastAsia" w:hAnsiTheme="minorEastAsia" w:eastAsiaTheme="minorEastAsia" w:cstheme="minorEastAsia"/>
          <w:b/>
          <w:color w:val="auto"/>
          <w:kern w:val="2"/>
          <w:szCs w:val="24"/>
          <w:highlight w:val="none"/>
        </w:rPr>
        <w:t>重要事项时间地点一览表.</w:t>
      </w:r>
      <w:bookmarkEnd w:id="19"/>
    </w:p>
    <w:tbl>
      <w:tblPr>
        <w:tblStyle w:val="24"/>
        <w:tblW w:w="9699" w:type="dxa"/>
        <w:tblInd w:w="-6"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504"/>
        <w:gridCol w:w="1610"/>
        <w:gridCol w:w="7585"/>
      </w:tblGrid>
      <w:tr w14:paraId="7F70700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72"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7AA03C81">
            <w:pPr>
              <w:pStyle w:val="45"/>
              <w:wordWrap w:val="0"/>
              <w:adjustRightInd w:val="0"/>
              <w:snapToGrid w:val="0"/>
              <w:spacing w:line="360" w:lineRule="auto"/>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1</w:t>
            </w:r>
          </w:p>
        </w:tc>
        <w:tc>
          <w:tcPr>
            <w:tcW w:w="1610" w:type="dxa"/>
            <w:tcBorders>
              <w:top w:val="single" w:color="080000" w:sz="4" w:space="0"/>
              <w:left w:val="single" w:color="080000" w:sz="4" w:space="0"/>
              <w:bottom w:val="single" w:color="080000" w:sz="4" w:space="0"/>
              <w:right w:val="single" w:color="080000" w:sz="4" w:space="0"/>
            </w:tcBorders>
            <w:vAlign w:val="center"/>
          </w:tcPr>
          <w:p w14:paraId="26426FEA">
            <w:pPr>
              <w:pStyle w:val="45"/>
              <w:wordWrap w:val="0"/>
              <w:adjustRightInd w:val="0"/>
              <w:snapToGrid w:val="0"/>
              <w:spacing w:line="360" w:lineRule="exact"/>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招标公告</w:t>
            </w:r>
          </w:p>
          <w:p w14:paraId="546AA729">
            <w:pPr>
              <w:pStyle w:val="45"/>
              <w:wordWrap w:val="0"/>
              <w:adjustRightInd w:val="0"/>
              <w:snapToGrid w:val="0"/>
              <w:spacing w:line="360" w:lineRule="exact"/>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 xml:space="preserve">发布时间 </w:t>
            </w:r>
          </w:p>
        </w:tc>
        <w:tc>
          <w:tcPr>
            <w:tcW w:w="7585" w:type="dxa"/>
            <w:tcBorders>
              <w:top w:val="single" w:color="080000" w:sz="4" w:space="0"/>
              <w:left w:val="single" w:color="080000" w:sz="4" w:space="0"/>
              <w:bottom w:val="single" w:color="080000" w:sz="4" w:space="0"/>
              <w:right w:val="single" w:color="080000" w:sz="4" w:space="0"/>
            </w:tcBorders>
            <w:vAlign w:val="center"/>
          </w:tcPr>
          <w:p w14:paraId="2DBEA90B">
            <w:pPr>
              <w:pStyle w:val="45"/>
              <w:wordWrap w:val="0"/>
              <w:adjustRightInd w:val="0"/>
              <w:snapToGrid w:val="0"/>
              <w:spacing w:line="400" w:lineRule="exact"/>
              <w:jc w:val="left"/>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 xml:space="preserve"> </w:t>
            </w:r>
            <w:r>
              <w:rPr>
                <w:rFonts w:hint="eastAsia" w:asciiTheme="minorEastAsia" w:hAnsiTheme="minorEastAsia" w:eastAsiaTheme="minorEastAsia" w:cstheme="minorEastAsia"/>
                <w:color w:val="auto"/>
                <w:sz w:val="21"/>
                <w:szCs w:val="21"/>
                <w:highlight w:val="none"/>
                <w:u w:val="single"/>
              </w:rPr>
              <w:t>202</w:t>
            </w:r>
            <w:r>
              <w:rPr>
                <w:rFonts w:hint="eastAsia" w:asciiTheme="minorEastAsia" w:hAnsiTheme="minorEastAsia" w:eastAsiaTheme="minorEastAsia" w:cstheme="minorEastAsia"/>
                <w:color w:val="auto"/>
                <w:sz w:val="21"/>
                <w:szCs w:val="21"/>
                <w:highlight w:val="none"/>
                <w:u w:val="single"/>
                <w:lang w:val="en-US" w:eastAsia="zh-CN"/>
              </w:rPr>
              <w:t>6</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u w:val="single"/>
                <w:lang w:val="en-US" w:eastAsia="zh-CN"/>
              </w:rPr>
              <w:t>9</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22</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color w:val="auto"/>
                <w:sz w:val="21"/>
                <w:szCs w:val="21"/>
                <w:highlight w:val="none"/>
                <w:u w:val="single"/>
              </w:rPr>
              <w:t xml:space="preserve"> 18 </w:t>
            </w:r>
            <w:r>
              <w:rPr>
                <w:rFonts w:hint="eastAsia" w:asciiTheme="minorEastAsia" w:hAnsiTheme="minorEastAsia" w:eastAsiaTheme="minorEastAsia" w:cstheme="minorEastAsia"/>
                <w:color w:val="auto"/>
                <w:sz w:val="21"/>
                <w:szCs w:val="21"/>
                <w:highlight w:val="none"/>
              </w:rPr>
              <w:t>时</w:t>
            </w:r>
            <w:r>
              <w:rPr>
                <w:rFonts w:hint="eastAsia" w:asciiTheme="minorEastAsia" w:hAnsiTheme="minorEastAsia" w:eastAsiaTheme="minorEastAsia" w:cstheme="minorEastAsia"/>
                <w:color w:val="auto"/>
                <w:sz w:val="21"/>
                <w:szCs w:val="21"/>
                <w:highlight w:val="none"/>
                <w:u w:val="single"/>
              </w:rPr>
              <w:t xml:space="preserve"> 00 </w:t>
            </w:r>
            <w:r>
              <w:rPr>
                <w:rFonts w:hint="eastAsia" w:asciiTheme="minorEastAsia" w:hAnsiTheme="minorEastAsia" w:eastAsiaTheme="minorEastAsia" w:cstheme="minorEastAsia"/>
                <w:color w:val="auto"/>
                <w:sz w:val="21"/>
                <w:szCs w:val="21"/>
                <w:highlight w:val="none"/>
              </w:rPr>
              <w:t>分</w:t>
            </w:r>
          </w:p>
        </w:tc>
      </w:tr>
      <w:tr w14:paraId="69703E7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1"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1209F6FF">
            <w:pPr>
              <w:pStyle w:val="45"/>
              <w:wordWrap w:val="0"/>
              <w:adjustRightInd w:val="0"/>
              <w:snapToGrid w:val="0"/>
              <w:spacing w:line="360" w:lineRule="auto"/>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2</w:t>
            </w:r>
          </w:p>
        </w:tc>
        <w:tc>
          <w:tcPr>
            <w:tcW w:w="1610" w:type="dxa"/>
            <w:tcBorders>
              <w:top w:val="single" w:color="080000" w:sz="4" w:space="0"/>
              <w:left w:val="single" w:color="080000" w:sz="4" w:space="0"/>
              <w:bottom w:val="single" w:color="080000" w:sz="4" w:space="0"/>
              <w:right w:val="single" w:color="080000" w:sz="4" w:space="0"/>
            </w:tcBorders>
            <w:vAlign w:val="center"/>
          </w:tcPr>
          <w:p w14:paraId="110019FA">
            <w:pPr>
              <w:pStyle w:val="45"/>
              <w:wordWrap w:val="0"/>
              <w:adjustRightInd w:val="0"/>
              <w:snapToGrid w:val="0"/>
              <w:spacing w:line="360" w:lineRule="exact"/>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 xml:space="preserve">获取招标文件截止时间 </w:t>
            </w:r>
          </w:p>
        </w:tc>
        <w:tc>
          <w:tcPr>
            <w:tcW w:w="7585" w:type="dxa"/>
            <w:tcBorders>
              <w:top w:val="single" w:color="080000" w:sz="4" w:space="0"/>
              <w:left w:val="single" w:color="080000" w:sz="4" w:space="0"/>
              <w:bottom w:val="single" w:color="080000" w:sz="4" w:space="0"/>
              <w:right w:val="single" w:color="080000" w:sz="4" w:space="0"/>
            </w:tcBorders>
            <w:vAlign w:val="center"/>
          </w:tcPr>
          <w:p w14:paraId="4559488F">
            <w:pPr>
              <w:pStyle w:val="45"/>
              <w:wordWrap w:val="0"/>
              <w:adjustRightInd w:val="0"/>
              <w:snapToGrid w:val="0"/>
              <w:spacing w:line="400" w:lineRule="exact"/>
              <w:jc w:val="left"/>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 xml:space="preserve"> </w:t>
            </w:r>
            <w:r>
              <w:rPr>
                <w:rFonts w:hint="eastAsia" w:asciiTheme="minorEastAsia" w:hAnsiTheme="minorEastAsia" w:eastAsiaTheme="minorEastAsia" w:cstheme="minorEastAsia"/>
                <w:color w:val="auto"/>
                <w:sz w:val="21"/>
                <w:szCs w:val="21"/>
                <w:highlight w:val="none"/>
                <w:u w:val="single"/>
              </w:rPr>
              <w:t>202</w:t>
            </w:r>
            <w:r>
              <w:rPr>
                <w:rFonts w:hint="eastAsia" w:asciiTheme="minorEastAsia" w:hAnsiTheme="minorEastAsia" w:eastAsiaTheme="minorEastAsia" w:cstheme="minorEastAsia"/>
                <w:color w:val="auto"/>
                <w:sz w:val="21"/>
                <w:szCs w:val="21"/>
                <w:highlight w:val="none"/>
                <w:u w:val="single"/>
                <w:lang w:val="en-US" w:eastAsia="zh-CN"/>
              </w:rPr>
              <w:t>6</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10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20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color w:val="auto"/>
                <w:sz w:val="21"/>
                <w:szCs w:val="21"/>
                <w:highlight w:val="none"/>
                <w:u w:val="single"/>
              </w:rPr>
              <w:t xml:space="preserve"> 10 </w:t>
            </w:r>
            <w:r>
              <w:rPr>
                <w:rFonts w:hint="eastAsia" w:asciiTheme="minorEastAsia" w:hAnsiTheme="minorEastAsia" w:eastAsiaTheme="minorEastAsia" w:cstheme="minorEastAsia"/>
                <w:color w:val="auto"/>
                <w:sz w:val="21"/>
                <w:szCs w:val="21"/>
                <w:highlight w:val="none"/>
              </w:rPr>
              <w:t>时</w:t>
            </w:r>
            <w:r>
              <w:rPr>
                <w:rFonts w:hint="eastAsia" w:asciiTheme="minorEastAsia" w:hAnsiTheme="minorEastAsia" w:eastAsiaTheme="minorEastAsia" w:cstheme="minorEastAsia"/>
                <w:color w:val="auto"/>
                <w:sz w:val="21"/>
                <w:szCs w:val="21"/>
                <w:highlight w:val="none"/>
                <w:u w:val="single"/>
              </w:rPr>
              <w:t xml:space="preserve"> 30</w:t>
            </w:r>
            <w:r>
              <w:rPr>
                <w:rFonts w:hint="eastAsia" w:asciiTheme="minorEastAsia" w:hAnsiTheme="minorEastAsia" w:eastAsiaTheme="minorEastAsia" w:cstheme="minorEastAsia"/>
                <w:color w:val="auto"/>
                <w:sz w:val="21"/>
                <w:szCs w:val="21"/>
                <w:highlight w:val="none"/>
              </w:rPr>
              <w:t>分</w:t>
            </w:r>
          </w:p>
        </w:tc>
      </w:tr>
      <w:tr w14:paraId="045F72D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0"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16AE2029">
            <w:pPr>
              <w:pStyle w:val="45"/>
              <w:wordWrap w:val="0"/>
              <w:adjustRightInd w:val="0"/>
              <w:snapToGrid w:val="0"/>
              <w:spacing w:line="360" w:lineRule="auto"/>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3</w:t>
            </w:r>
          </w:p>
        </w:tc>
        <w:tc>
          <w:tcPr>
            <w:tcW w:w="1610" w:type="dxa"/>
            <w:tcBorders>
              <w:top w:val="single" w:color="080000" w:sz="4" w:space="0"/>
              <w:left w:val="single" w:color="080000" w:sz="4" w:space="0"/>
              <w:bottom w:val="single" w:color="080000" w:sz="4" w:space="0"/>
              <w:right w:val="single" w:color="080000" w:sz="4" w:space="0"/>
            </w:tcBorders>
            <w:vAlign w:val="center"/>
          </w:tcPr>
          <w:p w14:paraId="56B51122">
            <w:pPr>
              <w:pStyle w:val="45"/>
              <w:wordWrap w:val="0"/>
              <w:adjustRightInd w:val="0"/>
              <w:snapToGrid w:val="0"/>
              <w:spacing w:line="360" w:lineRule="exact"/>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网上提问</w:t>
            </w:r>
          </w:p>
          <w:p w14:paraId="0872DB93">
            <w:pPr>
              <w:pStyle w:val="45"/>
              <w:wordWrap w:val="0"/>
              <w:adjustRightInd w:val="0"/>
              <w:snapToGrid w:val="0"/>
              <w:spacing w:line="360" w:lineRule="exact"/>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 xml:space="preserve">截止时间 </w:t>
            </w:r>
          </w:p>
        </w:tc>
        <w:tc>
          <w:tcPr>
            <w:tcW w:w="7585" w:type="dxa"/>
            <w:tcBorders>
              <w:top w:val="single" w:color="080000" w:sz="4" w:space="0"/>
              <w:left w:val="single" w:color="080000" w:sz="4" w:space="0"/>
              <w:bottom w:val="single" w:color="080000" w:sz="4" w:space="0"/>
              <w:right w:val="single" w:color="080000" w:sz="4" w:space="0"/>
            </w:tcBorders>
            <w:vAlign w:val="center"/>
          </w:tcPr>
          <w:p w14:paraId="0C87FBFF">
            <w:pPr>
              <w:pStyle w:val="45"/>
              <w:wordWrap w:val="0"/>
              <w:adjustRightInd w:val="0"/>
              <w:snapToGrid w:val="0"/>
              <w:spacing w:line="400" w:lineRule="exact"/>
              <w:jc w:val="left"/>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 xml:space="preserve"> </w:t>
            </w:r>
            <w:r>
              <w:rPr>
                <w:rFonts w:hint="eastAsia" w:asciiTheme="minorEastAsia" w:hAnsiTheme="minorEastAsia" w:eastAsiaTheme="minorEastAsia" w:cstheme="minorEastAsia"/>
                <w:color w:val="auto"/>
                <w:sz w:val="21"/>
                <w:szCs w:val="21"/>
                <w:highlight w:val="none"/>
                <w:u w:val="single"/>
              </w:rPr>
              <w:t>202</w:t>
            </w:r>
            <w:r>
              <w:rPr>
                <w:rFonts w:hint="eastAsia" w:asciiTheme="minorEastAsia" w:hAnsiTheme="minorEastAsia" w:eastAsiaTheme="minorEastAsia" w:cstheme="minorEastAsia"/>
                <w:color w:val="auto"/>
                <w:sz w:val="21"/>
                <w:szCs w:val="21"/>
                <w:highlight w:val="none"/>
                <w:u w:val="single"/>
                <w:lang w:val="en-US" w:eastAsia="zh-CN"/>
              </w:rPr>
              <w:t>6</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10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10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snapToGrid w:val="0"/>
                <w:color w:val="auto"/>
                <w:kern w:val="0"/>
                <w:sz w:val="21"/>
                <w:szCs w:val="21"/>
                <w:highlight w:val="none"/>
                <w:u w:val="single"/>
              </w:rPr>
              <w:t>16</w:t>
            </w:r>
            <w:r>
              <w:rPr>
                <w:rFonts w:hint="eastAsia" w:asciiTheme="minorEastAsia" w:hAnsiTheme="minorEastAsia" w:eastAsiaTheme="minorEastAsia" w:cstheme="minorEastAsia"/>
                <w:snapToGrid w:val="0"/>
                <w:color w:val="auto"/>
                <w:kern w:val="0"/>
                <w:sz w:val="21"/>
                <w:szCs w:val="21"/>
                <w:highlight w:val="none"/>
              </w:rPr>
              <w:t>时</w:t>
            </w:r>
            <w:r>
              <w:rPr>
                <w:rFonts w:hint="eastAsia" w:asciiTheme="minorEastAsia" w:hAnsiTheme="minorEastAsia" w:eastAsiaTheme="minorEastAsia" w:cstheme="minorEastAsia"/>
                <w:snapToGrid w:val="0"/>
                <w:color w:val="auto"/>
                <w:kern w:val="0"/>
                <w:sz w:val="21"/>
                <w:szCs w:val="21"/>
                <w:highlight w:val="none"/>
                <w:u w:val="single"/>
              </w:rPr>
              <w:t>00</w:t>
            </w:r>
            <w:r>
              <w:rPr>
                <w:rFonts w:hint="eastAsia" w:asciiTheme="minorEastAsia" w:hAnsiTheme="minorEastAsia" w:eastAsiaTheme="minorEastAsia" w:cstheme="minorEastAsia"/>
                <w:snapToGrid w:val="0"/>
                <w:color w:val="auto"/>
                <w:kern w:val="0"/>
                <w:sz w:val="21"/>
                <w:szCs w:val="21"/>
                <w:highlight w:val="none"/>
              </w:rPr>
              <w:t>分</w:t>
            </w:r>
          </w:p>
        </w:tc>
      </w:tr>
      <w:tr w14:paraId="10D7B11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70"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7B0C6B6F">
            <w:pPr>
              <w:pStyle w:val="45"/>
              <w:wordWrap w:val="0"/>
              <w:adjustRightInd w:val="0"/>
              <w:snapToGrid w:val="0"/>
              <w:spacing w:line="360" w:lineRule="auto"/>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4</w:t>
            </w:r>
          </w:p>
        </w:tc>
        <w:tc>
          <w:tcPr>
            <w:tcW w:w="1610" w:type="dxa"/>
            <w:tcBorders>
              <w:top w:val="single" w:color="080000" w:sz="4" w:space="0"/>
              <w:left w:val="single" w:color="080000" w:sz="4" w:space="0"/>
              <w:bottom w:val="single" w:color="080000" w:sz="4" w:space="0"/>
              <w:right w:val="single" w:color="080000" w:sz="4" w:space="0"/>
            </w:tcBorders>
            <w:vAlign w:val="center"/>
          </w:tcPr>
          <w:p w14:paraId="22ABB7F9">
            <w:pPr>
              <w:pStyle w:val="45"/>
              <w:wordWrap w:val="0"/>
              <w:adjustRightInd w:val="0"/>
              <w:snapToGrid w:val="0"/>
              <w:spacing w:line="360" w:lineRule="exact"/>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网上答疑</w:t>
            </w:r>
          </w:p>
          <w:p w14:paraId="4170C9F7">
            <w:pPr>
              <w:pStyle w:val="45"/>
              <w:wordWrap w:val="0"/>
              <w:adjustRightInd w:val="0"/>
              <w:snapToGrid w:val="0"/>
              <w:spacing w:line="360" w:lineRule="exact"/>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时间</w:t>
            </w:r>
          </w:p>
        </w:tc>
        <w:tc>
          <w:tcPr>
            <w:tcW w:w="7585" w:type="dxa"/>
            <w:tcBorders>
              <w:top w:val="single" w:color="080000" w:sz="4" w:space="0"/>
              <w:left w:val="single" w:color="080000" w:sz="4" w:space="0"/>
              <w:bottom w:val="single" w:color="080000" w:sz="4" w:space="0"/>
              <w:right w:val="single" w:color="080000" w:sz="4" w:space="0"/>
            </w:tcBorders>
            <w:vAlign w:val="center"/>
          </w:tcPr>
          <w:p w14:paraId="7AF14801">
            <w:pPr>
              <w:pStyle w:val="45"/>
              <w:wordWrap w:val="0"/>
              <w:adjustRightInd w:val="0"/>
              <w:snapToGrid w:val="0"/>
              <w:spacing w:line="400" w:lineRule="exact"/>
              <w:jc w:val="left"/>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 xml:space="preserve"> </w:t>
            </w:r>
            <w:r>
              <w:rPr>
                <w:rFonts w:hint="eastAsia" w:asciiTheme="minorEastAsia" w:hAnsiTheme="minorEastAsia" w:eastAsiaTheme="minorEastAsia" w:cstheme="minorEastAsia"/>
                <w:color w:val="auto"/>
                <w:sz w:val="21"/>
                <w:szCs w:val="21"/>
                <w:highlight w:val="none"/>
                <w:u w:val="single"/>
              </w:rPr>
              <w:t>202</w:t>
            </w:r>
            <w:r>
              <w:rPr>
                <w:rFonts w:hint="eastAsia" w:asciiTheme="minorEastAsia" w:hAnsiTheme="minorEastAsia" w:eastAsiaTheme="minorEastAsia" w:cstheme="minorEastAsia"/>
                <w:color w:val="auto"/>
                <w:sz w:val="21"/>
                <w:szCs w:val="21"/>
                <w:highlight w:val="none"/>
                <w:u w:val="single"/>
                <w:lang w:val="en-US" w:eastAsia="zh-CN"/>
              </w:rPr>
              <w:t>6</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u w:val="single"/>
                <w:lang w:val="en-US" w:eastAsia="zh-CN"/>
              </w:rPr>
              <w:t>10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10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snapToGrid w:val="0"/>
                <w:color w:val="auto"/>
                <w:kern w:val="0"/>
                <w:sz w:val="21"/>
                <w:szCs w:val="21"/>
                <w:highlight w:val="none"/>
                <w:u w:val="single"/>
              </w:rPr>
              <w:t>16</w:t>
            </w:r>
            <w:r>
              <w:rPr>
                <w:rFonts w:hint="eastAsia" w:asciiTheme="minorEastAsia" w:hAnsiTheme="minorEastAsia" w:eastAsiaTheme="minorEastAsia" w:cstheme="minorEastAsia"/>
                <w:snapToGrid w:val="0"/>
                <w:color w:val="auto"/>
                <w:kern w:val="0"/>
                <w:sz w:val="21"/>
                <w:szCs w:val="21"/>
                <w:highlight w:val="none"/>
              </w:rPr>
              <w:t>时</w:t>
            </w:r>
            <w:r>
              <w:rPr>
                <w:rFonts w:hint="eastAsia" w:asciiTheme="minorEastAsia" w:hAnsiTheme="minorEastAsia" w:eastAsiaTheme="minorEastAsia" w:cstheme="minorEastAsia"/>
                <w:snapToGrid w:val="0"/>
                <w:color w:val="auto"/>
                <w:kern w:val="0"/>
                <w:sz w:val="21"/>
                <w:szCs w:val="21"/>
                <w:highlight w:val="none"/>
                <w:u w:val="single"/>
              </w:rPr>
              <w:t>30</w:t>
            </w:r>
            <w:r>
              <w:rPr>
                <w:rFonts w:hint="eastAsia" w:asciiTheme="minorEastAsia" w:hAnsiTheme="minorEastAsia" w:eastAsiaTheme="minorEastAsia" w:cstheme="minorEastAsia"/>
                <w:snapToGrid w:val="0"/>
                <w:color w:val="auto"/>
                <w:kern w:val="0"/>
                <w:sz w:val="21"/>
                <w:szCs w:val="21"/>
                <w:highlight w:val="none"/>
              </w:rPr>
              <w:t>分至</w:t>
            </w:r>
            <w:r>
              <w:rPr>
                <w:rFonts w:hint="eastAsia" w:asciiTheme="minorEastAsia" w:hAnsiTheme="minorEastAsia" w:eastAsiaTheme="minorEastAsia" w:cstheme="minorEastAsia"/>
                <w:color w:val="auto"/>
                <w:sz w:val="21"/>
                <w:szCs w:val="21"/>
                <w:highlight w:val="none"/>
                <w:u w:val="single"/>
              </w:rPr>
              <w:t>202</w:t>
            </w:r>
            <w:r>
              <w:rPr>
                <w:rFonts w:hint="eastAsia" w:asciiTheme="minorEastAsia" w:hAnsiTheme="minorEastAsia" w:eastAsiaTheme="minorEastAsia" w:cstheme="minorEastAsia"/>
                <w:color w:val="auto"/>
                <w:sz w:val="21"/>
                <w:szCs w:val="21"/>
                <w:highlight w:val="none"/>
                <w:u w:val="single"/>
                <w:lang w:val="en-US" w:eastAsia="zh-CN"/>
              </w:rPr>
              <w:t>6</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lang w:val="en-US" w:eastAsia="zh-CN"/>
              </w:rPr>
              <w:t xml:space="preserve"> 10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13</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snapToGrid w:val="0"/>
                <w:color w:val="auto"/>
                <w:kern w:val="0"/>
                <w:sz w:val="21"/>
                <w:szCs w:val="21"/>
                <w:highlight w:val="none"/>
                <w:u w:val="single"/>
              </w:rPr>
              <w:t>16</w:t>
            </w:r>
            <w:r>
              <w:rPr>
                <w:rFonts w:hint="eastAsia" w:asciiTheme="minorEastAsia" w:hAnsiTheme="minorEastAsia" w:eastAsiaTheme="minorEastAsia" w:cstheme="minorEastAsia"/>
                <w:snapToGrid w:val="0"/>
                <w:color w:val="auto"/>
                <w:kern w:val="0"/>
                <w:sz w:val="21"/>
                <w:szCs w:val="21"/>
                <w:highlight w:val="none"/>
              </w:rPr>
              <w:t>时</w:t>
            </w:r>
            <w:r>
              <w:rPr>
                <w:rFonts w:hint="eastAsia" w:asciiTheme="minorEastAsia" w:hAnsiTheme="minorEastAsia" w:eastAsiaTheme="minorEastAsia" w:cstheme="minorEastAsia"/>
                <w:snapToGrid w:val="0"/>
                <w:color w:val="auto"/>
                <w:kern w:val="0"/>
                <w:sz w:val="21"/>
                <w:szCs w:val="21"/>
                <w:highlight w:val="none"/>
                <w:u w:val="single"/>
              </w:rPr>
              <w:t>00</w:t>
            </w:r>
            <w:r>
              <w:rPr>
                <w:rFonts w:hint="eastAsia" w:asciiTheme="minorEastAsia" w:hAnsiTheme="minorEastAsia" w:eastAsiaTheme="minorEastAsia" w:cstheme="minorEastAsia"/>
                <w:snapToGrid w:val="0"/>
                <w:color w:val="auto"/>
                <w:kern w:val="0"/>
                <w:sz w:val="21"/>
                <w:szCs w:val="21"/>
                <w:highlight w:val="none"/>
              </w:rPr>
              <w:t>分</w:t>
            </w:r>
          </w:p>
        </w:tc>
      </w:tr>
      <w:tr w14:paraId="24C12F3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94"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34DF098B">
            <w:pPr>
              <w:pStyle w:val="45"/>
              <w:wordWrap w:val="0"/>
              <w:adjustRightInd w:val="0"/>
              <w:snapToGrid w:val="0"/>
              <w:spacing w:line="360" w:lineRule="auto"/>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5</w:t>
            </w:r>
          </w:p>
        </w:tc>
        <w:tc>
          <w:tcPr>
            <w:tcW w:w="1610" w:type="dxa"/>
            <w:tcBorders>
              <w:top w:val="single" w:color="080000" w:sz="4" w:space="0"/>
              <w:left w:val="single" w:color="080000" w:sz="4" w:space="0"/>
              <w:bottom w:val="single" w:color="080000" w:sz="4" w:space="0"/>
              <w:right w:val="single" w:color="080000" w:sz="4" w:space="0"/>
            </w:tcBorders>
            <w:vAlign w:val="center"/>
          </w:tcPr>
          <w:p w14:paraId="28B4D829">
            <w:pPr>
              <w:pStyle w:val="45"/>
              <w:wordWrap w:val="0"/>
              <w:adjustRightInd w:val="0"/>
              <w:snapToGrid w:val="0"/>
              <w:spacing w:line="360" w:lineRule="exact"/>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投标保证缴</w:t>
            </w:r>
          </w:p>
          <w:p w14:paraId="7ABB2106">
            <w:pPr>
              <w:pStyle w:val="45"/>
              <w:wordWrap w:val="0"/>
              <w:adjustRightInd w:val="0"/>
              <w:snapToGrid w:val="0"/>
              <w:spacing w:line="360" w:lineRule="exact"/>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纳截止时间</w:t>
            </w:r>
          </w:p>
        </w:tc>
        <w:tc>
          <w:tcPr>
            <w:tcW w:w="7585" w:type="dxa"/>
            <w:tcBorders>
              <w:top w:val="single" w:color="080000" w:sz="4" w:space="0"/>
              <w:left w:val="single" w:color="080000" w:sz="4" w:space="0"/>
              <w:bottom w:val="single" w:color="080000" w:sz="4" w:space="0"/>
              <w:right w:val="single" w:color="080000" w:sz="4" w:space="0"/>
            </w:tcBorders>
            <w:vAlign w:val="center"/>
          </w:tcPr>
          <w:p w14:paraId="51CC6B92">
            <w:pPr>
              <w:pStyle w:val="45"/>
              <w:wordWrap w:val="0"/>
              <w:adjustRightInd w:val="0"/>
              <w:snapToGrid w:val="0"/>
              <w:spacing w:line="400" w:lineRule="exact"/>
              <w:ind w:firstLine="210" w:firstLineChars="100"/>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投标保证金到账截止时间：</w:t>
            </w:r>
            <w:r>
              <w:rPr>
                <w:rFonts w:hint="eastAsia" w:asciiTheme="minorEastAsia" w:hAnsiTheme="minorEastAsia" w:eastAsiaTheme="minorEastAsia" w:cstheme="minorEastAsia"/>
                <w:color w:val="auto"/>
                <w:sz w:val="21"/>
                <w:szCs w:val="21"/>
                <w:highlight w:val="none"/>
                <w:u w:val="single"/>
              </w:rPr>
              <w:t>202</w:t>
            </w:r>
            <w:r>
              <w:rPr>
                <w:rFonts w:hint="eastAsia" w:asciiTheme="minorEastAsia" w:hAnsiTheme="minorEastAsia" w:eastAsiaTheme="minorEastAsia" w:cstheme="minorEastAsia"/>
                <w:color w:val="auto"/>
                <w:sz w:val="21"/>
                <w:szCs w:val="21"/>
                <w:highlight w:val="none"/>
                <w:u w:val="single"/>
                <w:lang w:val="en-US" w:eastAsia="zh-CN"/>
              </w:rPr>
              <w:t>6</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lang w:val="en-US" w:eastAsia="zh-CN"/>
              </w:rPr>
              <w:t xml:space="preserve"> 10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19</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color w:val="auto"/>
                <w:sz w:val="21"/>
                <w:szCs w:val="21"/>
                <w:highlight w:val="none"/>
                <w:u w:val="single"/>
                <w:lang w:val="en-US" w:eastAsia="zh-CN"/>
              </w:rPr>
              <w:t xml:space="preserve"> 10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时</w:t>
            </w:r>
            <w:r>
              <w:rPr>
                <w:rFonts w:hint="eastAsia" w:asciiTheme="minorEastAsia" w:hAnsiTheme="minorEastAsia" w:eastAsiaTheme="minorEastAsia" w:cstheme="minorEastAsia"/>
                <w:color w:val="auto"/>
                <w:sz w:val="21"/>
                <w:szCs w:val="21"/>
                <w:highlight w:val="none"/>
                <w:u w:val="single"/>
              </w:rPr>
              <w:t xml:space="preserve"> 30 </w:t>
            </w:r>
            <w:r>
              <w:rPr>
                <w:rFonts w:hint="eastAsia" w:asciiTheme="minorEastAsia" w:hAnsiTheme="minorEastAsia" w:eastAsiaTheme="minorEastAsia" w:cstheme="minorEastAsia"/>
                <w:color w:val="auto"/>
                <w:sz w:val="21"/>
                <w:szCs w:val="21"/>
                <w:highlight w:val="none"/>
              </w:rPr>
              <w:t>分</w:t>
            </w:r>
            <w:r>
              <w:rPr>
                <w:rFonts w:hint="eastAsia" w:asciiTheme="minorEastAsia" w:hAnsiTheme="minorEastAsia" w:eastAsiaTheme="minorEastAsia" w:cstheme="minorEastAsia"/>
                <w:snapToGrid w:val="0"/>
                <w:color w:val="auto"/>
                <w:kern w:val="0"/>
                <w:sz w:val="21"/>
                <w:szCs w:val="21"/>
                <w:highlight w:val="none"/>
              </w:rPr>
              <w:t>；</w:t>
            </w:r>
          </w:p>
          <w:p w14:paraId="797E856D">
            <w:pPr>
              <w:pStyle w:val="45"/>
              <w:wordWrap w:val="0"/>
              <w:adjustRightInd w:val="0"/>
              <w:snapToGrid w:val="0"/>
              <w:spacing w:line="400" w:lineRule="exact"/>
              <w:ind w:firstLine="210" w:firstLineChars="100"/>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投标保证担保上传截止时间：</w:t>
            </w:r>
            <w:r>
              <w:rPr>
                <w:rFonts w:hint="eastAsia" w:asciiTheme="minorEastAsia" w:hAnsiTheme="minorEastAsia" w:eastAsiaTheme="minorEastAsia" w:cstheme="minorEastAsia"/>
                <w:color w:val="auto"/>
                <w:sz w:val="21"/>
                <w:szCs w:val="21"/>
                <w:highlight w:val="none"/>
                <w:u w:val="single"/>
              </w:rPr>
              <w:t>202</w:t>
            </w:r>
            <w:r>
              <w:rPr>
                <w:rFonts w:hint="eastAsia" w:asciiTheme="minorEastAsia" w:hAnsiTheme="minorEastAsia" w:eastAsiaTheme="minorEastAsia" w:cstheme="minorEastAsia"/>
                <w:color w:val="auto"/>
                <w:sz w:val="21"/>
                <w:szCs w:val="21"/>
                <w:highlight w:val="none"/>
                <w:u w:val="single"/>
                <w:lang w:val="en-US" w:eastAsia="zh-CN"/>
              </w:rPr>
              <w:t>6</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lang w:val="en-US" w:eastAsia="zh-CN"/>
              </w:rPr>
              <w:t xml:space="preserve"> 10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19</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color w:val="auto"/>
                <w:sz w:val="21"/>
                <w:szCs w:val="21"/>
                <w:highlight w:val="none"/>
                <w:u w:val="single"/>
                <w:lang w:val="en-US" w:eastAsia="zh-CN"/>
              </w:rPr>
              <w:t xml:space="preserve"> 10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时</w:t>
            </w:r>
            <w:r>
              <w:rPr>
                <w:rFonts w:hint="eastAsia" w:asciiTheme="minorEastAsia" w:hAnsiTheme="minorEastAsia" w:eastAsiaTheme="minorEastAsia" w:cstheme="minorEastAsia"/>
                <w:color w:val="auto"/>
                <w:sz w:val="21"/>
                <w:szCs w:val="21"/>
                <w:highlight w:val="none"/>
                <w:u w:val="single"/>
              </w:rPr>
              <w:t xml:space="preserve"> 30 </w:t>
            </w:r>
            <w:r>
              <w:rPr>
                <w:rFonts w:hint="eastAsia" w:asciiTheme="minorEastAsia" w:hAnsiTheme="minorEastAsia" w:eastAsiaTheme="minorEastAsia" w:cstheme="minorEastAsia"/>
                <w:color w:val="auto"/>
                <w:sz w:val="21"/>
                <w:szCs w:val="21"/>
                <w:highlight w:val="none"/>
              </w:rPr>
              <w:t>分</w:t>
            </w:r>
            <w:r>
              <w:rPr>
                <w:rFonts w:hint="eastAsia" w:asciiTheme="minorEastAsia" w:hAnsiTheme="minorEastAsia" w:eastAsiaTheme="minorEastAsia" w:cstheme="minorEastAsia"/>
                <w:snapToGrid w:val="0"/>
                <w:color w:val="auto"/>
                <w:kern w:val="0"/>
                <w:sz w:val="21"/>
                <w:szCs w:val="21"/>
                <w:highlight w:val="none"/>
              </w:rPr>
              <w:t>；</w:t>
            </w:r>
          </w:p>
          <w:p w14:paraId="43065EDB">
            <w:pPr>
              <w:pStyle w:val="9"/>
              <w:wordWrap w:val="0"/>
              <w:adjustRightInd w:val="0"/>
              <w:snapToGrid w:val="0"/>
              <w:spacing w:line="400" w:lineRule="exact"/>
              <w:ind w:firstLine="210" w:firstLineChars="1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投标保证保险投保截止时间：</w:t>
            </w:r>
            <w:r>
              <w:rPr>
                <w:rFonts w:hint="eastAsia" w:asciiTheme="minorEastAsia" w:hAnsiTheme="minorEastAsia" w:eastAsiaTheme="minorEastAsia" w:cstheme="minorEastAsia"/>
                <w:color w:val="auto"/>
                <w:sz w:val="21"/>
                <w:szCs w:val="21"/>
                <w:highlight w:val="none"/>
                <w:u w:val="single"/>
              </w:rPr>
              <w:t>202</w:t>
            </w:r>
            <w:r>
              <w:rPr>
                <w:rFonts w:hint="eastAsia" w:asciiTheme="minorEastAsia" w:hAnsiTheme="minorEastAsia" w:eastAsiaTheme="minorEastAsia" w:cstheme="minorEastAsia"/>
                <w:color w:val="auto"/>
                <w:sz w:val="21"/>
                <w:szCs w:val="21"/>
                <w:highlight w:val="none"/>
                <w:u w:val="single"/>
                <w:lang w:val="en-US" w:eastAsia="zh-CN"/>
              </w:rPr>
              <w:t>6</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lang w:val="en-US" w:eastAsia="zh-CN"/>
              </w:rPr>
              <w:t xml:space="preserve"> 10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19</w:t>
            </w:r>
            <w:r>
              <w:rPr>
                <w:rFonts w:hint="eastAsia" w:asciiTheme="minorEastAsia" w:hAnsiTheme="minorEastAsia" w:eastAsiaTheme="minorEastAsia" w:cstheme="minorEastAsia"/>
                <w:color w:val="auto"/>
                <w:sz w:val="21"/>
                <w:szCs w:val="21"/>
                <w:highlight w:val="none"/>
                <w:u w:val="single"/>
              </w:rPr>
              <w:t xml:space="preserve"> </w:t>
            </w:r>
            <w:bookmarkStart w:id="688" w:name="_GoBack"/>
            <w:bookmarkEnd w:id="688"/>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color w:val="auto"/>
                <w:sz w:val="21"/>
                <w:szCs w:val="21"/>
                <w:highlight w:val="none"/>
                <w:u w:val="single"/>
                <w:lang w:val="en-US" w:eastAsia="zh-CN"/>
              </w:rPr>
              <w:t xml:space="preserve"> 10</w:t>
            </w:r>
            <w:r>
              <w:rPr>
                <w:rFonts w:hint="eastAsia"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时</w:t>
            </w:r>
            <w:r>
              <w:rPr>
                <w:rFonts w:asciiTheme="minorEastAsia" w:hAnsiTheme="minorEastAsia" w:eastAsiaTheme="minorEastAsia" w:cstheme="minorEastAsia"/>
                <w:color w:val="auto"/>
                <w:sz w:val="21"/>
                <w:szCs w:val="21"/>
                <w:highlight w:val="none"/>
                <w:u w:val="single"/>
              </w:rPr>
              <w:t xml:space="preserve"> 30 </w:t>
            </w:r>
            <w:r>
              <w:rPr>
                <w:rFonts w:asciiTheme="minorEastAsia" w:hAnsiTheme="minorEastAsia" w:eastAsiaTheme="minorEastAsia" w:cstheme="minorEastAsia"/>
                <w:color w:val="auto"/>
                <w:sz w:val="21"/>
                <w:szCs w:val="21"/>
                <w:highlight w:val="none"/>
              </w:rPr>
              <w:t>分</w:t>
            </w:r>
            <w:r>
              <w:rPr>
                <w:rFonts w:asciiTheme="minorEastAsia" w:hAnsiTheme="minorEastAsia" w:eastAsiaTheme="minorEastAsia" w:cstheme="minorEastAsia"/>
                <w:snapToGrid w:val="0"/>
                <w:color w:val="auto"/>
                <w:kern w:val="0"/>
                <w:sz w:val="21"/>
                <w:szCs w:val="21"/>
                <w:highlight w:val="none"/>
              </w:rPr>
              <w:t>。</w:t>
            </w:r>
          </w:p>
        </w:tc>
      </w:tr>
      <w:tr w14:paraId="4E014E8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38"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465B15DD">
            <w:pPr>
              <w:pStyle w:val="45"/>
              <w:wordWrap w:val="0"/>
              <w:adjustRightInd w:val="0"/>
              <w:snapToGrid w:val="0"/>
              <w:spacing w:line="360" w:lineRule="auto"/>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6</w:t>
            </w:r>
          </w:p>
        </w:tc>
        <w:tc>
          <w:tcPr>
            <w:tcW w:w="1610" w:type="dxa"/>
            <w:tcBorders>
              <w:top w:val="single" w:color="080000" w:sz="4" w:space="0"/>
              <w:left w:val="single" w:color="080000" w:sz="4" w:space="0"/>
              <w:bottom w:val="single" w:color="080000" w:sz="4" w:space="0"/>
              <w:right w:val="single" w:color="080000" w:sz="4" w:space="0"/>
            </w:tcBorders>
            <w:vAlign w:val="center"/>
          </w:tcPr>
          <w:p w14:paraId="0F2BB4AA">
            <w:pPr>
              <w:pStyle w:val="45"/>
              <w:wordWrap w:val="0"/>
              <w:adjustRightInd w:val="0"/>
              <w:snapToGrid w:val="0"/>
              <w:spacing w:line="360" w:lineRule="exact"/>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电子投标</w:t>
            </w:r>
          </w:p>
          <w:p w14:paraId="5C96D193">
            <w:pPr>
              <w:pStyle w:val="45"/>
              <w:wordWrap w:val="0"/>
              <w:adjustRightInd w:val="0"/>
              <w:snapToGrid w:val="0"/>
              <w:spacing w:line="360" w:lineRule="exact"/>
              <w:jc w:val="center"/>
              <w:rPr>
                <w:rFonts w:asciiTheme="minorEastAsia" w:hAnsiTheme="minorEastAsia" w:eastAsiaTheme="minorEastAsia" w:cstheme="minorEastAsia"/>
                <w:strike/>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 xml:space="preserve">截止时间 </w:t>
            </w:r>
          </w:p>
        </w:tc>
        <w:tc>
          <w:tcPr>
            <w:tcW w:w="7585" w:type="dxa"/>
            <w:tcBorders>
              <w:top w:val="single" w:color="080000" w:sz="4" w:space="0"/>
              <w:left w:val="single" w:color="080000" w:sz="4" w:space="0"/>
              <w:bottom w:val="single" w:color="080000" w:sz="4" w:space="0"/>
              <w:right w:val="single" w:color="080000" w:sz="4" w:space="0"/>
            </w:tcBorders>
            <w:vAlign w:val="center"/>
          </w:tcPr>
          <w:p w14:paraId="09CFC831">
            <w:pPr>
              <w:pStyle w:val="9"/>
              <w:wordWrap w:val="0"/>
              <w:adjustRightInd w:val="0"/>
              <w:snapToGrid w:val="0"/>
              <w:spacing w:line="400" w:lineRule="exact"/>
              <w:ind w:firstLine="105" w:firstLineChars="50"/>
              <w:jc w:val="left"/>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color w:val="auto"/>
                <w:sz w:val="21"/>
                <w:szCs w:val="21"/>
                <w:highlight w:val="none"/>
                <w:u w:val="single"/>
              </w:rPr>
              <w:t>202</w:t>
            </w:r>
            <w:r>
              <w:rPr>
                <w:rFonts w:hint="eastAsia" w:asciiTheme="minorEastAsia" w:hAnsiTheme="minorEastAsia" w:eastAsiaTheme="minorEastAsia" w:cstheme="minorEastAsia"/>
                <w:color w:val="auto"/>
                <w:sz w:val="21"/>
                <w:szCs w:val="21"/>
                <w:highlight w:val="none"/>
                <w:u w:val="single"/>
                <w:lang w:val="en-US" w:eastAsia="zh-CN"/>
              </w:rPr>
              <w:t>6</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lang w:val="en-US" w:eastAsia="zh-CN"/>
              </w:rPr>
              <w:t xml:space="preserve"> 10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20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w:t>
            </w:r>
            <w:r>
              <w:rPr>
                <w:rFonts w:asciiTheme="minorEastAsia" w:hAnsiTheme="minorEastAsia" w:eastAsiaTheme="minorEastAsia" w:cstheme="minorEastAsia"/>
                <w:color w:val="auto"/>
                <w:sz w:val="21"/>
                <w:szCs w:val="21"/>
                <w:highlight w:val="none"/>
                <w:u w:val="single"/>
              </w:rPr>
              <w:t xml:space="preserve"> 10 </w:t>
            </w:r>
            <w:r>
              <w:rPr>
                <w:rFonts w:asciiTheme="minorEastAsia" w:hAnsiTheme="minorEastAsia" w:eastAsiaTheme="minorEastAsia" w:cstheme="minorEastAsia"/>
                <w:color w:val="auto"/>
                <w:sz w:val="21"/>
                <w:szCs w:val="21"/>
                <w:highlight w:val="none"/>
              </w:rPr>
              <w:t>时</w:t>
            </w:r>
            <w:r>
              <w:rPr>
                <w:rFonts w:asciiTheme="minorEastAsia" w:hAnsiTheme="minorEastAsia" w:eastAsiaTheme="minorEastAsia" w:cstheme="minorEastAsia"/>
                <w:color w:val="auto"/>
                <w:sz w:val="21"/>
                <w:szCs w:val="21"/>
                <w:highlight w:val="none"/>
                <w:u w:val="single"/>
              </w:rPr>
              <w:t xml:space="preserve"> 30</w:t>
            </w:r>
            <w:r>
              <w:rPr>
                <w:rFonts w:asciiTheme="minorEastAsia" w:hAnsiTheme="minorEastAsia" w:eastAsiaTheme="minorEastAsia" w:cstheme="minorEastAsia"/>
                <w:color w:val="auto"/>
                <w:sz w:val="21"/>
                <w:szCs w:val="21"/>
                <w:highlight w:val="none"/>
              </w:rPr>
              <w:t>分</w:t>
            </w:r>
          </w:p>
        </w:tc>
      </w:tr>
      <w:tr w14:paraId="1E3B5FF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93"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75CAE805">
            <w:pPr>
              <w:pStyle w:val="45"/>
              <w:wordWrap w:val="0"/>
              <w:adjustRightInd w:val="0"/>
              <w:snapToGrid w:val="0"/>
              <w:spacing w:line="360" w:lineRule="auto"/>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7</w:t>
            </w:r>
          </w:p>
        </w:tc>
        <w:tc>
          <w:tcPr>
            <w:tcW w:w="1610" w:type="dxa"/>
            <w:tcBorders>
              <w:top w:val="single" w:color="080000" w:sz="4" w:space="0"/>
              <w:left w:val="single" w:color="080000" w:sz="4" w:space="0"/>
              <w:bottom w:val="single" w:color="080000" w:sz="4" w:space="0"/>
              <w:right w:val="single" w:color="080000" w:sz="4" w:space="0"/>
            </w:tcBorders>
            <w:vAlign w:val="center"/>
          </w:tcPr>
          <w:p w14:paraId="363B5911">
            <w:pPr>
              <w:pStyle w:val="45"/>
              <w:wordWrap w:val="0"/>
              <w:adjustRightInd w:val="0"/>
              <w:snapToGrid w:val="0"/>
              <w:spacing w:line="360" w:lineRule="exact"/>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投标相关资料（如有）递交时间</w:t>
            </w:r>
          </w:p>
        </w:tc>
        <w:tc>
          <w:tcPr>
            <w:tcW w:w="7585" w:type="dxa"/>
            <w:tcBorders>
              <w:top w:val="single" w:color="080000" w:sz="4" w:space="0"/>
              <w:left w:val="single" w:color="080000" w:sz="4" w:space="0"/>
              <w:bottom w:val="single" w:color="080000" w:sz="4" w:space="0"/>
              <w:right w:val="single" w:color="080000" w:sz="4" w:space="0"/>
            </w:tcBorders>
            <w:vAlign w:val="center"/>
          </w:tcPr>
          <w:p w14:paraId="4BC6A6EE">
            <w:pPr>
              <w:pStyle w:val="9"/>
              <w:wordWrap w:val="0"/>
              <w:adjustRightInd w:val="0"/>
              <w:snapToGrid w:val="0"/>
              <w:spacing w:line="400" w:lineRule="exact"/>
              <w:jc w:val="lef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w:t>
            </w:r>
            <w:r>
              <w:rPr>
                <w:rFonts w:hint="eastAsia" w:asciiTheme="minorEastAsia" w:hAnsiTheme="minorEastAsia" w:eastAsiaTheme="minorEastAsia" w:cstheme="minorEastAsia"/>
                <w:color w:val="auto"/>
                <w:sz w:val="21"/>
                <w:szCs w:val="21"/>
                <w:highlight w:val="none"/>
                <w:u w:val="single"/>
              </w:rPr>
              <w:t>202</w:t>
            </w:r>
            <w:r>
              <w:rPr>
                <w:rFonts w:hint="eastAsia" w:asciiTheme="minorEastAsia" w:hAnsiTheme="minorEastAsia" w:eastAsiaTheme="minorEastAsia" w:cstheme="minorEastAsia"/>
                <w:color w:val="auto"/>
                <w:sz w:val="21"/>
                <w:szCs w:val="21"/>
                <w:highlight w:val="none"/>
                <w:u w:val="single"/>
                <w:lang w:val="en-US" w:eastAsia="zh-CN"/>
              </w:rPr>
              <w:t>6</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lang w:val="en-US" w:eastAsia="zh-CN"/>
              </w:rPr>
              <w:t xml:space="preserve"> 10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20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color w:val="auto"/>
                <w:sz w:val="21"/>
                <w:szCs w:val="21"/>
                <w:highlight w:val="none"/>
                <w:u w:val="single"/>
                <w:lang w:val="en-US" w:eastAsia="zh-CN"/>
              </w:rPr>
              <w:t xml:space="preserve"> 10</w:t>
            </w:r>
            <w:r>
              <w:rPr>
                <w:rFonts w:hint="eastAsia"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时</w:t>
            </w:r>
            <w:r>
              <w:rPr>
                <w:rFonts w:asciiTheme="minorEastAsia" w:hAnsiTheme="minorEastAsia" w:eastAsiaTheme="minorEastAsia" w:cstheme="minorEastAsia"/>
                <w:color w:val="auto"/>
                <w:sz w:val="21"/>
                <w:szCs w:val="21"/>
                <w:highlight w:val="none"/>
                <w:u w:val="single"/>
              </w:rPr>
              <w:t xml:space="preserve"> 00 </w:t>
            </w:r>
            <w:r>
              <w:rPr>
                <w:rFonts w:asciiTheme="minorEastAsia" w:hAnsiTheme="minorEastAsia" w:eastAsiaTheme="minorEastAsia" w:cstheme="minorEastAsia"/>
                <w:color w:val="auto"/>
                <w:sz w:val="21"/>
                <w:szCs w:val="21"/>
                <w:highlight w:val="none"/>
              </w:rPr>
              <w:t>分</w:t>
            </w:r>
            <w:r>
              <w:rPr>
                <w:rFonts w:asciiTheme="minorEastAsia" w:hAnsiTheme="minorEastAsia" w:eastAsiaTheme="minorEastAsia" w:cstheme="minorEastAsia"/>
                <w:snapToGrid w:val="0"/>
                <w:color w:val="auto"/>
                <w:kern w:val="0"/>
                <w:sz w:val="21"/>
                <w:szCs w:val="21"/>
                <w:highlight w:val="none"/>
              </w:rPr>
              <w:t>至</w:t>
            </w:r>
            <w:r>
              <w:rPr>
                <w:rFonts w:hint="eastAsia" w:asciiTheme="minorEastAsia" w:hAnsiTheme="minorEastAsia" w:eastAsiaTheme="minorEastAsia" w:cstheme="minorEastAsia"/>
                <w:color w:val="auto"/>
                <w:sz w:val="21"/>
                <w:szCs w:val="21"/>
                <w:highlight w:val="none"/>
                <w:u w:val="single"/>
              </w:rPr>
              <w:t>202</w:t>
            </w:r>
            <w:r>
              <w:rPr>
                <w:rFonts w:hint="eastAsia" w:asciiTheme="minorEastAsia" w:hAnsiTheme="minorEastAsia" w:eastAsiaTheme="minorEastAsia" w:cstheme="minorEastAsia"/>
                <w:color w:val="auto"/>
                <w:sz w:val="21"/>
                <w:szCs w:val="21"/>
                <w:highlight w:val="none"/>
                <w:u w:val="single"/>
                <w:lang w:val="en-US" w:eastAsia="zh-CN"/>
              </w:rPr>
              <w:t>6</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lang w:val="en-US" w:eastAsia="zh-CN"/>
              </w:rPr>
              <w:t xml:space="preserve"> 10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20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w:t>
            </w:r>
            <w:r>
              <w:rPr>
                <w:rFonts w:asciiTheme="minorEastAsia" w:hAnsiTheme="minorEastAsia" w:eastAsiaTheme="minorEastAsia" w:cstheme="minorEastAsia"/>
                <w:color w:val="auto"/>
                <w:sz w:val="21"/>
                <w:szCs w:val="21"/>
                <w:highlight w:val="none"/>
                <w:u w:val="single"/>
              </w:rPr>
              <w:t xml:space="preserve"> 10 </w:t>
            </w:r>
            <w:r>
              <w:rPr>
                <w:rFonts w:asciiTheme="minorEastAsia" w:hAnsiTheme="minorEastAsia" w:eastAsiaTheme="minorEastAsia" w:cstheme="minorEastAsia"/>
                <w:color w:val="auto"/>
                <w:sz w:val="21"/>
                <w:szCs w:val="21"/>
                <w:highlight w:val="none"/>
              </w:rPr>
              <w:t>时</w:t>
            </w:r>
            <w:r>
              <w:rPr>
                <w:rFonts w:asciiTheme="minorEastAsia" w:hAnsiTheme="minorEastAsia" w:eastAsiaTheme="minorEastAsia" w:cstheme="minorEastAsia"/>
                <w:color w:val="auto"/>
                <w:sz w:val="21"/>
                <w:szCs w:val="21"/>
                <w:highlight w:val="none"/>
                <w:u w:val="single"/>
              </w:rPr>
              <w:t xml:space="preserve"> 30</w:t>
            </w:r>
            <w:r>
              <w:rPr>
                <w:rFonts w:asciiTheme="minorEastAsia" w:hAnsiTheme="minorEastAsia" w:eastAsiaTheme="minorEastAsia" w:cstheme="minorEastAsia"/>
                <w:color w:val="auto"/>
                <w:sz w:val="21"/>
                <w:szCs w:val="21"/>
                <w:highlight w:val="none"/>
              </w:rPr>
              <w:t>分</w:t>
            </w:r>
          </w:p>
        </w:tc>
      </w:tr>
      <w:tr w14:paraId="1AD0573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477"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353CDE11">
            <w:pPr>
              <w:pStyle w:val="45"/>
              <w:wordWrap w:val="0"/>
              <w:adjustRightInd w:val="0"/>
              <w:snapToGrid w:val="0"/>
              <w:spacing w:line="360" w:lineRule="auto"/>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8</w:t>
            </w:r>
          </w:p>
        </w:tc>
        <w:tc>
          <w:tcPr>
            <w:tcW w:w="1610" w:type="dxa"/>
            <w:tcBorders>
              <w:top w:val="single" w:color="080000" w:sz="4" w:space="0"/>
              <w:left w:val="single" w:color="080000" w:sz="4" w:space="0"/>
              <w:bottom w:val="single" w:color="080000" w:sz="4" w:space="0"/>
              <w:right w:val="single" w:color="080000" w:sz="4" w:space="0"/>
            </w:tcBorders>
            <w:vAlign w:val="center"/>
          </w:tcPr>
          <w:p w14:paraId="31B7E89A">
            <w:pPr>
              <w:pStyle w:val="45"/>
              <w:wordWrap w:val="0"/>
              <w:adjustRightInd w:val="0"/>
              <w:snapToGrid w:val="0"/>
              <w:spacing w:line="360" w:lineRule="exact"/>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投标相关资料（如有）递交地点</w:t>
            </w:r>
          </w:p>
        </w:tc>
        <w:tc>
          <w:tcPr>
            <w:tcW w:w="7585" w:type="dxa"/>
            <w:tcBorders>
              <w:top w:val="single" w:color="080000" w:sz="4" w:space="0"/>
              <w:left w:val="single" w:color="080000" w:sz="4" w:space="0"/>
              <w:bottom w:val="single" w:color="080000" w:sz="4" w:space="0"/>
              <w:right w:val="single" w:color="080000" w:sz="4" w:space="0"/>
            </w:tcBorders>
            <w:vAlign w:val="center"/>
          </w:tcPr>
          <w:p w14:paraId="747A3045">
            <w:pPr>
              <w:pStyle w:val="45"/>
              <w:wordWrap w:val="0"/>
              <w:adjustRightInd w:val="0"/>
              <w:snapToGrid w:val="0"/>
              <w:spacing w:line="360" w:lineRule="auto"/>
              <w:jc w:val="left"/>
              <w:rPr>
                <w:rFonts w:ascii="宋体" w:hAnsi="宋体" w:cs="宋体"/>
                <w:snapToGrid w:val="0"/>
                <w:color w:val="auto"/>
                <w:kern w:val="0"/>
                <w:sz w:val="21"/>
                <w:szCs w:val="21"/>
                <w:highlight w:val="none"/>
              </w:rPr>
            </w:pPr>
            <w:r>
              <w:rPr>
                <w:rFonts w:hint="eastAsia" w:ascii="宋体" w:hAnsi="宋体" w:cs="宋体"/>
                <w:snapToGrid w:val="0"/>
                <w:color w:val="auto"/>
                <w:kern w:val="0"/>
                <w:sz w:val="21"/>
                <w:szCs w:val="21"/>
                <w:highlight w:val="none"/>
              </w:rPr>
              <w:t>递交场所：韶关市公共资源交易中心南雄分中心，</w:t>
            </w:r>
          </w:p>
          <w:p w14:paraId="3A5979A4">
            <w:pPr>
              <w:pStyle w:val="45"/>
              <w:wordWrap w:val="0"/>
              <w:adjustRightInd w:val="0"/>
              <w:snapToGrid w:val="0"/>
              <w:spacing w:line="360" w:lineRule="auto"/>
              <w:jc w:val="left"/>
              <w:rPr>
                <w:rFonts w:asciiTheme="minorEastAsia" w:hAnsiTheme="minorEastAsia" w:eastAsiaTheme="minorEastAsia" w:cstheme="minorEastAsia"/>
                <w:snapToGrid w:val="0"/>
                <w:color w:val="auto"/>
                <w:kern w:val="0"/>
                <w:sz w:val="21"/>
                <w:szCs w:val="21"/>
                <w:highlight w:val="none"/>
              </w:rPr>
            </w:pPr>
            <w:r>
              <w:rPr>
                <w:rFonts w:hint="eastAsia" w:ascii="宋体" w:hAnsi="宋体" w:cs="宋体"/>
                <w:snapToGrid w:val="0"/>
                <w:color w:val="auto"/>
                <w:kern w:val="0"/>
                <w:sz w:val="21"/>
                <w:szCs w:val="21"/>
                <w:highlight w:val="none"/>
              </w:rPr>
              <w:t>地址：韶关市公共资源交易中心南雄分中心（南雄市雄东路1号大润发四楼）南雄市公共服务中心内，具体开标室以当日现场通知为准。</w:t>
            </w:r>
          </w:p>
        </w:tc>
      </w:tr>
      <w:tr w14:paraId="0CCA47B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28"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414BBAC2">
            <w:pPr>
              <w:pStyle w:val="45"/>
              <w:wordWrap w:val="0"/>
              <w:adjustRightInd w:val="0"/>
              <w:snapToGrid w:val="0"/>
              <w:spacing w:line="360" w:lineRule="auto"/>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9</w:t>
            </w:r>
          </w:p>
        </w:tc>
        <w:tc>
          <w:tcPr>
            <w:tcW w:w="1610" w:type="dxa"/>
            <w:tcBorders>
              <w:top w:val="single" w:color="080000" w:sz="4" w:space="0"/>
              <w:left w:val="single" w:color="080000" w:sz="4" w:space="0"/>
              <w:bottom w:val="single" w:color="080000" w:sz="4" w:space="0"/>
              <w:right w:val="single" w:color="080000" w:sz="4" w:space="0"/>
            </w:tcBorders>
            <w:vAlign w:val="center"/>
          </w:tcPr>
          <w:p w14:paraId="00763CFD">
            <w:pPr>
              <w:pStyle w:val="45"/>
              <w:wordWrap w:val="0"/>
              <w:adjustRightInd w:val="0"/>
              <w:snapToGrid w:val="0"/>
              <w:spacing w:line="360" w:lineRule="exact"/>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 xml:space="preserve">开标时间 </w:t>
            </w:r>
          </w:p>
        </w:tc>
        <w:tc>
          <w:tcPr>
            <w:tcW w:w="7585" w:type="dxa"/>
            <w:tcBorders>
              <w:top w:val="single" w:color="080000" w:sz="4" w:space="0"/>
              <w:left w:val="single" w:color="080000" w:sz="4" w:space="0"/>
              <w:bottom w:val="single" w:color="080000" w:sz="4" w:space="0"/>
              <w:right w:val="single" w:color="080000" w:sz="4" w:space="0"/>
            </w:tcBorders>
            <w:vAlign w:val="center"/>
          </w:tcPr>
          <w:p w14:paraId="3E1EC02B">
            <w:pPr>
              <w:pStyle w:val="9"/>
              <w:wordWrap w:val="0"/>
              <w:adjustRightInd w:val="0"/>
              <w:snapToGrid w:val="0"/>
              <w:spacing w:line="400" w:lineRule="exact"/>
              <w:jc w:val="lef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w:t>
            </w:r>
            <w:r>
              <w:rPr>
                <w:rFonts w:hint="eastAsia" w:asciiTheme="minorEastAsia" w:hAnsiTheme="minorEastAsia" w:eastAsiaTheme="minorEastAsia" w:cstheme="minorEastAsia"/>
                <w:color w:val="auto"/>
                <w:sz w:val="21"/>
                <w:szCs w:val="21"/>
                <w:highlight w:val="none"/>
                <w:u w:val="single"/>
              </w:rPr>
              <w:t>202</w:t>
            </w:r>
            <w:r>
              <w:rPr>
                <w:rFonts w:hint="eastAsia" w:asciiTheme="minorEastAsia" w:hAnsiTheme="minorEastAsia" w:eastAsiaTheme="minorEastAsia" w:cstheme="minorEastAsia"/>
                <w:color w:val="auto"/>
                <w:sz w:val="21"/>
                <w:szCs w:val="21"/>
                <w:highlight w:val="none"/>
                <w:u w:val="single"/>
                <w:lang w:val="en-US" w:eastAsia="zh-CN"/>
              </w:rPr>
              <w:t>6</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lang w:val="en-US" w:eastAsia="zh-CN"/>
              </w:rPr>
              <w:t xml:space="preserve"> 10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20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w:t>
            </w:r>
            <w:r>
              <w:rPr>
                <w:rFonts w:asciiTheme="minorEastAsia" w:hAnsiTheme="minorEastAsia" w:eastAsiaTheme="minorEastAsia" w:cstheme="minorEastAsia"/>
                <w:color w:val="auto"/>
                <w:sz w:val="21"/>
                <w:szCs w:val="21"/>
                <w:highlight w:val="none"/>
                <w:u w:val="single"/>
              </w:rPr>
              <w:t xml:space="preserve"> 10 </w:t>
            </w:r>
            <w:r>
              <w:rPr>
                <w:rFonts w:asciiTheme="minorEastAsia" w:hAnsiTheme="minorEastAsia" w:eastAsiaTheme="minorEastAsia" w:cstheme="minorEastAsia"/>
                <w:color w:val="auto"/>
                <w:sz w:val="21"/>
                <w:szCs w:val="21"/>
                <w:highlight w:val="none"/>
              </w:rPr>
              <w:t>时</w:t>
            </w:r>
            <w:r>
              <w:rPr>
                <w:rFonts w:asciiTheme="minorEastAsia" w:hAnsiTheme="minorEastAsia" w:eastAsiaTheme="minorEastAsia" w:cstheme="minorEastAsia"/>
                <w:color w:val="auto"/>
                <w:sz w:val="21"/>
                <w:szCs w:val="21"/>
                <w:highlight w:val="none"/>
                <w:u w:val="single"/>
              </w:rPr>
              <w:t xml:space="preserve"> 30</w:t>
            </w:r>
            <w:r>
              <w:rPr>
                <w:rFonts w:asciiTheme="minorEastAsia" w:hAnsiTheme="minorEastAsia" w:eastAsiaTheme="minorEastAsia" w:cstheme="minorEastAsia"/>
                <w:color w:val="auto"/>
                <w:sz w:val="21"/>
                <w:szCs w:val="21"/>
                <w:highlight w:val="none"/>
              </w:rPr>
              <w:t>分</w:t>
            </w:r>
          </w:p>
        </w:tc>
      </w:tr>
      <w:tr w14:paraId="571EA92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97"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1024EE1C">
            <w:pPr>
              <w:pStyle w:val="45"/>
              <w:wordWrap w:val="0"/>
              <w:adjustRightInd w:val="0"/>
              <w:snapToGrid w:val="0"/>
              <w:spacing w:line="360" w:lineRule="auto"/>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10</w:t>
            </w:r>
          </w:p>
        </w:tc>
        <w:tc>
          <w:tcPr>
            <w:tcW w:w="1610" w:type="dxa"/>
            <w:tcBorders>
              <w:top w:val="single" w:color="080000" w:sz="4" w:space="0"/>
              <w:left w:val="single" w:color="080000" w:sz="4" w:space="0"/>
              <w:bottom w:val="single" w:color="080000" w:sz="4" w:space="0"/>
              <w:right w:val="single" w:color="080000" w:sz="4" w:space="0"/>
            </w:tcBorders>
            <w:vAlign w:val="center"/>
          </w:tcPr>
          <w:p w14:paraId="3A980AC9">
            <w:pPr>
              <w:pStyle w:val="45"/>
              <w:wordWrap w:val="0"/>
              <w:adjustRightInd w:val="0"/>
              <w:snapToGrid w:val="0"/>
              <w:spacing w:line="360" w:lineRule="exact"/>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 xml:space="preserve">开标地点 </w:t>
            </w:r>
          </w:p>
        </w:tc>
        <w:tc>
          <w:tcPr>
            <w:tcW w:w="7585" w:type="dxa"/>
            <w:tcBorders>
              <w:top w:val="single" w:color="080000" w:sz="4" w:space="0"/>
              <w:left w:val="single" w:color="080000" w:sz="4" w:space="0"/>
              <w:bottom w:val="single" w:color="080000" w:sz="4" w:space="0"/>
              <w:right w:val="single" w:color="080000" w:sz="4" w:space="0"/>
            </w:tcBorders>
            <w:vAlign w:val="center"/>
          </w:tcPr>
          <w:p w14:paraId="18384B8C">
            <w:pPr>
              <w:pStyle w:val="45"/>
              <w:wordWrap w:val="0"/>
              <w:adjustRightInd w:val="0"/>
              <w:snapToGrid w:val="0"/>
              <w:spacing w:line="360" w:lineRule="auto"/>
              <w:jc w:val="left"/>
              <w:rPr>
                <w:rFonts w:ascii="宋体" w:hAnsi="宋体" w:cs="宋体"/>
                <w:snapToGrid w:val="0"/>
                <w:color w:val="auto"/>
                <w:kern w:val="0"/>
                <w:sz w:val="21"/>
                <w:szCs w:val="21"/>
                <w:highlight w:val="none"/>
              </w:rPr>
            </w:pPr>
            <w:r>
              <w:rPr>
                <w:rFonts w:hint="eastAsia" w:ascii="宋体" w:hAnsi="宋体" w:cs="宋体"/>
                <w:snapToGrid w:val="0"/>
                <w:color w:val="auto"/>
                <w:kern w:val="0"/>
                <w:sz w:val="21"/>
                <w:szCs w:val="21"/>
                <w:highlight w:val="none"/>
              </w:rPr>
              <w:t>开标场所：韶关市公共资源交易中心南雄分中心，</w:t>
            </w:r>
          </w:p>
          <w:p w14:paraId="37249FD5">
            <w:pPr>
              <w:pStyle w:val="45"/>
              <w:wordWrap w:val="0"/>
              <w:adjustRightInd w:val="0"/>
              <w:snapToGrid w:val="0"/>
              <w:spacing w:line="360" w:lineRule="auto"/>
              <w:jc w:val="left"/>
              <w:rPr>
                <w:rFonts w:asciiTheme="minorEastAsia" w:hAnsiTheme="minorEastAsia" w:eastAsiaTheme="minorEastAsia" w:cstheme="minorEastAsia"/>
                <w:snapToGrid w:val="0"/>
                <w:color w:val="auto"/>
                <w:kern w:val="0"/>
                <w:sz w:val="21"/>
                <w:szCs w:val="21"/>
                <w:highlight w:val="none"/>
              </w:rPr>
            </w:pPr>
            <w:r>
              <w:rPr>
                <w:rFonts w:hint="eastAsia" w:ascii="宋体" w:hAnsi="宋体" w:cs="宋体"/>
                <w:snapToGrid w:val="0"/>
                <w:color w:val="auto"/>
                <w:kern w:val="0"/>
                <w:sz w:val="21"/>
                <w:szCs w:val="21"/>
                <w:highlight w:val="none"/>
              </w:rPr>
              <w:t>地址：韶关市公共资源交易中心南雄分中心（南雄市雄东路1号大润发四楼）南雄市公共服务中心内，具体开标室以当日现场通知为准。</w:t>
            </w:r>
          </w:p>
        </w:tc>
      </w:tr>
      <w:tr w14:paraId="043E727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31"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7673E0C8">
            <w:pPr>
              <w:pStyle w:val="45"/>
              <w:widowControl/>
              <w:snapToGrid w:val="0"/>
              <w:spacing w:line="360" w:lineRule="auto"/>
              <w:jc w:val="center"/>
              <w:rPr>
                <w:rFonts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11</w:t>
            </w:r>
          </w:p>
        </w:tc>
        <w:tc>
          <w:tcPr>
            <w:tcW w:w="1610" w:type="dxa"/>
            <w:tcBorders>
              <w:top w:val="single" w:color="080000" w:sz="4" w:space="0"/>
              <w:left w:val="single" w:color="080000" w:sz="4" w:space="0"/>
              <w:bottom w:val="single" w:color="080000" w:sz="4" w:space="0"/>
              <w:right w:val="single" w:color="080000" w:sz="4" w:space="0"/>
            </w:tcBorders>
            <w:vAlign w:val="center"/>
          </w:tcPr>
          <w:p w14:paraId="5A40FD7E">
            <w:pPr>
              <w:adjustRightInd w:val="0"/>
              <w:snapToGrid w:val="0"/>
              <w:spacing w:line="360" w:lineRule="auto"/>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备注</w:t>
            </w:r>
          </w:p>
        </w:tc>
        <w:tc>
          <w:tcPr>
            <w:tcW w:w="7585" w:type="dxa"/>
            <w:tcBorders>
              <w:top w:val="single" w:color="080000" w:sz="4" w:space="0"/>
              <w:left w:val="single" w:color="080000" w:sz="4" w:space="0"/>
              <w:bottom w:val="single" w:color="080000" w:sz="4" w:space="0"/>
              <w:right w:val="single" w:color="080000" w:sz="4" w:space="0"/>
            </w:tcBorders>
            <w:vAlign w:val="center"/>
          </w:tcPr>
          <w:p w14:paraId="255D5323">
            <w:pPr>
              <w:adjustRightInd w:val="0"/>
              <w:snapToGrid w:val="0"/>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投标人应按有关要求办理数字证书（CA）和企业入库、获取招标文件、资料文件及招标答疑书等。若由于投标人自身原因未能及时取得上述资料的，由此发生的任何责任由投标人自行承担。</w:t>
            </w:r>
          </w:p>
        </w:tc>
      </w:tr>
    </w:tbl>
    <w:p w14:paraId="188D1565">
      <w:pPr>
        <w:pStyle w:val="3"/>
        <w:wordWrap w:val="0"/>
        <w:autoSpaceDE/>
        <w:autoSpaceDN/>
        <w:snapToGrid w:val="0"/>
        <w:spacing w:after="260" w:line="440" w:lineRule="exact"/>
        <w:jc w:val="center"/>
        <w:rPr>
          <w:rFonts w:hint="default" w:asciiTheme="minorEastAsia" w:hAnsiTheme="minorEastAsia" w:eastAsiaTheme="minorEastAsia" w:cstheme="minorEastAsia"/>
          <w:b/>
          <w:color w:val="auto"/>
          <w:kern w:val="44"/>
          <w:sz w:val="36"/>
          <w:szCs w:val="36"/>
          <w:highlight w:val="none"/>
        </w:rPr>
      </w:pPr>
      <w:r>
        <w:rPr>
          <w:rFonts w:asciiTheme="minorEastAsia" w:hAnsiTheme="minorEastAsia" w:eastAsiaTheme="minorEastAsia" w:cstheme="minorEastAsia"/>
          <w:color w:val="auto"/>
          <w:highlight w:val="none"/>
        </w:rPr>
        <w:br w:type="page"/>
      </w:r>
      <w:bookmarkStart w:id="20" w:name="_Hlt69669159"/>
      <w:bookmarkEnd w:id="20"/>
      <w:bookmarkStart w:id="21" w:name="_Toc20271"/>
      <w:bookmarkStart w:id="22" w:name="_Hlt69698754"/>
      <w:bookmarkStart w:id="23" w:name="_Hlt69698705"/>
      <w:r>
        <w:rPr>
          <w:rFonts w:asciiTheme="minorEastAsia" w:hAnsiTheme="minorEastAsia" w:eastAsiaTheme="minorEastAsia" w:cstheme="minorEastAsia"/>
          <w:b/>
          <w:color w:val="auto"/>
          <w:kern w:val="2"/>
          <w:szCs w:val="24"/>
          <w:highlight w:val="none"/>
        </w:rPr>
        <w:t>第三节</w:t>
      </w:r>
      <w:bookmarkStart w:id="24" w:name="_Hlt87793819"/>
      <w:bookmarkEnd w:id="24"/>
      <w:r>
        <w:rPr>
          <w:rFonts w:asciiTheme="minorEastAsia" w:hAnsiTheme="minorEastAsia" w:eastAsiaTheme="minorEastAsia" w:cstheme="minorEastAsia"/>
          <w:b/>
          <w:color w:val="auto"/>
          <w:kern w:val="2"/>
          <w:szCs w:val="24"/>
          <w:highlight w:val="none"/>
        </w:rPr>
        <w:t xml:space="preserve"> 投标须知正文</w:t>
      </w:r>
      <w:bookmarkEnd w:id="21"/>
    </w:p>
    <w:bookmarkEnd w:id="22"/>
    <w:bookmarkEnd w:id="23"/>
    <w:p w14:paraId="33BAA406">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u w:val="single"/>
          <w:lang w:eastAsia="zh-CN"/>
        </w:rPr>
        <w:t>南雄市“银杏染秋”乡村振兴示范带建设项目</w:t>
      </w:r>
      <w:r>
        <w:rPr>
          <w:rFonts w:hint="eastAsia" w:ascii="宋体" w:hAnsi="宋体" w:eastAsia="宋体" w:cs="宋体"/>
          <w:snapToGrid w:val="0"/>
          <w:color w:val="auto"/>
          <w:kern w:val="0"/>
          <w:sz w:val="21"/>
          <w:szCs w:val="21"/>
          <w:highlight w:val="none"/>
        </w:rPr>
        <w:t>业经</w:t>
      </w:r>
      <w:r>
        <w:rPr>
          <w:rFonts w:hint="eastAsia" w:ascii="宋体" w:hAnsi="宋体" w:eastAsia="宋体" w:cs="宋体"/>
          <w:snapToGrid w:val="0"/>
          <w:color w:val="auto"/>
          <w:kern w:val="0"/>
          <w:sz w:val="21"/>
          <w:szCs w:val="21"/>
          <w:highlight w:val="none"/>
          <w:u w:val="single"/>
        </w:rPr>
        <w:t>南雄市发展和改革局以《关于南雄市“银杏染秋”乡村振兴示范带建设项目可行性研究报告的批复》</w:t>
      </w:r>
      <w:r>
        <w:rPr>
          <w:rFonts w:hint="eastAsia" w:ascii="宋体" w:hAnsi="宋体" w:eastAsia="宋体" w:cs="宋体"/>
          <w:snapToGrid w:val="0"/>
          <w:color w:val="auto"/>
          <w:kern w:val="0"/>
          <w:sz w:val="21"/>
          <w:szCs w:val="21"/>
          <w:highlight w:val="none"/>
          <w:u w:val="single"/>
          <w:lang w:eastAsia="zh-CN"/>
        </w:rPr>
        <w:t>（</w:t>
      </w:r>
      <w:r>
        <w:rPr>
          <w:rFonts w:hint="eastAsia" w:ascii="宋体" w:hAnsi="宋体" w:eastAsia="宋体" w:cs="宋体"/>
          <w:snapToGrid w:val="0"/>
          <w:color w:val="auto"/>
          <w:kern w:val="0"/>
          <w:sz w:val="21"/>
          <w:szCs w:val="21"/>
          <w:highlight w:val="none"/>
          <w:u w:val="single"/>
          <w:lang w:val="en-US" w:eastAsia="zh-CN"/>
        </w:rPr>
        <w:t>雄发改投审〔2024〕106号</w:t>
      </w:r>
      <w:r>
        <w:rPr>
          <w:rFonts w:hint="eastAsia" w:ascii="宋体" w:hAnsi="宋体" w:eastAsia="宋体" w:cs="宋体"/>
          <w:snapToGrid w:val="0"/>
          <w:color w:val="auto"/>
          <w:kern w:val="0"/>
          <w:sz w:val="21"/>
          <w:szCs w:val="21"/>
          <w:highlight w:val="none"/>
          <w:u w:val="single"/>
          <w:lang w:eastAsia="zh-CN"/>
        </w:rPr>
        <w:t>）</w:t>
      </w:r>
      <w:r>
        <w:rPr>
          <w:rFonts w:hint="eastAsia" w:hAnsi="宋体" w:eastAsia="宋体" w:cs="宋体"/>
          <w:snapToGrid w:val="0"/>
          <w:color w:val="auto"/>
          <w:kern w:val="0"/>
          <w:sz w:val="21"/>
          <w:szCs w:val="21"/>
          <w:highlight w:val="none"/>
          <w:u w:val="single"/>
          <w:lang w:eastAsia="zh-CN"/>
        </w:rPr>
        <w:t>、《关于同意调整南雄市“银杏染秋”乡村振兴示范带建设项目可行性研究报告的批复》（雄发改投审[2026]95号）</w:t>
      </w:r>
      <w:r>
        <w:rPr>
          <w:rFonts w:hint="eastAsia" w:ascii="宋体" w:hAnsi="宋体" w:eastAsia="宋体" w:cs="宋体"/>
          <w:snapToGrid w:val="0"/>
          <w:color w:val="auto"/>
          <w:kern w:val="0"/>
          <w:sz w:val="21"/>
          <w:szCs w:val="21"/>
          <w:highlight w:val="none"/>
        </w:rPr>
        <w:t>批准建设，项目代码为</w:t>
      </w:r>
      <w:r>
        <w:rPr>
          <w:rFonts w:hint="eastAsia" w:ascii="宋体" w:hAnsi="宋体" w:eastAsia="宋体" w:cs="宋体"/>
          <w:snapToGrid w:val="0"/>
          <w:color w:val="auto"/>
          <w:kern w:val="0"/>
          <w:sz w:val="21"/>
          <w:szCs w:val="21"/>
          <w:highlight w:val="none"/>
          <w:u w:val="single"/>
          <w:lang w:eastAsia="zh-CN"/>
        </w:rPr>
        <w:t>2407-440282-20-01-288869</w:t>
      </w:r>
      <w:r>
        <w:rPr>
          <w:rFonts w:hint="eastAsia" w:ascii="宋体" w:hAnsi="宋体" w:eastAsia="宋体" w:cs="宋体"/>
          <w:snapToGrid w:val="0"/>
          <w:color w:val="auto"/>
          <w:kern w:val="0"/>
          <w:sz w:val="21"/>
          <w:szCs w:val="21"/>
          <w:highlight w:val="none"/>
        </w:rPr>
        <w:t>。</w:t>
      </w:r>
      <w:r>
        <w:rPr>
          <w:rFonts w:hint="eastAsia" w:ascii="宋体" w:hAnsi="宋体" w:eastAsia="宋体" w:cs="宋体"/>
          <w:color w:val="auto"/>
          <w:sz w:val="21"/>
          <w:szCs w:val="21"/>
          <w:highlight w:val="none"/>
        </w:rPr>
        <w:t>项目</w:t>
      </w:r>
      <w:r>
        <w:rPr>
          <w:rFonts w:hint="eastAsia" w:ascii="宋体" w:hAnsi="宋体" w:eastAsia="宋体" w:cs="宋体"/>
          <w:snapToGrid w:val="0"/>
          <w:color w:val="auto"/>
          <w:kern w:val="0"/>
          <w:sz w:val="21"/>
          <w:szCs w:val="21"/>
          <w:highlight w:val="none"/>
        </w:rPr>
        <w:t>业主为</w:t>
      </w:r>
      <w:r>
        <w:rPr>
          <w:rFonts w:hint="eastAsia" w:ascii="宋体" w:hAnsi="宋体" w:eastAsia="宋体" w:cs="宋体"/>
          <w:snapToGrid w:val="0"/>
          <w:color w:val="auto"/>
          <w:kern w:val="0"/>
          <w:sz w:val="21"/>
          <w:szCs w:val="21"/>
          <w:highlight w:val="none"/>
          <w:u w:val="single"/>
        </w:rPr>
        <w:t>南雄市黄坑镇人民政府</w:t>
      </w:r>
      <w:r>
        <w:rPr>
          <w:rFonts w:hint="eastAsia" w:ascii="宋体" w:hAnsi="宋体" w:eastAsia="宋体" w:cs="宋体"/>
          <w:snapToGrid w:val="0"/>
          <w:color w:val="auto"/>
          <w:kern w:val="0"/>
          <w:sz w:val="21"/>
          <w:szCs w:val="21"/>
          <w:highlight w:val="none"/>
        </w:rPr>
        <w:t>，建设资金来自</w:t>
      </w:r>
      <w:r>
        <w:rPr>
          <w:rFonts w:hint="eastAsia" w:ascii="宋体" w:hAnsi="宋体" w:eastAsia="宋体" w:cs="宋体"/>
          <w:snapToGrid w:val="0"/>
          <w:color w:val="auto"/>
          <w:kern w:val="0"/>
          <w:sz w:val="21"/>
          <w:szCs w:val="21"/>
          <w:highlight w:val="none"/>
          <w:u w:val="single"/>
        </w:rPr>
        <w:t>上级财政资金</w:t>
      </w:r>
      <w:r>
        <w:rPr>
          <w:rFonts w:hint="eastAsia" w:ascii="宋体" w:hAnsi="宋体" w:eastAsia="宋体" w:cs="宋体"/>
          <w:snapToGrid w:val="0"/>
          <w:color w:val="auto"/>
          <w:kern w:val="0"/>
          <w:sz w:val="21"/>
          <w:szCs w:val="21"/>
          <w:highlight w:val="none"/>
        </w:rPr>
        <w:t>，出资比例</w:t>
      </w:r>
      <w:r>
        <w:rPr>
          <w:rFonts w:hint="eastAsia" w:ascii="宋体" w:hAnsi="宋体" w:eastAsia="宋体" w:cs="宋体"/>
          <w:snapToGrid w:val="0"/>
          <w:color w:val="auto"/>
          <w:kern w:val="0"/>
          <w:sz w:val="21"/>
          <w:szCs w:val="21"/>
          <w:highlight w:val="none"/>
          <w:u w:val="single"/>
        </w:rPr>
        <w:t>100%</w:t>
      </w:r>
      <w:r>
        <w:rPr>
          <w:rFonts w:hint="eastAsia" w:ascii="宋体" w:hAnsi="宋体" w:eastAsia="宋体" w:cs="宋体"/>
          <w:snapToGrid w:val="0"/>
          <w:color w:val="auto"/>
          <w:kern w:val="0"/>
          <w:sz w:val="21"/>
          <w:szCs w:val="21"/>
          <w:highlight w:val="none"/>
        </w:rPr>
        <w:t>，招标人为</w:t>
      </w:r>
      <w:r>
        <w:rPr>
          <w:rFonts w:hint="eastAsia" w:ascii="宋体" w:hAnsi="宋体" w:eastAsia="宋体" w:cs="宋体"/>
          <w:snapToGrid w:val="0"/>
          <w:color w:val="auto"/>
          <w:kern w:val="0"/>
          <w:sz w:val="21"/>
          <w:szCs w:val="21"/>
          <w:highlight w:val="none"/>
          <w:u w:val="single"/>
        </w:rPr>
        <w:t>南雄市黄坑镇人民政府</w:t>
      </w:r>
      <w:r>
        <w:rPr>
          <w:rFonts w:hint="eastAsia" w:ascii="宋体" w:hAnsi="宋体" w:eastAsia="宋体" w:cs="宋体"/>
          <w:snapToGrid w:val="0"/>
          <w:color w:val="auto"/>
          <w:kern w:val="0"/>
          <w:sz w:val="21"/>
          <w:szCs w:val="21"/>
          <w:highlight w:val="none"/>
        </w:rPr>
        <w:t>，招标代理机构为</w:t>
      </w:r>
      <w:r>
        <w:rPr>
          <w:rFonts w:hint="eastAsia" w:ascii="宋体" w:hAnsi="宋体" w:eastAsia="宋体" w:cs="宋体"/>
          <w:color w:val="auto"/>
          <w:kern w:val="0"/>
          <w:sz w:val="21"/>
          <w:szCs w:val="21"/>
          <w:highlight w:val="none"/>
          <w:u w:val="single"/>
          <w:lang w:eastAsia="zh-CN"/>
        </w:rPr>
        <w:t>韶关市繁盛项目管理有限公司</w:t>
      </w:r>
      <w:r>
        <w:rPr>
          <w:rFonts w:hint="eastAsia" w:ascii="宋体" w:hAnsi="宋体" w:eastAsia="宋体" w:cs="宋体"/>
          <w:snapToGrid w:val="0"/>
          <w:color w:val="auto"/>
          <w:kern w:val="0"/>
          <w:sz w:val="21"/>
          <w:szCs w:val="21"/>
          <w:highlight w:val="none"/>
        </w:rPr>
        <w:t>。项目已具备招标条件，现对该项目的</w:t>
      </w:r>
      <w:r>
        <w:rPr>
          <w:rFonts w:hint="eastAsia" w:ascii="宋体" w:hAnsi="宋体" w:eastAsia="宋体" w:cs="宋体"/>
          <w:snapToGrid w:val="0"/>
          <w:color w:val="auto"/>
          <w:kern w:val="0"/>
          <w:sz w:val="21"/>
          <w:szCs w:val="21"/>
          <w:highlight w:val="none"/>
          <w:u w:val="single"/>
        </w:rPr>
        <w:t>设计、施工总承包</w:t>
      </w:r>
      <w:r>
        <w:rPr>
          <w:rFonts w:hint="eastAsia" w:ascii="宋体" w:hAnsi="宋体" w:eastAsia="宋体" w:cs="宋体"/>
          <w:snapToGrid w:val="0"/>
          <w:color w:val="auto"/>
          <w:kern w:val="0"/>
          <w:sz w:val="21"/>
          <w:szCs w:val="21"/>
          <w:highlight w:val="none"/>
        </w:rPr>
        <w:t>进行公开招标。</w:t>
      </w:r>
    </w:p>
    <w:p w14:paraId="0759E5B2">
      <w:pPr>
        <w:pStyle w:val="44"/>
        <w:keepNext/>
        <w:keepLines/>
        <w:ind w:firstLine="422" w:firstLineChars="200"/>
        <w:jc w:val="both"/>
        <w:rPr>
          <w:rFonts w:hint="eastAsia" w:ascii="宋体" w:hAnsi="宋体" w:eastAsia="宋体" w:cs="宋体"/>
          <w:b/>
          <w:bCs/>
          <w:snapToGrid w:val="0"/>
          <w:color w:val="auto"/>
          <w:sz w:val="21"/>
          <w:szCs w:val="21"/>
          <w:highlight w:val="none"/>
        </w:rPr>
      </w:pPr>
      <w:bookmarkStart w:id="25" w:name="_Hlt119991399"/>
      <w:bookmarkEnd w:id="25"/>
      <w:bookmarkStart w:id="26" w:name="_Hlt87948285"/>
      <w:bookmarkEnd w:id="26"/>
      <w:bookmarkStart w:id="27" w:name="_Hlt74474735"/>
      <w:bookmarkEnd w:id="27"/>
      <w:bookmarkStart w:id="28" w:name="_Hlt109358474"/>
      <w:bookmarkEnd w:id="28"/>
      <w:bookmarkStart w:id="29" w:name="_Hlt78795222"/>
      <w:bookmarkEnd w:id="29"/>
      <w:bookmarkStart w:id="30" w:name="_Toc574"/>
      <w:bookmarkStart w:id="31" w:name="_Toc24563"/>
      <w:bookmarkStart w:id="32" w:name="_Toc761"/>
      <w:bookmarkStart w:id="33" w:name="_Toc4081"/>
      <w:bookmarkStart w:id="34" w:name="_Toc18453"/>
      <w:bookmarkStart w:id="35" w:name="_Toc31976"/>
      <w:bookmarkStart w:id="36" w:name="_Toc25252"/>
      <w:bookmarkStart w:id="37" w:name="_Toc30732"/>
      <w:bookmarkStart w:id="38" w:name="_Toc23054"/>
      <w:r>
        <w:rPr>
          <w:rFonts w:hint="eastAsia" w:ascii="宋体" w:hAnsi="宋体" w:eastAsia="宋体" w:cs="宋体"/>
          <w:b/>
          <w:color w:val="auto"/>
          <w:kern w:val="2"/>
          <w:sz w:val="21"/>
          <w:szCs w:val="21"/>
          <w:highlight w:val="none"/>
        </w:rPr>
        <w:t>1、 工程概况综合说明</w:t>
      </w:r>
      <w:bookmarkEnd w:id="30"/>
      <w:bookmarkEnd w:id="31"/>
      <w:bookmarkEnd w:id="32"/>
      <w:bookmarkEnd w:id="33"/>
      <w:bookmarkEnd w:id="34"/>
      <w:bookmarkEnd w:id="35"/>
      <w:bookmarkEnd w:id="36"/>
      <w:bookmarkEnd w:id="37"/>
      <w:bookmarkEnd w:id="38"/>
    </w:p>
    <w:p w14:paraId="4B974B7A">
      <w:pPr>
        <w:pStyle w:val="45"/>
        <w:wordWrap w:val="0"/>
        <w:adjustRightInd w:val="0"/>
        <w:snapToGrid w:val="0"/>
        <w:spacing w:line="360" w:lineRule="auto"/>
        <w:ind w:firstLine="422" w:firstLineChars="200"/>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1.1</w:t>
      </w:r>
      <w:r>
        <w:rPr>
          <w:rFonts w:hint="eastAsia" w:ascii="宋体" w:hAnsi="宋体" w:eastAsia="宋体" w:cs="宋体"/>
          <w:color w:val="auto"/>
          <w:sz w:val="21"/>
          <w:szCs w:val="21"/>
          <w:highlight w:val="none"/>
        </w:rPr>
        <w:t xml:space="preserve"> 工程概况</w:t>
      </w:r>
    </w:p>
    <w:p w14:paraId="32870E7D">
      <w:pPr>
        <w:pStyle w:val="45"/>
        <w:wordWrap w:val="0"/>
        <w:adjustRightInd w:val="0"/>
        <w:snapToGrid w:val="0"/>
        <w:spacing w:line="360" w:lineRule="auto"/>
        <w:ind w:firstLine="422" w:firstLineChars="200"/>
        <w:jc w:val="left"/>
        <w:rPr>
          <w:rFonts w:hint="eastAsia" w:ascii="宋体" w:hAnsi="宋体" w:eastAsia="宋体" w:cs="宋体"/>
          <w:color w:val="auto"/>
          <w:sz w:val="21"/>
          <w:szCs w:val="21"/>
          <w:highlight w:val="none"/>
          <w:u w:val="none"/>
        </w:rPr>
      </w:pPr>
      <w:r>
        <w:rPr>
          <w:rFonts w:hint="eastAsia" w:ascii="宋体" w:hAnsi="宋体" w:eastAsia="宋体" w:cs="宋体"/>
          <w:b/>
          <w:bCs/>
          <w:color w:val="auto"/>
          <w:sz w:val="21"/>
          <w:szCs w:val="21"/>
          <w:highlight w:val="none"/>
        </w:rPr>
        <w:t>1.1.1</w:t>
      </w:r>
      <w:r>
        <w:rPr>
          <w:rFonts w:hint="eastAsia" w:ascii="宋体" w:hAnsi="宋体" w:eastAsia="宋体" w:cs="宋体"/>
          <w:color w:val="auto"/>
          <w:sz w:val="21"/>
          <w:szCs w:val="21"/>
          <w:highlight w:val="none"/>
        </w:rPr>
        <w:t xml:space="preserve"> 建设地点：</w:t>
      </w:r>
      <w:r>
        <w:rPr>
          <w:rFonts w:hint="eastAsia" w:ascii="宋体" w:hAnsi="宋体" w:eastAsia="宋体" w:cs="宋体"/>
          <w:color w:val="auto"/>
          <w:sz w:val="21"/>
          <w:szCs w:val="21"/>
          <w:highlight w:val="none"/>
          <w:u w:val="none"/>
        </w:rPr>
        <w:t>南雄市黄坑镇</w:t>
      </w:r>
      <w:r>
        <w:rPr>
          <w:rFonts w:hint="eastAsia" w:ascii="宋体" w:hAnsi="宋体" w:eastAsia="宋体" w:cs="宋体"/>
          <w:color w:val="auto"/>
          <w:sz w:val="21"/>
          <w:szCs w:val="21"/>
          <w:highlight w:val="none"/>
          <w:u w:val="none"/>
          <w:lang w:val="en-US" w:eastAsia="zh-CN"/>
        </w:rPr>
        <w:t>上象村</w:t>
      </w:r>
      <w:r>
        <w:rPr>
          <w:rFonts w:hint="eastAsia" w:ascii="宋体" w:hAnsi="宋体" w:eastAsia="宋体" w:cs="宋体"/>
          <w:color w:val="auto"/>
          <w:sz w:val="21"/>
          <w:szCs w:val="21"/>
          <w:highlight w:val="none"/>
          <w:u w:val="none"/>
        </w:rPr>
        <w:t>。</w:t>
      </w:r>
    </w:p>
    <w:p w14:paraId="5206CBC4">
      <w:pPr>
        <w:bidi w:val="0"/>
        <w:spacing w:line="360" w:lineRule="auto"/>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1.1.2</w:t>
      </w:r>
      <w:r>
        <w:rPr>
          <w:rFonts w:hint="eastAsia" w:ascii="宋体" w:hAnsi="宋体" w:eastAsia="宋体" w:cs="宋体"/>
          <w:color w:val="auto"/>
          <w:sz w:val="21"/>
          <w:szCs w:val="21"/>
          <w:highlight w:val="none"/>
        </w:rPr>
        <w:t xml:space="preserve"> 建设内容和规模：</w:t>
      </w:r>
    </w:p>
    <w:p w14:paraId="43BD65F0">
      <w:pPr>
        <w:bidi w:val="0"/>
        <w:spacing w:line="360" w:lineRule="auto"/>
        <w:ind w:firstLine="420" w:firstLineChars="200"/>
        <w:rPr>
          <w:rFonts w:hint="default" w:asciiTheme="minorEastAsia" w:hAnsiTheme="minorEastAsia" w:eastAsiaTheme="minorEastAsia" w:cstheme="minorEastAsia"/>
          <w:color w:val="auto"/>
          <w:sz w:val="21"/>
          <w:szCs w:val="18"/>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①</w:t>
      </w:r>
      <w:r>
        <w:rPr>
          <w:rFonts w:hint="default" w:asciiTheme="minorEastAsia" w:hAnsiTheme="minorEastAsia" w:eastAsiaTheme="minorEastAsia" w:cstheme="minorEastAsia"/>
          <w:color w:val="auto"/>
          <w:sz w:val="21"/>
          <w:szCs w:val="18"/>
          <w:highlight w:val="none"/>
          <w:lang w:val="en-US" w:eastAsia="zh-CN"/>
        </w:rPr>
        <w:t>人居环境整治：场地清杂。</w:t>
      </w:r>
    </w:p>
    <w:p w14:paraId="285FF012">
      <w:pPr>
        <w:bidi w:val="0"/>
        <w:spacing w:line="360" w:lineRule="auto"/>
        <w:ind w:firstLine="420" w:firstLineChars="200"/>
        <w:rPr>
          <w:rFonts w:hint="default" w:asciiTheme="minorEastAsia" w:hAnsiTheme="minorEastAsia" w:eastAsiaTheme="minorEastAsia" w:cstheme="minorEastAsia"/>
          <w:color w:val="auto"/>
          <w:sz w:val="21"/>
          <w:szCs w:val="18"/>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②</w:t>
      </w:r>
      <w:r>
        <w:rPr>
          <w:rFonts w:hint="default" w:asciiTheme="minorEastAsia" w:hAnsiTheme="minorEastAsia" w:eastAsiaTheme="minorEastAsia" w:cstheme="minorEastAsia"/>
          <w:color w:val="auto"/>
          <w:sz w:val="21"/>
          <w:szCs w:val="18"/>
          <w:highlight w:val="none"/>
          <w:lang w:val="en-US" w:eastAsia="zh-CN"/>
        </w:rPr>
        <w:t>基础设施建设：新建混凝土路面，彩色混凝土路面，新建排水沟，新建混凝土暗管，新建排水沟盖板，新建树脂瓦，晒谷坪翻新，新建健身广场，新建悬挑平台，植草砖停车位，新建挡土墙，桥梁拓宽，新建青砖矮墙，碎石路面，新建路沿石，村委前广场平台翻新，球场围网，新建台阶，村委场地地坪漆翻新。</w:t>
      </w:r>
    </w:p>
    <w:p w14:paraId="40112BCD">
      <w:pPr>
        <w:bidi w:val="0"/>
        <w:spacing w:line="360" w:lineRule="auto"/>
        <w:ind w:firstLine="420" w:firstLineChars="200"/>
        <w:rPr>
          <w:rFonts w:hint="default" w:asciiTheme="minorEastAsia" w:hAnsiTheme="minorEastAsia" w:eastAsiaTheme="minorEastAsia" w:cstheme="minorEastAsia"/>
          <w:color w:val="auto"/>
          <w:sz w:val="21"/>
          <w:szCs w:val="18"/>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③</w:t>
      </w:r>
      <w:r>
        <w:rPr>
          <w:rFonts w:hint="default" w:asciiTheme="minorEastAsia" w:hAnsiTheme="minorEastAsia" w:eastAsiaTheme="minorEastAsia" w:cstheme="minorEastAsia"/>
          <w:color w:val="auto"/>
          <w:sz w:val="21"/>
          <w:szCs w:val="18"/>
          <w:highlight w:val="none"/>
          <w:lang w:val="en-US" w:eastAsia="zh-CN"/>
        </w:rPr>
        <w:t>风貌管控：村委风貌提升。</w:t>
      </w:r>
    </w:p>
    <w:p w14:paraId="5A175DF6">
      <w:pPr>
        <w:pStyle w:val="45"/>
        <w:wordWrap w:val="0"/>
        <w:adjustRightInd w:val="0"/>
        <w:snapToGrid w:val="0"/>
        <w:spacing w:line="360" w:lineRule="auto"/>
        <w:ind w:firstLine="420" w:firstLineChars="200"/>
        <w:jc w:val="left"/>
        <w:rPr>
          <w:rFonts w:hint="eastAsia" w:ascii="宋体" w:hAnsi="宋体" w:eastAsia="宋体" w:cs="宋体"/>
          <w:color w:val="auto"/>
          <w:sz w:val="21"/>
          <w:szCs w:val="21"/>
          <w:highlight w:val="none"/>
          <w:u w:val="none"/>
        </w:rPr>
      </w:pPr>
      <w:r>
        <w:rPr>
          <w:rFonts w:hint="eastAsia" w:asciiTheme="minorEastAsia" w:hAnsiTheme="minorEastAsia" w:eastAsiaTheme="minorEastAsia" w:cstheme="minorEastAsia"/>
          <w:color w:val="auto"/>
          <w:sz w:val="21"/>
          <w:szCs w:val="21"/>
          <w:highlight w:val="none"/>
          <w:lang w:val="en-US" w:eastAsia="zh-CN"/>
        </w:rPr>
        <w:fldChar w:fldCharType="begin"/>
      </w:r>
      <w:r>
        <w:rPr>
          <w:rFonts w:hint="eastAsia" w:asciiTheme="minorEastAsia" w:hAnsiTheme="minorEastAsia" w:eastAsiaTheme="minorEastAsia" w:cstheme="minorEastAsia"/>
          <w:color w:val="auto"/>
          <w:sz w:val="21"/>
          <w:szCs w:val="21"/>
          <w:highlight w:val="none"/>
          <w:lang w:val="en-US" w:eastAsia="zh-CN"/>
        </w:rPr>
        <w:instrText xml:space="preserve"> = 4 \* GB3 \* MERGEFORMAT </w:instrText>
      </w:r>
      <w:r>
        <w:rPr>
          <w:rFonts w:hint="eastAsia" w:asciiTheme="minorEastAsia" w:hAnsiTheme="minorEastAsia" w:eastAsiaTheme="minorEastAsia" w:cstheme="minorEastAsia"/>
          <w:color w:val="auto"/>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④</w:t>
      </w:r>
      <w:r>
        <w:rPr>
          <w:rFonts w:hint="eastAsia" w:asciiTheme="minorEastAsia" w:hAnsiTheme="minorEastAsia" w:eastAsiaTheme="minorEastAsia" w:cstheme="minorEastAsia"/>
          <w:color w:val="auto"/>
          <w:sz w:val="21"/>
          <w:szCs w:val="21"/>
          <w:highlight w:val="none"/>
          <w:lang w:val="en-US" w:eastAsia="zh-CN"/>
        </w:rPr>
        <w:fldChar w:fldCharType="end"/>
      </w:r>
      <w:r>
        <w:rPr>
          <w:rFonts w:hint="default" w:asciiTheme="minorEastAsia" w:hAnsiTheme="minorEastAsia" w:eastAsiaTheme="minorEastAsia" w:cstheme="minorEastAsia"/>
          <w:color w:val="auto"/>
          <w:sz w:val="21"/>
          <w:szCs w:val="18"/>
          <w:highlight w:val="none"/>
          <w:lang w:val="en-US" w:eastAsia="zh-CN"/>
        </w:rPr>
        <w:t>绿化美化建设：绿化提升，新建花池，新建四小园，新建树池，新建混凝土仿木栏杆。</w:t>
      </w:r>
    </w:p>
    <w:p w14:paraId="645F8159">
      <w:pPr>
        <w:pStyle w:val="45"/>
        <w:wordWrap w:val="0"/>
        <w:adjustRightInd w:val="0"/>
        <w:snapToGrid w:val="0"/>
        <w:spacing w:line="360" w:lineRule="auto"/>
        <w:ind w:firstLine="422" w:firstLineChars="200"/>
        <w:jc w:val="left"/>
        <w:rPr>
          <w:rFonts w:hint="eastAsia" w:ascii="宋体" w:hAnsi="宋体" w:eastAsia="宋体" w:cs="宋体"/>
          <w:color w:val="auto"/>
          <w:sz w:val="21"/>
          <w:szCs w:val="21"/>
          <w:highlight w:val="none"/>
          <w:u w:val="single"/>
        </w:rPr>
      </w:pPr>
      <w:r>
        <w:rPr>
          <w:rFonts w:hint="eastAsia" w:ascii="宋体" w:hAnsi="宋体" w:eastAsia="宋体" w:cs="宋体"/>
          <w:b/>
          <w:bCs/>
          <w:color w:val="auto"/>
          <w:sz w:val="21"/>
          <w:szCs w:val="21"/>
          <w:highlight w:val="none"/>
        </w:rPr>
        <w:t xml:space="preserve">1.1.3 </w:t>
      </w:r>
      <w:r>
        <w:rPr>
          <w:rFonts w:hint="eastAsia" w:ascii="宋体" w:hAnsi="宋体" w:eastAsia="宋体" w:cs="宋体"/>
          <w:color w:val="auto"/>
          <w:sz w:val="21"/>
          <w:szCs w:val="21"/>
          <w:highlight w:val="none"/>
        </w:rPr>
        <w:t>项目总投资：</w:t>
      </w:r>
      <w:bookmarkStart w:id="39" w:name="_Toc20999"/>
      <w:r>
        <w:rPr>
          <w:rFonts w:hint="eastAsia" w:ascii="宋体" w:hAnsi="宋体" w:eastAsia="宋体" w:cs="宋体"/>
          <w:color w:val="auto"/>
          <w:sz w:val="21"/>
          <w:szCs w:val="21"/>
          <w:highlight w:val="none"/>
          <w:lang w:eastAsia="zh-CN"/>
        </w:rPr>
        <w:t>项目总概算约366.58万元，其中工程建安费约302.86万元，工程建设其他费约46.27万元，预备费约17.46万元，</w:t>
      </w:r>
      <w:r>
        <w:rPr>
          <w:rFonts w:hint="eastAsia" w:ascii="宋体" w:hAnsi="宋体" w:eastAsia="宋体" w:cs="宋体"/>
          <w:color w:val="auto"/>
          <w:sz w:val="21"/>
          <w:szCs w:val="21"/>
          <w:highlight w:val="none"/>
          <w:lang w:val="en-US" w:eastAsia="zh-CN"/>
        </w:rPr>
        <w:t>其中设计费约为8.21万元。</w:t>
      </w:r>
    </w:p>
    <w:p w14:paraId="4B5D1012">
      <w:pPr>
        <w:widowControl/>
        <w:spacing w:line="360" w:lineRule="auto"/>
        <w:ind w:firstLine="422" w:firstLineChars="200"/>
        <w:rPr>
          <w:rFonts w:hint="eastAsia" w:ascii="宋体" w:hAnsi="宋体" w:eastAsia="宋体" w:cs="宋体"/>
          <w:snapToGrid w:val="0"/>
          <w:color w:val="auto"/>
          <w:kern w:val="0"/>
          <w:sz w:val="21"/>
          <w:szCs w:val="21"/>
          <w:highlight w:val="none"/>
          <w:u w:val="single"/>
        </w:rPr>
      </w:pPr>
      <w:r>
        <w:rPr>
          <w:rFonts w:hint="eastAsia" w:ascii="宋体" w:hAnsi="宋体" w:eastAsia="宋体" w:cs="宋体"/>
          <w:b/>
          <w:bCs/>
          <w:snapToGrid w:val="0"/>
          <w:color w:val="auto"/>
          <w:kern w:val="0"/>
          <w:sz w:val="21"/>
          <w:szCs w:val="21"/>
          <w:highlight w:val="none"/>
        </w:rPr>
        <w:t>1.2</w:t>
      </w:r>
      <w:r>
        <w:rPr>
          <w:rFonts w:hint="eastAsia" w:ascii="宋体" w:hAnsi="宋体" w:eastAsia="宋体" w:cs="宋体"/>
          <w:snapToGrid w:val="0"/>
          <w:color w:val="auto"/>
          <w:kern w:val="0"/>
          <w:sz w:val="21"/>
          <w:szCs w:val="21"/>
          <w:highlight w:val="none"/>
        </w:rPr>
        <w:t xml:space="preserve"> 标段划分：</w:t>
      </w:r>
      <w:bookmarkEnd w:id="39"/>
      <w:r>
        <w:rPr>
          <w:rFonts w:hint="eastAsia" w:ascii="宋体" w:hAnsi="宋体" w:eastAsia="宋体" w:cs="宋体"/>
          <w:snapToGrid w:val="0"/>
          <w:color w:val="auto"/>
          <w:kern w:val="0"/>
          <w:sz w:val="21"/>
          <w:szCs w:val="21"/>
          <w:highlight w:val="none"/>
          <w:u w:val="none"/>
        </w:rPr>
        <w:t>本招标项目不划分标段。</w:t>
      </w:r>
    </w:p>
    <w:p w14:paraId="5CC7FA1D">
      <w:pPr>
        <w:pStyle w:val="42"/>
        <w:tabs>
          <w:tab w:val="left" w:pos="7020"/>
        </w:tabs>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1.3</w:t>
      </w:r>
      <w:r>
        <w:rPr>
          <w:rFonts w:hint="eastAsia" w:ascii="宋体" w:hAnsi="宋体" w:eastAsia="宋体" w:cs="宋体"/>
          <w:color w:val="auto"/>
          <w:sz w:val="21"/>
          <w:szCs w:val="21"/>
          <w:highlight w:val="none"/>
        </w:rPr>
        <w:t xml:space="preserve"> 监理单位：</w:t>
      </w:r>
      <w:r>
        <w:rPr>
          <w:rFonts w:hint="eastAsia" w:ascii="宋体" w:hAnsi="宋体" w:eastAsia="宋体" w:cs="宋体"/>
          <w:color w:val="auto"/>
          <w:sz w:val="21"/>
          <w:szCs w:val="21"/>
          <w:highlight w:val="none"/>
          <w:u w:val="none"/>
        </w:rPr>
        <w:t>待定。</w:t>
      </w:r>
    </w:p>
    <w:p w14:paraId="761FEF13">
      <w:pPr>
        <w:pStyle w:val="42"/>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1.4</w:t>
      </w:r>
      <w:r>
        <w:rPr>
          <w:rFonts w:hint="eastAsia" w:ascii="宋体" w:hAnsi="宋体" w:eastAsia="宋体" w:cs="宋体"/>
          <w:color w:val="auto"/>
          <w:sz w:val="21"/>
          <w:szCs w:val="21"/>
          <w:highlight w:val="none"/>
        </w:rPr>
        <w:t xml:space="preserve"> 投标费用：</w:t>
      </w:r>
      <w:r>
        <w:rPr>
          <w:rFonts w:hint="eastAsia" w:ascii="宋体" w:hAnsi="宋体" w:eastAsia="宋体" w:cs="宋体"/>
          <w:color w:val="auto"/>
          <w:sz w:val="21"/>
          <w:szCs w:val="21"/>
          <w:highlight w:val="none"/>
          <w:u w:val="none"/>
        </w:rPr>
        <w:t>投标人应承担所有准备和参加投标的相关费用，不论投标结果如何，招标人均无义务和责任承担这些费用。</w:t>
      </w:r>
      <w:bookmarkStart w:id="40" w:name="_Toc106184808"/>
    </w:p>
    <w:p w14:paraId="1A2456CE">
      <w:pPr>
        <w:pStyle w:val="44"/>
        <w:keepNext/>
        <w:keepLines/>
        <w:ind w:firstLine="480"/>
        <w:jc w:val="both"/>
        <w:rPr>
          <w:rFonts w:hint="eastAsia" w:ascii="宋体" w:hAnsi="宋体" w:eastAsia="宋体" w:cs="宋体"/>
          <w:b/>
          <w:color w:val="auto"/>
          <w:kern w:val="2"/>
          <w:sz w:val="21"/>
          <w:szCs w:val="21"/>
          <w:highlight w:val="none"/>
        </w:rPr>
      </w:pPr>
      <w:bookmarkStart w:id="41" w:name="_Toc12190"/>
      <w:bookmarkStart w:id="42" w:name="_Toc14958"/>
      <w:bookmarkStart w:id="43" w:name="_Toc18851"/>
      <w:bookmarkStart w:id="44" w:name="_Toc22550"/>
      <w:bookmarkStart w:id="45" w:name="_Toc17359"/>
      <w:bookmarkStart w:id="46" w:name="_Toc121"/>
      <w:bookmarkStart w:id="47" w:name="_Toc32400"/>
      <w:bookmarkStart w:id="48" w:name="_Toc23595"/>
      <w:bookmarkStart w:id="49" w:name="_Toc7700"/>
      <w:r>
        <w:rPr>
          <w:rFonts w:hint="eastAsia" w:ascii="宋体" w:hAnsi="宋体" w:eastAsia="宋体" w:cs="宋体"/>
          <w:b/>
          <w:color w:val="auto"/>
          <w:kern w:val="2"/>
          <w:sz w:val="21"/>
          <w:szCs w:val="21"/>
          <w:highlight w:val="none"/>
        </w:rPr>
        <w:t>2 、招标范围</w:t>
      </w:r>
      <w:bookmarkEnd w:id="40"/>
      <w:bookmarkEnd w:id="41"/>
      <w:bookmarkEnd w:id="42"/>
      <w:bookmarkEnd w:id="43"/>
      <w:bookmarkEnd w:id="44"/>
      <w:bookmarkEnd w:id="45"/>
      <w:bookmarkEnd w:id="46"/>
      <w:bookmarkEnd w:id="47"/>
      <w:bookmarkEnd w:id="48"/>
      <w:bookmarkEnd w:id="49"/>
    </w:p>
    <w:p w14:paraId="2658E909">
      <w:pPr>
        <w:pStyle w:val="42"/>
        <w:ind w:firstLine="422" w:firstLineChars="200"/>
        <w:jc w:val="left"/>
        <w:rPr>
          <w:rFonts w:hint="eastAsia" w:ascii="宋体" w:hAnsi="宋体" w:eastAsia="宋体" w:cs="宋体"/>
          <w:snapToGrid w:val="0"/>
          <w:color w:val="auto"/>
          <w:kern w:val="0"/>
          <w:sz w:val="21"/>
          <w:szCs w:val="21"/>
          <w:highlight w:val="none"/>
        </w:rPr>
      </w:pPr>
      <w:bookmarkStart w:id="50" w:name="_Hlt91408212"/>
      <w:bookmarkEnd w:id="50"/>
      <w:r>
        <w:rPr>
          <w:rFonts w:hint="eastAsia" w:ascii="宋体" w:hAnsi="宋体" w:eastAsia="宋体" w:cs="宋体"/>
          <w:b/>
          <w:bCs/>
          <w:color w:val="auto"/>
          <w:sz w:val="21"/>
          <w:szCs w:val="21"/>
          <w:highlight w:val="none"/>
        </w:rPr>
        <w:t>2.1</w:t>
      </w:r>
      <w:r>
        <w:rPr>
          <w:rFonts w:hint="eastAsia" w:ascii="宋体" w:hAnsi="宋体" w:eastAsia="宋体" w:cs="宋体"/>
          <w:color w:val="auto"/>
          <w:sz w:val="21"/>
          <w:szCs w:val="21"/>
          <w:highlight w:val="none"/>
        </w:rPr>
        <w:t>招标范围：</w:t>
      </w:r>
      <w:bookmarkStart w:id="51" w:name="_Toc7799"/>
      <w:bookmarkStart w:id="52" w:name="_Toc13988"/>
      <w:bookmarkStart w:id="53" w:name="_Toc4645"/>
      <w:bookmarkStart w:id="54" w:name="_Toc2350"/>
      <w:bookmarkStart w:id="55" w:name="_Toc708"/>
      <w:bookmarkStart w:id="56" w:name="_Toc21803"/>
      <w:bookmarkStart w:id="57" w:name="_Toc26845"/>
      <w:bookmarkStart w:id="58" w:name="_Toc32739"/>
      <w:bookmarkStart w:id="59" w:name="_Toc1366"/>
      <w:bookmarkStart w:id="60" w:name="_Toc27886"/>
      <w:bookmarkStart w:id="61" w:name="_Toc2217"/>
      <w:r>
        <w:rPr>
          <w:rFonts w:hint="eastAsia" w:ascii="宋体" w:hAnsi="宋体" w:eastAsia="宋体" w:cs="宋体"/>
          <w:snapToGrid w:val="0"/>
          <w:color w:val="auto"/>
          <w:kern w:val="0"/>
          <w:sz w:val="21"/>
          <w:szCs w:val="21"/>
          <w:highlight w:val="none"/>
        </w:rPr>
        <w:t>本工程所涉及的内容包括但不限于以下（1）～（2）：</w:t>
      </w:r>
    </w:p>
    <w:p w14:paraId="2CB9761C">
      <w:pPr>
        <w:pStyle w:val="42"/>
        <w:ind w:firstLine="420"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（1）设计部分：</w:t>
      </w:r>
      <w:r>
        <w:rPr>
          <w:rFonts w:hint="eastAsia" w:ascii="宋体" w:hAnsi="宋体" w:eastAsia="宋体" w:cs="宋体"/>
          <w:snapToGrid w:val="0"/>
          <w:color w:val="auto"/>
          <w:kern w:val="0"/>
          <w:sz w:val="21"/>
          <w:szCs w:val="21"/>
          <w:highlight w:val="none"/>
          <w:lang w:val="zh-CN"/>
        </w:rPr>
        <w:t>确保项目顺利实施的报建、报批、施工等所需的所有建安工程等设计文件。包括但不限于：施工图设计、</w:t>
      </w:r>
      <w:r>
        <w:rPr>
          <w:rFonts w:hint="eastAsia" w:ascii="宋体" w:hAnsi="宋体" w:eastAsia="宋体" w:cs="宋体"/>
          <w:snapToGrid w:val="0"/>
          <w:color w:val="auto"/>
          <w:kern w:val="0"/>
          <w:sz w:val="21"/>
          <w:szCs w:val="21"/>
          <w:highlight w:val="none"/>
        </w:rPr>
        <w:t>提供项目所需相关检测项的明细表和危险性较大的分部分项工程清单及保障安全相关说明、</w:t>
      </w:r>
      <w:r>
        <w:rPr>
          <w:rFonts w:hint="eastAsia" w:ascii="宋体" w:hAnsi="宋体" w:eastAsia="宋体" w:cs="宋体"/>
          <w:snapToGrid w:val="0"/>
          <w:color w:val="auto"/>
          <w:kern w:val="0"/>
          <w:sz w:val="21"/>
          <w:szCs w:val="21"/>
          <w:highlight w:val="none"/>
          <w:lang w:val="zh-CN"/>
        </w:rPr>
        <w:t>工地现场服务、验收过程中的设计指导及配合阶段验收及档案整理、协助施工单位编制竣工图及后续设计服务工作</w:t>
      </w:r>
      <w:r>
        <w:rPr>
          <w:rFonts w:hint="eastAsia" w:ascii="宋体" w:hAnsi="宋体" w:eastAsia="宋体" w:cs="宋体"/>
          <w:snapToGrid w:val="0"/>
          <w:color w:val="auto"/>
          <w:kern w:val="0"/>
          <w:sz w:val="21"/>
          <w:szCs w:val="21"/>
          <w:highlight w:val="none"/>
        </w:rPr>
        <w:t>。</w:t>
      </w:r>
    </w:p>
    <w:p w14:paraId="43548AC4">
      <w:pPr>
        <w:pStyle w:val="42"/>
        <w:ind w:firstLine="422"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注：设计文件深度要求必须满足住房和城乡建设部《市政公用工程设计文件编制深度规定（2013版）》和《建筑工程设计文件编制深度规定（2016版）》的要求，各专业还应该满足各专业工程设计文件编制深度规范或规定的要求</w:t>
      </w:r>
      <w:r>
        <w:rPr>
          <w:rFonts w:hint="eastAsia" w:ascii="宋体" w:hAnsi="宋体" w:eastAsia="宋体" w:cs="宋体"/>
          <w:snapToGrid w:val="0"/>
          <w:color w:val="auto"/>
          <w:kern w:val="0"/>
          <w:sz w:val="21"/>
          <w:szCs w:val="21"/>
          <w:highlight w:val="none"/>
        </w:rPr>
        <w:t>。</w:t>
      </w:r>
    </w:p>
    <w:p w14:paraId="75CBDF65">
      <w:pPr>
        <w:pStyle w:val="42"/>
        <w:ind w:firstLine="420"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（2）施工部分：设计文件及工程量清单范围内的所有工程及配套设施等的施工及配合阶段验收、档案整理、保修期维护等</w:t>
      </w:r>
      <w:r>
        <w:rPr>
          <w:rFonts w:hint="eastAsia" w:ascii="宋体" w:hAnsi="宋体" w:eastAsia="宋体" w:cs="宋体"/>
          <w:snapToGrid w:val="0"/>
          <w:color w:val="auto"/>
          <w:kern w:val="0"/>
          <w:sz w:val="21"/>
          <w:szCs w:val="21"/>
          <w:highlight w:val="none"/>
          <w:lang w:eastAsia="zh-CN"/>
        </w:rPr>
        <w:t>。</w:t>
      </w:r>
      <w:bookmarkEnd w:id="51"/>
      <w:bookmarkEnd w:id="52"/>
      <w:bookmarkEnd w:id="53"/>
    </w:p>
    <w:p w14:paraId="2B6167C0">
      <w:pPr>
        <w:pStyle w:val="42"/>
        <w:keepNext/>
        <w:keepLines/>
        <w:ind w:firstLine="420" w:firstLineChars="200"/>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3</w:t>
      </w:r>
      <w:bookmarkStart w:id="62" w:name="_Hlt66187826"/>
      <w:bookmarkEnd w:id="62"/>
      <w:r>
        <w:rPr>
          <w:rFonts w:hint="eastAsia" w:ascii="宋体" w:hAnsi="宋体" w:eastAsia="宋体" w:cs="宋体"/>
          <w:snapToGrid w:val="0"/>
          <w:color w:val="auto"/>
          <w:sz w:val="21"/>
          <w:szCs w:val="21"/>
          <w:highlight w:val="none"/>
        </w:rPr>
        <w:t>、工期</w:t>
      </w:r>
      <w:bookmarkEnd w:id="54"/>
      <w:bookmarkEnd w:id="55"/>
      <w:bookmarkEnd w:id="56"/>
      <w:bookmarkEnd w:id="57"/>
      <w:bookmarkEnd w:id="58"/>
      <w:bookmarkEnd w:id="59"/>
      <w:bookmarkEnd w:id="60"/>
      <w:bookmarkEnd w:id="61"/>
    </w:p>
    <w:p w14:paraId="2C038431">
      <w:pPr>
        <w:pStyle w:val="42"/>
        <w:ind w:firstLine="420" w:firstLineChars="200"/>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 xml:space="preserve">3.1 </w:t>
      </w:r>
      <w:r>
        <w:rPr>
          <w:rFonts w:hint="eastAsia" w:ascii="宋体" w:hAnsi="宋体" w:eastAsia="宋体" w:cs="宋体"/>
          <w:snapToGrid w:val="0"/>
          <w:color w:val="auto"/>
          <w:kern w:val="0"/>
          <w:sz w:val="21"/>
          <w:szCs w:val="21"/>
          <w:highlight w:val="none"/>
        </w:rPr>
        <w:t>本项目设计、施工总工期</w:t>
      </w:r>
      <w:r>
        <w:rPr>
          <w:rFonts w:hint="eastAsia" w:ascii="宋体" w:hAnsi="宋体" w:eastAsia="宋体" w:cs="宋体"/>
          <w:snapToGrid w:val="0"/>
          <w:color w:val="auto"/>
          <w:kern w:val="0"/>
          <w:sz w:val="21"/>
          <w:szCs w:val="21"/>
          <w:highlight w:val="none"/>
          <w:u w:val="single"/>
        </w:rPr>
        <w:t xml:space="preserve"> </w:t>
      </w:r>
      <w:r>
        <w:rPr>
          <w:rFonts w:hint="eastAsia" w:hAnsi="宋体" w:cs="宋体"/>
          <w:snapToGrid w:val="0"/>
          <w:color w:val="auto"/>
          <w:kern w:val="0"/>
          <w:sz w:val="21"/>
          <w:szCs w:val="21"/>
          <w:highlight w:val="none"/>
          <w:u w:val="single"/>
          <w:lang w:val="en-US" w:eastAsia="zh-CN"/>
        </w:rPr>
        <w:t>170</w:t>
      </w:r>
      <w:r>
        <w:rPr>
          <w:rFonts w:hint="eastAsia" w:ascii="宋体" w:hAnsi="宋体" w:eastAsia="宋体" w:cs="宋体"/>
          <w:snapToGrid w:val="0"/>
          <w:color w:val="auto"/>
          <w:kern w:val="0"/>
          <w:sz w:val="21"/>
          <w:szCs w:val="21"/>
          <w:highlight w:val="none"/>
          <w:u w:val="single"/>
        </w:rPr>
        <w:t xml:space="preserve"> </w:t>
      </w:r>
      <w:r>
        <w:rPr>
          <w:rFonts w:hint="eastAsia" w:ascii="宋体" w:hAnsi="宋体" w:eastAsia="宋体" w:cs="宋体"/>
          <w:snapToGrid w:val="0"/>
          <w:color w:val="auto"/>
          <w:kern w:val="0"/>
          <w:sz w:val="21"/>
          <w:szCs w:val="21"/>
          <w:highlight w:val="none"/>
        </w:rPr>
        <w:t>日历天，其中：设计工期为</w:t>
      </w:r>
      <w:r>
        <w:rPr>
          <w:rFonts w:hint="eastAsia" w:hAnsi="宋体" w:cs="宋体"/>
          <w:snapToGrid w:val="0"/>
          <w:color w:val="auto"/>
          <w:kern w:val="0"/>
          <w:sz w:val="21"/>
          <w:szCs w:val="21"/>
          <w:highlight w:val="none"/>
          <w:u w:val="single"/>
          <w:lang w:val="en-US" w:eastAsia="zh-CN"/>
        </w:rPr>
        <w:t xml:space="preserve"> 50 </w:t>
      </w:r>
      <w:r>
        <w:rPr>
          <w:rFonts w:hint="eastAsia" w:ascii="宋体" w:hAnsi="宋体" w:eastAsia="宋体" w:cs="宋体"/>
          <w:snapToGrid w:val="0"/>
          <w:color w:val="auto"/>
          <w:kern w:val="0"/>
          <w:sz w:val="21"/>
          <w:szCs w:val="21"/>
          <w:highlight w:val="none"/>
        </w:rPr>
        <w:t>日历天、施工工期为</w:t>
      </w:r>
      <w:r>
        <w:rPr>
          <w:rFonts w:hint="eastAsia" w:hAnsi="宋体" w:cs="宋体"/>
          <w:snapToGrid w:val="0"/>
          <w:color w:val="auto"/>
          <w:kern w:val="0"/>
          <w:sz w:val="21"/>
          <w:szCs w:val="21"/>
          <w:highlight w:val="none"/>
          <w:u w:val="single"/>
          <w:lang w:val="en-US" w:eastAsia="zh-CN"/>
        </w:rPr>
        <w:t xml:space="preserve"> 120</w:t>
      </w:r>
      <w:r>
        <w:rPr>
          <w:rFonts w:hint="eastAsia" w:ascii="宋体" w:hAnsi="宋体" w:eastAsia="宋体" w:cs="宋体"/>
          <w:snapToGrid w:val="0"/>
          <w:color w:val="auto"/>
          <w:kern w:val="0"/>
          <w:sz w:val="21"/>
          <w:szCs w:val="21"/>
          <w:highlight w:val="none"/>
          <w:u w:val="single"/>
        </w:rPr>
        <w:t xml:space="preserve"> </w:t>
      </w:r>
      <w:r>
        <w:rPr>
          <w:rFonts w:hint="eastAsia" w:ascii="宋体" w:hAnsi="宋体" w:eastAsia="宋体" w:cs="宋体"/>
          <w:snapToGrid w:val="0"/>
          <w:color w:val="auto"/>
          <w:kern w:val="0"/>
          <w:sz w:val="21"/>
          <w:szCs w:val="21"/>
          <w:highlight w:val="none"/>
        </w:rPr>
        <w:t>日历天。</w:t>
      </w:r>
      <w:r>
        <w:rPr>
          <w:rFonts w:hint="eastAsia" w:ascii="宋体" w:hAnsi="宋体" w:eastAsia="宋体" w:cs="宋体"/>
          <w:snapToGrid w:val="0"/>
          <w:color w:val="auto"/>
          <w:sz w:val="21"/>
          <w:szCs w:val="21"/>
          <w:highlight w:val="none"/>
        </w:rPr>
        <w:t>中标人必须在所要求的工期内完成招标范围内的全部内容。</w:t>
      </w:r>
    </w:p>
    <w:p w14:paraId="15B232CF">
      <w:pPr>
        <w:pStyle w:val="42"/>
        <w:ind w:firstLine="420" w:firstLineChars="200"/>
        <w:rPr>
          <w:rFonts w:hint="eastAsia" w:ascii="宋体" w:hAnsi="宋体" w:eastAsia="宋体" w:cs="宋体"/>
          <w:color w:val="auto"/>
          <w:sz w:val="21"/>
          <w:szCs w:val="21"/>
          <w:highlight w:val="none"/>
        </w:rPr>
      </w:pPr>
      <w:r>
        <w:rPr>
          <w:rFonts w:hint="eastAsia" w:ascii="宋体" w:hAnsi="宋体" w:eastAsia="宋体" w:cs="宋体"/>
          <w:snapToGrid w:val="0"/>
          <w:color w:val="auto"/>
          <w:sz w:val="21"/>
          <w:szCs w:val="21"/>
          <w:highlight w:val="none"/>
        </w:rPr>
        <w:t>3.2</w:t>
      </w:r>
      <w:r>
        <w:rPr>
          <w:rFonts w:hint="eastAsia" w:ascii="宋体" w:hAnsi="宋体" w:eastAsia="宋体" w:cs="宋体"/>
          <w:color w:val="auto"/>
          <w:sz w:val="21"/>
          <w:szCs w:val="21"/>
          <w:highlight w:val="none"/>
        </w:rPr>
        <w:t>因中标人原因，没有按期完成设计任务、工程没有按期竣工时，中标人须在逾期第壹天起每天分别按设计、施工合同价款的1.5‰向招标人缴纳逾期违约金，分别累计最高不超过设计、施工合同价款的10%向招标人缴纳逾期违约金。</w:t>
      </w:r>
    </w:p>
    <w:p w14:paraId="2BB68755">
      <w:pPr>
        <w:pStyle w:val="42"/>
        <w:ind w:firstLine="422" w:firstLineChars="200"/>
        <w:rPr>
          <w:rFonts w:hint="eastAsia" w:ascii="宋体" w:hAnsi="宋体" w:eastAsia="宋体" w:cs="宋体"/>
          <w:color w:val="auto"/>
          <w:sz w:val="21"/>
          <w:szCs w:val="21"/>
          <w:highlight w:val="none"/>
          <w:lang w:val="zh-CN"/>
        </w:rPr>
      </w:pPr>
      <w:r>
        <w:rPr>
          <w:rFonts w:hint="eastAsia" w:ascii="宋体" w:hAnsi="宋体" w:eastAsia="宋体" w:cs="宋体"/>
          <w:b/>
          <w:color w:val="auto"/>
          <w:kern w:val="44"/>
          <w:sz w:val="21"/>
          <w:szCs w:val="21"/>
          <w:highlight w:val="none"/>
        </w:rPr>
        <w:t>3.3</w:t>
      </w:r>
      <w:r>
        <w:rPr>
          <w:rFonts w:hint="eastAsia" w:ascii="宋体" w:hAnsi="宋体" w:eastAsia="宋体" w:cs="宋体"/>
          <w:color w:val="auto"/>
          <w:sz w:val="21"/>
          <w:szCs w:val="21"/>
          <w:highlight w:val="none"/>
        </w:rPr>
        <w:t>设计工期自中标通知书发出之日起计算，至提交符合招标人及审图机构要求的施工图设计文件以及符合要求的施工图预算之日止（每一步设计工作，必须以招标人及有关部门审核批准后方可实施）</w:t>
      </w:r>
      <w:r>
        <w:rPr>
          <w:rFonts w:hint="eastAsia" w:ascii="宋体" w:hAnsi="宋体" w:eastAsia="宋体" w:cs="宋体"/>
          <w:color w:val="auto"/>
          <w:sz w:val="21"/>
          <w:szCs w:val="21"/>
          <w:highlight w:val="none"/>
          <w:lang w:val="zh-CN"/>
        </w:rPr>
        <w:t>。</w:t>
      </w:r>
    </w:p>
    <w:p w14:paraId="06918F10">
      <w:pPr>
        <w:pStyle w:val="42"/>
        <w:ind w:firstLine="422" w:firstLineChars="200"/>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rPr>
        <w:t>3</w:t>
      </w:r>
      <w:r>
        <w:rPr>
          <w:rFonts w:hint="eastAsia" w:ascii="宋体" w:hAnsi="宋体" w:eastAsia="宋体" w:cs="宋体"/>
          <w:b/>
          <w:bCs/>
          <w:color w:val="auto"/>
          <w:sz w:val="21"/>
          <w:szCs w:val="21"/>
          <w:highlight w:val="none"/>
          <w:lang w:val="zh-CN"/>
        </w:rPr>
        <w:t>.</w:t>
      </w:r>
      <w:r>
        <w:rPr>
          <w:rFonts w:hint="eastAsia" w:ascii="宋体" w:hAnsi="宋体" w:eastAsia="宋体" w:cs="宋体"/>
          <w:b/>
          <w:bCs/>
          <w:color w:val="auto"/>
          <w:sz w:val="21"/>
          <w:szCs w:val="21"/>
          <w:highlight w:val="none"/>
        </w:rPr>
        <w:t>4</w:t>
      </w:r>
      <w:r>
        <w:rPr>
          <w:rFonts w:hint="eastAsia" w:ascii="宋体" w:hAnsi="宋体" w:eastAsia="宋体" w:cs="宋体"/>
          <w:color w:val="auto"/>
          <w:sz w:val="21"/>
          <w:szCs w:val="21"/>
          <w:highlight w:val="none"/>
          <w:lang w:val="zh-CN"/>
        </w:rPr>
        <w:t xml:space="preserve"> 施工工期从开工令签发之日起计，至竣工验收之日止。</w:t>
      </w:r>
      <w:bookmarkStart w:id="63" w:name="_Toc11872"/>
    </w:p>
    <w:p w14:paraId="0F6702D8">
      <w:pPr>
        <w:pStyle w:val="44"/>
        <w:keepNext/>
        <w:keepLines/>
        <w:ind w:firstLine="422" w:firstLineChars="200"/>
        <w:jc w:val="both"/>
        <w:rPr>
          <w:rFonts w:hint="eastAsia" w:ascii="宋体" w:hAnsi="宋体" w:eastAsia="宋体" w:cs="宋体"/>
          <w:b/>
          <w:color w:val="auto"/>
          <w:kern w:val="2"/>
          <w:sz w:val="21"/>
          <w:szCs w:val="21"/>
          <w:highlight w:val="none"/>
        </w:rPr>
      </w:pPr>
      <w:bookmarkStart w:id="64" w:name="_Toc24539"/>
      <w:bookmarkStart w:id="65" w:name="_Toc3312"/>
      <w:bookmarkStart w:id="66" w:name="_Toc30034"/>
      <w:bookmarkStart w:id="67" w:name="_Toc13379"/>
      <w:bookmarkStart w:id="68" w:name="_Toc2499"/>
      <w:bookmarkStart w:id="69" w:name="_Toc1889"/>
      <w:bookmarkStart w:id="70" w:name="_Toc19644"/>
      <w:bookmarkStart w:id="71" w:name="_Toc32407"/>
      <w:r>
        <w:rPr>
          <w:rFonts w:hint="eastAsia" w:ascii="宋体" w:hAnsi="宋体" w:eastAsia="宋体" w:cs="宋体"/>
          <w:b/>
          <w:color w:val="auto"/>
          <w:kern w:val="2"/>
          <w:sz w:val="21"/>
          <w:szCs w:val="21"/>
          <w:highlight w:val="none"/>
        </w:rPr>
        <w:t>4 、投标人资质及条件要求</w:t>
      </w:r>
      <w:bookmarkEnd w:id="63"/>
      <w:bookmarkEnd w:id="64"/>
      <w:bookmarkEnd w:id="65"/>
      <w:bookmarkEnd w:id="66"/>
      <w:bookmarkEnd w:id="67"/>
      <w:bookmarkEnd w:id="68"/>
      <w:bookmarkEnd w:id="69"/>
      <w:bookmarkEnd w:id="70"/>
      <w:bookmarkEnd w:id="71"/>
      <w:bookmarkStart w:id="72" w:name="_Hlt74496495"/>
      <w:bookmarkEnd w:id="72"/>
    </w:p>
    <w:p w14:paraId="5E01E6BA">
      <w:pPr>
        <w:pStyle w:val="45"/>
        <w:wordWrap w:val="0"/>
        <w:adjustRightInd w:val="0"/>
        <w:snapToGrid w:val="0"/>
        <w:spacing w:line="360" w:lineRule="auto"/>
        <w:ind w:firstLine="422" w:firstLineChars="20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4.1</w:t>
      </w:r>
      <w:r>
        <w:rPr>
          <w:rFonts w:hint="eastAsia" w:ascii="宋体" w:hAnsi="宋体" w:eastAsia="宋体" w:cs="宋体"/>
          <w:color w:val="auto"/>
          <w:kern w:val="0"/>
          <w:sz w:val="21"/>
          <w:szCs w:val="21"/>
          <w:highlight w:val="none"/>
        </w:rPr>
        <w:t>本次招标接受联合体投标，联合体以一个投标人的身份共同投标。</w:t>
      </w:r>
    </w:p>
    <w:p w14:paraId="46EFC7E4">
      <w:pPr>
        <w:pStyle w:val="45"/>
        <w:wordWrap w:val="0"/>
        <w:adjustRightInd w:val="0"/>
        <w:snapToGrid w:val="0"/>
        <w:spacing w:line="360" w:lineRule="auto"/>
        <w:ind w:firstLine="422" w:firstLineChars="20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4.1.1</w:t>
      </w:r>
      <w:r>
        <w:rPr>
          <w:rFonts w:hint="eastAsia" w:ascii="宋体" w:hAnsi="宋体" w:eastAsia="宋体" w:cs="宋体"/>
          <w:color w:val="auto"/>
          <w:kern w:val="0"/>
          <w:sz w:val="21"/>
          <w:szCs w:val="21"/>
          <w:highlight w:val="none"/>
        </w:rPr>
        <w:t>联合体成员数量不超过</w:t>
      </w:r>
      <w:r>
        <w:rPr>
          <w:rFonts w:hint="eastAsia" w:ascii="宋体" w:hAnsi="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个。</w:t>
      </w:r>
    </w:p>
    <w:p w14:paraId="07146319">
      <w:pPr>
        <w:pStyle w:val="45"/>
        <w:wordWrap w:val="0"/>
        <w:adjustRightInd w:val="0"/>
        <w:snapToGrid w:val="0"/>
        <w:spacing w:line="360" w:lineRule="auto"/>
        <w:ind w:firstLine="422" w:firstLineChars="20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4.1.2</w:t>
      </w:r>
      <w:r>
        <w:rPr>
          <w:rFonts w:hint="eastAsia" w:ascii="宋体" w:hAnsi="宋体" w:eastAsia="宋体" w:cs="宋体"/>
          <w:color w:val="auto"/>
          <w:kern w:val="0"/>
          <w:sz w:val="21"/>
          <w:szCs w:val="21"/>
          <w:highlight w:val="none"/>
        </w:rPr>
        <w:t>联合体各方应按招标文件提供的格式签订联合体协议书，明确联合体牵头人和各方权利义务，并承诺就中标项目向招标人承担连带责任。《联合体协议书》作为投标文件的组成部分向招标人提交。</w:t>
      </w:r>
    </w:p>
    <w:p w14:paraId="137E6EDB">
      <w:pPr>
        <w:pStyle w:val="45"/>
        <w:wordWrap w:val="0"/>
        <w:adjustRightInd w:val="0"/>
        <w:snapToGrid w:val="0"/>
        <w:spacing w:line="360" w:lineRule="auto"/>
        <w:ind w:firstLine="422" w:firstLineChars="20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4.1.3</w:t>
      </w:r>
      <w:r>
        <w:rPr>
          <w:rFonts w:hint="eastAsia" w:ascii="宋体" w:hAnsi="宋体" w:eastAsia="宋体" w:cs="宋体"/>
          <w:color w:val="auto"/>
          <w:kern w:val="0"/>
          <w:sz w:val="21"/>
          <w:szCs w:val="21"/>
          <w:highlight w:val="none"/>
        </w:rPr>
        <w:t>联合体成员单位均应具备拟承担的工作内容（以《联合体协议书》的约定为准）所规定的资格条件。若同一工作内容由两个或两个以上单位共同承担，该项工作内容按照资质等级较低的单位确定联合体资质等级。</w:t>
      </w:r>
    </w:p>
    <w:p w14:paraId="4670A132">
      <w:pPr>
        <w:pStyle w:val="45"/>
        <w:wordWrap w:val="0"/>
        <w:adjustRightInd w:val="0"/>
        <w:snapToGrid w:val="0"/>
        <w:spacing w:line="360" w:lineRule="auto"/>
        <w:ind w:firstLine="422" w:firstLineChars="20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4.1.4</w:t>
      </w:r>
      <w:r>
        <w:rPr>
          <w:rFonts w:hint="eastAsia" w:ascii="宋体" w:hAnsi="宋体" w:eastAsia="宋体" w:cs="宋体"/>
          <w:color w:val="auto"/>
          <w:kern w:val="0"/>
          <w:sz w:val="21"/>
          <w:szCs w:val="21"/>
          <w:highlight w:val="none"/>
        </w:rPr>
        <w:t>联合体各方不得再以自己名义单独或参加其他联合体在本招标项目中投标，否则各相关投标均无效。</w:t>
      </w:r>
    </w:p>
    <w:p w14:paraId="29DB9BA2">
      <w:pPr>
        <w:pStyle w:val="45"/>
        <w:wordWrap w:val="0"/>
        <w:adjustRightInd w:val="0"/>
        <w:snapToGrid w:val="0"/>
        <w:spacing w:line="360" w:lineRule="auto"/>
        <w:ind w:firstLine="422" w:firstLineChars="20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4.2</w:t>
      </w:r>
      <w:r>
        <w:rPr>
          <w:rFonts w:hint="eastAsia" w:ascii="宋体" w:hAnsi="宋体" w:eastAsia="宋体" w:cs="宋体"/>
          <w:color w:val="auto"/>
          <w:kern w:val="0"/>
          <w:sz w:val="21"/>
          <w:szCs w:val="21"/>
          <w:highlight w:val="none"/>
        </w:rPr>
        <w:t>资质要求</w:t>
      </w:r>
    </w:p>
    <w:p w14:paraId="2B3A0D4E">
      <w:pPr>
        <w:pStyle w:val="45"/>
        <w:wordWrap w:val="0"/>
        <w:adjustRightInd w:val="0"/>
        <w:snapToGrid w:val="0"/>
        <w:spacing w:line="360" w:lineRule="auto"/>
        <w:ind w:firstLine="422" w:firstLineChars="20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4.2.1</w:t>
      </w:r>
      <w:r>
        <w:rPr>
          <w:rFonts w:hint="eastAsia" w:ascii="宋体" w:hAnsi="宋体" w:eastAsia="宋体" w:cs="宋体"/>
          <w:color w:val="auto"/>
          <w:kern w:val="0"/>
          <w:sz w:val="21"/>
          <w:szCs w:val="21"/>
          <w:highlight w:val="none"/>
        </w:rPr>
        <w:t>投标人须具备独立法人资格，按国家法律经营。</w:t>
      </w:r>
    </w:p>
    <w:p w14:paraId="5D84FC72">
      <w:pPr>
        <w:pStyle w:val="45"/>
        <w:wordWrap w:val="0"/>
        <w:adjustRightInd w:val="0"/>
        <w:snapToGrid w:val="0"/>
        <w:spacing w:line="360"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4.2.2</w:t>
      </w:r>
      <w:r>
        <w:rPr>
          <w:rFonts w:hint="eastAsia" w:ascii="宋体" w:hAnsi="宋体" w:eastAsia="宋体" w:cs="宋体"/>
          <w:color w:val="auto"/>
          <w:kern w:val="0"/>
          <w:sz w:val="21"/>
          <w:szCs w:val="21"/>
          <w:highlight w:val="none"/>
        </w:rPr>
        <w:t>投标人须持有行政主管部门颁发的企业资质证书。</w:t>
      </w:r>
    </w:p>
    <w:p w14:paraId="04B7F13A">
      <w:pPr>
        <w:pStyle w:val="45"/>
        <w:wordWrap w:val="0"/>
        <w:adjustRightInd w:val="0"/>
        <w:snapToGrid w:val="0"/>
        <w:spacing w:line="360" w:lineRule="auto"/>
        <w:ind w:firstLine="422" w:firstLineChars="200"/>
        <w:jc w:val="left"/>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rPr>
        <w:t>4.2.3</w:t>
      </w:r>
      <w:r>
        <w:rPr>
          <w:rFonts w:hint="eastAsia" w:ascii="宋体" w:hAnsi="宋体" w:eastAsia="宋体" w:cs="宋体"/>
          <w:color w:val="auto"/>
          <w:sz w:val="21"/>
          <w:szCs w:val="21"/>
          <w:highlight w:val="none"/>
          <w:lang w:val="zh-CN"/>
        </w:rPr>
        <w:t>参加投标的投标人可以是单一独立法人或由不超过</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zh-CN"/>
        </w:rPr>
        <w:t>家独立法人组成的联合体，联合体各方不得再以自己的名义单独申请，也不得同时参加两个或两个以上的联合体进行本项目的投标。单一独立法人必须至少同时具备以下①～</w:t>
      </w:r>
      <w:r>
        <w:rPr>
          <w:rFonts w:hint="eastAsia" w:ascii="宋体" w:hAnsi="宋体" w:eastAsia="宋体" w:cs="宋体"/>
          <w:color w:val="auto"/>
          <w:sz w:val="21"/>
          <w:szCs w:val="21"/>
          <w:highlight w:val="none"/>
        </w:rPr>
        <w:t>②</w:t>
      </w:r>
      <w:r>
        <w:rPr>
          <w:rFonts w:hint="eastAsia" w:ascii="宋体" w:hAnsi="宋体" w:eastAsia="宋体" w:cs="宋体"/>
          <w:color w:val="auto"/>
          <w:sz w:val="21"/>
          <w:szCs w:val="21"/>
          <w:highlight w:val="none"/>
          <w:lang w:val="zh-CN"/>
        </w:rPr>
        <w:t>资质，组成联合体投标的，联合后必须至少具备以下①～</w:t>
      </w:r>
      <w:r>
        <w:rPr>
          <w:rFonts w:hint="eastAsia" w:ascii="宋体" w:hAnsi="宋体" w:eastAsia="宋体" w:cs="宋体"/>
          <w:color w:val="auto"/>
          <w:sz w:val="21"/>
          <w:szCs w:val="21"/>
          <w:highlight w:val="none"/>
        </w:rPr>
        <w:t>②</w:t>
      </w:r>
      <w:r>
        <w:rPr>
          <w:rFonts w:hint="eastAsia" w:ascii="宋体" w:hAnsi="宋体" w:eastAsia="宋体" w:cs="宋体"/>
          <w:color w:val="auto"/>
          <w:sz w:val="21"/>
          <w:szCs w:val="21"/>
          <w:highlight w:val="none"/>
          <w:lang w:val="zh-CN"/>
        </w:rPr>
        <w:t>资质，联合体牵头人必须具备①资质</w:t>
      </w:r>
      <w:r>
        <w:rPr>
          <w:rFonts w:hint="eastAsia" w:ascii="宋体" w:hAnsi="宋体" w:eastAsia="宋体" w:cs="宋体"/>
          <w:color w:val="auto"/>
          <w:kern w:val="0"/>
          <w:sz w:val="21"/>
          <w:szCs w:val="21"/>
          <w:highlight w:val="none"/>
        </w:rPr>
        <w:t>：</w:t>
      </w:r>
    </w:p>
    <w:p w14:paraId="5023315B">
      <w:pPr>
        <w:pStyle w:val="45"/>
        <w:wordWrap w:val="0"/>
        <w:adjustRightInd w:val="0"/>
        <w:snapToGrid w:val="0"/>
        <w:spacing w:line="360" w:lineRule="auto"/>
        <w:ind w:firstLine="420" w:firstLineChars="20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①施工资质：具备建设行政主管部门颁发的</w:t>
      </w:r>
      <w:r>
        <w:rPr>
          <w:rFonts w:hint="eastAsia" w:ascii="宋体" w:hAnsi="宋体" w:eastAsia="宋体" w:cs="宋体"/>
          <w:color w:val="auto"/>
          <w:sz w:val="21"/>
          <w:szCs w:val="21"/>
          <w:highlight w:val="none"/>
        </w:rPr>
        <w:t>市政公用工程施工</w:t>
      </w:r>
      <w:r>
        <w:rPr>
          <w:rFonts w:hint="eastAsia" w:ascii="宋体" w:hAnsi="宋体" w:eastAsia="宋体" w:cs="宋体"/>
          <w:color w:val="auto"/>
          <w:sz w:val="21"/>
          <w:szCs w:val="21"/>
          <w:highlight w:val="none"/>
          <w:lang w:val="zh-CN"/>
        </w:rPr>
        <w:t>总承包</w:t>
      </w:r>
      <w:r>
        <w:rPr>
          <w:rFonts w:hint="eastAsia" w:ascii="宋体" w:hAnsi="宋体" w:eastAsia="宋体" w:cs="宋体"/>
          <w:color w:val="auto"/>
          <w:sz w:val="21"/>
          <w:szCs w:val="21"/>
          <w:highlight w:val="none"/>
        </w:rPr>
        <w:t>三</w:t>
      </w:r>
      <w:r>
        <w:rPr>
          <w:rFonts w:hint="eastAsia" w:ascii="宋体" w:hAnsi="宋体" w:eastAsia="宋体" w:cs="宋体"/>
          <w:color w:val="auto"/>
          <w:sz w:val="21"/>
          <w:szCs w:val="21"/>
          <w:highlight w:val="none"/>
          <w:lang w:val="zh-CN"/>
        </w:rPr>
        <w:t>级以上（含</w:t>
      </w:r>
      <w:r>
        <w:rPr>
          <w:rFonts w:hint="eastAsia" w:ascii="宋体" w:hAnsi="宋体" w:eastAsia="宋体" w:cs="宋体"/>
          <w:color w:val="auto"/>
          <w:sz w:val="21"/>
          <w:szCs w:val="21"/>
          <w:highlight w:val="none"/>
        </w:rPr>
        <w:t>三</w:t>
      </w:r>
      <w:r>
        <w:rPr>
          <w:rFonts w:hint="eastAsia" w:ascii="宋体" w:hAnsi="宋体" w:eastAsia="宋体" w:cs="宋体"/>
          <w:color w:val="auto"/>
          <w:sz w:val="21"/>
          <w:szCs w:val="21"/>
          <w:highlight w:val="none"/>
          <w:lang w:val="zh-CN"/>
        </w:rPr>
        <w:t>级）资质</w:t>
      </w:r>
      <w:r>
        <w:rPr>
          <w:rFonts w:hint="eastAsia" w:ascii="宋体" w:hAnsi="宋体" w:cs="宋体"/>
          <w:color w:val="auto"/>
          <w:sz w:val="21"/>
          <w:szCs w:val="21"/>
          <w:highlight w:val="none"/>
          <w:lang w:val="en-US" w:eastAsia="zh-CN"/>
        </w:rPr>
        <w:t>或建筑工程施工总承包三级以上（含三级）资质</w:t>
      </w:r>
      <w:r>
        <w:rPr>
          <w:rFonts w:hint="eastAsia" w:ascii="宋体" w:hAnsi="宋体" w:eastAsia="宋体" w:cs="宋体"/>
          <w:color w:val="auto"/>
          <w:sz w:val="21"/>
          <w:szCs w:val="21"/>
          <w:highlight w:val="none"/>
          <w:lang w:val="zh-CN"/>
        </w:rPr>
        <w:t>，并获得安全生产许可证的独立法人。</w:t>
      </w:r>
    </w:p>
    <w:p w14:paraId="2B91785E">
      <w:pPr>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②设计资质必须具备建设行政主管部门颁发的以下“</w:t>
      </w:r>
      <w:r>
        <w:rPr>
          <w:rFonts w:hint="eastAsia" w:hAnsi="宋体" w:eastAsia="宋体" w:cs="宋体"/>
          <w:color w:val="auto"/>
          <w:sz w:val="21"/>
          <w:szCs w:val="21"/>
          <w:highlight w:val="none"/>
          <w:lang w:eastAsia="zh-CN"/>
        </w:rPr>
        <w:t>（</w:t>
      </w:r>
      <w:r>
        <w:rPr>
          <w:rFonts w:hint="eastAsia" w:hAnsi="宋体" w:eastAsia="宋体" w:cs="宋体"/>
          <w:color w:val="auto"/>
          <w:sz w:val="21"/>
          <w:szCs w:val="21"/>
          <w:highlight w:val="none"/>
          <w:lang w:val="en-US" w:eastAsia="zh-CN"/>
        </w:rPr>
        <w:t>1</w:t>
      </w:r>
      <w:r>
        <w:rPr>
          <w:rFonts w:hint="eastAsia"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”或“（2）”资质：</w:t>
      </w:r>
    </w:p>
    <w:p w14:paraId="32EC6BE7">
      <w:pPr>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（1）综合资质：工程设计综合甲级资质；</w:t>
      </w:r>
    </w:p>
    <w:p w14:paraId="19A547C1">
      <w:pPr>
        <w:snapToGrid w:val="0"/>
        <w:spacing w:line="360" w:lineRule="auto"/>
        <w:ind w:firstLine="420" w:firstLineChars="20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w:t>
      </w:r>
      <w:r>
        <w:rPr>
          <w:rFonts w:hint="eastAsia" w:hAnsi="宋体" w:eastAsia="宋体" w:cs="宋体"/>
          <w:color w:val="auto"/>
          <w:sz w:val="21"/>
          <w:szCs w:val="21"/>
          <w:highlight w:val="none"/>
          <w:lang w:val="en-US" w:eastAsia="zh-CN"/>
        </w:rPr>
        <w:t>同时具备以下a、b资质：</w:t>
      </w:r>
    </w:p>
    <w:p w14:paraId="73DC326B">
      <w:pPr>
        <w:snapToGrid w:val="0"/>
        <w:spacing w:line="360" w:lineRule="auto"/>
        <w:ind w:firstLine="420" w:firstLineChars="200"/>
        <w:rPr>
          <w:rFonts w:hint="eastAsia" w:ascii="宋体" w:hAnsi="宋体" w:eastAsia="宋体" w:cs="宋体"/>
          <w:color w:val="auto"/>
          <w:sz w:val="21"/>
          <w:szCs w:val="21"/>
          <w:highlight w:val="none"/>
        </w:rPr>
      </w:pPr>
      <w:r>
        <w:rPr>
          <w:rFonts w:hint="eastAsia" w:hAnsi="宋体" w:eastAsia="宋体" w:cs="宋体"/>
          <w:color w:val="auto"/>
          <w:sz w:val="21"/>
          <w:szCs w:val="21"/>
          <w:highlight w:val="none"/>
          <w:lang w:val="en-US" w:eastAsia="zh-CN"/>
        </w:rPr>
        <w:t>a、</w:t>
      </w:r>
      <w:r>
        <w:rPr>
          <w:rFonts w:hint="eastAsia" w:ascii="宋体" w:hAnsi="宋体" w:eastAsia="宋体" w:cs="宋体"/>
          <w:color w:val="auto"/>
          <w:sz w:val="21"/>
          <w:szCs w:val="21"/>
          <w:highlight w:val="none"/>
        </w:rPr>
        <w:t>市政行业资质之一：</w:t>
      </w:r>
    </w:p>
    <w:p w14:paraId="6015AE37">
      <w:pPr>
        <w:snapToGrid w:val="0"/>
        <w:spacing w:line="360" w:lineRule="auto"/>
        <w:ind w:firstLine="420" w:firstLineChars="200"/>
        <w:rPr>
          <w:rFonts w:hint="eastAsia" w:ascii="宋体" w:hAnsi="宋体" w:eastAsia="宋体" w:cs="宋体"/>
          <w:color w:val="auto"/>
          <w:sz w:val="21"/>
          <w:szCs w:val="21"/>
          <w:highlight w:val="none"/>
        </w:rPr>
      </w:pPr>
      <w:r>
        <w:rPr>
          <w:rFonts w:hint="eastAsia"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工程设计市政行业乙级以上（含乙级）资质；</w:t>
      </w:r>
    </w:p>
    <w:p w14:paraId="186FC460">
      <w:pPr>
        <w:snapToGrid w:val="0"/>
        <w:spacing w:line="360" w:lineRule="auto"/>
        <w:ind w:firstLine="420" w:firstLineChars="200"/>
        <w:rPr>
          <w:rFonts w:hint="eastAsia" w:ascii="宋体" w:hAnsi="宋体" w:eastAsia="宋体" w:cs="宋体"/>
          <w:color w:val="auto"/>
          <w:sz w:val="21"/>
          <w:szCs w:val="21"/>
          <w:highlight w:val="none"/>
        </w:rPr>
      </w:pPr>
      <w:r>
        <w:rPr>
          <w:rFonts w:hint="eastAsia"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工程设计市政行业乙级（燃气工程、轨道交通工程除外）以上（含乙级）资质；</w:t>
      </w:r>
    </w:p>
    <w:p w14:paraId="2D3BEE36">
      <w:pPr>
        <w:bidi w:val="0"/>
        <w:spacing w:line="360" w:lineRule="auto"/>
        <w:ind w:firstLine="420" w:firstLineChars="200"/>
        <w:rPr>
          <w:rFonts w:hint="eastAsia" w:eastAsia="宋体" w:asciiTheme="minorEastAsia" w:hAnsiTheme="minorEastAsia" w:cstheme="minorEastAsia"/>
          <w:color w:val="auto"/>
          <w:sz w:val="21"/>
          <w:szCs w:val="21"/>
          <w:highlight w:val="none"/>
          <w:lang w:eastAsia="zh-CN"/>
        </w:rPr>
      </w:pPr>
      <w:r>
        <w:rPr>
          <w:rFonts w:hint="eastAsia"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工程设计市政行业（道路工程）专业乙级以上（含乙级）资质</w:t>
      </w:r>
      <w:r>
        <w:rPr>
          <w:rFonts w:hint="eastAsia" w:asciiTheme="minorEastAsia" w:hAnsiTheme="minorEastAsia" w:eastAsiaTheme="minorEastAsia" w:cstheme="minorEastAsia"/>
          <w:color w:val="auto"/>
          <w:sz w:val="21"/>
          <w:szCs w:val="21"/>
          <w:highlight w:val="none"/>
          <w:lang w:eastAsia="zh-CN"/>
        </w:rPr>
        <w:t>；</w:t>
      </w:r>
    </w:p>
    <w:p w14:paraId="28FC2C90">
      <w:pPr>
        <w:snapToGrid w:val="0"/>
        <w:spacing w:line="360" w:lineRule="auto"/>
        <w:ind w:firstLine="420" w:firstLineChars="200"/>
        <w:rPr>
          <w:rFonts w:hint="eastAsia" w:ascii="宋体" w:hAnsi="宋体" w:eastAsia="宋体" w:cs="宋体"/>
          <w:color w:val="auto"/>
          <w:sz w:val="21"/>
          <w:szCs w:val="21"/>
          <w:highlight w:val="none"/>
        </w:rPr>
      </w:pPr>
      <w:r>
        <w:rPr>
          <w:rFonts w:hint="eastAsia" w:hAnsi="宋体" w:eastAsia="宋体" w:cs="宋体"/>
          <w:color w:val="auto"/>
          <w:sz w:val="21"/>
          <w:szCs w:val="21"/>
          <w:highlight w:val="none"/>
          <w:lang w:val="en-US" w:eastAsia="zh-CN"/>
        </w:rPr>
        <w:t>b、</w:t>
      </w:r>
      <w:r>
        <w:rPr>
          <w:rFonts w:hint="eastAsia" w:ascii="宋体" w:hAnsi="宋体" w:eastAsia="宋体" w:cs="宋体"/>
          <w:color w:val="auto"/>
          <w:sz w:val="21"/>
          <w:szCs w:val="21"/>
          <w:highlight w:val="none"/>
          <w:lang w:val="en-US" w:eastAsia="zh-CN"/>
        </w:rPr>
        <w:t>建筑</w:t>
      </w:r>
      <w:r>
        <w:rPr>
          <w:rFonts w:hint="eastAsia" w:ascii="宋体" w:hAnsi="宋体" w:eastAsia="宋体" w:cs="宋体"/>
          <w:color w:val="auto"/>
          <w:sz w:val="21"/>
          <w:szCs w:val="21"/>
          <w:highlight w:val="none"/>
        </w:rPr>
        <w:t>行业资质之一：</w:t>
      </w:r>
    </w:p>
    <w:p w14:paraId="63C64324">
      <w:pPr>
        <w:bidi w:val="0"/>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工程设计建筑行业乙级以上（含乙级）资质；</w:t>
      </w:r>
    </w:p>
    <w:p w14:paraId="5BC8E9C4">
      <w:pPr>
        <w:bidi w:val="0"/>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工程设计建筑行业（建筑工程）专业乙级以上（含乙级）资质。</w:t>
      </w:r>
    </w:p>
    <w:p w14:paraId="3EF5DB9F">
      <w:pPr>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注：投标人若不具备相应勘察资质的，则在中标后，由中标单位委托有相应资质的单位完成本工程的勘察工作。</w:t>
      </w:r>
    </w:p>
    <w:p w14:paraId="106C174B">
      <w:pPr>
        <w:pStyle w:val="45"/>
        <w:wordWrap w:val="0"/>
        <w:adjustRightInd w:val="0"/>
        <w:snapToGrid w:val="0"/>
        <w:spacing w:line="440" w:lineRule="exact"/>
        <w:ind w:firstLine="480"/>
        <w:jc w:val="left"/>
        <w:rPr>
          <w:rFonts w:hint="eastAsia" w:ascii="宋体" w:hAnsi="宋体" w:eastAsia="宋体" w:cs="宋体"/>
          <w:strike/>
          <w:color w:val="auto"/>
          <w:sz w:val="21"/>
          <w:szCs w:val="21"/>
          <w:highlight w:val="none"/>
          <w:lang w:val="zh-CN"/>
        </w:rPr>
      </w:pPr>
      <w:r>
        <w:rPr>
          <w:rFonts w:hint="eastAsia" w:ascii="宋体" w:hAnsi="宋体" w:eastAsia="宋体" w:cs="宋体"/>
          <w:b/>
          <w:bCs/>
          <w:color w:val="auto"/>
          <w:kern w:val="0"/>
          <w:sz w:val="21"/>
          <w:szCs w:val="21"/>
          <w:highlight w:val="none"/>
        </w:rPr>
        <w:t>4.2.4</w:t>
      </w:r>
      <w:r>
        <w:rPr>
          <w:rFonts w:hint="eastAsia" w:ascii="宋体" w:hAnsi="宋体" w:eastAsia="宋体" w:cs="宋体"/>
          <w:color w:val="auto"/>
          <w:sz w:val="21"/>
          <w:szCs w:val="21"/>
          <w:highlight w:val="none"/>
          <w:lang w:val="zh-CN"/>
        </w:rPr>
        <w:t>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162A84D9">
      <w:pPr>
        <w:pStyle w:val="45"/>
        <w:wordWrap w:val="0"/>
        <w:adjustRightInd w:val="0"/>
        <w:snapToGrid w:val="0"/>
        <w:spacing w:line="360" w:lineRule="auto"/>
        <w:ind w:firstLine="480"/>
        <w:jc w:val="left"/>
        <w:rPr>
          <w:rFonts w:hint="eastAsia" w:ascii="宋体" w:hAnsi="宋体" w:eastAsia="宋体" w:cs="宋体"/>
          <w:snapToGrid w:val="0"/>
          <w:color w:val="auto"/>
          <w:kern w:val="0"/>
          <w:sz w:val="21"/>
          <w:szCs w:val="21"/>
          <w:highlight w:val="none"/>
        </w:rPr>
      </w:pPr>
      <w:r>
        <w:rPr>
          <w:rFonts w:hint="eastAsia" w:ascii="宋体" w:hAnsi="宋体" w:eastAsia="宋体" w:cs="宋体"/>
          <w:b/>
          <w:bCs/>
          <w:color w:val="auto"/>
          <w:kern w:val="0"/>
          <w:sz w:val="21"/>
          <w:szCs w:val="21"/>
          <w:highlight w:val="none"/>
        </w:rPr>
        <w:t>4.3</w:t>
      </w:r>
      <w:r>
        <w:rPr>
          <w:rFonts w:hint="eastAsia" w:ascii="宋体" w:hAnsi="宋体" w:eastAsia="宋体" w:cs="宋体"/>
          <w:snapToGrid w:val="0"/>
          <w:color w:val="auto"/>
          <w:kern w:val="0"/>
          <w:sz w:val="21"/>
          <w:szCs w:val="21"/>
          <w:highlight w:val="none"/>
        </w:rPr>
        <w:t>相关人员要求</w:t>
      </w:r>
    </w:p>
    <w:p w14:paraId="258EAC86">
      <w:pPr>
        <w:pStyle w:val="45"/>
        <w:wordWrap w:val="0"/>
        <w:adjustRightInd w:val="0"/>
        <w:snapToGrid w:val="0"/>
        <w:spacing w:line="360" w:lineRule="auto"/>
        <w:ind w:firstLine="422" w:firstLineChars="20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4.3.1</w:t>
      </w:r>
      <w:r>
        <w:rPr>
          <w:rFonts w:hint="eastAsia" w:ascii="宋体" w:hAnsi="宋体" w:eastAsia="宋体" w:cs="宋体"/>
          <w:snapToGrid w:val="0"/>
          <w:color w:val="auto"/>
          <w:kern w:val="0"/>
          <w:sz w:val="21"/>
          <w:szCs w:val="21"/>
          <w:highlight w:val="none"/>
        </w:rPr>
        <w:t>拟派项目经理为具有</w:t>
      </w:r>
      <w:r>
        <w:rPr>
          <w:rFonts w:hint="eastAsia" w:ascii="宋体" w:hAnsi="宋体" w:eastAsia="宋体" w:cs="宋体"/>
          <w:snapToGrid w:val="0"/>
          <w:color w:val="auto"/>
          <w:kern w:val="0"/>
          <w:sz w:val="21"/>
          <w:szCs w:val="21"/>
          <w:highlight w:val="none"/>
          <w:u w:val="single"/>
        </w:rPr>
        <w:t>市政公用工程</w:t>
      </w:r>
      <w:r>
        <w:rPr>
          <w:rFonts w:hint="eastAsia" w:ascii="宋体" w:hAnsi="宋体" w:cs="宋体"/>
          <w:snapToGrid w:val="0"/>
          <w:color w:val="auto"/>
          <w:kern w:val="0"/>
          <w:sz w:val="21"/>
          <w:szCs w:val="21"/>
          <w:highlight w:val="none"/>
          <w:u w:val="single"/>
          <w:lang w:val="en-US" w:eastAsia="zh-CN"/>
        </w:rPr>
        <w:t>或建筑工程</w:t>
      </w:r>
      <w:r>
        <w:rPr>
          <w:rFonts w:hint="eastAsia" w:ascii="宋体" w:hAnsi="宋体" w:eastAsia="宋体" w:cs="宋体"/>
          <w:snapToGrid w:val="0"/>
          <w:color w:val="auto"/>
          <w:kern w:val="0"/>
          <w:sz w:val="21"/>
          <w:szCs w:val="21"/>
          <w:highlight w:val="none"/>
        </w:rPr>
        <w:t>专业一级或二级注册建造师，应持有住建部门印发的在使用有效期内的有效电子注册证书（根据广东省住房和城乡建设厅（粤建市函〔2023〕469号）文件精神，二级注册建造师可随注册企业在全国范围内执业）。同时均须具备有效安全生产考核合格证明（B证），且未担任其他在施（包括已中标未开工、已建成未竣工）建设工程项目的项目经理。</w:t>
      </w:r>
    </w:p>
    <w:p w14:paraId="56CA9BE0">
      <w:pPr>
        <w:pStyle w:val="45"/>
        <w:wordWrap w:val="0"/>
        <w:adjustRightInd w:val="0"/>
        <w:snapToGrid w:val="0"/>
        <w:spacing w:line="360" w:lineRule="auto"/>
        <w:ind w:firstLine="422" w:firstLineChars="20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4.</w:t>
      </w:r>
      <w:r>
        <w:rPr>
          <w:rFonts w:hint="eastAsia" w:ascii="宋体" w:hAnsi="宋体" w:eastAsia="宋体" w:cs="宋体"/>
          <w:snapToGrid w:val="0"/>
          <w:color w:val="auto"/>
          <w:kern w:val="0"/>
          <w:sz w:val="21"/>
          <w:szCs w:val="21"/>
          <w:highlight w:val="none"/>
        </w:rPr>
        <w:t>3.2拟派项目技术负责人须</w:t>
      </w:r>
      <w:r>
        <w:rPr>
          <w:rFonts w:hint="eastAsia" w:asciiTheme="minorEastAsia" w:hAnsiTheme="minorEastAsia" w:eastAsiaTheme="minorEastAsia" w:cstheme="minorEastAsia"/>
          <w:color w:val="auto"/>
          <w:sz w:val="21"/>
          <w:szCs w:val="21"/>
          <w:highlight w:val="none"/>
        </w:rPr>
        <w:t>具备</w:t>
      </w:r>
      <w:r>
        <w:rPr>
          <w:rFonts w:hint="eastAsia" w:ascii="宋体" w:hAnsi="宋体" w:eastAsia="宋体" w:cs="宋体"/>
          <w:snapToGrid w:val="0"/>
          <w:color w:val="auto"/>
          <w:kern w:val="0"/>
          <w:sz w:val="21"/>
          <w:szCs w:val="21"/>
          <w:highlight w:val="none"/>
          <w:u w:val="single"/>
        </w:rPr>
        <w:t xml:space="preserve"> 中 </w:t>
      </w:r>
      <w:r>
        <w:rPr>
          <w:rFonts w:hint="eastAsia" w:ascii="宋体" w:hAnsi="宋体" w:eastAsia="宋体" w:cs="宋体"/>
          <w:snapToGrid w:val="0"/>
          <w:color w:val="auto"/>
          <w:kern w:val="0"/>
          <w:sz w:val="21"/>
          <w:szCs w:val="21"/>
          <w:highlight w:val="none"/>
        </w:rPr>
        <w:t>级以上（含中级）技术职称</w:t>
      </w:r>
      <w:r>
        <w:rPr>
          <w:rFonts w:hint="eastAsia" w:ascii="宋体" w:hAnsi="宋体" w:eastAsia="宋体" w:cs="宋体"/>
          <w:snapToGrid w:val="0"/>
          <w:color w:val="auto"/>
          <w:kern w:val="0"/>
          <w:sz w:val="21"/>
          <w:szCs w:val="21"/>
          <w:highlight w:val="none"/>
          <w:lang w:eastAsia="zh-CN"/>
        </w:rPr>
        <w:t>。</w:t>
      </w:r>
    </w:p>
    <w:p w14:paraId="52A02ED8">
      <w:pPr>
        <w:pStyle w:val="45"/>
        <w:wordWrap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4.3.3拟派专职安全生产管理人员须具备有效安全生产考核合格证明（C证，安全生产考核合格证书或广东省建筑施工企业管理人员安全生产考核系统考核合格信息打印页），且不少于</w:t>
      </w:r>
      <w:r>
        <w:rPr>
          <w:rFonts w:hint="eastAsia" w:ascii="宋体" w:hAnsi="宋体" w:cs="宋体"/>
          <w:snapToGrid w:val="0"/>
          <w:color w:val="auto"/>
          <w:kern w:val="0"/>
          <w:sz w:val="21"/>
          <w:szCs w:val="21"/>
          <w:highlight w:val="none"/>
          <w:lang w:val="en-US" w:eastAsia="zh-CN"/>
        </w:rPr>
        <w:t>1</w:t>
      </w:r>
      <w:r>
        <w:rPr>
          <w:rFonts w:hint="eastAsia" w:ascii="宋体" w:hAnsi="宋体" w:eastAsia="宋体" w:cs="宋体"/>
          <w:snapToGrid w:val="0"/>
          <w:color w:val="auto"/>
          <w:kern w:val="0"/>
          <w:sz w:val="21"/>
          <w:szCs w:val="21"/>
          <w:highlight w:val="none"/>
        </w:rPr>
        <w:t>人。</w:t>
      </w:r>
    </w:p>
    <w:p w14:paraId="0223DD12">
      <w:pPr>
        <w:pStyle w:val="45"/>
        <w:wordWrap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4.3.4拟派项目设计负责人须具备市政类</w:t>
      </w:r>
      <w:r>
        <w:rPr>
          <w:rFonts w:hint="eastAsia" w:ascii="宋体" w:hAnsi="宋体" w:cs="宋体"/>
          <w:snapToGrid w:val="0"/>
          <w:color w:val="auto"/>
          <w:kern w:val="0"/>
          <w:sz w:val="21"/>
          <w:szCs w:val="21"/>
          <w:highlight w:val="none"/>
          <w:lang w:val="en-US" w:eastAsia="zh-CN"/>
        </w:rPr>
        <w:t>或建筑类</w:t>
      </w:r>
      <w:r>
        <w:rPr>
          <w:rFonts w:hint="eastAsia" w:ascii="宋体" w:hAnsi="宋体" w:eastAsia="宋体" w:cs="宋体"/>
          <w:snapToGrid w:val="0"/>
          <w:color w:val="auto"/>
          <w:kern w:val="0"/>
          <w:sz w:val="21"/>
          <w:szCs w:val="21"/>
          <w:highlight w:val="none"/>
        </w:rPr>
        <w:t>相关专业工程师或以上职称。</w:t>
      </w:r>
    </w:p>
    <w:p w14:paraId="67BE59DA">
      <w:pPr>
        <w:pStyle w:val="45"/>
        <w:wordWrap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rPr>
        <w:t>4.3.5</w:t>
      </w:r>
      <w:r>
        <w:rPr>
          <w:rFonts w:hint="eastAsia" w:ascii="宋体" w:hAnsi="宋体" w:eastAsia="宋体" w:cs="宋体"/>
          <w:snapToGrid w:val="0"/>
          <w:color w:val="auto"/>
          <w:kern w:val="0"/>
          <w:sz w:val="21"/>
          <w:szCs w:val="21"/>
          <w:highlight w:val="none"/>
        </w:rPr>
        <w:t>投标人（包括组成联合体的所有成员单位）与其拟派往本项目管理机构的所有人员之间必须具备合法、唯一的劳动聘用关系。拟派人员中具备注册执业资格的，其注册单位须与投标人保持一致。</w:t>
      </w:r>
    </w:p>
    <w:p w14:paraId="7B7BDA12">
      <w:pPr>
        <w:wordWrap w:val="0"/>
        <w:adjustRightInd w:val="0"/>
        <w:snapToGrid w:val="0"/>
        <w:spacing w:line="360" w:lineRule="auto"/>
        <w:ind w:firstLine="422"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b/>
          <w:bCs/>
          <w:color w:val="auto"/>
          <w:kern w:val="0"/>
          <w:sz w:val="21"/>
          <w:szCs w:val="21"/>
          <w:highlight w:val="none"/>
        </w:rPr>
        <w:t>4.4</w:t>
      </w:r>
      <w:r>
        <w:rPr>
          <w:rFonts w:hint="eastAsia" w:ascii="宋体" w:hAnsi="宋体" w:eastAsia="宋体" w:cs="宋体"/>
          <w:snapToGrid w:val="0"/>
          <w:color w:val="auto"/>
          <w:kern w:val="0"/>
          <w:sz w:val="21"/>
          <w:szCs w:val="21"/>
          <w:highlight w:val="none"/>
        </w:rPr>
        <w:t>禁止投标条款：</w:t>
      </w:r>
    </w:p>
    <w:p w14:paraId="51CC531E">
      <w:pPr>
        <w:wordWrap w:val="0"/>
        <w:adjustRightInd w:val="0"/>
        <w:snapToGrid w:val="0"/>
        <w:spacing w:line="360" w:lineRule="auto"/>
        <w:ind w:firstLine="422"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b/>
          <w:bCs/>
          <w:color w:val="auto"/>
          <w:kern w:val="0"/>
          <w:sz w:val="21"/>
          <w:szCs w:val="21"/>
          <w:highlight w:val="none"/>
        </w:rPr>
        <w:t>4.4.1</w:t>
      </w:r>
      <w:r>
        <w:rPr>
          <w:rFonts w:hint="eastAsia" w:ascii="宋体" w:hAnsi="宋体" w:eastAsia="宋体" w:cs="宋体"/>
          <w:snapToGrid w:val="0"/>
          <w:color w:val="auto"/>
          <w:kern w:val="0"/>
          <w:sz w:val="21"/>
          <w:szCs w:val="21"/>
          <w:highlight w:val="none"/>
        </w:rPr>
        <w:t>投标人不得存在下列情形之一：</w:t>
      </w:r>
    </w:p>
    <w:p w14:paraId="36A07E24">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（1）为招标人不具有独立法人资格的附属机构（单位）；</w:t>
      </w:r>
    </w:p>
    <w:p w14:paraId="1EBD9C32">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（2）为本招标项目前期准备提供咨询服务的；</w:t>
      </w:r>
    </w:p>
    <w:p w14:paraId="2CA8B11C">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（3）与本招标项目的其他投标人为同一个单位负责人；</w:t>
      </w:r>
    </w:p>
    <w:p w14:paraId="733D6879">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（4）与本招标项目的其他投标人存在控股、管理关系；</w:t>
      </w:r>
    </w:p>
    <w:p w14:paraId="51D9ED1B">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（5）为本招标项目的监理人；</w:t>
      </w:r>
    </w:p>
    <w:p w14:paraId="1362E1EC">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（6）为本招标项目的代建人；</w:t>
      </w:r>
    </w:p>
    <w:p w14:paraId="0D1F1F87">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（7）为本招标项目的招标代理机构；</w:t>
      </w:r>
    </w:p>
    <w:p w14:paraId="6AF4476E">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（8）与本招标项目的监理人或代建人或招标代理机构同为一个法定代表人；</w:t>
      </w:r>
    </w:p>
    <w:p w14:paraId="236D161E">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（9）与本招标项目的监理人或代建人或招标代理机构存在控股或参股关系；</w:t>
      </w:r>
    </w:p>
    <w:p w14:paraId="5D556D65">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（10）与本招标项目的监理人或代建人或招标代理机构存在相互任职或工作关系；</w:t>
      </w:r>
    </w:p>
    <w:p w14:paraId="0BF02B62">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（11）被依法暂停或者取消投标资格；</w:t>
      </w:r>
    </w:p>
    <w:p w14:paraId="5C3B6648">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（12）被责令停产停业、暂扣或者吊销许可证、暂扣或者吊销执照；</w:t>
      </w:r>
    </w:p>
    <w:p w14:paraId="2F46796E">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（13）进入清算程序，或被宣告破产，或其他丧失履约能力的情形；</w:t>
      </w:r>
    </w:p>
    <w:p w14:paraId="1EA83F3C">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（14）在最近三年内发生重大工程质量或安全问题（以相关行业主管部门的行政处罚决定或司法机关出具的有关法律文书为准）；</w:t>
      </w:r>
    </w:p>
    <w:p w14:paraId="73A48D95">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（15）被“信用中国”网站（https://www.creditchina.gov.cn）发布的《法人和非法人组织公共信用信息报告》列入严重失信主体名单的。</w:t>
      </w:r>
    </w:p>
    <w:p w14:paraId="7FB95209">
      <w:pPr>
        <w:wordWrap w:val="0"/>
        <w:adjustRightInd w:val="0"/>
        <w:snapToGrid w:val="0"/>
        <w:spacing w:line="360" w:lineRule="auto"/>
        <w:ind w:firstLine="422"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4.4.2</w:t>
      </w:r>
      <w:r>
        <w:rPr>
          <w:rFonts w:hint="eastAsia" w:ascii="宋体" w:hAnsi="宋体" w:eastAsia="宋体" w:cs="宋体"/>
          <w:snapToGrid w:val="0"/>
          <w:color w:val="auto"/>
          <w:kern w:val="0"/>
          <w:sz w:val="21"/>
          <w:szCs w:val="21"/>
          <w:highlight w:val="none"/>
        </w:rPr>
        <w:t>招标人拒绝以下名单中的单位参加本次投标：</w:t>
      </w:r>
    </w:p>
    <w:tbl>
      <w:tblPr>
        <w:tblStyle w:val="24"/>
        <w:tblW w:w="93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4234"/>
        <w:gridCol w:w="4281"/>
      </w:tblGrid>
      <w:tr w14:paraId="11665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790" w:type="dxa"/>
            <w:noWrap/>
            <w:vAlign w:val="center"/>
          </w:tcPr>
          <w:p w14:paraId="11C47890">
            <w:pPr>
              <w:bidi w:val="0"/>
              <w:spacing w:line="240" w:lineRule="auto"/>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序号</w:t>
            </w:r>
          </w:p>
        </w:tc>
        <w:tc>
          <w:tcPr>
            <w:tcW w:w="4234" w:type="dxa"/>
            <w:noWrap/>
            <w:vAlign w:val="center"/>
          </w:tcPr>
          <w:p w14:paraId="764F3F1D">
            <w:pPr>
              <w:bidi w:val="0"/>
              <w:spacing w:line="240" w:lineRule="auto"/>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单位名称</w:t>
            </w:r>
          </w:p>
        </w:tc>
        <w:tc>
          <w:tcPr>
            <w:tcW w:w="4281" w:type="dxa"/>
            <w:noWrap/>
            <w:vAlign w:val="center"/>
          </w:tcPr>
          <w:p w14:paraId="15B648C2">
            <w:pPr>
              <w:bidi w:val="0"/>
              <w:spacing w:line="240" w:lineRule="auto"/>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拒绝原因</w:t>
            </w:r>
          </w:p>
        </w:tc>
      </w:tr>
      <w:tr w14:paraId="5FD15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90" w:type="dxa"/>
            <w:noWrap/>
            <w:vAlign w:val="center"/>
          </w:tcPr>
          <w:p w14:paraId="40EB1813">
            <w:pPr>
              <w:pageBreakBefore w:val="0"/>
              <w:topLinePunct w:val="0"/>
              <w:bidi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z w:val="21"/>
                <w:szCs w:val="21"/>
              </w:rPr>
              <w:t>1</w:t>
            </w:r>
          </w:p>
        </w:tc>
        <w:tc>
          <w:tcPr>
            <w:tcW w:w="4234" w:type="dxa"/>
            <w:noWrap/>
            <w:vAlign w:val="center"/>
          </w:tcPr>
          <w:p w14:paraId="006A43BD">
            <w:pPr>
              <w:bidi w:val="0"/>
              <w:spacing w:line="240" w:lineRule="auto"/>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rPr>
              <w:t>南雄市黄坑镇人民政府</w:t>
            </w:r>
          </w:p>
        </w:tc>
        <w:tc>
          <w:tcPr>
            <w:tcW w:w="4281" w:type="dxa"/>
            <w:noWrap/>
            <w:vAlign w:val="center"/>
          </w:tcPr>
          <w:p w14:paraId="54D026FA">
            <w:pPr>
              <w:bidi w:val="0"/>
              <w:spacing w:line="240" w:lineRule="auto"/>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rPr>
              <w:t>为本招标项目的招标人</w:t>
            </w:r>
          </w:p>
        </w:tc>
      </w:tr>
      <w:tr w14:paraId="6B3FE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90" w:type="dxa"/>
            <w:shd w:val="clear" w:color="auto" w:fill="auto"/>
            <w:noWrap/>
            <w:vAlign w:val="center"/>
          </w:tcPr>
          <w:p w14:paraId="589109E0">
            <w:pPr>
              <w:pageBreakBefore w:val="0"/>
              <w:topLinePunct w:val="0"/>
              <w:bidi w:val="0"/>
              <w:spacing w:line="360" w:lineRule="exact"/>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z w:val="21"/>
                <w:szCs w:val="21"/>
              </w:rPr>
              <w:t>2</w:t>
            </w:r>
          </w:p>
        </w:tc>
        <w:tc>
          <w:tcPr>
            <w:tcW w:w="4234" w:type="dxa"/>
            <w:noWrap/>
            <w:vAlign w:val="center"/>
          </w:tcPr>
          <w:p w14:paraId="6F42CEA1">
            <w:pPr>
              <w:bidi w:val="0"/>
              <w:spacing w:line="240" w:lineRule="auto"/>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sz w:val="21"/>
                <w:szCs w:val="21"/>
                <w:highlight w:val="none"/>
                <w:lang w:val="en-US" w:eastAsia="zh-CN"/>
              </w:rPr>
              <w:t>中庚工程技术有限公司</w:t>
            </w:r>
          </w:p>
        </w:tc>
        <w:tc>
          <w:tcPr>
            <w:tcW w:w="4281" w:type="dxa"/>
            <w:noWrap/>
            <w:vAlign w:val="center"/>
          </w:tcPr>
          <w:p w14:paraId="595585F2">
            <w:pPr>
              <w:bidi w:val="0"/>
              <w:spacing w:line="240" w:lineRule="auto"/>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sz w:val="21"/>
                <w:szCs w:val="21"/>
                <w:highlight w:val="none"/>
              </w:rPr>
              <w:t>为本招标项目的</w:t>
            </w:r>
            <w:r>
              <w:rPr>
                <w:rFonts w:hint="eastAsia" w:ascii="宋体" w:hAnsi="宋体" w:eastAsia="宋体" w:cs="宋体"/>
                <w:color w:val="auto"/>
                <w:sz w:val="21"/>
                <w:szCs w:val="21"/>
                <w:highlight w:val="none"/>
                <w:lang w:val="en-US" w:eastAsia="zh-CN"/>
              </w:rPr>
              <w:t>初步设计单位</w:t>
            </w:r>
          </w:p>
        </w:tc>
      </w:tr>
      <w:tr w14:paraId="5BE4B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790" w:type="dxa"/>
            <w:shd w:val="clear" w:color="auto" w:fill="auto"/>
            <w:noWrap/>
            <w:vAlign w:val="center"/>
          </w:tcPr>
          <w:p w14:paraId="5E244EA3">
            <w:pPr>
              <w:pageBreakBefore w:val="0"/>
              <w:topLinePunct w:val="0"/>
              <w:bidi w:val="0"/>
              <w:spacing w:line="360" w:lineRule="exact"/>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z w:val="21"/>
                <w:szCs w:val="21"/>
              </w:rPr>
              <w:t>3</w:t>
            </w:r>
          </w:p>
        </w:tc>
        <w:tc>
          <w:tcPr>
            <w:tcW w:w="4234" w:type="dxa"/>
            <w:noWrap/>
            <w:vAlign w:val="center"/>
          </w:tcPr>
          <w:p w14:paraId="3AD85DFF">
            <w:pPr>
              <w:bidi w:val="0"/>
              <w:spacing w:line="240" w:lineRule="auto"/>
              <w:rPr>
                <w:rFonts w:hint="eastAsia" w:ascii="宋体" w:hAnsi="宋体" w:eastAsia="宋体" w:cs="宋体"/>
                <w:snapToGrid w:val="0"/>
                <w:color w:val="auto"/>
                <w:kern w:val="0"/>
                <w:sz w:val="21"/>
                <w:szCs w:val="21"/>
                <w:highlight w:val="none"/>
              </w:rPr>
            </w:pPr>
            <w:r>
              <w:rPr>
                <w:rFonts w:hint="eastAsia" w:ascii="宋体" w:hAnsi="宋体" w:eastAsia="宋体" w:cs="宋体"/>
                <w:sz w:val="21"/>
                <w:szCs w:val="21"/>
                <w:lang w:val="en-US" w:eastAsia="zh-CN"/>
              </w:rPr>
              <w:t>中咨管理顾问有限责任公司</w:t>
            </w:r>
          </w:p>
        </w:tc>
        <w:tc>
          <w:tcPr>
            <w:tcW w:w="4281" w:type="dxa"/>
            <w:shd w:val="clear" w:color="auto" w:fill="auto"/>
            <w:noWrap/>
            <w:vAlign w:val="center"/>
          </w:tcPr>
          <w:p w14:paraId="60161F61">
            <w:pPr>
              <w:bidi w:val="0"/>
              <w:spacing w:line="240" w:lineRule="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z w:val="21"/>
                <w:szCs w:val="21"/>
                <w:highlight w:val="none"/>
              </w:rPr>
              <w:t>为本招标项目的可行性研究报告</w:t>
            </w:r>
            <w:r>
              <w:rPr>
                <w:rFonts w:hint="eastAsia" w:ascii="宋体" w:hAnsi="宋体" w:eastAsia="宋体" w:cs="宋体"/>
                <w:color w:val="auto"/>
                <w:sz w:val="21"/>
                <w:szCs w:val="21"/>
                <w:highlight w:val="none"/>
                <w:lang w:val="en-US" w:eastAsia="zh-CN"/>
              </w:rPr>
              <w:t>编制</w:t>
            </w:r>
            <w:r>
              <w:rPr>
                <w:rFonts w:hint="eastAsia" w:ascii="宋体" w:hAnsi="宋体" w:eastAsia="宋体" w:cs="宋体"/>
                <w:color w:val="auto"/>
                <w:sz w:val="21"/>
                <w:szCs w:val="21"/>
                <w:highlight w:val="none"/>
              </w:rPr>
              <w:t>单位</w:t>
            </w:r>
          </w:p>
        </w:tc>
      </w:tr>
      <w:tr w14:paraId="576AF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790" w:type="dxa"/>
            <w:shd w:val="clear" w:color="auto" w:fill="auto"/>
            <w:noWrap/>
            <w:vAlign w:val="center"/>
          </w:tcPr>
          <w:p w14:paraId="128C2C63">
            <w:pPr>
              <w:pageBreakBefore w:val="0"/>
              <w:topLinePunct w:val="0"/>
              <w:bidi w:val="0"/>
              <w:spacing w:line="360" w:lineRule="exact"/>
              <w:jc w:val="center"/>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sz w:val="21"/>
                <w:szCs w:val="21"/>
              </w:rPr>
              <w:t>4</w:t>
            </w:r>
          </w:p>
        </w:tc>
        <w:tc>
          <w:tcPr>
            <w:tcW w:w="4234" w:type="dxa"/>
            <w:noWrap/>
            <w:vAlign w:val="center"/>
          </w:tcPr>
          <w:p w14:paraId="6946343B">
            <w:pPr>
              <w:bidi w:val="0"/>
              <w:spacing w:line="240" w:lineRule="auto"/>
              <w:rPr>
                <w:rFonts w:hint="eastAsia" w:asciiTheme="minorEastAsia" w:hAnsiTheme="minorEastAsia" w:eastAsiaTheme="minorEastAsia" w:cstheme="minorEastAsia"/>
                <w:color w:val="auto"/>
                <w:sz w:val="21"/>
                <w:szCs w:val="21"/>
                <w:highlight w:val="none"/>
                <w:lang w:eastAsia="zh-CN"/>
              </w:rPr>
            </w:pPr>
            <w:r>
              <w:rPr>
                <w:rFonts w:hint="eastAsia" w:ascii="宋体" w:hAnsi="宋体" w:eastAsia="宋体" w:cs="宋体"/>
                <w:color w:val="auto"/>
                <w:sz w:val="21"/>
                <w:szCs w:val="21"/>
                <w:highlight w:val="none"/>
                <w:lang w:eastAsia="zh-CN"/>
              </w:rPr>
              <w:t>广东省国际工程咨询有限公司</w:t>
            </w:r>
          </w:p>
        </w:tc>
        <w:tc>
          <w:tcPr>
            <w:tcW w:w="4281" w:type="dxa"/>
            <w:shd w:val="clear" w:color="auto" w:fill="auto"/>
            <w:noWrap/>
            <w:vAlign w:val="center"/>
          </w:tcPr>
          <w:p w14:paraId="7952A175">
            <w:pPr>
              <w:bidi w:val="0"/>
              <w:spacing w:line="240" w:lineRule="auto"/>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sz w:val="21"/>
                <w:szCs w:val="21"/>
                <w:highlight w:val="none"/>
              </w:rPr>
              <w:t>为本招标项目的可行性研究报告</w:t>
            </w:r>
            <w:r>
              <w:rPr>
                <w:rFonts w:hint="eastAsia" w:ascii="宋体" w:hAnsi="宋体" w:eastAsia="宋体" w:cs="宋体"/>
                <w:color w:val="auto"/>
                <w:sz w:val="21"/>
                <w:szCs w:val="21"/>
                <w:highlight w:val="none"/>
                <w:lang w:val="en-US" w:eastAsia="zh-CN"/>
              </w:rPr>
              <w:t>修编</w:t>
            </w:r>
            <w:r>
              <w:rPr>
                <w:rFonts w:hint="eastAsia" w:ascii="宋体" w:hAnsi="宋体" w:eastAsia="宋体" w:cs="宋体"/>
                <w:color w:val="auto"/>
                <w:sz w:val="21"/>
                <w:szCs w:val="21"/>
                <w:highlight w:val="none"/>
              </w:rPr>
              <w:t>单位</w:t>
            </w:r>
          </w:p>
        </w:tc>
      </w:tr>
      <w:tr w14:paraId="45DDC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790" w:type="dxa"/>
            <w:shd w:val="clear" w:color="auto" w:fill="auto"/>
            <w:noWrap/>
            <w:vAlign w:val="center"/>
          </w:tcPr>
          <w:p w14:paraId="5BAB17C9">
            <w:pPr>
              <w:pageBreakBefore w:val="0"/>
              <w:topLinePunct w:val="0"/>
              <w:bidi w:val="0"/>
              <w:spacing w:line="360" w:lineRule="exact"/>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z w:val="21"/>
                <w:szCs w:val="21"/>
                <w:lang w:val="en-US" w:eastAsia="zh-CN"/>
              </w:rPr>
              <w:t>5</w:t>
            </w:r>
          </w:p>
        </w:tc>
        <w:tc>
          <w:tcPr>
            <w:tcW w:w="4234" w:type="dxa"/>
            <w:shd w:val="clear" w:color="auto" w:fill="auto"/>
            <w:noWrap/>
            <w:vAlign w:val="center"/>
          </w:tcPr>
          <w:p w14:paraId="3FB13AFD">
            <w:pPr>
              <w:bidi w:val="0"/>
              <w:spacing w:line="240" w:lineRule="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中庚工程技术有限公司</w:t>
            </w:r>
          </w:p>
        </w:tc>
        <w:tc>
          <w:tcPr>
            <w:tcW w:w="4281" w:type="dxa"/>
            <w:shd w:val="clear" w:color="auto" w:fill="auto"/>
            <w:noWrap/>
            <w:vAlign w:val="center"/>
          </w:tcPr>
          <w:p w14:paraId="247F5FF0">
            <w:pPr>
              <w:bidi w:val="0"/>
              <w:spacing w:line="240" w:lineRule="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为本招标项目的概算编制单位</w:t>
            </w:r>
          </w:p>
        </w:tc>
      </w:tr>
      <w:tr w14:paraId="69525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90" w:type="dxa"/>
            <w:shd w:val="clear" w:color="auto" w:fill="auto"/>
            <w:noWrap/>
            <w:vAlign w:val="center"/>
          </w:tcPr>
          <w:p w14:paraId="7DED12D0">
            <w:pPr>
              <w:pageBreakBefore w:val="0"/>
              <w:topLinePunct w:val="0"/>
              <w:bidi w:val="0"/>
              <w:spacing w:line="360" w:lineRule="exact"/>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z w:val="21"/>
                <w:szCs w:val="21"/>
                <w:lang w:val="en-US" w:eastAsia="zh-CN"/>
              </w:rPr>
              <w:t>6</w:t>
            </w:r>
          </w:p>
        </w:tc>
        <w:tc>
          <w:tcPr>
            <w:tcW w:w="4234" w:type="dxa"/>
            <w:shd w:val="clear" w:color="auto" w:fill="auto"/>
            <w:noWrap/>
            <w:vAlign w:val="center"/>
          </w:tcPr>
          <w:p w14:paraId="449241F5">
            <w:pPr>
              <w:bidi w:val="0"/>
              <w:spacing w:line="240" w:lineRule="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z w:val="21"/>
                <w:szCs w:val="21"/>
                <w:highlight w:val="none"/>
                <w:lang w:eastAsia="zh-CN"/>
              </w:rPr>
              <w:t>韶关市繁盛项目管理有限公司</w:t>
            </w:r>
          </w:p>
        </w:tc>
        <w:tc>
          <w:tcPr>
            <w:tcW w:w="4281" w:type="dxa"/>
            <w:shd w:val="clear" w:color="auto" w:fill="auto"/>
            <w:noWrap/>
            <w:vAlign w:val="center"/>
          </w:tcPr>
          <w:p w14:paraId="377F880C">
            <w:pPr>
              <w:bidi w:val="0"/>
              <w:spacing w:line="240" w:lineRule="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z w:val="21"/>
                <w:szCs w:val="21"/>
                <w:highlight w:val="none"/>
              </w:rPr>
              <w:t>为本招标项目的招标代理机构</w:t>
            </w:r>
          </w:p>
        </w:tc>
      </w:tr>
      <w:tr w14:paraId="6C1C4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790" w:type="dxa"/>
            <w:noWrap/>
            <w:vAlign w:val="center"/>
          </w:tcPr>
          <w:p w14:paraId="26666DAD">
            <w:pPr>
              <w:pageBreakBefore w:val="0"/>
              <w:topLinePunct w:val="0"/>
              <w:bidi w:val="0"/>
              <w:spacing w:line="36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z w:val="21"/>
                <w:szCs w:val="21"/>
                <w:lang w:val="en-US" w:eastAsia="zh-CN"/>
              </w:rPr>
              <w:t>7</w:t>
            </w:r>
          </w:p>
        </w:tc>
        <w:tc>
          <w:tcPr>
            <w:tcW w:w="4234" w:type="dxa"/>
            <w:shd w:val="clear" w:color="auto" w:fill="auto"/>
            <w:noWrap/>
            <w:vAlign w:val="center"/>
          </w:tcPr>
          <w:p w14:paraId="22F426F9">
            <w:pPr>
              <w:bidi w:val="0"/>
              <w:spacing w:line="240" w:lineRule="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z w:val="21"/>
                <w:szCs w:val="21"/>
                <w:highlight w:val="none"/>
              </w:rPr>
              <w:t>待定</w:t>
            </w:r>
          </w:p>
        </w:tc>
        <w:tc>
          <w:tcPr>
            <w:tcW w:w="4281" w:type="dxa"/>
            <w:shd w:val="clear" w:color="auto" w:fill="auto"/>
            <w:noWrap/>
            <w:vAlign w:val="center"/>
          </w:tcPr>
          <w:p w14:paraId="06736C85">
            <w:pPr>
              <w:bidi w:val="0"/>
              <w:spacing w:line="240" w:lineRule="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z w:val="21"/>
                <w:szCs w:val="21"/>
                <w:highlight w:val="none"/>
              </w:rPr>
              <w:t>为本招标项目的监理单位</w:t>
            </w:r>
          </w:p>
        </w:tc>
      </w:tr>
    </w:tbl>
    <w:p w14:paraId="39199949">
      <w:pPr>
        <w:wordWrap w:val="0"/>
        <w:adjustRightInd w:val="0"/>
        <w:snapToGrid w:val="0"/>
        <w:spacing w:line="360" w:lineRule="auto"/>
        <w:ind w:firstLine="422"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4.5</w:t>
      </w:r>
      <w:r>
        <w:rPr>
          <w:rFonts w:hint="eastAsia" w:ascii="宋体" w:hAnsi="宋体" w:eastAsia="宋体" w:cs="宋体"/>
          <w:snapToGrid w:val="0"/>
          <w:color w:val="auto"/>
          <w:kern w:val="0"/>
          <w:sz w:val="21"/>
          <w:szCs w:val="21"/>
          <w:highlight w:val="none"/>
        </w:rPr>
        <w:t>省外企业（包括组成联合体的所有成员单位）须按照《广东省住房和城乡建设厅关于取消省外建筑企业和人员进粤信息备案有关工作的通知》（粤建市﹝2015﹞52号）规定在“进粤企业和人员诚信信息登记平台”录入相关信息并通过数据规范检查。</w:t>
      </w:r>
    </w:p>
    <w:p w14:paraId="400DA7AD">
      <w:pPr>
        <w:pStyle w:val="36"/>
        <w:spacing w:line="240" w:lineRule="auto"/>
        <w:jc w:val="both"/>
        <w:rPr>
          <w:rFonts w:hint="eastAsia" w:ascii="宋体" w:hAnsi="宋体" w:eastAsia="宋体" w:cs="宋体"/>
          <w:color w:val="auto"/>
          <w:sz w:val="21"/>
          <w:szCs w:val="21"/>
          <w:highlight w:val="none"/>
        </w:rPr>
      </w:pPr>
    </w:p>
    <w:p w14:paraId="716C6DB4">
      <w:pPr>
        <w:pStyle w:val="44"/>
        <w:keepNext/>
        <w:keepLines/>
        <w:ind w:firstLine="422" w:firstLineChars="200"/>
        <w:jc w:val="both"/>
        <w:rPr>
          <w:rFonts w:hint="eastAsia" w:ascii="宋体" w:hAnsi="宋体" w:eastAsia="宋体" w:cs="宋体"/>
          <w:b/>
          <w:color w:val="auto"/>
          <w:kern w:val="2"/>
          <w:sz w:val="21"/>
          <w:szCs w:val="21"/>
          <w:highlight w:val="none"/>
        </w:rPr>
      </w:pPr>
      <w:bookmarkStart w:id="73" w:name="_Toc20378"/>
      <w:bookmarkStart w:id="74" w:name="_Toc3588"/>
      <w:bookmarkStart w:id="75" w:name="_Toc2707"/>
      <w:bookmarkStart w:id="76" w:name="_Toc22466"/>
      <w:bookmarkStart w:id="77" w:name="_Toc3094"/>
      <w:bookmarkStart w:id="78" w:name="_Toc18979"/>
      <w:bookmarkStart w:id="79" w:name="_Toc24391"/>
      <w:bookmarkStart w:id="80" w:name="_Toc8294"/>
      <w:bookmarkStart w:id="81" w:name="_Toc17645"/>
      <w:r>
        <w:rPr>
          <w:rFonts w:hint="eastAsia" w:ascii="宋体" w:hAnsi="宋体" w:eastAsia="宋体" w:cs="宋体"/>
          <w:b/>
          <w:color w:val="auto"/>
          <w:kern w:val="2"/>
          <w:sz w:val="21"/>
          <w:szCs w:val="21"/>
          <w:highlight w:val="none"/>
        </w:rPr>
        <w:t>5 、工程招标内容及要求</w:t>
      </w:r>
      <w:bookmarkEnd w:id="73"/>
      <w:bookmarkEnd w:id="74"/>
      <w:bookmarkEnd w:id="75"/>
      <w:bookmarkEnd w:id="76"/>
      <w:bookmarkEnd w:id="77"/>
      <w:bookmarkEnd w:id="78"/>
      <w:bookmarkEnd w:id="79"/>
      <w:bookmarkEnd w:id="80"/>
      <w:bookmarkEnd w:id="81"/>
    </w:p>
    <w:p w14:paraId="3E8BFBC2">
      <w:pPr>
        <w:pStyle w:val="42"/>
        <w:ind w:firstLine="422"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b/>
          <w:bCs w:val="0"/>
          <w:color w:val="auto"/>
          <w:sz w:val="21"/>
          <w:szCs w:val="21"/>
          <w:highlight w:val="none"/>
        </w:rPr>
        <w:t>5.1</w:t>
      </w:r>
      <w:r>
        <w:rPr>
          <w:rFonts w:hint="eastAsia" w:ascii="宋体" w:hAnsi="宋体" w:eastAsia="宋体" w:cs="宋体"/>
          <w:snapToGrid w:val="0"/>
          <w:color w:val="auto"/>
          <w:kern w:val="0"/>
          <w:sz w:val="21"/>
          <w:szCs w:val="21"/>
          <w:highlight w:val="none"/>
        </w:rPr>
        <w:t>本工程所涉及的内容包括但不限于以下（1）～（2）</w:t>
      </w:r>
    </w:p>
    <w:p w14:paraId="24C0D5A5">
      <w:pPr>
        <w:pStyle w:val="42"/>
        <w:ind w:firstLine="422"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b/>
          <w:bCs w:val="0"/>
          <w:color w:val="auto"/>
          <w:sz w:val="21"/>
          <w:szCs w:val="21"/>
          <w:highlight w:val="none"/>
        </w:rPr>
        <w:t>5.2</w:t>
      </w:r>
      <w:r>
        <w:rPr>
          <w:rFonts w:hint="eastAsia" w:ascii="宋体" w:hAnsi="宋体" w:eastAsia="宋体" w:cs="宋体"/>
          <w:bCs/>
          <w:color w:val="auto"/>
          <w:sz w:val="21"/>
          <w:szCs w:val="21"/>
          <w:highlight w:val="none"/>
        </w:rPr>
        <w:t>具体如下：</w:t>
      </w:r>
    </w:p>
    <w:p w14:paraId="7AFA2CA4">
      <w:pPr>
        <w:pStyle w:val="42"/>
        <w:ind w:firstLine="420"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（1）设计部分：</w:t>
      </w:r>
      <w:r>
        <w:rPr>
          <w:rFonts w:hint="eastAsia" w:ascii="宋体" w:hAnsi="宋体" w:eastAsia="宋体" w:cs="宋体"/>
          <w:snapToGrid w:val="0"/>
          <w:color w:val="auto"/>
          <w:kern w:val="0"/>
          <w:sz w:val="21"/>
          <w:szCs w:val="21"/>
          <w:highlight w:val="none"/>
          <w:lang w:val="zh-CN"/>
        </w:rPr>
        <w:t>确保项目顺利实施的报建、报批、施工等所需的所有建安工程等设计文件。包括但不限于：施工图设计、</w:t>
      </w:r>
      <w:r>
        <w:rPr>
          <w:rFonts w:hint="eastAsia" w:ascii="宋体" w:hAnsi="宋体" w:eastAsia="宋体" w:cs="宋体"/>
          <w:snapToGrid w:val="0"/>
          <w:color w:val="auto"/>
          <w:kern w:val="0"/>
          <w:sz w:val="21"/>
          <w:szCs w:val="21"/>
          <w:highlight w:val="none"/>
        </w:rPr>
        <w:t>提供项目所需相关检测项的明细表和危险性较大的分部分项工程清单及保障安全相关说明、</w:t>
      </w:r>
      <w:r>
        <w:rPr>
          <w:rFonts w:hint="eastAsia" w:ascii="宋体" w:hAnsi="宋体" w:eastAsia="宋体" w:cs="宋体"/>
          <w:snapToGrid w:val="0"/>
          <w:color w:val="auto"/>
          <w:kern w:val="0"/>
          <w:sz w:val="21"/>
          <w:szCs w:val="21"/>
          <w:highlight w:val="none"/>
          <w:lang w:val="zh-CN"/>
        </w:rPr>
        <w:t>工地现场服务、验收过程中的设计指导及配合阶段验收及档案整理、协助施工单位编制竣工图及后续设计服务工作</w:t>
      </w:r>
      <w:r>
        <w:rPr>
          <w:rFonts w:hint="eastAsia" w:ascii="宋体" w:hAnsi="宋体" w:eastAsia="宋体" w:cs="宋体"/>
          <w:snapToGrid w:val="0"/>
          <w:color w:val="auto"/>
          <w:kern w:val="0"/>
          <w:sz w:val="21"/>
          <w:szCs w:val="21"/>
          <w:highlight w:val="none"/>
        </w:rPr>
        <w:t>。</w:t>
      </w:r>
    </w:p>
    <w:p w14:paraId="7BF3BF70">
      <w:pPr>
        <w:pStyle w:val="42"/>
        <w:ind w:firstLine="422"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注：设计文件深度要求必须满足住房和城乡建设部《市政公用工程设计文件编制深度规定（2013版）》和《建筑工程设计文件编制深度规定（2016版）》的要求，各专业还应该满足各专业工程设计文件编制深度规范或规定的要求</w:t>
      </w:r>
      <w:r>
        <w:rPr>
          <w:rFonts w:hint="eastAsia" w:ascii="宋体" w:hAnsi="宋体" w:eastAsia="宋体" w:cs="宋体"/>
          <w:snapToGrid w:val="0"/>
          <w:color w:val="auto"/>
          <w:kern w:val="0"/>
          <w:sz w:val="21"/>
          <w:szCs w:val="21"/>
          <w:highlight w:val="none"/>
        </w:rPr>
        <w:t>。</w:t>
      </w:r>
    </w:p>
    <w:p w14:paraId="40D2511C">
      <w:pPr>
        <w:pStyle w:val="42"/>
        <w:ind w:firstLine="420"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（2）施工部分：设计文件及工程量清单范围内的所有工程及配套设施等的施工及配合阶段验收、档案整理、保修期维护等</w:t>
      </w:r>
      <w:r>
        <w:rPr>
          <w:rFonts w:hint="eastAsia" w:ascii="宋体" w:hAnsi="宋体" w:eastAsia="宋体" w:cs="宋体"/>
          <w:snapToGrid w:val="0"/>
          <w:color w:val="auto"/>
          <w:kern w:val="0"/>
          <w:sz w:val="21"/>
          <w:szCs w:val="21"/>
          <w:highlight w:val="none"/>
          <w:lang w:eastAsia="zh-CN"/>
        </w:rPr>
        <w:t>。</w:t>
      </w:r>
    </w:p>
    <w:p w14:paraId="47818EEC">
      <w:pPr>
        <w:pStyle w:val="42"/>
        <w:ind w:firstLine="422" w:firstLineChars="200"/>
        <w:rPr>
          <w:rFonts w:hint="eastAsia" w:ascii="宋体" w:hAnsi="宋体" w:eastAsia="宋体" w:cs="宋体"/>
          <w:bCs/>
          <w:color w:val="auto"/>
          <w:sz w:val="21"/>
          <w:szCs w:val="21"/>
          <w:highlight w:val="none"/>
          <w:lang w:val="zh-CN"/>
        </w:rPr>
      </w:pPr>
      <w:r>
        <w:rPr>
          <w:rFonts w:hint="eastAsia" w:ascii="宋体" w:hAnsi="宋体" w:eastAsia="宋体" w:cs="宋体"/>
          <w:b/>
          <w:bCs w:val="0"/>
          <w:color w:val="auto"/>
          <w:sz w:val="21"/>
          <w:szCs w:val="21"/>
          <w:highlight w:val="none"/>
        </w:rPr>
        <w:t>5.3</w:t>
      </w:r>
      <w:r>
        <w:rPr>
          <w:rFonts w:hint="eastAsia" w:ascii="宋体" w:hAnsi="宋体" w:eastAsia="宋体" w:cs="宋体"/>
          <w:bCs/>
          <w:color w:val="auto"/>
          <w:sz w:val="21"/>
          <w:szCs w:val="21"/>
          <w:highlight w:val="none"/>
          <w:lang w:val="zh-CN"/>
        </w:rPr>
        <w:t>设计要求：</w:t>
      </w:r>
    </w:p>
    <w:p w14:paraId="063ECB8F">
      <w:pPr>
        <w:pStyle w:val="42"/>
        <w:ind w:firstLine="422" w:firstLineChars="200"/>
        <w:rPr>
          <w:rFonts w:hint="eastAsia" w:ascii="宋体" w:hAnsi="宋体" w:eastAsia="宋体" w:cs="宋体"/>
          <w:bCs/>
          <w:color w:val="auto"/>
          <w:sz w:val="21"/>
          <w:szCs w:val="21"/>
          <w:highlight w:val="none"/>
          <w:lang w:val="zh-CN"/>
        </w:rPr>
      </w:pPr>
      <w:r>
        <w:rPr>
          <w:rFonts w:hint="eastAsia" w:ascii="宋体" w:hAnsi="宋体" w:eastAsia="宋体" w:cs="宋体"/>
          <w:b/>
          <w:bCs w:val="0"/>
          <w:color w:val="auto"/>
          <w:sz w:val="21"/>
          <w:szCs w:val="21"/>
          <w:highlight w:val="none"/>
        </w:rPr>
        <w:t>5.3.1</w:t>
      </w:r>
      <w:r>
        <w:rPr>
          <w:rFonts w:hint="eastAsia" w:ascii="宋体" w:hAnsi="宋体" w:eastAsia="宋体" w:cs="宋体"/>
          <w:bCs/>
          <w:color w:val="auto"/>
          <w:sz w:val="21"/>
          <w:szCs w:val="21"/>
          <w:highlight w:val="none"/>
        </w:rPr>
        <w:t>设计质量要求：</w:t>
      </w:r>
      <w:r>
        <w:rPr>
          <w:rFonts w:hint="eastAsia" w:ascii="宋体" w:hAnsi="宋体" w:eastAsia="宋体" w:cs="宋体"/>
          <w:bCs/>
          <w:color w:val="auto"/>
          <w:sz w:val="21"/>
          <w:szCs w:val="21"/>
          <w:highlight w:val="none"/>
          <w:lang w:val="zh-CN"/>
        </w:rPr>
        <w:t>符合国家或行业颁布的现行有效的有关设计的规范要求，并必须通过有关部门的审查及经有资质的审图机构审查合格。</w:t>
      </w:r>
    </w:p>
    <w:p w14:paraId="0C60C0C6">
      <w:pPr>
        <w:pStyle w:val="42"/>
        <w:ind w:firstLine="422" w:firstLineChars="200"/>
        <w:rPr>
          <w:rFonts w:hint="eastAsia" w:ascii="宋体" w:hAnsi="宋体" w:eastAsia="宋体" w:cs="宋体"/>
          <w:bCs/>
          <w:color w:val="auto"/>
          <w:sz w:val="21"/>
          <w:szCs w:val="21"/>
          <w:highlight w:val="none"/>
          <w:lang w:val="zh-CN"/>
        </w:rPr>
      </w:pPr>
      <w:r>
        <w:rPr>
          <w:rFonts w:hint="eastAsia" w:ascii="宋体" w:hAnsi="宋体" w:eastAsia="宋体" w:cs="宋体"/>
          <w:b/>
          <w:bCs w:val="0"/>
          <w:color w:val="auto"/>
          <w:sz w:val="21"/>
          <w:szCs w:val="21"/>
          <w:highlight w:val="none"/>
        </w:rPr>
        <w:t>5.3.2</w:t>
      </w:r>
      <w:r>
        <w:rPr>
          <w:rFonts w:hint="eastAsia" w:ascii="宋体" w:hAnsi="宋体" w:eastAsia="宋体" w:cs="宋体"/>
          <w:bCs/>
          <w:color w:val="auto"/>
          <w:sz w:val="21"/>
          <w:szCs w:val="21"/>
          <w:highlight w:val="none"/>
          <w:lang w:val="zh-CN"/>
        </w:rPr>
        <w:t>本工程各个阶段的设计成果必须经发包人及有关审批部门同意后方可进行下一工序的设计工作，若发包人或有关审批部门在审批过程中提出的设计修改或变更，设计单位必须无条件进行修改或变更，发包人不再支付由此而增加的设计费用。本工程施工图设计必须先经发包人确认才能送审，并经发包人委托的有资质的审图机构审查合格。若发包人或审图机构在审查过程中提出的设计修改或变更，设计单位必须无条件进行修改或优化设计，发包人不再支付由此而增加的设计费用。</w:t>
      </w:r>
    </w:p>
    <w:p w14:paraId="3808AF70">
      <w:pPr>
        <w:pStyle w:val="42"/>
        <w:ind w:firstLine="422" w:firstLineChars="200"/>
        <w:rPr>
          <w:rFonts w:hint="eastAsia" w:ascii="宋体" w:hAnsi="宋体" w:eastAsia="宋体" w:cs="宋体"/>
          <w:bCs/>
          <w:color w:val="auto"/>
          <w:sz w:val="21"/>
          <w:szCs w:val="21"/>
          <w:highlight w:val="none"/>
        </w:rPr>
      </w:pPr>
      <w:r>
        <w:rPr>
          <w:rFonts w:hint="eastAsia" w:ascii="宋体" w:hAnsi="宋体" w:eastAsia="宋体" w:cs="宋体"/>
          <w:b/>
          <w:bCs w:val="0"/>
          <w:color w:val="auto"/>
          <w:sz w:val="21"/>
          <w:szCs w:val="21"/>
          <w:highlight w:val="none"/>
        </w:rPr>
        <w:t>5.3.3</w:t>
      </w:r>
      <w:r>
        <w:rPr>
          <w:rFonts w:hint="eastAsia" w:ascii="宋体" w:hAnsi="宋体" w:eastAsia="宋体" w:cs="宋体"/>
          <w:bCs/>
          <w:color w:val="auto"/>
          <w:sz w:val="21"/>
          <w:szCs w:val="21"/>
          <w:highlight w:val="none"/>
        </w:rPr>
        <w:t>关于设计深度的要求</w:t>
      </w:r>
    </w:p>
    <w:p w14:paraId="6995AA4A">
      <w:pPr>
        <w:pStyle w:val="42"/>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（1）各专业设计应同步进行，涉及单位应指定总体设计人统筹布局，做好各项设施的协调和衔接、位置预留，不得留待施工中临时变更。</w:t>
      </w:r>
    </w:p>
    <w:p w14:paraId="6D4F87F1">
      <w:pPr>
        <w:pStyle w:val="42"/>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（2）对技术复杂或造价、规模较大的主要分项工程应作方案比较。 </w:t>
      </w:r>
    </w:p>
    <w:p w14:paraId="784FA266">
      <w:pPr>
        <w:pStyle w:val="42"/>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（3）初步设计文件的深度，应当满足主要设备材料订货、征地拆迁及编制施工图设计文件的需要。</w:t>
      </w:r>
    </w:p>
    <w:p w14:paraId="2A246B1F">
      <w:pPr>
        <w:pStyle w:val="42"/>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（4）施工图设计文件的深度，应当满足设备材料采购，非标准设备制作和施工的需要，并注明建设工程合理使用年限。</w:t>
      </w:r>
    </w:p>
    <w:p w14:paraId="7AE2578E">
      <w:pPr>
        <w:pStyle w:val="42"/>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（5）相关的配套外部接口方案均需取得政府主管部门或规划部门认可。</w:t>
      </w:r>
    </w:p>
    <w:p w14:paraId="1C018E15">
      <w:pPr>
        <w:pStyle w:val="42"/>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rPr>
        <w:t>（6）施工图设计文件应考虑交通维护、临时施工便道、基坑支护、对周边建筑物的影响等因素，以指导现场施工及过程评审。</w:t>
      </w:r>
      <w:r>
        <w:rPr>
          <w:rFonts w:hint="eastAsia" w:ascii="宋体" w:hAnsi="宋体" w:eastAsia="宋体" w:cs="宋体"/>
          <w:snapToGrid w:val="0"/>
          <w:color w:val="auto"/>
          <w:kern w:val="0"/>
          <w:sz w:val="21"/>
          <w:szCs w:val="21"/>
          <w:highlight w:val="none"/>
        </w:rPr>
        <w:t xml:space="preserve"> </w:t>
      </w:r>
      <w:r>
        <w:rPr>
          <w:rFonts w:hint="eastAsia" w:ascii="宋体" w:hAnsi="宋体" w:eastAsia="宋体" w:cs="宋体"/>
          <w:color w:val="auto"/>
          <w:sz w:val="21"/>
          <w:szCs w:val="21"/>
          <w:highlight w:val="none"/>
        </w:rPr>
        <w:t xml:space="preserve"> </w:t>
      </w:r>
    </w:p>
    <w:p w14:paraId="1BED2D92">
      <w:pPr>
        <w:pStyle w:val="42"/>
        <w:ind w:firstLine="422"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b/>
          <w:bCs/>
          <w:color w:val="auto"/>
          <w:sz w:val="21"/>
          <w:szCs w:val="21"/>
          <w:highlight w:val="none"/>
        </w:rPr>
        <w:t>5.3.4</w:t>
      </w:r>
      <w:r>
        <w:rPr>
          <w:rFonts w:hint="eastAsia" w:ascii="宋体" w:hAnsi="宋体" w:eastAsia="宋体" w:cs="宋体"/>
          <w:snapToGrid w:val="0"/>
          <w:color w:val="auto"/>
          <w:kern w:val="0"/>
          <w:sz w:val="21"/>
          <w:szCs w:val="21"/>
          <w:highlight w:val="none"/>
        </w:rPr>
        <w:t>设计后期配合工作</w:t>
      </w:r>
    </w:p>
    <w:p w14:paraId="45BD2690">
      <w:pPr>
        <w:pStyle w:val="42"/>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（1）施工图设计完成并经有关单位审查后，才能进入施工阶段，设计单位必须按投标文件的承诺至少派1名参与并熟悉本项目设计、有现场处理经验的设计代表驻现场以配合，</w:t>
      </w:r>
      <w:r>
        <w:rPr>
          <w:rFonts w:hint="eastAsia" w:ascii="宋体" w:hAnsi="宋体" w:eastAsia="宋体" w:cs="宋体"/>
          <w:bCs/>
          <w:color w:val="auto"/>
          <w:sz w:val="21"/>
          <w:szCs w:val="21"/>
          <w:highlight w:val="none"/>
          <w:lang w:val="zh-CN"/>
        </w:rPr>
        <w:t>发包人</w:t>
      </w:r>
      <w:r>
        <w:rPr>
          <w:rFonts w:hint="eastAsia" w:ascii="宋体" w:hAnsi="宋体" w:eastAsia="宋体" w:cs="宋体"/>
          <w:snapToGrid w:val="0"/>
          <w:color w:val="auto"/>
          <w:kern w:val="0"/>
          <w:sz w:val="21"/>
          <w:szCs w:val="21"/>
          <w:highlight w:val="none"/>
        </w:rPr>
        <w:t>不另外支付配合施工费用。</w:t>
      </w:r>
    </w:p>
    <w:p w14:paraId="7B42369C">
      <w:pPr>
        <w:pStyle w:val="42"/>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（2）设计单位配合施工、监理及业主单位的工作内容如下：</w:t>
      </w:r>
    </w:p>
    <w:p w14:paraId="7ED23013">
      <w:pPr>
        <w:numPr>
          <w:ilvl w:val="0"/>
          <w:numId w:val="1"/>
        </w:numPr>
        <w:tabs>
          <w:tab w:val="left" w:pos="0"/>
        </w:tabs>
        <w:spacing w:line="360" w:lineRule="auto"/>
        <w:ind w:left="48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施工图设计（技术）交底；</w:t>
      </w:r>
    </w:p>
    <w:p w14:paraId="362A85FD">
      <w:pPr>
        <w:numPr>
          <w:ilvl w:val="0"/>
          <w:numId w:val="1"/>
        </w:numPr>
        <w:tabs>
          <w:tab w:val="left" w:pos="240"/>
        </w:tabs>
        <w:spacing w:line="360" w:lineRule="auto"/>
        <w:ind w:left="48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配合勘察单位现场交桩；</w:t>
      </w:r>
    </w:p>
    <w:p w14:paraId="003C30AD">
      <w:pPr>
        <w:numPr>
          <w:ilvl w:val="0"/>
          <w:numId w:val="1"/>
        </w:numPr>
        <w:tabs>
          <w:tab w:val="left" w:pos="240"/>
        </w:tabs>
        <w:spacing w:line="360" w:lineRule="auto"/>
        <w:ind w:left="48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变更设计和所有补充设计；</w:t>
      </w:r>
    </w:p>
    <w:p w14:paraId="68D5F971">
      <w:pPr>
        <w:numPr>
          <w:ilvl w:val="0"/>
          <w:numId w:val="1"/>
        </w:numPr>
        <w:tabs>
          <w:tab w:val="left" w:pos="240"/>
        </w:tabs>
        <w:spacing w:line="360" w:lineRule="auto"/>
        <w:ind w:left="48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会签设计变更审批表；</w:t>
      </w:r>
    </w:p>
    <w:p w14:paraId="423C6662">
      <w:pPr>
        <w:numPr>
          <w:ilvl w:val="0"/>
          <w:numId w:val="1"/>
        </w:numPr>
        <w:tabs>
          <w:tab w:val="left" w:pos="240"/>
        </w:tabs>
        <w:spacing w:line="360" w:lineRule="auto"/>
        <w:ind w:left="48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参加处理施工中发生的工程质量和安全事故；</w:t>
      </w:r>
    </w:p>
    <w:p w14:paraId="26215B8F">
      <w:pPr>
        <w:numPr>
          <w:ilvl w:val="0"/>
          <w:numId w:val="1"/>
        </w:numPr>
        <w:tabs>
          <w:tab w:val="left" w:pos="240"/>
        </w:tabs>
        <w:spacing w:line="360" w:lineRule="auto"/>
        <w:ind w:left="48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参加隐蔽工程及工程竣工验收；</w:t>
      </w:r>
    </w:p>
    <w:p w14:paraId="5E22A821">
      <w:pPr>
        <w:numPr>
          <w:ilvl w:val="0"/>
          <w:numId w:val="1"/>
        </w:numPr>
        <w:tabs>
          <w:tab w:val="left" w:pos="240"/>
        </w:tabs>
        <w:spacing w:line="360" w:lineRule="auto"/>
        <w:ind w:left="48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解决与设计有关的施工问题；</w:t>
      </w:r>
    </w:p>
    <w:p w14:paraId="56B85897">
      <w:pPr>
        <w:numPr>
          <w:ilvl w:val="0"/>
          <w:numId w:val="1"/>
        </w:numPr>
        <w:tabs>
          <w:tab w:val="left" w:pos="240"/>
        </w:tabs>
        <w:spacing w:line="360" w:lineRule="auto"/>
        <w:ind w:left="48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配合质量检测；</w:t>
      </w:r>
    </w:p>
    <w:p w14:paraId="5563FF7E">
      <w:pPr>
        <w:numPr>
          <w:ilvl w:val="0"/>
          <w:numId w:val="1"/>
        </w:numPr>
        <w:tabs>
          <w:tab w:val="left" w:pos="240"/>
        </w:tabs>
        <w:spacing w:line="360" w:lineRule="auto"/>
        <w:ind w:left="48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参加审查施工单位的施工组织设计和专项施工方案；</w:t>
      </w:r>
    </w:p>
    <w:p w14:paraId="70833143">
      <w:pPr>
        <w:numPr>
          <w:ilvl w:val="0"/>
          <w:numId w:val="1"/>
        </w:numPr>
        <w:tabs>
          <w:tab w:val="left" w:pos="240"/>
        </w:tabs>
        <w:spacing w:line="360" w:lineRule="auto"/>
        <w:ind w:left="48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参加本项目建设有关会议。</w:t>
      </w:r>
    </w:p>
    <w:p w14:paraId="6684B26F">
      <w:pPr>
        <w:numPr>
          <w:ilvl w:val="0"/>
          <w:numId w:val="1"/>
        </w:numPr>
        <w:tabs>
          <w:tab w:val="left" w:pos="240"/>
        </w:tabs>
        <w:spacing w:line="360" w:lineRule="auto"/>
        <w:ind w:left="48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在监理招标期间配合建设及相关单位解释及完善施工图相关内容。</w:t>
      </w:r>
    </w:p>
    <w:p w14:paraId="033DBC77">
      <w:pPr>
        <w:pStyle w:val="42"/>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（3）设计工作技术总结</w:t>
      </w:r>
    </w:p>
    <w:p w14:paraId="6661E0F0">
      <w:pPr>
        <w:pStyle w:val="42"/>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rPr>
        <w:t>设计</w:t>
      </w:r>
      <w:r>
        <w:rPr>
          <w:rFonts w:hint="eastAsia" w:ascii="宋体" w:hAnsi="宋体" w:eastAsia="宋体" w:cs="宋体"/>
          <w:snapToGrid w:val="0"/>
          <w:color w:val="auto"/>
          <w:kern w:val="0"/>
          <w:sz w:val="21"/>
          <w:szCs w:val="21"/>
          <w:highlight w:val="none"/>
        </w:rPr>
        <w:t>单位对设计文件及施工过程中发生的补充设计进行检查，并提出设计文件质量检查报告，在竣工验收前交</w:t>
      </w:r>
      <w:r>
        <w:rPr>
          <w:rFonts w:hint="eastAsia" w:ascii="宋体" w:hAnsi="宋体" w:eastAsia="宋体" w:cs="宋体"/>
          <w:bCs/>
          <w:color w:val="auto"/>
          <w:sz w:val="21"/>
          <w:szCs w:val="21"/>
          <w:highlight w:val="none"/>
          <w:lang w:val="zh-CN"/>
        </w:rPr>
        <w:t>发包人</w:t>
      </w:r>
      <w:r>
        <w:rPr>
          <w:rFonts w:hint="eastAsia" w:ascii="宋体" w:hAnsi="宋体" w:eastAsia="宋体" w:cs="宋体"/>
          <w:snapToGrid w:val="0"/>
          <w:color w:val="auto"/>
          <w:kern w:val="0"/>
          <w:sz w:val="21"/>
          <w:szCs w:val="21"/>
          <w:highlight w:val="none"/>
        </w:rPr>
        <w:t>。工程完工后，</w:t>
      </w:r>
      <w:r>
        <w:rPr>
          <w:rFonts w:hint="eastAsia" w:ascii="宋体" w:hAnsi="宋体" w:eastAsia="宋体" w:cs="宋体"/>
          <w:color w:val="auto"/>
          <w:sz w:val="21"/>
          <w:szCs w:val="21"/>
          <w:highlight w:val="none"/>
        </w:rPr>
        <w:t>设计</w:t>
      </w:r>
      <w:r>
        <w:rPr>
          <w:rFonts w:hint="eastAsia" w:ascii="宋体" w:hAnsi="宋体" w:eastAsia="宋体" w:cs="宋体"/>
          <w:snapToGrid w:val="0"/>
          <w:color w:val="auto"/>
          <w:kern w:val="0"/>
          <w:sz w:val="21"/>
          <w:szCs w:val="21"/>
          <w:highlight w:val="none"/>
        </w:rPr>
        <w:t>单位应组织设计技术工作人员将全部资料进行整理并撰写工程技术总结，并于竣工后一个月内完成，交</w:t>
      </w:r>
      <w:r>
        <w:rPr>
          <w:rFonts w:hint="eastAsia" w:ascii="宋体" w:hAnsi="宋体" w:eastAsia="宋体" w:cs="宋体"/>
          <w:bCs/>
          <w:color w:val="auto"/>
          <w:sz w:val="21"/>
          <w:szCs w:val="21"/>
          <w:highlight w:val="none"/>
          <w:lang w:val="zh-CN"/>
        </w:rPr>
        <w:t>发包人</w:t>
      </w:r>
      <w:r>
        <w:rPr>
          <w:rFonts w:hint="eastAsia" w:ascii="宋体" w:hAnsi="宋体" w:eastAsia="宋体" w:cs="宋体"/>
          <w:snapToGrid w:val="0"/>
          <w:color w:val="auto"/>
          <w:kern w:val="0"/>
          <w:sz w:val="21"/>
          <w:szCs w:val="21"/>
          <w:highlight w:val="none"/>
        </w:rPr>
        <w:t>。</w:t>
      </w:r>
    </w:p>
    <w:p w14:paraId="3219D382">
      <w:pPr>
        <w:pStyle w:val="42"/>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5.3.4</w:t>
      </w:r>
      <w:r>
        <w:rPr>
          <w:rFonts w:hint="eastAsia" w:ascii="宋体" w:hAnsi="宋体" w:eastAsia="宋体" w:cs="宋体"/>
          <w:color w:val="auto"/>
          <w:sz w:val="21"/>
          <w:szCs w:val="21"/>
          <w:highlight w:val="none"/>
        </w:rPr>
        <w:t>限额设计要求：</w:t>
      </w:r>
    </w:p>
    <w:p w14:paraId="03A5412C">
      <w:pPr>
        <w:pStyle w:val="42"/>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（1）施工图预算中的建安工程费预算价不得超过经发改部门审定的概算建安工程费</w:t>
      </w:r>
      <w:r>
        <w:rPr>
          <w:rFonts w:hint="eastAsia" w:ascii="宋体" w:hAnsi="宋体" w:eastAsia="宋体" w:cs="宋体"/>
          <w:color w:val="auto"/>
          <w:sz w:val="21"/>
          <w:szCs w:val="21"/>
          <w:highlight w:val="none"/>
        </w:rPr>
        <w:t>且不得超过建安工程费的中标价</w:t>
      </w:r>
      <w:r>
        <w:rPr>
          <w:rFonts w:hint="eastAsia" w:ascii="宋体" w:hAnsi="宋体" w:eastAsia="宋体" w:cs="宋体"/>
          <w:snapToGrid w:val="0"/>
          <w:color w:val="auto"/>
          <w:kern w:val="0"/>
          <w:sz w:val="21"/>
          <w:szCs w:val="21"/>
          <w:highlight w:val="none"/>
        </w:rPr>
        <w:t>。</w:t>
      </w:r>
    </w:p>
    <w:p w14:paraId="36D1771D">
      <w:pPr>
        <w:pStyle w:val="42"/>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r>
        <w:rPr>
          <w:rFonts w:hint="eastAsia" w:ascii="宋体" w:hAnsi="宋体" w:eastAsia="宋体" w:cs="宋体"/>
          <w:color w:val="auto"/>
          <w:sz w:val="21"/>
          <w:szCs w:val="21"/>
          <w:highlight w:val="none"/>
        </w:rPr>
        <w:t>设计</w:t>
      </w:r>
      <w:r>
        <w:rPr>
          <w:rFonts w:hint="eastAsia" w:ascii="宋体" w:hAnsi="宋体" w:eastAsia="宋体" w:cs="宋体"/>
          <w:snapToGrid w:val="0"/>
          <w:color w:val="auto"/>
          <w:kern w:val="0"/>
          <w:sz w:val="21"/>
          <w:szCs w:val="21"/>
          <w:highlight w:val="none"/>
        </w:rPr>
        <w:t>单位在提交设计施工图后须按招标人提供的施工图预算限额设计</w:t>
      </w:r>
      <w:r>
        <w:rPr>
          <w:rFonts w:hint="eastAsia" w:ascii="宋体" w:hAnsi="宋体" w:eastAsia="宋体" w:cs="宋体"/>
          <w:b/>
          <w:bCs/>
          <w:snapToGrid w:val="0"/>
          <w:color w:val="auto"/>
          <w:kern w:val="0"/>
          <w:sz w:val="21"/>
          <w:szCs w:val="21"/>
          <w:highlight w:val="none"/>
        </w:rPr>
        <w:t>，</w:t>
      </w:r>
      <w:r>
        <w:rPr>
          <w:rFonts w:hint="eastAsia" w:ascii="宋体" w:hAnsi="宋体" w:eastAsia="宋体" w:cs="宋体"/>
          <w:snapToGrid w:val="0"/>
          <w:color w:val="auto"/>
          <w:kern w:val="0"/>
          <w:sz w:val="21"/>
          <w:szCs w:val="21"/>
          <w:highlight w:val="none"/>
        </w:rPr>
        <w:t>施工图预算作为</w:t>
      </w:r>
      <w:r>
        <w:rPr>
          <w:rFonts w:hint="eastAsia" w:ascii="宋体" w:hAnsi="宋体" w:eastAsia="宋体" w:cs="宋体"/>
          <w:color w:val="auto"/>
          <w:sz w:val="21"/>
          <w:szCs w:val="21"/>
          <w:highlight w:val="none"/>
        </w:rPr>
        <w:t>设计</w:t>
      </w:r>
      <w:r>
        <w:rPr>
          <w:rFonts w:hint="eastAsia" w:ascii="宋体" w:hAnsi="宋体" w:eastAsia="宋体" w:cs="宋体"/>
          <w:snapToGrid w:val="0"/>
          <w:color w:val="auto"/>
          <w:kern w:val="0"/>
          <w:sz w:val="21"/>
          <w:szCs w:val="21"/>
          <w:highlight w:val="none"/>
        </w:rPr>
        <w:t>单位自我核算是否符合限额设计要求的依据。若第三方造价咨询单位按施工图编制或审核的建安工程费高于</w:t>
      </w:r>
      <w:r>
        <w:rPr>
          <w:rFonts w:hint="eastAsia" w:ascii="宋体" w:hAnsi="宋体" w:eastAsia="宋体" w:cs="宋体"/>
          <w:color w:val="auto"/>
          <w:sz w:val="21"/>
          <w:szCs w:val="21"/>
          <w:highlight w:val="none"/>
        </w:rPr>
        <w:t>建安工程费的中标价</w:t>
      </w:r>
      <w:r>
        <w:rPr>
          <w:rFonts w:hint="eastAsia" w:ascii="宋体" w:hAnsi="宋体" w:eastAsia="宋体" w:cs="宋体"/>
          <w:snapToGrid w:val="0"/>
          <w:color w:val="auto"/>
          <w:kern w:val="0"/>
          <w:sz w:val="21"/>
          <w:szCs w:val="21"/>
          <w:highlight w:val="none"/>
        </w:rPr>
        <w:t>时，</w:t>
      </w:r>
      <w:r>
        <w:rPr>
          <w:rFonts w:hint="eastAsia" w:ascii="宋体" w:hAnsi="宋体" w:eastAsia="宋体" w:cs="宋体"/>
          <w:color w:val="auto"/>
          <w:sz w:val="21"/>
          <w:szCs w:val="21"/>
          <w:highlight w:val="none"/>
        </w:rPr>
        <w:t>设计</w:t>
      </w:r>
      <w:r>
        <w:rPr>
          <w:rFonts w:hint="eastAsia" w:ascii="宋体" w:hAnsi="宋体" w:eastAsia="宋体" w:cs="宋体"/>
          <w:snapToGrid w:val="0"/>
          <w:color w:val="auto"/>
          <w:kern w:val="0"/>
          <w:sz w:val="21"/>
          <w:szCs w:val="21"/>
          <w:highlight w:val="none"/>
        </w:rPr>
        <w:t>单位必须无条件对施工图进行修改，直至满足限额设计要求，</w:t>
      </w:r>
      <w:r>
        <w:rPr>
          <w:rFonts w:hint="eastAsia" w:ascii="宋体" w:hAnsi="宋体" w:eastAsia="宋体" w:cs="宋体"/>
          <w:bCs/>
          <w:color w:val="auto"/>
          <w:sz w:val="21"/>
          <w:szCs w:val="21"/>
          <w:highlight w:val="none"/>
          <w:lang w:val="zh-CN"/>
        </w:rPr>
        <w:t>发包人</w:t>
      </w:r>
      <w:r>
        <w:rPr>
          <w:rFonts w:hint="eastAsia" w:ascii="宋体" w:hAnsi="宋体" w:eastAsia="宋体" w:cs="宋体"/>
          <w:color w:val="auto"/>
          <w:sz w:val="21"/>
          <w:szCs w:val="21"/>
          <w:highlight w:val="none"/>
        </w:rPr>
        <w:t>不另行增加设计费</w:t>
      </w:r>
      <w:r>
        <w:rPr>
          <w:rFonts w:hint="eastAsia" w:ascii="宋体" w:hAnsi="宋体" w:eastAsia="宋体" w:cs="宋体"/>
          <w:snapToGrid w:val="0"/>
          <w:color w:val="auto"/>
          <w:kern w:val="0"/>
          <w:sz w:val="21"/>
          <w:szCs w:val="21"/>
          <w:highlight w:val="none"/>
        </w:rPr>
        <w:t>。由此造成造价咨询单位重复编制或审核施工图预算的费用由</w:t>
      </w:r>
      <w:r>
        <w:rPr>
          <w:rFonts w:hint="eastAsia" w:ascii="宋体" w:hAnsi="宋体" w:eastAsia="宋体" w:cs="宋体"/>
          <w:color w:val="auto"/>
          <w:sz w:val="21"/>
          <w:szCs w:val="21"/>
          <w:highlight w:val="none"/>
        </w:rPr>
        <w:t>设计</w:t>
      </w:r>
      <w:r>
        <w:rPr>
          <w:rFonts w:hint="eastAsia" w:ascii="宋体" w:hAnsi="宋体" w:eastAsia="宋体" w:cs="宋体"/>
          <w:snapToGrid w:val="0"/>
          <w:color w:val="auto"/>
          <w:kern w:val="0"/>
          <w:sz w:val="21"/>
          <w:szCs w:val="21"/>
          <w:highlight w:val="none"/>
        </w:rPr>
        <w:t>单位承担，结算时在设计费中扣除。</w:t>
      </w:r>
    </w:p>
    <w:p w14:paraId="1C996610">
      <w:pPr>
        <w:pStyle w:val="42"/>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r>
        <w:rPr>
          <w:rFonts w:hint="eastAsia" w:ascii="宋体" w:hAnsi="宋体" w:eastAsia="宋体" w:cs="宋体"/>
          <w:color w:val="auto"/>
          <w:sz w:val="21"/>
          <w:szCs w:val="21"/>
          <w:highlight w:val="none"/>
        </w:rPr>
        <w:t>设计</w:t>
      </w:r>
      <w:r>
        <w:rPr>
          <w:rFonts w:hint="eastAsia" w:ascii="宋体" w:hAnsi="宋体" w:eastAsia="宋体" w:cs="宋体"/>
          <w:snapToGrid w:val="0"/>
          <w:color w:val="auto"/>
          <w:kern w:val="0"/>
          <w:sz w:val="21"/>
          <w:szCs w:val="21"/>
          <w:highlight w:val="none"/>
        </w:rPr>
        <w:t>单位不得为了用完设计限额额度，擅自扩大建设规模、增加建设内容、提高建设标准的行为，因此导致造价增加由</w:t>
      </w:r>
      <w:r>
        <w:rPr>
          <w:rFonts w:hint="eastAsia" w:ascii="宋体" w:hAnsi="宋体" w:eastAsia="宋体" w:cs="宋体"/>
          <w:color w:val="auto"/>
          <w:sz w:val="21"/>
          <w:szCs w:val="21"/>
          <w:highlight w:val="none"/>
        </w:rPr>
        <w:t>设计</w:t>
      </w:r>
      <w:r>
        <w:rPr>
          <w:rFonts w:hint="eastAsia" w:ascii="宋体" w:hAnsi="宋体" w:eastAsia="宋体" w:cs="宋体"/>
          <w:snapToGrid w:val="0"/>
          <w:color w:val="auto"/>
          <w:kern w:val="0"/>
          <w:sz w:val="21"/>
          <w:szCs w:val="21"/>
          <w:highlight w:val="none"/>
        </w:rPr>
        <w:t>单位负责及承担费用。</w:t>
      </w:r>
    </w:p>
    <w:p w14:paraId="017575F5">
      <w:pPr>
        <w:pStyle w:val="42"/>
        <w:ind w:firstLine="422"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5.3.5</w:t>
      </w:r>
      <w:r>
        <w:rPr>
          <w:rFonts w:hint="eastAsia" w:ascii="宋体" w:hAnsi="宋体" w:eastAsia="宋体" w:cs="宋体"/>
          <w:color w:val="auto"/>
          <w:sz w:val="21"/>
          <w:szCs w:val="21"/>
          <w:highlight w:val="none"/>
        </w:rPr>
        <w:t>设计</w:t>
      </w:r>
      <w:r>
        <w:rPr>
          <w:rFonts w:hint="eastAsia" w:ascii="宋体" w:hAnsi="宋体" w:eastAsia="宋体" w:cs="宋体"/>
          <w:snapToGrid w:val="0"/>
          <w:color w:val="auto"/>
          <w:kern w:val="0"/>
          <w:sz w:val="21"/>
          <w:szCs w:val="21"/>
          <w:highlight w:val="none"/>
        </w:rPr>
        <w:t>单位在设计前，要充分进行市场调查，主要材料、设备在满足设计规范及建设标准的情况下，尽量采用造价管理机构发布的信息价中有相应型号、规格的标准材料，若必须采用非标准材料的，必须经</w:t>
      </w:r>
      <w:r>
        <w:rPr>
          <w:rFonts w:hint="eastAsia" w:ascii="宋体" w:hAnsi="宋体" w:eastAsia="宋体" w:cs="宋体"/>
          <w:bCs/>
          <w:color w:val="auto"/>
          <w:sz w:val="21"/>
          <w:szCs w:val="21"/>
          <w:highlight w:val="none"/>
          <w:lang w:val="zh-CN"/>
        </w:rPr>
        <w:t>发包人</w:t>
      </w:r>
      <w:r>
        <w:rPr>
          <w:rFonts w:hint="eastAsia" w:ascii="宋体" w:hAnsi="宋体" w:eastAsia="宋体" w:cs="宋体"/>
          <w:snapToGrid w:val="0"/>
          <w:color w:val="auto"/>
          <w:kern w:val="0"/>
          <w:sz w:val="21"/>
          <w:szCs w:val="21"/>
          <w:highlight w:val="none"/>
        </w:rPr>
        <w:t>同意，否则参照信息价中相近且低于其标准的材料信息价作为该项材料的结算价。</w:t>
      </w:r>
    </w:p>
    <w:p w14:paraId="1CBA45C9">
      <w:pPr>
        <w:pStyle w:val="42"/>
        <w:ind w:firstLine="422"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5.3.6</w:t>
      </w:r>
      <w:r>
        <w:rPr>
          <w:rFonts w:hint="eastAsia" w:ascii="宋体" w:hAnsi="宋体" w:eastAsia="宋体" w:cs="宋体"/>
          <w:snapToGrid w:val="0"/>
          <w:color w:val="auto"/>
          <w:kern w:val="0"/>
          <w:sz w:val="21"/>
          <w:szCs w:val="21"/>
          <w:highlight w:val="none"/>
        </w:rPr>
        <w:t>设计时需要考虑与周边地块的开发相结合。</w:t>
      </w:r>
    </w:p>
    <w:p w14:paraId="4D3EAA10">
      <w:pPr>
        <w:pStyle w:val="42"/>
        <w:ind w:firstLine="422" w:firstLineChars="200"/>
        <w:rPr>
          <w:rFonts w:hint="eastAsia" w:ascii="宋体" w:hAnsi="宋体" w:eastAsia="宋体" w:cs="宋体"/>
          <w:bCs/>
          <w:color w:val="auto"/>
          <w:sz w:val="21"/>
          <w:szCs w:val="21"/>
          <w:highlight w:val="none"/>
        </w:rPr>
      </w:pPr>
      <w:r>
        <w:rPr>
          <w:rFonts w:hint="eastAsia" w:ascii="宋体" w:hAnsi="宋体" w:eastAsia="宋体" w:cs="宋体"/>
          <w:b/>
          <w:bCs w:val="0"/>
          <w:color w:val="auto"/>
          <w:sz w:val="21"/>
          <w:szCs w:val="21"/>
          <w:highlight w:val="none"/>
        </w:rPr>
        <w:t>5.3.7</w:t>
      </w:r>
      <w:r>
        <w:rPr>
          <w:rFonts w:hint="eastAsia" w:ascii="宋体" w:hAnsi="宋体" w:eastAsia="宋体" w:cs="宋体"/>
          <w:bCs/>
          <w:color w:val="auto"/>
          <w:sz w:val="21"/>
          <w:szCs w:val="21"/>
          <w:highlight w:val="none"/>
        </w:rPr>
        <w:t>设计成果文件要求：</w:t>
      </w:r>
    </w:p>
    <w:p w14:paraId="188DA2D9">
      <w:pPr>
        <w:pStyle w:val="42"/>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（1）设计</w:t>
      </w:r>
      <w:r>
        <w:rPr>
          <w:rFonts w:hint="eastAsia" w:ascii="宋体" w:hAnsi="宋体" w:eastAsia="宋体" w:cs="宋体"/>
          <w:snapToGrid w:val="0"/>
          <w:color w:val="auto"/>
          <w:kern w:val="0"/>
          <w:sz w:val="21"/>
          <w:szCs w:val="21"/>
          <w:highlight w:val="none"/>
        </w:rPr>
        <w:t>单位</w:t>
      </w:r>
      <w:r>
        <w:rPr>
          <w:rFonts w:hint="eastAsia" w:ascii="宋体" w:hAnsi="宋体" w:eastAsia="宋体" w:cs="宋体"/>
          <w:color w:val="auto"/>
          <w:sz w:val="21"/>
          <w:szCs w:val="21"/>
          <w:highlight w:val="none"/>
        </w:rPr>
        <w:t>按合同约定、招标文件内容要求、法律法规及国家强制性标准要求提供完整的设计文件。</w:t>
      </w:r>
    </w:p>
    <w:p w14:paraId="29FA2ED0">
      <w:pPr>
        <w:pStyle w:val="42"/>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bCs/>
          <w:color w:val="auto"/>
          <w:sz w:val="21"/>
          <w:szCs w:val="21"/>
          <w:highlight w:val="none"/>
        </w:rPr>
        <w:t>要求提供施工图设计文件12套。提供的所有资料均含电子版（含CAD及PDF文件格式）。</w:t>
      </w:r>
    </w:p>
    <w:p w14:paraId="7DE9F60E">
      <w:pPr>
        <w:pStyle w:val="42"/>
        <w:ind w:firstLine="422" w:firstLineChars="200"/>
        <w:rPr>
          <w:rFonts w:hint="eastAsia" w:ascii="宋体" w:hAnsi="宋体" w:eastAsia="宋体" w:cs="宋体"/>
          <w:bCs/>
          <w:color w:val="auto"/>
          <w:sz w:val="21"/>
          <w:szCs w:val="21"/>
          <w:highlight w:val="none"/>
        </w:rPr>
      </w:pPr>
      <w:r>
        <w:rPr>
          <w:rFonts w:hint="eastAsia" w:ascii="宋体" w:hAnsi="宋体" w:eastAsia="宋体" w:cs="宋体"/>
          <w:b/>
          <w:bCs w:val="0"/>
          <w:color w:val="auto"/>
          <w:sz w:val="21"/>
          <w:szCs w:val="21"/>
          <w:highlight w:val="none"/>
        </w:rPr>
        <w:t>5.3.8</w:t>
      </w:r>
      <w:r>
        <w:rPr>
          <w:rFonts w:hint="eastAsia" w:ascii="宋体" w:hAnsi="宋体" w:eastAsia="宋体" w:cs="宋体"/>
          <w:bCs/>
          <w:color w:val="auto"/>
          <w:sz w:val="21"/>
          <w:szCs w:val="21"/>
          <w:highlight w:val="none"/>
        </w:rPr>
        <w:t>本工程各个阶段的设计成果必须经</w:t>
      </w:r>
      <w:r>
        <w:rPr>
          <w:rFonts w:hint="eastAsia" w:ascii="宋体" w:hAnsi="宋体" w:eastAsia="宋体" w:cs="宋体"/>
          <w:bCs/>
          <w:color w:val="auto"/>
          <w:sz w:val="21"/>
          <w:szCs w:val="21"/>
          <w:highlight w:val="none"/>
          <w:lang w:val="zh-CN"/>
        </w:rPr>
        <w:t>发包人</w:t>
      </w:r>
      <w:r>
        <w:rPr>
          <w:rFonts w:hint="eastAsia" w:ascii="宋体" w:hAnsi="宋体" w:eastAsia="宋体" w:cs="宋体"/>
          <w:bCs/>
          <w:color w:val="auto"/>
          <w:sz w:val="21"/>
          <w:szCs w:val="21"/>
          <w:highlight w:val="none"/>
        </w:rPr>
        <w:t>及有关审批部门同意后方可进行下一工序的设计工作，若</w:t>
      </w:r>
      <w:r>
        <w:rPr>
          <w:rFonts w:hint="eastAsia" w:ascii="宋体" w:hAnsi="宋体" w:eastAsia="宋体" w:cs="宋体"/>
          <w:bCs/>
          <w:color w:val="auto"/>
          <w:sz w:val="21"/>
          <w:szCs w:val="21"/>
          <w:highlight w:val="none"/>
          <w:lang w:val="zh-CN"/>
        </w:rPr>
        <w:t>发包人</w:t>
      </w:r>
      <w:r>
        <w:rPr>
          <w:rFonts w:hint="eastAsia" w:ascii="宋体" w:hAnsi="宋体" w:eastAsia="宋体" w:cs="宋体"/>
          <w:bCs/>
          <w:color w:val="auto"/>
          <w:sz w:val="21"/>
          <w:szCs w:val="21"/>
          <w:highlight w:val="none"/>
        </w:rPr>
        <w:t>或有关审批部门在审批过程中提出的设计修改或变更，</w:t>
      </w:r>
      <w:r>
        <w:rPr>
          <w:rFonts w:hint="eastAsia" w:ascii="宋体" w:hAnsi="宋体" w:eastAsia="宋体" w:cs="宋体"/>
          <w:color w:val="auto"/>
          <w:sz w:val="21"/>
          <w:szCs w:val="21"/>
          <w:highlight w:val="none"/>
        </w:rPr>
        <w:t>设计</w:t>
      </w:r>
      <w:r>
        <w:rPr>
          <w:rFonts w:hint="eastAsia" w:ascii="宋体" w:hAnsi="宋体" w:eastAsia="宋体" w:cs="宋体"/>
          <w:snapToGrid w:val="0"/>
          <w:color w:val="auto"/>
          <w:kern w:val="0"/>
          <w:sz w:val="21"/>
          <w:szCs w:val="21"/>
          <w:highlight w:val="none"/>
        </w:rPr>
        <w:t>单位</w:t>
      </w:r>
      <w:r>
        <w:rPr>
          <w:rFonts w:hint="eastAsia" w:ascii="宋体" w:hAnsi="宋体" w:eastAsia="宋体" w:cs="宋体"/>
          <w:bCs/>
          <w:color w:val="auto"/>
          <w:sz w:val="21"/>
          <w:szCs w:val="21"/>
          <w:highlight w:val="none"/>
        </w:rPr>
        <w:t>必须无条件进行修改或变更，</w:t>
      </w:r>
      <w:r>
        <w:rPr>
          <w:rFonts w:hint="eastAsia" w:ascii="宋体" w:hAnsi="宋体" w:eastAsia="宋体" w:cs="宋体"/>
          <w:bCs/>
          <w:color w:val="auto"/>
          <w:sz w:val="21"/>
          <w:szCs w:val="21"/>
          <w:highlight w:val="none"/>
          <w:lang w:val="zh-CN"/>
        </w:rPr>
        <w:t>发包人</w:t>
      </w:r>
      <w:r>
        <w:rPr>
          <w:rFonts w:hint="eastAsia" w:ascii="宋体" w:hAnsi="宋体" w:eastAsia="宋体" w:cs="宋体"/>
          <w:bCs/>
          <w:color w:val="auto"/>
          <w:sz w:val="21"/>
          <w:szCs w:val="21"/>
          <w:highlight w:val="none"/>
        </w:rPr>
        <w:t>不再支付由此而增加的设计费用。本工程施工图设计必须先经</w:t>
      </w:r>
      <w:r>
        <w:rPr>
          <w:rFonts w:hint="eastAsia" w:ascii="宋体" w:hAnsi="宋体" w:eastAsia="宋体" w:cs="宋体"/>
          <w:bCs/>
          <w:color w:val="auto"/>
          <w:sz w:val="21"/>
          <w:szCs w:val="21"/>
          <w:highlight w:val="none"/>
          <w:lang w:val="zh-CN"/>
        </w:rPr>
        <w:t>发包人</w:t>
      </w:r>
      <w:r>
        <w:rPr>
          <w:rFonts w:hint="eastAsia" w:ascii="宋体" w:hAnsi="宋体" w:eastAsia="宋体" w:cs="宋体"/>
          <w:bCs/>
          <w:color w:val="auto"/>
          <w:sz w:val="21"/>
          <w:szCs w:val="21"/>
          <w:highlight w:val="none"/>
        </w:rPr>
        <w:t>确认才能送审，并经</w:t>
      </w:r>
      <w:r>
        <w:rPr>
          <w:rFonts w:hint="eastAsia" w:ascii="宋体" w:hAnsi="宋体" w:eastAsia="宋体" w:cs="宋体"/>
          <w:bCs/>
          <w:color w:val="auto"/>
          <w:sz w:val="21"/>
          <w:szCs w:val="21"/>
          <w:highlight w:val="none"/>
          <w:lang w:val="zh-CN"/>
        </w:rPr>
        <w:t>发包人</w:t>
      </w:r>
      <w:r>
        <w:rPr>
          <w:rFonts w:hint="eastAsia" w:ascii="宋体" w:hAnsi="宋体" w:eastAsia="宋体" w:cs="宋体"/>
          <w:bCs/>
          <w:color w:val="auto"/>
          <w:sz w:val="21"/>
          <w:szCs w:val="21"/>
          <w:highlight w:val="none"/>
        </w:rPr>
        <w:t>委托的有资质的审图机构审查合格。若</w:t>
      </w:r>
      <w:r>
        <w:rPr>
          <w:rFonts w:hint="eastAsia" w:ascii="宋体" w:hAnsi="宋体" w:eastAsia="宋体" w:cs="宋体"/>
          <w:bCs/>
          <w:color w:val="auto"/>
          <w:sz w:val="21"/>
          <w:szCs w:val="21"/>
          <w:highlight w:val="none"/>
          <w:lang w:val="zh-CN"/>
        </w:rPr>
        <w:t>发包人</w:t>
      </w:r>
      <w:r>
        <w:rPr>
          <w:rFonts w:hint="eastAsia" w:ascii="宋体" w:hAnsi="宋体" w:eastAsia="宋体" w:cs="宋体"/>
          <w:bCs/>
          <w:color w:val="auto"/>
          <w:sz w:val="21"/>
          <w:szCs w:val="21"/>
          <w:highlight w:val="none"/>
        </w:rPr>
        <w:t>或审图机构在审查过程中提出的设计修改或变更，</w:t>
      </w:r>
      <w:r>
        <w:rPr>
          <w:rFonts w:hint="eastAsia" w:ascii="宋体" w:hAnsi="宋体" w:eastAsia="宋体" w:cs="宋体"/>
          <w:color w:val="auto"/>
          <w:sz w:val="21"/>
          <w:szCs w:val="21"/>
          <w:highlight w:val="none"/>
        </w:rPr>
        <w:t>设计</w:t>
      </w:r>
      <w:r>
        <w:rPr>
          <w:rFonts w:hint="eastAsia" w:ascii="宋体" w:hAnsi="宋体" w:eastAsia="宋体" w:cs="宋体"/>
          <w:snapToGrid w:val="0"/>
          <w:color w:val="auto"/>
          <w:kern w:val="0"/>
          <w:sz w:val="21"/>
          <w:szCs w:val="21"/>
          <w:highlight w:val="none"/>
        </w:rPr>
        <w:t>单位</w:t>
      </w:r>
      <w:r>
        <w:rPr>
          <w:rFonts w:hint="eastAsia" w:ascii="宋体" w:hAnsi="宋体" w:eastAsia="宋体" w:cs="宋体"/>
          <w:bCs/>
          <w:color w:val="auto"/>
          <w:sz w:val="21"/>
          <w:szCs w:val="21"/>
          <w:highlight w:val="none"/>
        </w:rPr>
        <w:t>必须无条件进行修改或优化设计，</w:t>
      </w:r>
      <w:r>
        <w:rPr>
          <w:rFonts w:hint="eastAsia" w:ascii="宋体" w:hAnsi="宋体" w:eastAsia="宋体" w:cs="宋体"/>
          <w:bCs/>
          <w:color w:val="auto"/>
          <w:sz w:val="21"/>
          <w:szCs w:val="21"/>
          <w:highlight w:val="none"/>
          <w:lang w:val="zh-CN"/>
        </w:rPr>
        <w:t>发包人</w:t>
      </w:r>
      <w:r>
        <w:rPr>
          <w:rFonts w:hint="eastAsia" w:ascii="宋体" w:hAnsi="宋体" w:eastAsia="宋体" w:cs="宋体"/>
          <w:bCs/>
          <w:color w:val="auto"/>
          <w:sz w:val="21"/>
          <w:szCs w:val="21"/>
          <w:highlight w:val="none"/>
        </w:rPr>
        <w:t>不再支付由此而增加的设计费用。</w:t>
      </w:r>
    </w:p>
    <w:p w14:paraId="61E42565">
      <w:pPr>
        <w:pStyle w:val="42"/>
        <w:ind w:firstLine="422" w:firstLineChars="200"/>
        <w:rPr>
          <w:rFonts w:hint="eastAsia" w:ascii="宋体" w:hAnsi="宋体" w:eastAsia="宋体" w:cs="宋体"/>
          <w:bCs/>
          <w:color w:val="auto"/>
          <w:sz w:val="21"/>
          <w:szCs w:val="21"/>
          <w:highlight w:val="none"/>
          <w:lang w:val="zh-CN"/>
        </w:rPr>
      </w:pPr>
      <w:r>
        <w:rPr>
          <w:rFonts w:hint="eastAsia" w:ascii="宋体" w:hAnsi="宋体" w:eastAsia="宋体" w:cs="宋体"/>
          <w:b/>
          <w:bCs w:val="0"/>
          <w:color w:val="auto"/>
          <w:sz w:val="21"/>
          <w:szCs w:val="21"/>
          <w:highlight w:val="none"/>
        </w:rPr>
        <w:t>5.4</w:t>
      </w:r>
      <w:r>
        <w:rPr>
          <w:rFonts w:hint="eastAsia" w:ascii="宋体" w:hAnsi="宋体" w:eastAsia="宋体" w:cs="宋体"/>
          <w:bCs/>
          <w:color w:val="auto"/>
          <w:sz w:val="21"/>
          <w:szCs w:val="21"/>
          <w:highlight w:val="none"/>
          <w:lang w:val="zh-CN"/>
        </w:rPr>
        <w:t>施工要求：</w:t>
      </w:r>
    </w:p>
    <w:p w14:paraId="63D431B3">
      <w:pPr>
        <w:pStyle w:val="42"/>
        <w:ind w:firstLine="422" w:firstLineChars="200"/>
        <w:rPr>
          <w:rFonts w:hint="eastAsia" w:ascii="宋体" w:hAnsi="宋体" w:eastAsia="宋体" w:cs="宋体"/>
          <w:bCs/>
          <w:color w:val="auto"/>
          <w:sz w:val="21"/>
          <w:szCs w:val="21"/>
          <w:highlight w:val="none"/>
          <w:lang w:val="zh-CN"/>
        </w:rPr>
      </w:pPr>
      <w:r>
        <w:rPr>
          <w:rFonts w:hint="eastAsia" w:ascii="宋体" w:hAnsi="宋体" w:eastAsia="宋体" w:cs="宋体"/>
          <w:b/>
          <w:bCs/>
          <w:color w:val="auto"/>
          <w:sz w:val="21"/>
          <w:szCs w:val="21"/>
          <w:highlight w:val="none"/>
        </w:rPr>
        <w:t>5.4.1</w:t>
      </w:r>
      <w:r>
        <w:rPr>
          <w:rFonts w:hint="eastAsia" w:ascii="宋体" w:hAnsi="宋体" w:eastAsia="宋体" w:cs="宋体"/>
          <w:bCs/>
          <w:color w:val="auto"/>
          <w:sz w:val="21"/>
          <w:szCs w:val="21"/>
          <w:highlight w:val="none"/>
        </w:rPr>
        <w:t>施工质量要求：</w:t>
      </w:r>
      <w:r>
        <w:rPr>
          <w:rFonts w:hint="eastAsia" w:ascii="宋体" w:hAnsi="宋体" w:eastAsia="宋体" w:cs="宋体"/>
          <w:bCs/>
          <w:color w:val="auto"/>
          <w:sz w:val="21"/>
          <w:szCs w:val="21"/>
          <w:highlight w:val="none"/>
          <w:lang w:val="zh-CN"/>
        </w:rPr>
        <w:t>施工质量必须达到国家验收合格标准。</w:t>
      </w:r>
    </w:p>
    <w:p w14:paraId="7122B371">
      <w:pPr>
        <w:pStyle w:val="42"/>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5.4.2</w:t>
      </w:r>
      <w:r>
        <w:rPr>
          <w:rFonts w:hint="eastAsia" w:ascii="宋体" w:hAnsi="宋体" w:eastAsia="宋体" w:cs="宋体"/>
          <w:color w:val="auto"/>
          <w:sz w:val="21"/>
          <w:szCs w:val="21"/>
          <w:highlight w:val="none"/>
        </w:rPr>
        <w:t>若因</w:t>
      </w:r>
      <w:r>
        <w:rPr>
          <w:rFonts w:hint="eastAsia" w:ascii="宋体" w:hAnsi="宋体" w:eastAsia="宋体" w:cs="宋体"/>
          <w:bCs/>
          <w:color w:val="auto"/>
          <w:sz w:val="21"/>
          <w:szCs w:val="21"/>
          <w:highlight w:val="none"/>
        </w:rPr>
        <w:t>施工单位</w:t>
      </w:r>
      <w:r>
        <w:rPr>
          <w:rFonts w:hint="eastAsia" w:ascii="宋体" w:hAnsi="宋体" w:eastAsia="宋体" w:cs="宋体"/>
          <w:color w:val="auto"/>
          <w:sz w:val="21"/>
          <w:szCs w:val="21"/>
          <w:highlight w:val="none"/>
        </w:rPr>
        <w:t>原因，工程在竣工验收时没有达到</w:t>
      </w:r>
      <w:r>
        <w:rPr>
          <w:rFonts w:hint="eastAsia" w:ascii="宋体" w:hAnsi="宋体" w:eastAsia="宋体" w:cs="宋体"/>
          <w:color w:val="auto"/>
          <w:sz w:val="21"/>
          <w:szCs w:val="21"/>
          <w:highlight w:val="none"/>
          <w:lang w:val="zh-CN"/>
        </w:rPr>
        <w:t>国家验收合格标准</w:t>
      </w:r>
      <w:r>
        <w:rPr>
          <w:rFonts w:hint="eastAsia" w:ascii="宋体" w:hAnsi="宋体" w:eastAsia="宋体" w:cs="宋体"/>
          <w:color w:val="auto"/>
          <w:sz w:val="21"/>
          <w:szCs w:val="21"/>
          <w:highlight w:val="none"/>
        </w:rPr>
        <w:t>，</w:t>
      </w:r>
      <w:r>
        <w:rPr>
          <w:rFonts w:hint="eastAsia" w:ascii="宋体" w:hAnsi="宋体" w:eastAsia="宋体" w:cs="宋体"/>
          <w:bCs/>
          <w:color w:val="auto"/>
          <w:sz w:val="21"/>
          <w:szCs w:val="21"/>
          <w:highlight w:val="none"/>
        </w:rPr>
        <w:t>施工单位</w:t>
      </w:r>
      <w:r>
        <w:rPr>
          <w:rFonts w:hint="eastAsia" w:ascii="宋体" w:hAnsi="宋体" w:eastAsia="宋体" w:cs="宋体"/>
          <w:color w:val="auto"/>
          <w:sz w:val="21"/>
          <w:szCs w:val="21"/>
          <w:highlight w:val="none"/>
        </w:rPr>
        <w:t>按合同价款的1％向</w:t>
      </w:r>
      <w:r>
        <w:rPr>
          <w:rFonts w:hint="eastAsia" w:ascii="宋体" w:hAnsi="宋体" w:eastAsia="宋体" w:cs="宋体"/>
          <w:bCs/>
          <w:color w:val="auto"/>
          <w:sz w:val="21"/>
          <w:szCs w:val="21"/>
          <w:highlight w:val="none"/>
          <w:lang w:val="zh-CN"/>
        </w:rPr>
        <w:t>发包人</w:t>
      </w:r>
      <w:r>
        <w:rPr>
          <w:rFonts w:hint="eastAsia" w:ascii="宋体" w:hAnsi="宋体" w:eastAsia="宋体" w:cs="宋体"/>
          <w:color w:val="auto"/>
          <w:sz w:val="21"/>
          <w:szCs w:val="21"/>
          <w:highlight w:val="none"/>
        </w:rPr>
        <w:t>返纳质量违约金。</w:t>
      </w:r>
    </w:p>
    <w:p w14:paraId="7D33EA78">
      <w:pPr>
        <w:pStyle w:val="42"/>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5.4.3</w:t>
      </w:r>
      <w:r>
        <w:rPr>
          <w:rFonts w:hint="eastAsia" w:ascii="宋体" w:hAnsi="宋体" w:eastAsia="宋体" w:cs="宋体"/>
          <w:bCs/>
          <w:color w:val="auto"/>
          <w:sz w:val="21"/>
          <w:szCs w:val="21"/>
          <w:highlight w:val="none"/>
        </w:rPr>
        <w:t>施工单位</w:t>
      </w:r>
      <w:r>
        <w:rPr>
          <w:rFonts w:hint="eastAsia" w:ascii="宋体" w:hAnsi="宋体" w:eastAsia="宋体" w:cs="宋体"/>
          <w:color w:val="auto"/>
          <w:sz w:val="21"/>
          <w:szCs w:val="21"/>
          <w:highlight w:val="none"/>
        </w:rPr>
        <w:t>在施工中如果工程质量不符合设计要求或有关规定，</w:t>
      </w:r>
      <w:r>
        <w:rPr>
          <w:rFonts w:hint="eastAsia" w:ascii="宋体" w:hAnsi="宋体" w:eastAsia="宋体" w:cs="宋体"/>
          <w:bCs/>
          <w:color w:val="auto"/>
          <w:sz w:val="21"/>
          <w:szCs w:val="21"/>
          <w:highlight w:val="none"/>
          <w:lang w:val="zh-CN"/>
        </w:rPr>
        <w:t>发包人</w:t>
      </w:r>
      <w:r>
        <w:rPr>
          <w:rFonts w:hint="eastAsia" w:ascii="宋体" w:hAnsi="宋体" w:eastAsia="宋体" w:cs="宋体"/>
          <w:color w:val="auto"/>
          <w:sz w:val="21"/>
          <w:szCs w:val="21"/>
          <w:highlight w:val="none"/>
        </w:rPr>
        <w:t>或监理单位要求停工和返工的必须立即执行，并承担由此产生的各种费用，工期不予顺延。</w:t>
      </w:r>
    </w:p>
    <w:p w14:paraId="7C6A2D4C">
      <w:pPr>
        <w:pStyle w:val="42"/>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5.4.4</w:t>
      </w:r>
      <w:r>
        <w:rPr>
          <w:rFonts w:hint="eastAsia" w:ascii="宋体" w:hAnsi="宋体" w:eastAsia="宋体" w:cs="宋体"/>
          <w:color w:val="auto"/>
          <w:sz w:val="21"/>
          <w:szCs w:val="21"/>
          <w:highlight w:val="none"/>
        </w:rPr>
        <w:t>保修期限按中华人民共和国国务院令第279号文《建设工程质量管理条例》规定执行，在保修期内因施工质量问题而造成返修，一切费用由</w:t>
      </w:r>
      <w:r>
        <w:rPr>
          <w:rFonts w:hint="eastAsia" w:ascii="宋体" w:hAnsi="宋体" w:eastAsia="宋体" w:cs="宋体"/>
          <w:bCs/>
          <w:color w:val="auto"/>
          <w:sz w:val="21"/>
          <w:szCs w:val="21"/>
          <w:highlight w:val="none"/>
        </w:rPr>
        <w:t>施工单位</w:t>
      </w:r>
      <w:r>
        <w:rPr>
          <w:rFonts w:hint="eastAsia" w:ascii="宋体" w:hAnsi="宋体" w:eastAsia="宋体" w:cs="宋体"/>
          <w:color w:val="auto"/>
          <w:sz w:val="21"/>
          <w:szCs w:val="21"/>
          <w:highlight w:val="none"/>
        </w:rPr>
        <w:t>负责。</w:t>
      </w:r>
      <w:r>
        <w:rPr>
          <w:rFonts w:hint="eastAsia" w:ascii="宋体" w:hAnsi="宋体" w:eastAsia="宋体" w:cs="宋体"/>
          <w:bCs/>
          <w:color w:val="auto"/>
          <w:sz w:val="21"/>
          <w:szCs w:val="21"/>
          <w:highlight w:val="none"/>
        </w:rPr>
        <w:t>施工单位</w:t>
      </w:r>
      <w:r>
        <w:rPr>
          <w:rFonts w:hint="eastAsia" w:ascii="宋体" w:hAnsi="宋体" w:eastAsia="宋体" w:cs="宋体"/>
          <w:color w:val="auto"/>
          <w:sz w:val="21"/>
          <w:szCs w:val="21"/>
          <w:highlight w:val="none"/>
        </w:rPr>
        <w:t>在向</w:t>
      </w:r>
      <w:r>
        <w:rPr>
          <w:rFonts w:hint="eastAsia" w:ascii="宋体" w:hAnsi="宋体" w:eastAsia="宋体" w:cs="宋体"/>
          <w:bCs/>
          <w:color w:val="auto"/>
          <w:sz w:val="21"/>
          <w:szCs w:val="21"/>
          <w:highlight w:val="none"/>
          <w:lang w:val="zh-CN"/>
        </w:rPr>
        <w:t>发包人</w:t>
      </w:r>
      <w:r>
        <w:rPr>
          <w:rFonts w:hint="eastAsia" w:ascii="宋体" w:hAnsi="宋体" w:eastAsia="宋体" w:cs="宋体"/>
          <w:color w:val="auto"/>
          <w:sz w:val="21"/>
          <w:szCs w:val="21"/>
          <w:highlight w:val="none"/>
        </w:rPr>
        <w:t>提交竣工验收报告时，应当向</w:t>
      </w:r>
      <w:r>
        <w:rPr>
          <w:rFonts w:hint="eastAsia" w:ascii="宋体" w:hAnsi="宋体" w:eastAsia="宋体" w:cs="宋体"/>
          <w:bCs/>
          <w:color w:val="auto"/>
          <w:sz w:val="21"/>
          <w:szCs w:val="21"/>
          <w:highlight w:val="none"/>
          <w:lang w:val="zh-CN"/>
        </w:rPr>
        <w:t>发包人</w:t>
      </w:r>
      <w:r>
        <w:rPr>
          <w:rFonts w:hint="eastAsia" w:ascii="宋体" w:hAnsi="宋体" w:eastAsia="宋体" w:cs="宋体"/>
          <w:color w:val="auto"/>
          <w:sz w:val="21"/>
          <w:szCs w:val="21"/>
          <w:highlight w:val="none"/>
        </w:rPr>
        <w:t>出具质量保修书。质量保修书中应当明确建设工程的保修范围、保修期限和保修责任等。</w:t>
      </w:r>
    </w:p>
    <w:p w14:paraId="55164219">
      <w:pPr>
        <w:pStyle w:val="42"/>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5.4.5</w:t>
      </w:r>
      <w:r>
        <w:rPr>
          <w:rFonts w:hint="eastAsia" w:ascii="宋体" w:hAnsi="宋体" w:eastAsia="宋体" w:cs="宋体"/>
          <w:color w:val="auto"/>
          <w:sz w:val="21"/>
          <w:szCs w:val="21"/>
          <w:highlight w:val="none"/>
        </w:rPr>
        <w:t>项目使用的主要材料质量要求必须符合本项目达到验收合格标准的要求。主要材料必须先提供样板给</w:t>
      </w:r>
      <w:r>
        <w:rPr>
          <w:rFonts w:hint="eastAsia" w:ascii="宋体" w:hAnsi="宋体" w:eastAsia="宋体" w:cs="宋体"/>
          <w:bCs/>
          <w:color w:val="auto"/>
          <w:sz w:val="21"/>
          <w:szCs w:val="21"/>
          <w:highlight w:val="none"/>
          <w:lang w:val="zh-CN"/>
        </w:rPr>
        <w:t>发包人</w:t>
      </w:r>
      <w:r>
        <w:rPr>
          <w:rFonts w:hint="eastAsia" w:ascii="宋体" w:hAnsi="宋体" w:eastAsia="宋体" w:cs="宋体"/>
          <w:color w:val="auto"/>
          <w:sz w:val="21"/>
          <w:szCs w:val="21"/>
          <w:highlight w:val="none"/>
        </w:rPr>
        <w:t>确定其颜色、等级等，并经发包人委托的检测机构检测合格方可使用。</w:t>
      </w:r>
      <w:bookmarkStart w:id="82" w:name="OLE_LINK2"/>
      <w:bookmarkStart w:id="83" w:name="OLE_LINK1"/>
    </w:p>
    <w:p w14:paraId="74F55488">
      <w:pPr>
        <w:pStyle w:val="42"/>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5.4.6</w:t>
      </w:r>
      <w:r>
        <w:rPr>
          <w:rFonts w:hint="eastAsia" w:ascii="宋体" w:hAnsi="宋体" w:eastAsia="宋体" w:cs="宋体"/>
          <w:color w:val="auto"/>
          <w:sz w:val="21"/>
          <w:szCs w:val="21"/>
          <w:highlight w:val="none"/>
        </w:rPr>
        <w:t>为保证施工现场的环境卫生，</w:t>
      </w:r>
      <w:r>
        <w:rPr>
          <w:rFonts w:hint="eastAsia" w:ascii="宋体" w:hAnsi="宋体" w:eastAsia="宋体" w:cs="宋体"/>
          <w:bCs/>
          <w:color w:val="auto"/>
          <w:sz w:val="21"/>
          <w:szCs w:val="21"/>
          <w:highlight w:val="none"/>
        </w:rPr>
        <w:t>施工单位</w:t>
      </w:r>
      <w:r>
        <w:rPr>
          <w:rFonts w:hint="eastAsia" w:ascii="宋体" w:hAnsi="宋体" w:eastAsia="宋体" w:cs="宋体"/>
          <w:color w:val="auto"/>
          <w:sz w:val="21"/>
          <w:szCs w:val="21"/>
          <w:highlight w:val="none"/>
        </w:rPr>
        <w:t>在本工程施工过程中，所有的车辆必须按</w:t>
      </w:r>
      <w:r>
        <w:rPr>
          <w:rFonts w:hint="eastAsia" w:ascii="宋体" w:hAnsi="宋体" w:eastAsia="宋体" w:cs="宋体"/>
          <w:bCs/>
          <w:color w:val="auto"/>
          <w:sz w:val="21"/>
          <w:szCs w:val="21"/>
          <w:highlight w:val="none"/>
          <w:lang w:val="zh-CN"/>
        </w:rPr>
        <w:t>发包人</w:t>
      </w:r>
      <w:r>
        <w:rPr>
          <w:rFonts w:hint="eastAsia" w:ascii="宋体" w:hAnsi="宋体" w:eastAsia="宋体" w:cs="宋体"/>
          <w:color w:val="auto"/>
          <w:sz w:val="21"/>
          <w:szCs w:val="21"/>
          <w:highlight w:val="none"/>
        </w:rPr>
        <w:t>规定的行车路线行驶。并负责施工现场及受施工影响周边道路的卫生。</w:t>
      </w:r>
    </w:p>
    <w:p w14:paraId="21A5D1A8">
      <w:pPr>
        <w:pStyle w:val="42"/>
        <w:ind w:firstLine="422"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5.4.7</w:t>
      </w:r>
      <w:r>
        <w:rPr>
          <w:rFonts w:hint="eastAsia" w:ascii="宋体" w:hAnsi="宋体" w:eastAsia="宋体" w:cs="宋体"/>
          <w:bCs/>
          <w:color w:val="auto"/>
          <w:sz w:val="21"/>
          <w:szCs w:val="21"/>
          <w:highlight w:val="none"/>
        </w:rPr>
        <w:t>施工单位</w:t>
      </w:r>
      <w:r>
        <w:rPr>
          <w:rFonts w:hint="eastAsia" w:ascii="宋体" w:hAnsi="宋体" w:eastAsia="宋体" w:cs="宋体"/>
          <w:snapToGrid w:val="0"/>
          <w:color w:val="auto"/>
          <w:kern w:val="0"/>
          <w:sz w:val="21"/>
          <w:szCs w:val="21"/>
          <w:highlight w:val="none"/>
        </w:rPr>
        <w:t>在施工期间应严格遵守国家、广东省、韶关市有关绿色施工、文明施工、噪音扬尘、消防爆破、环境卫生、渣土清运、治安保卫等方面的规定，并建立相应规章制度和保障措施。否则由此造成的经济损失和法律责任，均由</w:t>
      </w:r>
      <w:r>
        <w:rPr>
          <w:rFonts w:hint="eastAsia" w:ascii="宋体" w:hAnsi="宋体" w:eastAsia="宋体" w:cs="宋体"/>
          <w:bCs/>
          <w:color w:val="auto"/>
          <w:sz w:val="21"/>
          <w:szCs w:val="21"/>
          <w:highlight w:val="none"/>
        </w:rPr>
        <w:t>施工单位</w:t>
      </w:r>
      <w:r>
        <w:rPr>
          <w:rFonts w:hint="eastAsia" w:ascii="宋体" w:hAnsi="宋体" w:eastAsia="宋体" w:cs="宋体"/>
          <w:snapToGrid w:val="0"/>
          <w:color w:val="auto"/>
          <w:kern w:val="0"/>
          <w:sz w:val="21"/>
          <w:szCs w:val="21"/>
          <w:highlight w:val="none"/>
        </w:rPr>
        <w:t>承担。</w:t>
      </w:r>
    </w:p>
    <w:p w14:paraId="7828F1C8">
      <w:pPr>
        <w:pStyle w:val="42"/>
        <w:ind w:firstLine="422"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5.4.8</w:t>
      </w:r>
      <w:r>
        <w:rPr>
          <w:rFonts w:hint="eastAsia" w:ascii="宋体" w:hAnsi="宋体" w:eastAsia="宋体" w:cs="宋体"/>
          <w:bCs/>
          <w:color w:val="auto"/>
          <w:sz w:val="21"/>
          <w:szCs w:val="21"/>
          <w:highlight w:val="none"/>
        </w:rPr>
        <w:t>施工单位</w:t>
      </w:r>
      <w:r>
        <w:rPr>
          <w:rFonts w:hint="eastAsia" w:ascii="宋体" w:hAnsi="宋体" w:eastAsia="宋体" w:cs="宋体"/>
          <w:snapToGrid w:val="0"/>
          <w:color w:val="auto"/>
          <w:kern w:val="0"/>
          <w:sz w:val="21"/>
          <w:szCs w:val="21"/>
          <w:highlight w:val="none"/>
        </w:rPr>
        <w:t>应按安全施工有关规定，采取严格、科学的安全防护措施，确保施工和人员（包括第三者）的安全，承担由于自身安全防护措施不力所造成的安全事故责任和发生的费用。</w:t>
      </w:r>
    </w:p>
    <w:p w14:paraId="6870DD57">
      <w:pPr>
        <w:pStyle w:val="48"/>
        <w:widowControl/>
        <w:spacing w:line="360" w:lineRule="auto"/>
        <w:ind w:firstLine="422" w:firstLineChars="200"/>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5.5</w:t>
      </w:r>
      <w:r>
        <w:rPr>
          <w:rFonts w:hint="eastAsia" w:ascii="宋体" w:hAnsi="宋体" w:eastAsia="宋体" w:cs="宋体"/>
          <w:color w:val="auto"/>
          <w:sz w:val="21"/>
          <w:szCs w:val="21"/>
          <w:highlight w:val="none"/>
        </w:rPr>
        <w:t>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w:t>
      </w:r>
      <w:bookmarkEnd w:id="82"/>
      <w:bookmarkEnd w:id="83"/>
    </w:p>
    <w:p w14:paraId="0B2517E2">
      <w:pPr>
        <w:adjustRightInd w:val="0"/>
        <w:snapToGrid w:val="0"/>
        <w:spacing w:line="360" w:lineRule="auto"/>
        <w:ind w:firstLine="422"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5.6</w:t>
      </w:r>
      <w:r>
        <w:rPr>
          <w:rFonts w:hint="eastAsia" w:ascii="宋体" w:hAnsi="宋体" w:eastAsia="宋体" w:cs="宋体"/>
          <w:snapToGrid w:val="0"/>
          <w:color w:val="auto"/>
          <w:kern w:val="0"/>
          <w:sz w:val="21"/>
          <w:szCs w:val="21"/>
          <w:highlight w:val="none"/>
        </w:rPr>
        <w:t>凡参加本次招标的投标人被视为已充分认识和理解了任何与本工程有关的影响事项和困难等情况。</w:t>
      </w:r>
    </w:p>
    <w:p w14:paraId="16EDCCE0">
      <w:pPr>
        <w:adjustRightInd w:val="0"/>
        <w:snapToGrid w:val="0"/>
        <w:spacing w:line="360" w:lineRule="auto"/>
        <w:ind w:firstLine="422" w:firstLineChars="200"/>
        <w:rPr>
          <w:rFonts w:hint="eastAsia" w:ascii="宋体" w:hAnsi="宋体" w:eastAsia="宋体" w:cs="宋体"/>
          <w:b/>
          <w:bCs/>
          <w:snapToGrid w:val="0"/>
          <w:color w:val="auto"/>
          <w:kern w:val="0"/>
          <w:sz w:val="21"/>
          <w:szCs w:val="21"/>
          <w:highlight w:val="none"/>
          <w:u w:val="single"/>
        </w:rPr>
      </w:pPr>
      <w:r>
        <w:rPr>
          <w:rFonts w:hint="eastAsia" w:ascii="宋体" w:hAnsi="宋体" w:eastAsia="宋体" w:cs="宋体"/>
          <w:b/>
          <w:bCs/>
          <w:snapToGrid w:val="0"/>
          <w:color w:val="auto"/>
          <w:kern w:val="0"/>
          <w:sz w:val="21"/>
          <w:szCs w:val="21"/>
          <w:highlight w:val="none"/>
          <w:u w:val="single"/>
        </w:rPr>
        <w:t>（注：上述招标内容具体详见设计任务书，</w:t>
      </w:r>
      <w:r>
        <w:rPr>
          <w:rFonts w:hint="eastAsia" w:ascii="宋体" w:hAnsi="宋体" w:eastAsia="宋体" w:cs="宋体"/>
          <w:b/>
          <w:bCs/>
          <w:color w:val="auto"/>
          <w:sz w:val="21"/>
          <w:szCs w:val="21"/>
          <w:highlight w:val="none"/>
          <w:u w:val="single"/>
        </w:rPr>
        <w:t>同时招标人在实施过程中可根据实际情况对工程规模、任务内容等进行合理、适当调整。</w:t>
      </w:r>
      <w:r>
        <w:rPr>
          <w:rFonts w:hint="eastAsia" w:ascii="宋体" w:hAnsi="宋体" w:eastAsia="宋体" w:cs="宋体"/>
          <w:b/>
          <w:bCs/>
          <w:snapToGrid w:val="0"/>
          <w:color w:val="auto"/>
          <w:kern w:val="0"/>
          <w:sz w:val="21"/>
          <w:szCs w:val="21"/>
          <w:highlight w:val="none"/>
          <w:u w:val="single"/>
        </w:rPr>
        <w:t>）</w:t>
      </w:r>
    </w:p>
    <w:p w14:paraId="166E5AC7">
      <w:pPr>
        <w:adjustRightInd w:val="0"/>
        <w:snapToGrid w:val="0"/>
        <w:spacing w:line="360" w:lineRule="auto"/>
        <w:ind w:firstLine="420" w:firstLineChars="200"/>
        <w:rPr>
          <w:rFonts w:hint="eastAsia" w:ascii="宋体" w:hAnsi="宋体" w:eastAsia="宋体" w:cs="宋体"/>
          <w:color w:val="auto"/>
          <w:sz w:val="21"/>
          <w:szCs w:val="21"/>
          <w:highlight w:val="none"/>
        </w:rPr>
      </w:pPr>
      <w:bookmarkStart w:id="84" w:name="_Hlt74496537"/>
      <w:bookmarkEnd w:id="84"/>
      <w:bookmarkStart w:id="85" w:name="_Hlt69356505"/>
      <w:bookmarkEnd w:id="85"/>
      <w:bookmarkStart w:id="86" w:name="_Hlt69699204"/>
      <w:bookmarkEnd w:id="86"/>
      <w:bookmarkStart w:id="87" w:name="_Hlt111690342"/>
      <w:bookmarkEnd w:id="87"/>
      <w:bookmarkStart w:id="88" w:name="_Hlt74493474"/>
      <w:bookmarkEnd w:id="88"/>
      <w:bookmarkStart w:id="89" w:name="_Hlt121563076"/>
      <w:bookmarkEnd w:id="89"/>
      <w:bookmarkStart w:id="90" w:name="_Hlt88974078"/>
      <w:bookmarkEnd w:id="90"/>
      <w:bookmarkStart w:id="91" w:name="_Hlt120502666"/>
      <w:bookmarkEnd w:id="91"/>
    </w:p>
    <w:p w14:paraId="04B0F326">
      <w:pPr>
        <w:pStyle w:val="44"/>
        <w:keepNext/>
        <w:keepLines/>
        <w:ind w:firstLine="480"/>
        <w:jc w:val="both"/>
        <w:rPr>
          <w:rFonts w:hint="eastAsia" w:ascii="宋体" w:hAnsi="宋体" w:eastAsia="宋体" w:cs="宋体"/>
          <w:b/>
          <w:color w:val="auto"/>
          <w:kern w:val="2"/>
          <w:sz w:val="21"/>
          <w:szCs w:val="21"/>
          <w:highlight w:val="none"/>
        </w:rPr>
      </w:pPr>
      <w:bookmarkStart w:id="92" w:name="_Toc16432"/>
      <w:bookmarkStart w:id="93" w:name="_Toc16958"/>
      <w:bookmarkStart w:id="94" w:name="_Toc19911"/>
      <w:bookmarkStart w:id="95" w:name="_Toc3193"/>
      <w:bookmarkStart w:id="96" w:name="_Toc12891"/>
      <w:bookmarkStart w:id="97" w:name="_Toc20827"/>
      <w:bookmarkStart w:id="98" w:name="_Toc24793"/>
      <w:bookmarkStart w:id="99" w:name="_Toc10812"/>
      <w:bookmarkStart w:id="100" w:name="_Toc17958"/>
      <w:r>
        <w:rPr>
          <w:rFonts w:hint="eastAsia" w:ascii="宋体" w:hAnsi="宋体" w:eastAsia="宋体" w:cs="宋体"/>
          <w:b/>
          <w:color w:val="auto"/>
          <w:kern w:val="2"/>
          <w:sz w:val="21"/>
          <w:szCs w:val="21"/>
          <w:highlight w:val="none"/>
        </w:rPr>
        <w:t>6 、招标工程施工条件及现场踏勘</w:t>
      </w:r>
      <w:bookmarkEnd w:id="92"/>
      <w:bookmarkEnd w:id="93"/>
      <w:bookmarkEnd w:id="94"/>
      <w:bookmarkEnd w:id="95"/>
      <w:bookmarkEnd w:id="96"/>
      <w:bookmarkEnd w:id="97"/>
      <w:bookmarkEnd w:id="98"/>
      <w:bookmarkEnd w:id="99"/>
      <w:bookmarkEnd w:id="100"/>
    </w:p>
    <w:p w14:paraId="1DAA2E1F">
      <w:pPr>
        <w:pStyle w:val="49"/>
        <w:ind w:firstLine="48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6.1</w:t>
      </w:r>
      <w:r>
        <w:rPr>
          <w:rFonts w:hint="eastAsia" w:ascii="宋体" w:hAnsi="宋体" w:eastAsia="宋体" w:cs="宋体"/>
          <w:color w:val="auto"/>
          <w:sz w:val="21"/>
          <w:szCs w:val="21"/>
          <w:highlight w:val="none"/>
        </w:rPr>
        <w:t>本工程招标人仅在征地红线范围内提供场地，其他一切场地费用由中标人自行负责（含临时道路）。</w:t>
      </w:r>
    </w:p>
    <w:p w14:paraId="1343370B">
      <w:pPr>
        <w:wordWrap w:val="0"/>
        <w:adjustRightInd w:val="0"/>
        <w:snapToGrid w:val="0"/>
        <w:spacing w:line="360" w:lineRule="auto"/>
        <w:ind w:firstLine="316" w:firstLineChars="150"/>
        <w:rPr>
          <w:rFonts w:hint="eastAsia" w:ascii="宋体" w:hAnsi="宋体" w:eastAsia="宋体" w:cs="宋体"/>
          <w:b/>
          <w:bCs/>
          <w:snapToGrid w:val="0"/>
          <w:color w:val="auto"/>
          <w:kern w:val="0"/>
          <w:sz w:val="21"/>
          <w:szCs w:val="21"/>
          <w:highlight w:val="none"/>
        </w:rPr>
      </w:pPr>
      <w:r>
        <w:rPr>
          <w:rFonts w:hint="eastAsia" w:ascii="宋体" w:hAnsi="宋体" w:eastAsia="宋体" w:cs="宋体"/>
          <w:b/>
          <w:bCs/>
          <w:color w:val="auto"/>
          <w:sz w:val="21"/>
          <w:szCs w:val="21"/>
          <w:highlight w:val="none"/>
        </w:rPr>
        <w:t xml:space="preserve"> 6.2</w:t>
      </w:r>
      <w:r>
        <w:rPr>
          <w:rFonts w:hint="eastAsia" w:ascii="宋体" w:hAnsi="宋体" w:eastAsia="宋体" w:cs="宋体"/>
          <w:color w:val="auto"/>
          <w:sz w:val="21"/>
          <w:szCs w:val="21"/>
          <w:highlight w:val="none"/>
        </w:rPr>
        <w:t xml:space="preserve"> 施工用水：</w:t>
      </w:r>
      <w:r>
        <w:rPr>
          <w:rFonts w:hint="eastAsia" w:ascii="宋体" w:hAnsi="宋体" w:eastAsia="宋体" w:cs="宋体"/>
          <w:color w:val="auto"/>
          <w:sz w:val="21"/>
          <w:szCs w:val="21"/>
          <w:highlight w:val="none"/>
          <w:u w:val="single"/>
        </w:rPr>
        <w:t>招标人协调，</w:t>
      </w:r>
      <w:r>
        <w:rPr>
          <w:rFonts w:hint="eastAsia" w:ascii="宋体" w:hAnsi="宋体" w:eastAsia="宋体" w:cs="宋体"/>
          <w:snapToGrid w:val="0"/>
          <w:color w:val="auto"/>
          <w:kern w:val="0"/>
          <w:sz w:val="21"/>
          <w:szCs w:val="21"/>
          <w:highlight w:val="none"/>
          <w:u w:val="single"/>
        </w:rPr>
        <w:t>施工用水及水源由中标人自行解决，费用含在投标报价中，不另计</w:t>
      </w:r>
      <w:r>
        <w:rPr>
          <w:rFonts w:hint="eastAsia" w:ascii="宋体" w:hAnsi="宋体" w:eastAsia="宋体" w:cs="宋体"/>
          <w:color w:val="auto"/>
          <w:kern w:val="0"/>
          <w:sz w:val="21"/>
          <w:szCs w:val="21"/>
          <w:highlight w:val="none"/>
          <w:u w:val="single"/>
        </w:rPr>
        <w:t>。</w:t>
      </w:r>
    </w:p>
    <w:p w14:paraId="533BDD5A">
      <w:pPr>
        <w:wordWrap w:val="0"/>
        <w:adjustRightInd w:val="0"/>
        <w:snapToGrid w:val="0"/>
        <w:spacing w:line="360" w:lineRule="auto"/>
        <w:ind w:firstLine="422" w:firstLineChars="200"/>
        <w:rPr>
          <w:rFonts w:hint="eastAsia" w:ascii="宋体" w:hAnsi="宋体" w:eastAsia="宋体" w:cs="宋体"/>
          <w:b/>
          <w:bCs/>
          <w:snapToGrid w:val="0"/>
          <w:color w:val="auto"/>
          <w:kern w:val="0"/>
          <w:sz w:val="21"/>
          <w:szCs w:val="21"/>
          <w:highlight w:val="none"/>
        </w:rPr>
      </w:pPr>
      <w:r>
        <w:rPr>
          <w:rFonts w:hint="eastAsia" w:ascii="宋体" w:hAnsi="宋体" w:eastAsia="宋体" w:cs="宋体"/>
          <w:b/>
          <w:bCs/>
          <w:color w:val="auto"/>
          <w:sz w:val="21"/>
          <w:szCs w:val="21"/>
          <w:highlight w:val="none"/>
        </w:rPr>
        <w:t>6.3</w:t>
      </w:r>
      <w:r>
        <w:rPr>
          <w:rFonts w:hint="eastAsia" w:ascii="宋体" w:hAnsi="宋体" w:eastAsia="宋体" w:cs="宋体"/>
          <w:color w:val="auto"/>
          <w:sz w:val="21"/>
          <w:szCs w:val="21"/>
          <w:highlight w:val="none"/>
        </w:rPr>
        <w:t xml:space="preserve"> 施工用电：</w:t>
      </w:r>
      <w:r>
        <w:rPr>
          <w:rFonts w:hint="eastAsia" w:ascii="宋体" w:hAnsi="宋体" w:eastAsia="宋体" w:cs="宋体"/>
          <w:color w:val="auto"/>
          <w:sz w:val="21"/>
          <w:szCs w:val="21"/>
          <w:highlight w:val="none"/>
          <w:u w:val="single"/>
        </w:rPr>
        <w:t>招标人协调，</w:t>
      </w:r>
      <w:r>
        <w:rPr>
          <w:rFonts w:hint="eastAsia" w:ascii="宋体" w:hAnsi="宋体" w:eastAsia="宋体" w:cs="宋体"/>
          <w:snapToGrid w:val="0"/>
          <w:color w:val="auto"/>
          <w:kern w:val="0"/>
          <w:sz w:val="21"/>
          <w:szCs w:val="21"/>
          <w:highlight w:val="none"/>
          <w:u w:val="single"/>
        </w:rPr>
        <w:t>施工用电及电源由中标人自行解决，费用含在投标报价中，不另计</w:t>
      </w:r>
      <w:r>
        <w:rPr>
          <w:rFonts w:hint="eastAsia" w:ascii="宋体" w:hAnsi="宋体" w:eastAsia="宋体" w:cs="宋体"/>
          <w:color w:val="auto"/>
          <w:kern w:val="0"/>
          <w:sz w:val="21"/>
          <w:szCs w:val="21"/>
          <w:highlight w:val="none"/>
          <w:u w:val="single"/>
        </w:rPr>
        <w:t>。</w:t>
      </w:r>
    </w:p>
    <w:p w14:paraId="42645DE6">
      <w:pPr>
        <w:pStyle w:val="4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z w:val="21"/>
          <w:szCs w:val="21"/>
          <w:highlight w:val="none"/>
        </w:rPr>
        <w:t>6.4</w:t>
      </w:r>
      <w:r>
        <w:rPr>
          <w:rFonts w:hint="eastAsia" w:ascii="宋体" w:hAnsi="宋体" w:eastAsia="宋体" w:cs="宋体"/>
          <w:color w:val="auto"/>
          <w:sz w:val="21"/>
          <w:szCs w:val="21"/>
          <w:highlight w:val="none"/>
        </w:rPr>
        <w:t>施工用水、用电由中标人负责报装并接入施工红线范围，并由中标人负责购置及安装满足施工所需的临时用电变压器、水表、电表，其水、电费按工程所在地</w:t>
      </w:r>
      <w:r>
        <w:rPr>
          <w:rFonts w:hint="eastAsia" w:ascii="宋体" w:hAnsi="宋体" w:eastAsia="宋体" w:cs="宋体"/>
          <w:color w:val="auto"/>
          <w:sz w:val="21"/>
          <w:szCs w:val="21"/>
          <w:highlight w:val="none"/>
          <w:u w:val="single"/>
        </w:rPr>
        <w:t>南雄市</w:t>
      </w:r>
      <w:r>
        <w:rPr>
          <w:rFonts w:hint="eastAsia" w:ascii="宋体" w:hAnsi="宋体" w:eastAsia="宋体" w:cs="宋体"/>
          <w:color w:val="auto"/>
          <w:sz w:val="21"/>
          <w:szCs w:val="21"/>
          <w:highlight w:val="none"/>
        </w:rPr>
        <w:t>基建工程水、电计费标准计算并由中标人缴纳，相关线路、管路费用及安装费用以及购置及安装临时用电变压器的费用由中标人自行承担。</w:t>
      </w:r>
    </w:p>
    <w:p w14:paraId="59C16556">
      <w:pPr>
        <w:pStyle w:val="4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z w:val="21"/>
          <w:szCs w:val="21"/>
          <w:highlight w:val="none"/>
        </w:rPr>
        <w:t>6.5</w:t>
      </w:r>
      <w:r>
        <w:rPr>
          <w:rFonts w:hint="eastAsia" w:ascii="宋体" w:hAnsi="宋体" w:eastAsia="宋体" w:cs="宋体"/>
          <w:color w:val="auto"/>
          <w:sz w:val="21"/>
          <w:szCs w:val="21"/>
          <w:highlight w:val="none"/>
        </w:rPr>
        <w:t>招标人不集中现场踏勘，但会在招标文件及有关设计文件中明确告知招标工程的具体位置和周边环境，并在现场设置足以识别的标识或提供足以表明工程具体位置的文字或图片。投标人需要了解现场情况的，可自行进行现场踏勘。</w:t>
      </w:r>
    </w:p>
    <w:p w14:paraId="4F67D824">
      <w:pPr>
        <w:pStyle w:val="42"/>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z w:val="21"/>
          <w:szCs w:val="21"/>
          <w:highlight w:val="none"/>
        </w:rPr>
        <w:t>6.6</w:t>
      </w:r>
      <w:r>
        <w:rPr>
          <w:rFonts w:hint="eastAsia" w:ascii="宋体" w:hAnsi="宋体" w:eastAsia="宋体" w:cs="宋体"/>
          <w:color w:val="auto"/>
          <w:sz w:val="21"/>
          <w:szCs w:val="21"/>
          <w:highlight w:val="none"/>
        </w:rPr>
        <w:t>在现场踏勘过程中，投标人应确保自身安全，投标人如果发生人身伤亡、财物或其他损失，法律法规有规定的按有关规定处理，没有规定的由投标人自行负责。</w:t>
      </w:r>
    </w:p>
    <w:p w14:paraId="4ACFA30C">
      <w:pPr>
        <w:pStyle w:val="42"/>
        <w:spacing w:line="360" w:lineRule="auto"/>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6.7</w:t>
      </w:r>
      <w:r>
        <w:rPr>
          <w:rFonts w:hint="eastAsia" w:ascii="宋体" w:hAnsi="宋体" w:eastAsia="宋体" w:cs="宋体"/>
          <w:color w:val="auto"/>
          <w:sz w:val="21"/>
          <w:szCs w:val="21"/>
          <w:highlight w:val="none"/>
        </w:rPr>
        <w:t>现场踏勘期间的交通、食宿由投标人自行安排，费用自理。</w:t>
      </w:r>
    </w:p>
    <w:p w14:paraId="0EE4CA5A">
      <w:pPr>
        <w:pStyle w:val="44"/>
        <w:keepNext/>
        <w:keepLines/>
        <w:spacing w:line="360" w:lineRule="auto"/>
        <w:ind w:firstLine="480"/>
        <w:jc w:val="both"/>
        <w:rPr>
          <w:rFonts w:hint="eastAsia" w:ascii="宋体" w:hAnsi="宋体" w:eastAsia="宋体" w:cs="宋体"/>
          <w:b/>
          <w:bCs/>
          <w:color w:val="auto"/>
          <w:sz w:val="21"/>
          <w:szCs w:val="21"/>
          <w:highlight w:val="none"/>
        </w:rPr>
      </w:pPr>
      <w:bookmarkStart w:id="101" w:name="_Toc23635"/>
      <w:bookmarkStart w:id="102" w:name="_Toc3294"/>
      <w:bookmarkStart w:id="103" w:name="_Toc8518"/>
      <w:bookmarkStart w:id="104" w:name="_Toc23962"/>
      <w:bookmarkStart w:id="105" w:name="_Toc22484"/>
      <w:bookmarkStart w:id="106" w:name="_Toc17548"/>
      <w:bookmarkStart w:id="107" w:name="_Toc5795"/>
      <w:bookmarkStart w:id="108" w:name="_Toc27595"/>
      <w:bookmarkStart w:id="109" w:name="_Toc25942"/>
      <w:r>
        <w:rPr>
          <w:rFonts w:hint="eastAsia" w:ascii="宋体" w:hAnsi="宋体" w:eastAsia="宋体" w:cs="宋体"/>
          <w:b/>
          <w:color w:val="auto"/>
          <w:kern w:val="2"/>
          <w:sz w:val="21"/>
          <w:szCs w:val="21"/>
          <w:highlight w:val="none"/>
        </w:rPr>
        <w:t xml:space="preserve">7 </w:t>
      </w:r>
      <w:bookmarkStart w:id="110" w:name="_Toc488220856"/>
      <w:bookmarkStart w:id="111" w:name="_Toc371968705"/>
      <w:r>
        <w:rPr>
          <w:rFonts w:hint="eastAsia" w:ascii="宋体" w:hAnsi="宋体" w:eastAsia="宋体" w:cs="宋体"/>
          <w:b/>
          <w:color w:val="auto"/>
          <w:kern w:val="2"/>
          <w:sz w:val="21"/>
          <w:szCs w:val="21"/>
          <w:highlight w:val="none"/>
        </w:rPr>
        <w:t>、其他招标说明</w:t>
      </w:r>
      <w:bookmarkEnd w:id="101"/>
      <w:bookmarkEnd w:id="102"/>
      <w:bookmarkEnd w:id="103"/>
      <w:bookmarkEnd w:id="104"/>
      <w:bookmarkEnd w:id="105"/>
      <w:bookmarkEnd w:id="106"/>
      <w:bookmarkEnd w:id="107"/>
      <w:bookmarkEnd w:id="108"/>
      <w:bookmarkEnd w:id="109"/>
      <w:bookmarkEnd w:id="110"/>
    </w:p>
    <w:bookmarkEnd w:id="111"/>
    <w:p w14:paraId="43EE1A86">
      <w:pPr>
        <w:wordWrap w:val="0"/>
        <w:snapToGrid w:val="0"/>
        <w:spacing w:line="360" w:lineRule="auto"/>
        <w:ind w:firstLine="480"/>
        <w:rPr>
          <w:rFonts w:hint="eastAsia" w:ascii="宋体" w:hAnsi="宋体" w:eastAsia="宋体" w:cs="宋体"/>
          <w:b/>
          <w:snapToGrid w:val="0"/>
          <w:color w:val="auto"/>
          <w:sz w:val="21"/>
          <w:szCs w:val="21"/>
          <w:highlight w:val="none"/>
        </w:rPr>
      </w:pPr>
      <w:bookmarkStart w:id="112" w:name="_Toc28014"/>
      <w:bookmarkStart w:id="113" w:name="_Toc10210"/>
      <w:r>
        <w:rPr>
          <w:rFonts w:hint="eastAsia" w:ascii="宋体" w:hAnsi="宋体" w:eastAsia="宋体" w:cs="宋体"/>
          <w:b/>
          <w:snapToGrid w:val="0"/>
          <w:color w:val="auto"/>
          <w:sz w:val="21"/>
          <w:szCs w:val="21"/>
          <w:highlight w:val="none"/>
        </w:rPr>
        <w:t>7.1．</w:t>
      </w:r>
      <w:r>
        <w:rPr>
          <w:rStyle w:val="27"/>
          <w:rFonts w:hint="eastAsia" w:ascii="宋体" w:hAnsi="宋体" w:eastAsia="宋体" w:cs="宋体"/>
          <w:color w:val="auto"/>
          <w:sz w:val="21"/>
          <w:szCs w:val="21"/>
          <w:highlight w:val="none"/>
          <w:shd w:val="clear" w:color="auto" w:fill="FFFFFF"/>
        </w:rPr>
        <w:t>获取招标文件</w:t>
      </w:r>
      <w:bookmarkEnd w:id="112"/>
      <w:bookmarkEnd w:id="113"/>
    </w:p>
    <w:p w14:paraId="09695848">
      <w:pPr>
        <w:pStyle w:val="21"/>
        <w:widowControl w:val="0"/>
        <w:wordWrap w:val="0"/>
        <w:adjustRightInd w:val="0"/>
        <w:snapToGrid w:val="0"/>
        <w:spacing w:beforeAutospacing="0" w:afterAutospacing="0" w:line="360" w:lineRule="auto"/>
        <w:ind w:firstLine="422" w:firstLineChars="200"/>
        <w:rPr>
          <w:rFonts w:hint="eastAsia" w:ascii="宋体" w:hAnsi="宋体" w:eastAsia="宋体" w:cs="宋体"/>
          <w:color w:val="auto"/>
          <w:kern w:val="2"/>
          <w:sz w:val="21"/>
          <w:szCs w:val="21"/>
          <w:highlight w:val="none"/>
        </w:rPr>
      </w:pPr>
      <w:r>
        <w:rPr>
          <w:rFonts w:hint="eastAsia" w:ascii="宋体" w:hAnsi="宋体" w:eastAsia="宋体" w:cs="宋体"/>
          <w:b/>
          <w:bCs/>
          <w:snapToGrid w:val="0"/>
          <w:color w:val="auto"/>
          <w:sz w:val="21"/>
          <w:szCs w:val="21"/>
          <w:highlight w:val="none"/>
        </w:rPr>
        <w:t>7.1.1</w:t>
      </w:r>
      <w:r>
        <w:rPr>
          <w:rFonts w:hint="eastAsia" w:ascii="宋体" w:hAnsi="宋体" w:eastAsia="宋体" w:cs="宋体"/>
          <w:snapToGrid w:val="0"/>
          <w:color w:val="auto"/>
          <w:sz w:val="21"/>
          <w:szCs w:val="21"/>
          <w:highlight w:val="none"/>
        </w:rPr>
        <w:t>本次招标实行电子投标。</w:t>
      </w:r>
      <w:r>
        <w:rPr>
          <w:rFonts w:hint="eastAsia" w:ascii="宋体" w:hAnsi="宋体" w:eastAsia="宋体" w:cs="宋体"/>
          <w:color w:val="auto"/>
          <w:sz w:val="21"/>
          <w:szCs w:val="21"/>
          <w:highlight w:val="none"/>
          <w:shd w:val="clear" w:color="auto" w:fill="FFFFFF"/>
        </w:rPr>
        <w:t>本项目招标文件随招标公告一并在</w:t>
      </w:r>
      <w:r>
        <w:rPr>
          <w:rFonts w:hint="eastAsia" w:ascii="宋体" w:hAnsi="宋体" w:eastAsia="宋体" w:cs="宋体"/>
          <w:bCs/>
          <w:snapToGrid w:val="0"/>
          <w:color w:val="auto"/>
          <w:sz w:val="21"/>
          <w:szCs w:val="21"/>
          <w:highlight w:val="none"/>
        </w:rPr>
        <w:t>广东省招标投标监管网(https://www.gdzwfw.gov.cn/ztbjg-portal/#/index)、</w:t>
      </w:r>
      <w:r>
        <w:rPr>
          <w:rFonts w:hint="eastAsia" w:ascii="宋体" w:hAnsi="宋体" w:eastAsia="宋体" w:cs="宋体"/>
          <w:color w:val="auto"/>
          <w:sz w:val="21"/>
          <w:szCs w:val="21"/>
          <w:highlight w:val="none"/>
          <w:shd w:val="clear" w:color="auto" w:fill="FFFFFF"/>
        </w:rPr>
        <w:t>全国公共资源交易平台（广东省·韶关市）（https://ygp.gdzwfw.gov.cn/ggzy-portal/#/440200/index）网站发布。招标文件一经在交易平台发布，视为发送投标人，招标文件及相关附件由投标人自行在交易平台网站下载。招标文件获取</w:t>
      </w:r>
      <w:r>
        <w:rPr>
          <w:rFonts w:hint="eastAsia" w:ascii="宋体" w:hAnsi="宋体" w:eastAsia="宋体" w:cs="宋体"/>
          <w:snapToGrid w:val="0"/>
          <w:color w:val="auto"/>
          <w:sz w:val="21"/>
          <w:szCs w:val="21"/>
          <w:highlight w:val="none"/>
        </w:rPr>
        <w:t>期间</w:t>
      </w:r>
      <w:r>
        <w:rPr>
          <w:rFonts w:hint="eastAsia" w:ascii="宋体" w:hAnsi="宋体" w:eastAsia="宋体" w:cs="宋体"/>
          <w:color w:val="auto"/>
          <w:sz w:val="21"/>
          <w:szCs w:val="21"/>
          <w:highlight w:val="none"/>
          <w:shd w:val="clear" w:color="auto" w:fill="FFFFFF"/>
        </w:rPr>
        <w:t>（</w:t>
      </w:r>
      <w:r>
        <w:rPr>
          <w:rFonts w:hint="eastAsia" w:ascii="宋体" w:hAnsi="宋体" w:eastAsia="宋体" w:cs="宋体"/>
          <w:snapToGrid w:val="0"/>
          <w:color w:val="auto"/>
          <w:sz w:val="21"/>
          <w:szCs w:val="21"/>
          <w:highlight w:val="none"/>
        </w:rPr>
        <w:t>见本章第二节“重要事项时间地点一览表”，招标文件获取期间与招标公告发布时间一致</w:t>
      </w:r>
      <w:r>
        <w:rPr>
          <w:rFonts w:hint="eastAsia" w:ascii="宋体" w:hAnsi="宋体" w:eastAsia="宋体" w:cs="宋体"/>
          <w:color w:val="auto"/>
          <w:sz w:val="21"/>
          <w:szCs w:val="21"/>
          <w:highlight w:val="none"/>
          <w:shd w:val="clear" w:color="auto" w:fill="FFFFFF"/>
        </w:rPr>
        <w:t>），投标人须登录全国公共资源交易平台（广东省·韶关市）（https://ygp.gdzwfw.gov.cn/ggzy-portal/#/440200/index）</w:t>
      </w:r>
      <w:r>
        <w:rPr>
          <w:rFonts w:hint="eastAsia" w:ascii="宋体" w:hAnsi="宋体" w:eastAsia="宋体" w:cs="宋体"/>
          <w:snapToGrid w:val="0"/>
          <w:color w:val="auto"/>
          <w:sz w:val="21"/>
          <w:szCs w:val="21"/>
          <w:highlight w:val="none"/>
        </w:rPr>
        <w:t>下载</w:t>
      </w:r>
      <w:r>
        <w:rPr>
          <w:rFonts w:hint="eastAsia" w:ascii="宋体" w:hAnsi="宋体" w:eastAsia="宋体" w:cs="宋体"/>
          <w:color w:val="auto"/>
          <w:sz w:val="21"/>
          <w:szCs w:val="21"/>
          <w:highlight w:val="none"/>
          <w:shd w:val="clear" w:color="auto" w:fill="FFFFFF"/>
        </w:rPr>
        <w:t>招标文件及相关附件，并于电子投标截止时间（</w:t>
      </w:r>
      <w:r>
        <w:rPr>
          <w:rFonts w:hint="eastAsia" w:ascii="宋体" w:hAnsi="宋体" w:eastAsia="宋体" w:cs="宋体"/>
          <w:snapToGrid w:val="0"/>
          <w:color w:val="auto"/>
          <w:sz w:val="21"/>
          <w:szCs w:val="21"/>
          <w:highlight w:val="none"/>
        </w:rPr>
        <w:t>见本章第二节“重要事项时间地点一览表”</w:t>
      </w:r>
      <w:r>
        <w:rPr>
          <w:rFonts w:hint="eastAsia" w:ascii="宋体" w:hAnsi="宋体" w:eastAsia="宋体" w:cs="宋体"/>
          <w:color w:val="auto"/>
          <w:sz w:val="21"/>
          <w:szCs w:val="21"/>
          <w:highlight w:val="none"/>
          <w:shd w:val="clear" w:color="auto" w:fill="FFFFFF"/>
        </w:rPr>
        <w:t>）前完成电子投标。投标人可登录全国公共资源交易平台（广东省·韶关市）（https://ygp.gdzwfw.gov.cn/ggzy-portal/#/440200/index），在【服务指南】栏目中下载《韶关市公共资源建设工程交易系统-投标人操作指南（电子评标）》，了解网上获取招标文件操作流程。技术咨询电话：18819797080/0751-8379671 伍先生，业务咨询电话：0751-8633211、8633071。</w:t>
      </w:r>
    </w:p>
    <w:p w14:paraId="4335FF64">
      <w:pPr>
        <w:pStyle w:val="45"/>
        <w:wordWrap w:val="0"/>
        <w:adjustRightInd w:val="0"/>
        <w:snapToGrid w:val="0"/>
        <w:spacing w:line="360" w:lineRule="auto"/>
        <w:ind w:firstLine="480"/>
        <w:jc w:val="left"/>
        <w:rPr>
          <w:rFonts w:hint="eastAsia" w:ascii="宋体" w:hAnsi="宋体" w:eastAsia="宋体" w:cs="宋体"/>
          <w:color w:val="auto"/>
          <w:sz w:val="21"/>
          <w:szCs w:val="21"/>
          <w:highlight w:val="none"/>
          <w:shd w:val="clear" w:color="auto" w:fill="FFFFFF"/>
        </w:rPr>
      </w:pPr>
      <w:r>
        <w:rPr>
          <w:rFonts w:hint="eastAsia" w:ascii="宋体" w:hAnsi="宋体" w:eastAsia="宋体" w:cs="宋体"/>
          <w:b/>
          <w:bCs/>
          <w:snapToGrid w:val="0"/>
          <w:color w:val="auto"/>
          <w:kern w:val="0"/>
          <w:sz w:val="21"/>
          <w:szCs w:val="21"/>
          <w:highlight w:val="none"/>
        </w:rPr>
        <w:t xml:space="preserve">7.1.2 </w:t>
      </w:r>
      <w:r>
        <w:rPr>
          <w:rFonts w:hint="eastAsia" w:ascii="宋体" w:hAnsi="宋体" w:eastAsia="宋体" w:cs="宋体"/>
          <w:color w:val="auto"/>
          <w:sz w:val="21"/>
          <w:szCs w:val="21"/>
          <w:highlight w:val="none"/>
          <w:shd w:val="clear" w:color="auto" w:fill="FFFFFF"/>
        </w:rPr>
        <w:t>只有申领了数字证书（CA）、“粤企签”或GDCA/SZCA/NETCA等符合法律法规规定的电子印章，并在交易平台中完成企业信息数据入库的投标人，方可在交易平台获取招标文件和电子投标。</w:t>
      </w:r>
    </w:p>
    <w:p w14:paraId="40ACC2E0">
      <w:pPr>
        <w:pStyle w:val="45"/>
        <w:wordWrap w:val="0"/>
        <w:adjustRightInd w:val="0"/>
        <w:snapToGrid w:val="0"/>
        <w:spacing w:line="360" w:lineRule="auto"/>
        <w:ind w:firstLine="480"/>
        <w:jc w:val="left"/>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首次在韶关市参与建设工程招标投标活动的投标人，必须在交易平台上传企业相关资料办理企业入库事宜。投标人可登录全国公共资源交易平台（广东省·韶关市）（https://ygp.gdzwfw.gov.cn/ggzy-portal/#/440200/index）办理企业入库、数字证书及电子印章事宜，具体请在交易平台查阅相应的交易指引。</w:t>
      </w:r>
    </w:p>
    <w:p w14:paraId="5A9E108E">
      <w:pPr>
        <w:pStyle w:val="45"/>
        <w:wordWrap w:val="0"/>
        <w:adjustRightInd w:val="0"/>
        <w:snapToGrid w:val="0"/>
        <w:spacing w:line="360" w:lineRule="auto"/>
        <w:ind w:firstLine="480"/>
        <w:jc w:val="left"/>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shd w:val="clear" w:color="auto" w:fill="FFFFFF"/>
        </w:rPr>
        <w:t>已入库企业有关信息（如单位名称、基本账号、资质、人员等）发生变化的，须及时在交易平台进行相应变更。投标人未及时变更信息而造成的损失和后果，由投标人自行承担。</w:t>
      </w:r>
    </w:p>
    <w:p w14:paraId="167AC1D4">
      <w:pPr>
        <w:tabs>
          <w:tab w:val="left" w:pos="7020"/>
        </w:tabs>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shd w:val="clear" w:color="auto" w:fill="FFFFFF"/>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r>
        <w:rPr>
          <w:rFonts w:hint="eastAsia" w:ascii="宋体" w:hAnsi="宋体" w:eastAsia="宋体" w:cs="宋体"/>
          <w:snapToGrid w:val="0"/>
          <w:color w:val="auto"/>
          <w:sz w:val="21"/>
          <w:szCs w:val="21"/>
          <w:highlight w:val="none"/>
        </w:rPr>
        <w:t>。</w:t>
      </w:r>
    </w:p>
    <w:p w14:paraId="2CB1313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招标人（或招标代理机构）对投标人的失误不负任何责任，投标人应指定一名投标事务负责人（即授权委托人），专门负责跟踪、签收、阅读和理解招标文件及随后收到的有关资料，向招标人（或招标代理机构）发出疑问，检查投标文件，协助有关人员尽力克服各种投标失误。投标事务负责人（即授权委托人）如有更换，投标人应及时向招标人（或招标代理机构）提交授权委托书。</w:t>
      </w:r>
    </w:p>
    <w:p w14:paraId="00869B7E">
      <w:pPr>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xml:space="preserve">7.3 </w:t>
      </w:r>
      <w:r>
        <w:rPr>
          <w:rFonts w:hint="eastAsia" w:ascii="宋体" w:hAnsi="宋体" w:eastAsia="宋体" w:cs="宋体"/>
          <w:b/>
          <w:bCs/>
          <w:color w:val="auto"/>
          <w:sz w:val="21"/>
          <w:szCs w:val="21"/>
          <w:highlight w:val="none"/>
        </w:rPr>
        <w:t>纪律与保密要求：</w:t>
      </w:r>
    </w:p>
    <w:p w14:paraId="008BFA13">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7.3.1</w:t>
      </w:r>
      <w:r>
        <w:rPr>
          <w:rFonts w:hint="eastAsia" w:ascii="宋体" w:hAnsi="宋体" w:eastAsia="宋体" w:cs="宋体"/>
          <w:b/>
          <w:color w:val="auto"/>
          <w:sz w:val="21"/>
          <w:szCs w:val="21"/>
          <w:highlight w:val="none"/>
        </w:rPr>
        <w:t>对招标人的纪律要求</w:t>
      </w:r>
      <w:r>
        <w:rPr>
          <w:rFonts w:hint="eastAsia" w:ascii="宋体" w:hAnsi="宋体" w:eastAsia="宋体" w:cs="宋体"/>
          <w:color w:val="auto"/>
          <w:sz w:val="21"/>
          <w:szCs w:val="21"/>
          <w:highlight w:val="none"/>
        </w:rPr>
        <w:t>：招标人不得泄露招标投标活动中应当保密的情况和资料，不得与投标人串通损害国家利益、社会公共利益或者他人合法权益。</w:t>
      </w:r>
    </w:p>
    <w:p w14:paraId="25C34FD1">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7.3.2 </w:t>
      </w:r>
      <w:r>
        <w:rPr>
          <w:rFonts w:hint="eastAsia" w:ascii="宋体" w:hAnsi="宋体" w:eastAsia="宋体" w:cs="宋体"/>
          <w:b/>
          <w:color w:val="auto"/>
          <w:sz w:val="21"/>
          <w:szCs w:val="21"/>
          <w:highlight w:val="none"/>
        </w:rPr>
        <w:t>对投标人的纪律要求</w:t>
      </w:r>
      <w:r>
        <w:rPr>
          <w:rFonts w:hint="eastAsia" w:ascii="宋体" w:hAnsi="宋体" w:eastAsia="宋体" w:cs="宋体"/>
          <w:color w:val="auto"/>
          <w:sz w:val="21"/>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6B0144DB">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7.3.3 </w:t>
      </w:r>
      <w:r>
        <w:rPr>
          <w:rFonts w:hint="eastAsia" w:ascii="宋体" w:hAnsi="宋体" w:eastAsia="宋体" w:cs="宋体"/>
          <w:color w:val="auto"/>
          <w:spacing w:val="8"/>
          <w:sz w:val="21"/>
          <w:szCs w:val="21"/>
          <w:highlight w:val="none"/>
        </w:rPr>
        <w:t>参与招</w:t>
      </w:r>
      <w:r>
        <w:rPr>
          <w:rFonts w:hint="eastAsia" w:ascii="宋体" w:hAnsi="宋体" w:eastAsia="宋体" w:cs="宋体"/>
          <w:color w:val="auto"/>
          <w:sz w:val="21"/>
          <w:szCs w:val="21"/>
          <w:highlight w:val="none"/>
        </w:rPr>
        <w:t>标</w:t>
      </w:r>
      <w:r>
        <w:rPr>
          <w:rFonts w:hint="eastAsia" w:ascii="宋体" w:hAnsi="宋体" w:eastAsia="宋体" w:cs="宋体"/>
          <w:color w:val="auto"/>
          <w:spacing w:val="8"/>
          <w:sz w:val="21"/>
          <w:szCs w:val="21"/>
          <w:highlight w:val="none"/>
        </w:rPr>
        <w:t>投标活</w:t>
      </w:r>
      <w:r>
        <w:rPr>
          <w:rFonts w:hint="eastAsia" w:ascii="宋体" w:hAnsi="宋体" w:eastAsia="宋体" w:cs="宋体"/>
          <w:color w:val="auto"/>
          <w:sz w:val="21"/>
          <w:szCs w:val="21"/>
          <w:highlight w:val="none"/>
        </w:rPr>
        <w:t>动</w:t>
      </w:r>
      <w:r>
        <w:rPr>
          <w:rFonts w:hint="eastAsia" w:ascii="宋体" w:hAnsi="宋体" w:eastAsia="宋体" w:cs="宋体"/>
          <w:color w:val="auto"/>
          <w:spacing w:val="8"/>
          <w:sz w:val="21"/>
          <w:szCs w:val="21"/>
          <w:highlight w:val="none"/>
        </w:rPr>
        <w:t>的各方</w:t>
      </w:r>
      <w:r>
        <w:rPr>
          <w:rFonts w:hint="eastAsia" w:ascii="宋体" w:hAnsi="宋体" w:eastAsia="宋体" w:cs="宋体"/>
          <w:color w:val="auto"/>
          <w:sz w:val="21"/>
          <w:szCs w:val="21"/>
          <w:highlight w:val="none"/>
        </w:rPr>
        <w:t>应</w:t>
      </w:r>
      <w:r>
        <w:rPr>
          <w:rFonts w:hint="eastAsia" w:ascii="宋体" w:hAnsi="宋体" w:eastAsia="宋体" w:cs="宋体"/>
          <w:color w:val="auto"/>
          <w:spacing w:val="8"/>
          <w:sz w:val="21"/>
          <w:szCs w:val="21"/>
          <w:highlight w:val="none"/>
        </w:rPr>
        <w:t>对招标</w:t>
      </w:r>
      <w:r>
        <w:rPr>
          <w:rFonts w:hint="eastAsia" w:ascii="宋体" w:hAnsi="宋体" w:eastAsia="宋体" w:cs="宋体"/>
          <w:color w:val="auto"/>
          <w:sz w:val="21"/>
          <w:szCs w:val="21"/>
          <w:highlight w:val="none"/>
        </w:rPr>
        <w:t>文</w:t>
      </w:r>
      <w:r>
        <w:rPr>
          <w:rFonts w:hint="eastAsia" w:ascii="宋体" w:hAnsi="宋体" w:eastAsia="宋体" w:cs="宋体"/>
          <w:color w:val="auto"/>
          <w:spacing w:val="8"/>
          <w:sz w:val="21"/>
          <w:szCs w:val="21"/>
          <w:highlight w:val="none"/>
        </w:rPr>
        <w:t>件和投</w:t>
      </w:r>
      <w:r>
        <w:rPr>
          <w:rFonts w:hint="eastAsia" w:ascii="宋体" w:hAnsi="宋体" w:eastAsia="宋体" w:cs="宋体"/>
          <w:color w:val="auto"/>
          <w:sz w:val="21"/>
          <w:szCs w:val="21"/>
          <w:highlight w:val="none"/>
        </w:rPr>
        <w:t>标</w:t>
      </w:r>
      <w:r>
        <w:rPr>
          <w:rFonts w:hint="eastAsia" w:ascii="宋体" w:hAnsi="宋体" w:eastAsia="宋体" w:cs="宋体"/>
          <w:color w:val="auto"/>
          <w:spacing w:val="8"/>
          <w:sz w:val="21"/>
          <w:szCs w:val="21"/>
          <w:highlight w:val="none"/>
        </w:rPr>
        <w:t>文件中</w:t>
      </w:r>
      <w:r>
        <w:rPr>
          <w:rFonts w:hint="eastAsia" w:ascii="宋体" w:hAnsi="宋体" w:eastAsia="宋体" w:cs="宋体"/>
          <w:color w:val="auto"/>
          <w:sz w:val="21"/>
          <w:szCs w:val="21"/>
          <w:highlight w:val="none"/>
        </w:rPr>
        <w:t>的</w:t>
      </w:r>
      <w:r>
        <w:rPr>
          <w:rFonts w:hint="eastAsia" w:ascii="宋体" w:hAnsi="宋体" w:eastAsia="宋体" w:cs="宋体"/>
          <w:color w:val="auto"/>
          <w:spacing w:val="8"/>
          <w:sz w:val="21"/>
          <w:szCs w:val="21"/>
          <w:highlight w:val="none"/>
        </w:rPr>
        <w:t>商业和</w:t>
      </w:r>
      <w:r>
        <w:rPr>
          <w:rFonts w:hint="eastAsia" w:ascii="宋体" w:hAnsi="宋体" w:eastAsia="宋体" w:cs="宋体"/>
          <w:color w:val="auto"/>
          <w:sz w:val="21"/>
          <w:szCs w:val="21"/>
          <w:highlight w:val="none"/>
        </w:rPr>
        <w:t>技</w:t>
      </w:r>
      <w:r>
        <w:rPr>
          <w:rFonts w:hint="eastAsia" w:ascii="宋体" w:hAnsi="宋体" w:eastAsia="宋体" w:cs="宋体"/>
          <w:color w:val="auto"/>
          <w:spacing w:val="8"/>
          <w:sz w:val="21"/>
          <w:szCs w:val="21"/>
          <w:highlight w:val="none"/>
        </w:rPr>
        <w:t>术等秘密</w:t>
      </w:r>
      <w:r>
        <w:rPr>
          <w:rFonts w:hint="eastAsia" w:ascii="宋体" w:hAnsi="宋体" w:eastAsia="宋体" w:cs="宋体"/>
          <w:color w:val="auto"/>
          <w:sz w:val="21"/>
          <w:szCs w:val="21"/>
          <w:highlight w:val="none"/>
        </w:rPr>
        <w:t>保密，违者应对由此造成的后果承担法律责任。</w:t>
      </w:r>
      <w:bookmarkStart w:id="114" w:name="_Toc371968706"/>
    </w:p>
    <w:p w14:paraId="68C1692D">
      <w:pPr>
        <w:spacing w:line="360" w:lineRule="auto"/>
        <w:ind w:firstLine="420" w:firstLineChars="200"/>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7.</w:t>
      </w:r>
      <w:bookmarkStart w:id="115" w:name="_Toc143766459"/>
      <w:bookmarkStart w:id="116" w:name="_Toc353462191"/>
      <w:bookmarkStart w:id="117" w:name="_Toc353462300"/>
      <w:r>
        <w:rPr>
          <w:rFonts w:hint="eastAsia" w:ascii="宋体" w:hAnsi="宋体" w:eastAsia="宋体" w:cs="宋体"/>
          <w:color w:val="auto"/>
          <w:sz w:val="21"/>
          <w:szCs w:val="21"/>
          <w:highlight w:val="none"/>
        </w:rPr>
        <w:t xml:space="preserve">4 </w:t>
      </w:r>
      <w:r>
        <w:rPr>
          <w:rFonts w:hint="eastAsia" w:ascii="宋体" w:hAnsi="宋体" w:eastAsia="宋体" w:cs="宋体"/>
          <w:b/>
          <w:bCs/>
          <w:color w:val="auto"/>
          <w:sz w:val="21"/>
          <w:szCs w:val="21"/>
          <w:highlight w:val="none"/>
        </w:rPr>
        <w:t>语言、计量及投标费用</w:t>
      </w:r>
      <w:bookmarkEnd w:id="114"/>
      <w:bookmarkEnd w:id="115"/>
      <w:bookmarkEnd w:id="116"/>
      <w:bookmarkEnd w:id="117"/>
      <w:r>
        <w:rPr>
          <w:rFonts w:hint="eastAsia" w:ascii="宋体" w:hAnsi="宋体" w:eastAsia="宋体" w:cs="宋体"/>
          <w:b/>
          <w:bCs/>
          <w:color w:val="auto"/>
          <w:sz w:val="21"/>
          <w:szCs w:val="21"/>
          <w:highlight w:val="none"/>
        </w:rPr>
        <w:t>：</w:t>
      </w:r>
    </w:p>
    <w:p w14:paraId="1D5EE0C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7.4.1 除专用术语外</w:t>
      </w:r>
      <w:r>
        <w:rPr>
          <w:rFonts w:hint="eastAsia" w:ascii="宋体" w:hAnsi="宋体" w:eastAsia="宋体" w:cs="宋体"/>
          <w:color w:val="auto"/>
          <w:spacing w:val="-80"/>
          <w:sz w:val="21"/>
          <w:szCs w:val="21"/>
          <w:highlight w:val="none"/>
        </w:rPr>
        <w:t>，</w:t>
      </w:r>
      <w:r>
        <w:rPr>
          <w:rFonts w:hint="eastAsia" w:ascii="宋体" w:hAnsi="宋体" w:eastAsia="宋体" w:cs="宋体"/>
          <w:color w:val="auto"/>
          <w:sz w:val="21"/>
          <w:szCs w:val="21"/>
          <w:highlight w:val="none"/>
        </w:rPr>
        <w:t>与招标投标有关的语言均使用中文</w:t>
      </w:r>
      <w:r>
        <w:rPr>
          <w:rFonts w:hint="eastAsia" w:ascii="宋体" w:hAnsi="宋体" w:eastAsia="宋体" w:cs="宋体"/>
          <w:color w:val="auto"/>
          <w:spacing w:val="-80"/>
          <w:sz w:val="21"/>
          <w:szCs w:val="21"/>
          <w:highlight w:val="none"/>
        </w:rPr>
        <w:t>。</w:t>
      </w:r>
    </w:p>
    <w:p w14:paraId="6203486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7.4.2 所有计量均采用中华人民共和国法定计量单位。</w:t>
      </w:r>
    </w:p>
    <w:p w14:paraId="48FC1F6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7.4.3 招标文件、投标文件中所指的币种均为人民币。</w:t>
      </w:r>
    </w:p>
    <w:p w14:paraId="24728D3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7.4.4 投标人准备和参加投标活动发生的所有费用自理。</w:t>
      </w:r>
      <w:bookmarkStart w:id="118" w:name="_Toc371968707"/>
    </w:p>
    <w:p w14:paraId="422CA69D">
      <w:pPr>
        <w:spacing w:line="360" w:lineRule="auto"/>
        <w:ind w:firstLine="420" w:firstLineChars="200"/>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7.5</w:t>
      </w:r>
      <w:r>
        <w:rPr>
          <w:rFonts w:hint="eastAsia" w:ascii="宋体" w:hAnsi="宋体" w:eastAsia="宋体" w:cs="宋体"/>
          <w:b/>
          <w:bCs/>
          <w:color w:val="auto"/>
          <w:sz w:val="21"/>
          <w:szCs w:val="21"/>
          <w:highlight w:val="none"/>
        </w:rPr>
        <w:t>知识产权和专利权</w:t>
      </w:r>
      <w:bookmarkEnd w:id="118"/>
      <w:r>
        <w:rPr>
          <w:rFonts w:hint="eastAsia" w:ascii="宋体" w:hAnsi="宋体" w:eastAsia="宋体" w:cs="宋体"/>
          <w:b/>
          <w:bCs/>
          <w:color w:val="auto"/>
          <w:sz w:val="21"/>
          <w:szCs w:val="21"/>
          <w:highlight w:val="none"/>
        </w:rPr>
        <w:t>：</w:t>
      </w:r>
    </w:p>
    <w:p w14:paraId="3E2E7E1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7.5.1 投标人保证投标文件及资料均未侵犯他人的知识产权，否则必须承担全部责任。若投标人使用了他人的专利、专有技术，涉及的费用由投标人负责。投标价应包括所有应支付的对专利权和版权、设计和其他知识产权而需要向其他方支付的版税。</w:t>
      </w:r>
    </w:p>
    <w:p w14:paraId="1B604BC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7.5.2 中标人应保证招标人在本项目建设过程中使用其设计文件和设计文件的任何一部分时，招标人免受第三方提出侵犯其专利权、商标权或其他知识产权的起诉。</w:t>
      </w:r>
    </w:p>
    <w:p w14:paraId="1BE0EBD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7.5.3 中标人提交给招标人的设计文件，其著作权、版权、专利权和使用权归招标人所有（署名权除外）。</w:t>
      </w:r>
    </w:p>
    <w:p w14:paraId="0FBFE395">
      <w:pPr>
        <w:spacing w:line="360" w:lineRule="auto"/>
        <w:ind w:firstLine="420" w:firstLineChars="200"/>
        <w:rPr>
          <w:rFonts w:hint="eastAsia" w:ascii="宋体" w:hAnsi="宋体" w:eastAsia="宋体" w:cs="宋体"/>
          <w:color w:val="auto"/>
          <w:sz w:val="21"/>
          <w:szCs w:val="21"/>
          <w:highlight w:val="none"/>
        </w:rPr>
      </w:pPr>
      <w:bookmarkStart w:id="119" w:name="_Toc371968708"/>
      <w:r>
        <w:rPr>
          <w:rFonts w:hint="eastAsia" w:ascii="宋体" w:hAnsi="宋体" w:eastAsia="宋体" w:cs="宋体"/>
          <w:color w:val="auto"/>
          <w:sz w:val="21"/>
          <w:szCs w:val="21"/>
          <w:highlight w:val="none"/>
        </w:rPr>
        <w:t>7.</w:t>
      </w:r>
      <w:bookmarkEnd w:id="119"/>
      <w:r>
        <w:rPr>
          <w:rFonts w:hint="eastAsia" w:ascii="宋体" w:hAnsi="宋体" w:eastAsia="宋体" w:cs="宋体"/>
          <w:color w:val="auto"/>
          <w:sz w:val="21"/>
          <w:szCs w:val="21"/>
          <w:highlight w:val="none"/>
        </w:rPr>
        <w:t>6 招标文件是招标人发出的要约邀请，投标人参加投标均视为承认招标公告、招标文件及附件的所有条款，并承诺一旦中标将按招标文件、投标文件、合同条款、技术规范要求的质量和进度完成全部委托任务。</w:t>
      </w:r>
    </w:p>
    <w:p w14:paraId="0F847BE8">
      <w:pPr>
        <w:pStyle w:val="44"/>
        <w:keepNext/>
        <w:keepLines/>
        <w:ind w:firstLine="480"/>
        <w:jc w:val="both"/>
        <w:rPr>
          <w:rFonts w:hint="eastAsia" w:ascii="宋体" w:hAnsi="宋体" w:eastAsia="宋体" w:cs="宋体"/>
          <w:b/>
          <w:color w:val="auto"/>
          <w:kern w:val="2"/>
          <w:sz w:val="21"/>
          <w:szCs w:val="21"/>
          <w:highlight w:val="none"/>
        </w:rPr>
      </w:pPr>
      <w:bookmarkStart w:id="120" w:name="_Toc30148"/>
      <w:bookmarkStart w:id="121" w:name="_Toc10600"/>
      <w:r>
        <w:rPr>
          <w:rFonts w:hint="eastAsia" w:ascii="宋体" w:hAnsi="宋体" w:eastAsia="宋体" w:cs="宋体"/>
          <w:b/>
          <w:color w:val="auto"/>
          <w:kern w:val="2"/>
          <w:sz w:val="21"/>
          <w:szCs w:val="21"/>
          <w:highlight w:val="none"/>
        </w:rPr>
        <w:t>8 、招标答疑</w:t>
      </w:r>
      <w:bookmarkEnd w:id="120"/>
      <w:bookmarkEnd w:id="121"/>
      <w:bookmarkStart w:id="122" w:name="_Hlt74496410"/>
      <w:bookmarkEnd w:id="122"/>
    </w:p>
    <w:p w14:paraId="05121CF0">
      <w:pPr>
        <w:pStyle w:val="42"/>
        <w:ind w:firstLine="56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8.1招标人不集中组织答疑，实行网上答疑。</w:t>
      </w:r>
      <w:r>
        <w:rPr>
          <w:rFonts w:hint="eastAsia" w:ascii="宋体" w:hAnsi="宋体" w:eastAsia="宋体" w:cs="宋体"/>
          <w:snapToGrid w:val="0"/>
          <w:color w:val="auto"/>
          <w:kern w:val="0"/>
          <w:sz w:val="21"/>
          <w:szCs w:val="21"/>
          <w:highlight w:val="none"/>
        </w:rPr>
        <w:t>投标人若对招标文件有疑问</w:t>
      </w:r>
      <w:r>
        <w:rPr>
          <w:rFonts w:hint="eastAsia" w:ascii="宋体" w:hAnsi="宋体" w:eastAsia="宋体" w:cs="宋体"/>
          <w:color w:val="auto"/>
          <w:sz w:val="21"/>
          <w:szCs w:val="21"/>
          <w:highlight w:val="none"/>
        </w:rPr>
        <w:t>应在提问截止时间（</w:t>
      </w:r>
      <w:r>
        <w:rPr>
          <w:rFonts w:hint="eastAsia" w:ascii="宋体" w:hAnsi="宋体" w:eastAsia="宋体" w:cs="宋体"/>
          <w:snapToGrid w:val="0"/>
          <w:color w:val="auto"/>
          <w:kern w:val="0"/>
          <w:sz w:val="21"/>
          <w:szCs w:val="21"/>
          <w:highlight w:val="none"/>
        </w:rPr>
        <w:t>见本章第二节“重要事项时间地点一览表”</w:t>
      </w:r>
      <w:r>
        <w:rPr>
          <w:rFonts w:hint="eastAsia" w:ascii="宋体" w:hAnsi="宋体" w:eastAsia="宋体" w:cs="宋体"/>
          <w:color w:val="auto"/>
          <w:sz w:val="21"/>
          <w:szCs w:val="21"/>
          <w:highlight w:val="none"/>
        </w:rPr>
        <w:t>）前在交易平台提出问题。未在指定时间前、未采用指定方式提出的，招标人不予受理。</w:t>
      </w:r>
    </w:p>
    <w:p w14:paraId="0DC84911">
      <w:pPr>
        <w:pStyle w:val="42"/>
        <w:ind w:firstLine="56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8.2 </w:t>
      </w:r>
      <w:r>
        <w:rPr>
          <w:rFonts w:hint="eastAsia" w:ascii="宋体" w:hAnsi="宋体" w:eastAsia="宋体" w:cs="宋体"/>
          <w:snapToGrid w:val="0"/>
          <w:color w:val="auto"/>
          <w:kern w:val="0"/>
          <w:sz w:val="21"/>
          <w:szCs w:val="21"/>
          <w:highlight w:val="none"/>
        </w:rPr>
        <w:t>招标人在提问截止时间（见本章第二节“重要事项时间地点一览表”）后3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431873B1">
      <w:pPr>
        <w:pStyle w:val="42"/>
        <w:ind w:firstLine="56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8.3 答疑书（</w:t>
      </w:r>
      <w:r>
        <w:rPr>
          <w:rFonts w:hint="eastAsia" w:ascii="宋体" w:hAnsi="宋体" w:eastAsia="宋体" w:cs="宋体"/>
          <w:snapToGrid w:val="0"/>
          <w:color w:val="auto"/>
          <w:kern w:val="0"/>
          <w:sz w:val="21"/>
          <w:szCs w:val="21"/>
          <w:highlight w:val="none"/>
        </w:rPr>
        <w:t>或修改</w:t>
      </w:r>
      <w:r>
        <w:rPr>
          <w:rFonts w:hint="eastAsia" w:ascii="宋体" w:hAnsi="宋体" w:eastAsia="宋体" w:cs="宋体"/>
          <w:color w:val="auto"/>
          <w:sz w:val="21"/>
          <w:szCs w:val="21"/>
          <w:highlight w:val="none"/>
        </w:rPr>
        <w:t>）对招标文件的修改或补充内容作为招标文件的组成部分，具有约束作用。招标文件的澄清、修改、补充等内容均以答疑书（</w:t>
      </w:r>
      <w:r>
        <w:rPr>
          <w:rFonts w:hint="eastAsia" w:ascii="宋体" w:hAnsi="宋体" w:eastAsia="宋体" w:cs="宋体"/>
          <w:snapToGrid w:val="0"/>
          <w:color w:val="auto"/>
          <w:kern w:val="0"/>
          <w:sz w:val="21"/>
          <w:szCs w:val="21"/>
          <w:highlight w:val="none"/>
        </w:rPr>
        <w:t>或修改</w:t>
      </w:r>
      <w:r>
        <w:rPr>
          <w:rFonts w:hint="eastAsia" w:ascii="宋体" w:hAnsi="宋体" w:eastAsia="宋体" w:cs="宋体"/>
          <w:color w:val="auto"/>
          <w:sz w:val="21"/>
          <w:szCs w:val="21"/>
          <w:highlight w:val="none"/>
        </w:rPr>
        <w:t>）中明确的内容为准。当招标文件、招标文件的澄清、修改、补充等文件在同一内容的表述上不一致时，以最后发出的答疑书（</w:t>
      </w:r>
      <w:r>
        <w:rPr>
          <w:rFonts w:hint="eastAsia" w:ascii="宋体" w:hAnsi="宋体" w:eastAsia="宋体" w:cs="宋体"/>
          <w:snapToGrid w:val="0"/>
          <w:color w:val="auto"/>
          <w:kern w:val="0"/>
          <w:sz w:val="21"/>
          <w:szCs w:val="21"/>
          <w:highlight w:val="none"/>
        </w:rPr>
        <w:t>或修改</w:t>
      </w:r>
      <w:r>
        <w:rPr>
          <w:rFonts w:hint="eastAsia" w:ascii="宋体" w:hAnsi="宋体" w:eastAsia="宋体" w:cs="宋体"/>
          <w:color w:val="auto"/>
          <w:sz w:val="21"/>
          <w:szCs w:val="21"/>
          <w:highlight w:val="none"/>
        </w:rPr>
        <w:t>）为准。</w:t>
      </w:r>
    </w:p>
    <w:p w14:paraId="656C7092">
      <w:pPr>
        <w:pStyle w:val="42"/>
        <w:ind w:firstLine="56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8.4 投标人在规定的时间内未对招标文件提出澄清或疑问的，招标人将视其为无异议。对招标文件中描述有歧义或前后不一致的地方，评标委员会有权进行评判，但对同一条款的评判应适用于每个投标人。</w:t>
      </w:r>
    </w:p>
    <w:p w14:paraId="0079E829">
      <w:pPr>
        <w:pStyle w:val="42"/>
        <w:ind w:firstLine="56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8.5 招标人向投标人提供的资料和数据，是招标人现有的能使投标人利用的资料。投标人对招标人提供的招标文件所作出的推论、解释和结论，招标人概不负责；投标人由于对招标文件的任何推论和误解以及招标人对有关问题的口头解释所造成的后果，均由投标人自行负责。</w:t>
      </w:r>
    </w:p>
    <w:p w14:paraId="560E4C1A">
      <w:pPr>
        <w:pStyle w:val="44"/>
        <w:keepNext/>
        <w:keepLines/>
        <w:ind w:firstLine="480"/>
        <w:jc w:val="both"/>
        <w:rPr>
          <w:rFonts w:hint="eastAsia" w:ascii="宋体" w:hAnsi="宋体" w:eastAsia="宋体" w:cs="宋体"/>
          <w:b/>
          <w:color w:val="auto"/>
          <w:kern w:val="2"/>
          <w:sz w:val="21"/>
          <w:szCs w:val="21"/>
          <w:highlight w:val="none"/>
        </w:rPr>
      </w:pPr>
      <w:bookmarkStart w:id="123" w:name="_Hlt92513711"/>
      <w:bookmarkEnd w:id="123"/>
      <w:bookmarkStart w:id="124" w:name="_Hlt92513715"/>
      <w:bookmarkEnd w:id="124"/>
      <w:bookmarkStart w:id="125" w:name="_Hlt69699188"/>
      <w:bookmarkEnd w:id="125"/>
      <w:bookmarkStart w:id="126" w:name="_Toc15195"/>
      <w:bookmarkStart w:id="127" w:name="_Toc25532"/>
      <w:bookmarkStart w:id="128" w:name="_Toc28777"/>
      <w:bookmarkStart w:id="129" w:name="_Toc14430"/>
      <w:bookmarkStart w:id="130" w:name="_Toc20643"/>
      <w:bookmarkStart w:id="131" w:name="_Toc31064"/>
      <w:bookmarkStart w:id="132" w:name="_Toc30627"/>
      <w:bookmarkStart w:id="133" w:name="_Toc11301"/>
      <w:bookmarkStart w:id="134" w:name="_Toc8032"/>
      <w:r>
        <w:rPr>
          <w:rFonts w:hint="eastAsia" w:ascii="宋体" w:hAnsi="宋体" w:eastAsia="宋体" w:cs="宋体"/>
          <w:b/>
          <w:color w:val="auto"/>
          <w:kern w:val="2"/>
          <w:sz w:val="21"/>
          <w:szCs w:val="21"/>
          <w:highlight w:val="none"/>
        </w:rPr>
        <w:t>9 、投标报价的编制</w:t>
      </w:r>
      <w:bookmarkEnd w:id="126"/>
      <w:bookmarkEnd w:id="127"/>
      <w:bookmarkEnd w:id="128"/>
      <w:bookmarkEnd w:id="129"/>
      <w:bookmarkEnd w:id="130"/>
      <w:bookmarkEnd w:id="131"/>
      <w:bookmarkEnd w:id="132"/>
      <w:bookmarkEnd w:id="133"/>
      <w:bookmarkEnd w:id="134"/>
      <w:bookmarkStart w:id="135" w:name="_Hlt74498519"/>
      <w:bookmarkEnd w:id="135"/>
    </w:p>
    <w:p w14:paraId="04CDD691">
      <w:pPr>
        <w:pStyle w:val="42"/>
        <w:ind w:firstLine="468"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9.1 本工程计价依据为：</w:t>
      </w:r>
    </w:p>
    <w:p w14:paraId="33F213EB">
      <w:pPr>
        <w:pStyle w:val="42"/>
        <w:ind w:firstLine="560"/>
        <w:rPr>
          <w:rFonts w:hint="eastAsia" w:ascii="宋体" w:hAnsi="宋体" w:eastAsia="宋体" w:cs="宋体"/>
          <w:color w:val="auto"/>
          <w:sz w:val="21"/>
          <w:szCs w:val="21"/>
          <w:highlight w:val="none"/>
        </w:rPr>
      </w:pPr>
      <w:bookmarkStart w:id="136" w:name="_Hlt69335755"/>
      <w:bookmarkEnd w:id="136"/>
      <w:r>
        <w:rPr>
          <w:rFonts w:hint="eastAsia" w:ascii="宋体" w:hAnsi="宋体" w:eastAsia="宋体" w:cs="宋体"/>
          <w:color w:val="auto"/>
          <w:sz w:val="21"/>
          <w:szCs w:val="21"/>
          <w:highlight w:val="none"/>
        </w:rPr>
        <w:t>（1）《工程勘察设计收费管理规定》（计价格[2002]10号）、《工程勘察设计收费导则（第二版）》（粤勘设协〔2021〕2号）；</w:t>
      </w:r>
    </w:p>
    <w:p w14:paraId="14D560C8">
      <w:pPr>
        <w:pStyle w:val="42"/>
        <w:ind w:firstLine="56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（2）《建设工程工程量清单计价规范》（GB50500—</w:t>
      </w:r>
      <w:r>
        <w:rPr>
          <w:rFonts w:hint="eastAsia" w:hAnsi="宋体" w:cs="宋体"/>
          <w:color w:val="auto"/>
          <w:sz w:val="21"/>
          <w:szCs w:val="21"/>
          <w:highlight w:val="none"/>
          <w:lang w:val="en-US" w:eastAsia="zh-CN"/>
        </w:rPr>
        <w:t>2024</w:t>
      </w:r>
      <w:r>
        <w:rPr>
          <w:rFonts w:hint="eastAsia" w:ascii="宋体" w:hAnsi="宋体" w:eastAsia="宋体" w:cs="宋体"/>
          <w:color w:val="auto"/>
          <w:sz w:val="21"/>
          <w:szCs w:val="21"/>
          <w:highlight w:val="none"/>
        </w:rPr>
        <w:t>）；</w:t>
      </w:r>
    </w:p>
    <w:p w14:paraId="79034211">
      <w:pPr>
        <w:pStyle w:val="42"/>
        <w:ind w:firstLine="56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51805E0F">
      <w:pPr>
        <w:pStyle w:val="42"/>
        <w:ind w:firstLine="56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snapToGrid w:val="0"/>
          <w:color w:val="auto"/>
          <w:kern w:val="0"/>
          <w:sz w:val="21"/>
          <w:szCs w:val="21"/>
          <w:highlight w:val="none"/>
        </w:rPr>
        <w:t>招标文件及其答疑（或修改）公告</w:t>
      </w:r>
      <w:r>
        <w:rPr>
          <w:rFonts w:hint="eastAsia" w:ascii="宋体" w:hAnsi="宋体" w:eastAsia="宋体" w:cs="宋体"/>
          <w:color w:val="auto"/>
          <w:sz w:val="21"/>
          <w:szCs w:val="21"/>
          <w:highlight w:val="none"/>
        </w:rPr>
        <w:t>；</w:t>
      </w:r>
    </w:p>
    <w:p w14:paraId="76CB19D6">
      <w:pPr>
        <w:pStyle w:val="42"/>
        <w:ind w:firstLine="56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（5）施工现场情况、工程特点及常规施工方案；</w:t>
      </w:r>
    </w:p>
    <w:p w14:paraId="314A6DB5">
      <w:pPr>
        <w:pStyle w:val="42"/>
        <w:ind w:firstLine="56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（6）项目所在地工程造价管理机构发布的工程造价信息，工程造价信息缺项的，参照市场价格；</w:t>
      </w:r>
    </w:p>
    <w:p w14:paraId="28804096">
      <w:pPr>
        <w:pStyle w:val="42"/>
        <w:ind w:firstLine="56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（7）与建设项目相关的标准、规范、技术资料。</w:t>
      </w:r>
    </w:p>
    <w:p w14:paraId="1CCFBB3B">
      <w:pPr>
        <w:pStyle w:val="42"/>
        <w:ind w:firstLine="468" w:firstLineChars="200"/>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9.2</w:t>
      </w:r>
      <w:r>
        <w:rPr>
          <w:rFonts w:hint="eastAsia" w:ascii="宋体" w:hAnsi="宋体" w:eastAsia="宋体" w:cs="宋体"/>
          <w:color w:val="auto"/>
          <w:sz w:val="21"/>
          <w:szCs w:val="21"/>
          <w:highlight w:val="none"/>
        </w:rPr>
        <w:t xml:space="preserve"> 本工程投标前，招标人及招标代理机构不集中组织现场踏勘，投标人需要了解现场情况的，可自行进行现场踏勘。各投标人应勘察施工现场及周围环境、地形、地貌、水文、交通等情况，以获得一切可能影响到投标的直</w:t>
      </w:r>
      <w:bookmarkStart w:id="137" w:name="_Hlt66509056"/>
      <w:bookmarkEnd w:id="137"/>
      <w:r>
        <w:rPr>
          <w:rFonts w:hint="eastAsia" w:ascii="宋体" w:hAnsi="宋体" w:eastAsia="宋体" w:cs="宋体"/>
          <w:color w:val="auto"/>
          <w:sz w:val="21"/>
          <w:szCs w:val="21"/>
          <w:highlight w:val="none"/>
        </w:rPr>
        <w:t>接资料。投标人应针对现场情况编制施工组织设计，并在写投标报价时考虑现场情况的影响。</w:t>
      </w:r>
    </w:p>
    <w:p w14:paraId="5D174D3F">
      <w:pPr>
        <w:pStyle w:val="50"/>
        <w:ind w:left="0" w:leftChars="0" w:firstLine="468" w:firstLineChars="200"/>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9.</w:t>
      </w:r>
      <w:bookmarkStart w:id="138" w:name="_Hlt88974322"/>
      <w:r>
        <w:rPr>
          <w:rFonts w:hint="eastAsia" w:ascii="宋体" w:hAnsi="宋体" w:eastAsia="宋体" w:cs="宋体"/>
          <w:color w:val="auto"/>
          <w:spacing w:val="12"/>
          <w:sz w:val="21"/>
          <w:szCs w:val="21"/>
          <w:highlight w:val="none"/>
        </w:rPr>
        <w:t>3</w:t>
      </w:r>
      <w:r>
        <w:rPr>
          <w:rFonts w:hint="eastAsia" w:ascii="宋体" w:hAnsi="宋体" w:eastAsia="宋体" w:cs="宋体"/>
          <w:color w:val="auto"/>
          <w:sz w:val="21"/>
          <w:szCs w:val="21"/>
          <w:highlight w:val="none"/>
        </w:rPr>
        <w:t xml:space="preserve"> 现场踏勘费以及其它施工措施项目费，由投标人在投标报价中综合考虑，一次包定。无论投标人是否列出费用，招标人将一律视为已确认所有现场条件和可能发生的异常情况。</w:t>
      </w:r>
    </w:p>
    <w:bookmarkEnd w:id="138"/>
    <w:p w14:paraId="4093A2B5">
      <w:pPr>
        <w:pStyle w:val="42"/>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9.4 招标人向投标人提供的有关现场的数据和资料，是招标人现有的能被投标人利用的资料，招标人对投标人做出的任何推论、理解和结论均不负责任。</w:t>
      </w:r>
    </w:p>
    <w:p w14:paraId="21AC04A2">
      <w:pPr>
        <w:spacing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zh-CN"/>
        </w:rPr>
        <w:t>投标人负责协调处理因项目实施与周边企业和村民等关系并承担相关费用。</w:t>
      </w:r>
    </w:p>
    <w:p w14:paraId="4D550D1C">
      <w:pPr>
        <w:spacing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zh-CN"/>
        </w:rPr>
        <w:t>投标人应采取设计优化的方式，通过土方平衡方法解决弃土问题，若仍有弃土，按实结算。</w:t>
      </w:r>
    </w:p>
    <w:p w14:paraId="76CE5295">
      <w:pPr>
        <w:spacing w:line="360" w:lineRule="auto"/>
        <w:ind w:firstLine="420" w:firstLineChars="200"/>
        <w:rPr>
          <w:rFonts w:hint="eastAsia" w:ascii="宋体" w:hAnsi="宋体" w:eastAsia="宋体" w:cs="宋体"/>
          <w:b/>
          <w:color w:val="auto"/>
          <w:sz w:val="21"/>
          <w:szCs w:val="21"/>
          <w:highlight w:val="none"/>
          <w:u w:val="double"/>
        </w:rPr>
      </w:pP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val="zh-CN"/>
        </w:rPr>
        <w:t>.</w:t>
      </w:r>
      <w:bookmarkStart w:id="139" w:name="_Toc319917951"/>
      <w:r>
        <w:rPr>
          <w:rFonts w:hint="eastAsia" w:ascii="宋体" w:hAnsi="宋体" w:eastAsia="宋体" w:cs="宋体"/>
          <w:color w:val="auto"/>
          <w:sz w:val="21"/>
          <w:szCs w:val="21"/>
          <w:highlight w:val="none"/>
        </w:rPr>
        <w:t>7</w:t>
      </w:r>
      <w:r>
        <w:rPr>
          <w:rFonts w:hint="eastAsia" w:ascii="宋体" w:hAnsi="宋体" w:eastAsia="宋体" w:cs="宋体"/>
          <w:b/>
          <w:color w:val="auto"/>
          <w:sz w:val="21"/>
          <w:szCs w:val="21"/>
          <w:highlight w:val="none"/>
          <w:u w:val="double"/>
        </w:rPr>
        <w:t>投标人的投标报价不得超过招标人公布的最高投标限价。本项目为限额设计，工程结算总造价不得超过中标价。</w:t>
      </w:r>
    </w:p>
    <w:p w14:paraId="3649A516">
      <w:pPr>
        <w:spacing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9.8</w:t>
      </w:r>
      <w:r>
        <w:rPr>
          <w:rFonts w:hint="eastAsia" w:ascii="宋体" w:hAnsi="宋体" w:eastAsia="宋体" w:cs="宋体"/>
          <w:b/>
          <w:color w:val="auto"/>
          <w:sz w:val="21"/>
          <w:szCs w:val="21"/>
          <w:highlight w:val="none"/>
          <w:lang w:val="zh-CN"/>
        </w:rPr>
        <w:t>投标单位应充分考虑本招标文件“第二章 拟签订合同的主要条款”所列的结算原则进行投标及报价。</w:t>
      </w:r>
      <w:bookmarkEnd w:id="139"/>
    </w:p>
    <w:p w14:paraId="61B9B0CE">
      <w:pPr>
        <w:spacing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val="zh-CN"/>
        </w:rPr>
        <w:t>投标人的投标总报价应考虑完成招标文件中招标规模、内容及设计任务书所规定的所有工程及设备的费用，并承担结算原则中规定的一切风险，还应考虑报建和施工时应由施工单位承担的一切费用。各项费用的主要内容及其报价方式：</w:t>
      </w:r>
      <w:bookmarkStart w:id="140" w:name="_Toc3872"/>
      <w:bookmarkStart w:id="141" w:name="_Toc11863"/>
      <w:bookmarkStart w:id="142" w:name="_Toc17803"/>
      <w:bookmarkStart w:id="143" w:name="_Toc18903"/>
      <w:bookmarkStart w:id="144" w:name="_Toc32012"/>
      <w:bookmarkStart w:id="145" w:name="_Toc57"/>
      <w:bookmarkStart w:id="146" w:name="_Toc29402"/>
      <w:bookmarkStart w:id="147" w:name="_Toc15059"/>
      <w:bookmarkStart w:id="148" w:name="_Toc13707"/>
      <w:bookmarkStart w:id="149" w:name="_Toc11568"/>
      <w:bookmarkStart w:id="150" w:name="_Toc39136339"/>
      <w:bookmarkStart w:id="151" w:name="_Toc20815"/>
      <w:r>
        <w:rPr>
          <w:rFonts w:hint="eastAsia" w:ascii="宋体" w:hAnsi="宋体" w:eastAsia="宋体" w:cs="宋体"/>
          <w:b/>
          <w:bCs/>
          <w:color w:val="auto"/>
          <w:sz w:val="21"/>
          <w:szCs w:val="21"/>
          <w:highlight w:val="none"/>
          <w:u w:val="single"/>
          <w:lang w:val="zh-CN"/>
        </w:rPr>
        <w:t>投标人投标报价=设计费投标报价+建安工程费投标报价</w:t>
      </w:r>
      <w:bookmarkEnd w:id="140"/>
      <w:bookmarkEnd w:id="141"/>
      <w:bookmarkEnd w:id="142"/>
      <w:bookmarkEnd w:id="143"/>
      <w:bookmarkEnd w:id="144"/>
      <w:bookmarkEnd w:id="145"/>
      <w:bookmarkEnd w:id="146"/>
      <w:bookmarkEnd w:id="147"/>
      <w:bookmarkEnd w:id="148"/>
      <w:bookmarkEnd w:id="149"/>
      <w:bookmarkEnd w:id="150"/>
      <w:bookmarkEnd w:id="151"/>
    </w:p>
    <w:p w14:paraId="53774DE2">
      <w:pPr>
        <w:spacing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val="zh-CN"/>
        </w:rPr>
        <w:t>.1</w:t>
      </w:r>
      <w:r>
        <w:rPr>
          <w:rFonts w:hint="eastAsia" w:ascii="宋体" w:hAnsi="宋体" w:eastAsia="宋体" w:cs="宋体"/>
          <w:color w:val="auto"/>
          <w:sz w:val="21"/>
          <w:szCs w:val="21"/>
          <w:highlight w:val="none"/>
        </w:rPr>
        <w:t>设计费投标报价：在最高投标限价范围内，投标人自行报价。设计费的报价应包括招标文件中招标内容（范围）和可行性研究报告所规定的所有设计工作的所有费用，还应考虑招标人提出的与项目相关的其他要求所产生的费用</w:t>
      </w:r>
      <w:r>
        <w:rPr>
          <w:rFonts w:hint="eastAsia" w:ascii="宋体" w:hAnsi="宋体" w:eastAsia="宋体" w:cs="宋体"/>
          <w:color w:val="auto"/>
          <w:sz w:val="21"/>
          <w:szCs w:val="21"/>
          <w:highlight w:val="none"/>
          <w:lang w:val="zh-CN"/>
        </w:rPr>
        <w:t>。</w:t>
      </w:r>
    </w:p>
    <w:p w14:paraId="5E30912B">
      <w:pPr>
        <w:spacing w:line="360" w:lineRule="auto"/>
        <w:ind w:firstLine="422" w:firstLineChars="200"/>
        <w:rPr>
          <w:rFonts w:hint="eastAsia" w:ascii="宋体" w:hAnsi="宋体" w:eastAsia="宋体" w:cs="宋体"/>
          <w:b/>
          <w:bCs/>
          <w:snapToGrid w:val="0"/>
          <w:color w:val="auto"/>
          <w:kern w:val="0"/>
          <w:sz w:val="21"/>
          <w:szCs w:val="21"/>
          <w:highlight w:val="none"/>
        </w:rPr>
      </w:pPr>
      <w:r>
        <w:rPr>
          <w:rFonts w:hint="eastAsia" w:ascii="宋体" w:hAnsi="宋体" w:eastAsia="宋体" w:cs="宋体"/>
          <w:b/>
          <w:bCs/>
          <w:color w:val="auto"/>
          <w:sz w:val="21"/>
          <w:szCs w:val="21"/>
          <w:highlight w:val="none"/>
        </w:rPr>
        <w:t>本次招标采用填报</w:t>
      </w:r>
      <w:r>
        <w:rPr>
          <w:rFonts w:hint="eastAsia" w:ascii="宋体" w:hAnsi="宋体" w:eastAsia="宋体" w:cs="宋体"/>
          <w:b/>
          <w:bCs/>
          <w:color w:val="auto"/>
          <w:sz w:val="21"/>
          <w:szCs w:val="21"/>
          <w:highlight w:val="none"/>
          <w:u w:val="single"/>
        </w:rPr>
        <w:t>设计费以投标报价及取费费率</w:t>
      </w:r>
      <w:r>
        <w:rPr>
          <w:rFonts w:hint="eastAsia" w:ascii="宋体" w:hAnsi="宋体" w:eastAsia="宋体" w:cs="宋体"/>
          <w:b/>
          <w:bCs/>
          <w:color w:val="auto"/>
          <w:sz w:val="21"/>
          <w:szCs w:val="21"/>
          <w:highlight w:val="none"/>
        </w:rPr>
        <w:t>的方式进行报价</w:t>
      </w:r>
      <w:r>
        <w:rPr>
          <w:rFonts w:hint="eastAsia" w:ascii="宋体" w:hAnsi="宋体" w:eastAsia="宋体" w:cs="宋体"/>
          <w:b/>
          <w:bCs/>
          <w:snapToGrid w:val="0"/>
          <w:color w:val="auto"/>
          <w:kern w:val="0"/>
          <w:sz w:val="21"/>
          <w:szCs w:val="21"/>
          <w:highlight w:val="none"/>
        </w:rPr>
        <w:t>。</w:t>
      </w:r>
    </w:p>
    <w:p w14:paraId="6279D0C9">
      <w:pPr>
        <w:spacing w:line="360" w:lineRule="auto"/>
        <w:ind w:firstLine="420" w:firstLineChars="200"/>
        <w:rPr>
          <w:rFonts w:hint="eastAsia" w:ascii="宋体" w:hAnsi="宋体" w:eastAsia="宋体" w:cs="宋体"/>
          <w:b/>
          <w:bCs/>
          <w:color w:val="auto"/>
          <w:sz w:val="21"/>
          <w:szCs w:val="21"/>
          <w:highlight w:val="none"/>
          <w:u w:val="single"/>
          <w:lang w:val="zh-CN"/>
        </w:rPr>
      </w:pPr>
      <w:r>
        <w:rPr>
          <w:rFonts w:hint="eastAsia" w:ascii="宋体" w:hAnsi="宋体" w:eastAsia="宋体" w:cs="宋体"/>
          <w:color w:val="auto"/>
          <w:sz w:val="21"/>
          <w:szCs w:val="21"/>
          <w:highlight w:val="none"/>
          <w:lang w:val="zh-CN"/>
        </w:rPr>
        <w:t>9.9.</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zh-CN"/>
        </w:rPr>
        <w:t>建安工程费用：采</w:t>
      </w:r>
      <w:r>
        <w:rPr>
          <w:rFonts w:hint="eastAsia" w:ascii="宋体" w:hAnsi="宋体" w:eastAsia="宋体" w:cs="宋体"/>
          <w:color w:val="auto"/>
          <w:sz w:val="21"/>
          <w:szCs w:val="21"/>
          <w:highlight w:val="none"/>
        </w:rPr>
        <w:t>用投标</w:t>
      </w:r>
      <w:r>
        <w:rPr>
          <w:rFonts w:hint="eastAsia" w:ascii="宋体" w:hAnsi="宋体" w:eastAsia="宋体" w:cs="宋体"/>
          <w:color w:val="auto"/>
          <w:sz w:val="21"/>
          <w:szCs w:val="21"/>
          <w:highlight w:val="none"/>
          <w:lang w:val="zh-CN"/>
        </w:rPr>
        <w:t>下浮率的方式进行报价，结算时按招标文件有关结算原则计算后再按建安工程费</w:t>
      </w:r>
      <w:r>
        <w:rPr>
          <w:rFonts w:hint="eastAsia" w:ascii="宋体" w:hAnsi="宋体" w:eastAsia="宋体" w:cs="宋体"/>
          <w:color w:val="auto"/>
          <w:sz w:val="21"/>
          <w:szCs w:val="21"/>
          <w:highlight w:val="none"/>
        </w:rPr>
        <w:t>投</w:t>
      </w:r>
      <w:r>
        <w:rPr>
          <w:rFonts w:hint="eastAsia" w:ascii="宋体" w:hAnsi="宋体" w:eastAsia="宋体" w:cs="宋体"/>
          <w:color w:val="auto"/>
          <w:sz w:val="21"/>
          <w:szCs w:val="21"/>
          <w:highlight w:val="none"/>
          <w:lang w:val="zh-CN"/>
        </w:rPr>
        <w:t>标下浮率下浮。</w:t>
      </w:r>
      <w:r>
        <w:rPr>
          <w:rFonts w:hint="eastAsia" w:ascii="宋体" w:hAnsi="宋体" w:eastAsia="宋体" w:cs="宋体"/>
          <w:b/>
          <w:bCs/>
          <w:color w:val="auto"/>
          <w:sz w:val="21"/>
          <w:szCs w:val="21"/>
          <w:highlight w:val="none"/>
          <w:u w:val="single"/>
          <w:lang w:val="zh-CN"/>
        </w:rPr>
        <w:t>建安工程费投标报价=报价基数×（1-投标下浮率）</w:t>
      </w:r>
    </w:p>
    <w:p w14:paraId="5A67BD7F">
      <w:pPr>
        <w:spacing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如投标人的建安工程费用投标报价下浮率高于15%时，投标人必须在投标报价书中另行作出详细合理的书面说明并提供相关证明材料供评标委员会评审，否则评标委员会将认定该投标人以低于成本报价竞标。</w:t>
      </w:r>
    </w:p>
    <w:p w14:paraId="56E48B78">
      <w:pPr>
        <w:spacing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建安工程费用的报价应考虑完成招标文件中招标规模、内容及可行性研究报告所规定的所有工程及设备的费用，并承担结算原则中规定的一切风险，还应考虑报建和施工时应由施工单位承担的一切费用、工程一切检测费用（除有文件规定必须招标人支付的费用外）、工程有关档案和影像等整理或制作及向相关部门交取的费用。</w:t>
      </w:r>
    </w:p>
    <w:p w14:paraId="2422D95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9.9.3预算包干费：根据2018年《广东省市政工程综合定额》、2018年《广东省房屋建筑与装饰工程综合定额》、2018年《广东省通用安装工程综合定额》、2018年《广东省园林绿化工程综合定额》，以各专业分部分项的人工费与施工机具费之和为基础计算预算包干费。本工程的预算包干内容包括：按《广东省建设工程计价依据（2018）》相关规定。</w:t>
      </w:r>
    </w:p>
    <w:p w14:paraId="6AB5627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9.9.4投标人在投标报价时，自行考虑高温补贴费、施工视频监控系统费用，专业分包的总包服务及配合费，预算（含工程量清单编制费）等，并承担相应风险，结算时不另行计取。</w:t>
      </w:r>
    </w:p>
    <w:p w14:paraId="0B5D38DF">
      <w:pPr>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rPr>
        <w:t xml:space="preserve">9.5 </w:t>
      </w:r>
      <w:r>
        <w:rPr>
          <w:rFonts w:hint="eastAsia" w:ascii="宋体" w:hAnsi="宋体" w:eastAsia="宋体" w:cs="宋体"/>
          <w:b/>
          <w:color w:val="auto"/>
          <w:sz w:val="21"/>
          <w:szCs w:val="21"/>
          <w:highlight w:val="none"/>
          <w:u w:val="double"/>
        </w:rPr>
        <w:t>招标人可根据本项目实际情况对规模及内容进行调整或减少，投标人中标后不得因此调整或减少向招标人索赔，并且必须按调整或减少后的规模及内容完成工程建设。投标人在投标报价时需综合考虑该因素并报价。</w:t>
      </w:r>
    </w:p>
    <w:p w14:paraId="556F9885">
      <w:pPr>
        <w:bidi w:val="0"/>
        <w:spacing w:line="360" w:lineRule="auto"/>
        <w:ind w:firstLine="422" w:firstLineChars="200"/>
        <w:rPr>
          <w:rFonts w:hint="eastAsia" w:asciiTheme="minorEastAsia" w:hAnsiTheme="minorEastAsia" w:eastAsiaTheme="minorEastAsia" w:cstheme="minorEastAsia"/>
          <w:b/>
          <w:bCs/>
          <w:color w:val="auto"/>
          <w:sz w:val="21"/>
          <w:szCs w:val="16"/>
          <w:highlight w:val="none"/>
        </w:rPr>
      </w:pPr>
      <w:r>
        <w:rPr>
          <w:rFonts w:hint="eastAsia" w:asciiTheme="minorEastAsia" w:hAnsiTheme="minorEastAsia" w:eastAsiaTheme="minorEastAsia" w:cstheme="minorEastAsia"/>
          <w:b/>
          <w:bCs/>
          <w:color w:val="auto"/>
          <w:sz w:val="21"/>
          <w:szCs w:val="16"/>
          <w:highlight w:val="none"/>
        </w:rPr>
        <w:t>10、 最高投标限价的确定</w:t>
      </w:r>
      <w:bookmarkStart w:id="152" w:name="_Hlt69335617"/>
      <w:bookmarkStart w:id="153" w:name="_Hlt121629839"/>
    </w:p>
    <w:p w14:paraId="136D1D03">
      <w:pPr>
        <w:bidi w:val="0"/>
        <w:spacing w:line="360" w:lineRule="auto"/>
        <w:ind w:firstLine="420" w:firstLineChars="200"/>
        <w:rPr>
          <w:rFonts w:hint="eastAsia" w:asciiTheme="minorEastAsia" w:hAnsiTheme="minorEastAsia" w:eastAsiaTheme="minorEastAsia" w:cstheme="minorEastAsia"/>
          <w:sz w:val="21"/>
          <w:szCs w:val="16"/>
          <w:highlight w:val="none"/>
          <w:lang w:val="zh-CN" w:eastAsia="zh-CN"/>
        </w:rPr>
      </w:pPr>
      <w:bookmarkStart w:id="154" w:name="_Toc5483"/>
      <w:bookmarkStart w:id="155" w:name="_Toc13350"/>
      <w:bookmarkStart w:id="156" w:name="_Toc4178"/>
      <w:bookmarkStart w:id="157" w:name="_Toc7307"/>
      <w:bookmarkStart w:id="158" w:name="_Toc4604"/>
      <w:bookmarkStart w:id="159" w:name="_Toc32578"/>
      <w:bookmarkStart w:id="160" w:name="_Toc29734"/>
      <w:bookmarkStart w:id="161" w:name="_Toc15152"/>
      <w:bookmarkStart w:id="162" w:name="_Toc24510"/>
      <w:r>
        <w:rPr>
          <w:rFonts w:hint="eastAsia" w:asciiTheme="minorEastAsia" w:hAnsiTheme="minorEastAsia" w:eastAsiaTheme="minorEastAsia" w:cstheme="minorEastAsia"/>
          <w:sz w:val="21"/>
          <w:szCs w:val="16"/>
          <w:highlight w:val="none"/>
          <w:lang w:val="zh-CN" w:eastAsia="zh-CN"/>
        </w:rPr>
        <w:t>本项目最高投标限价为人民币(大写)：</w:t>
      </w:r>
      <w:r>
        <w:rPr>
          <w:rFonts w:hint="eastAsia" w:asciiTheme="minorEastAsia" w:hAnsiTheme="minorEastAsia" w:eastAsiaTheme="minorEastAsia" w:cstheme="minorEastAsia"/>
          <w:sz w:val="21"/>
          <w:szCs w:val="16"/>
          <w:highlight w:val="none"/>
          <w:lang w:val="en-US" w:eastAsia="zh-CN"/>
        </w:rPr>
        <w:t>叁佰壹拾万零贰仟壹佰元整</w:t>
      </w:r>
      <w:r>
        <w:rPr>
          <w:rFonts w:hint="eastAsia" w:asciiTheme="minorEastAsia" w:hAnsiTheme="minorEastAsia" w:eastAsiaTheme="minorEastAsia" w:cstheme="minorEastAsia"/>
          <w:sz w:val="21"/>
          <w:szCs w:val="16"/>
          <w:highlight w:val="none"/>
          <w:lang w:val="zh-CN" w:eastAsia="zh-CN"/>
        </w:rPr>
        <w:t>(¥3102100.00元)，具体详见下表：</w:t>
      </w:r>
    </w:p>
    <w:tbl>
      <w:tblPr>
        <w:tblStyle w:val="24"/>
        <w:tblW w:w="1005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84"/>
        <w:gridCol w:w="1104"/>
        <w:gridCol w:w="1541"/>
        <w:gridCol w:w="1473"/>
        <w:gridCol w:w="1514"/>
        <w:gridCol w:w="4038"/>
      </w:tblGrid>
      <w:tr w14:paraId="4C62E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8" w:hRule="atLeast"/>
          <w:jc w:val="center"/>
        </w:trPr>
        <w:tc>
          <w:tcPr>
            <w:tcW w:w="384" w:type="dxa"/>
            <w:noWrap/>
            <w:vAlign w:val="center"/>
          </w:tcPr>
          <w:p w14:paraId="78320740">
            <w:pPr>
              <w:bidi w:val="0"/>
              <w:spacing w:line="240" w:lineRule="auto"/>
              <w:jc w:val="center"/>
              <w:rPr>
                <w:rFonts w:hint="eastAsia" w:asciiTheme="minorEastAsia" w:hAnsiTheme="minorEastAsia" w:eastAsiaTheme="minorEastAsia" w:cstheme="minorEastAsia"/>
                <w:sz w:val="21"/>
                <w:szCs w:val="16"/>
                <w:highlight w:val="none"/>
                <w:lang w:val="zh-CN"/>
              </w:rPr>
            </w:pPr>
            <w:r>
              <w:rPr>
                <w:rFonts w:hint="eastAsia" w:asciiTheme="minorEastAsia" w:hAnsiTheme="minorEastAsia" w:eastAsiaTheme="minorEastAsia" w:cstheme="minorEastAsia"/>
                <w:sz w:val="21"/>
                <w:szCs w:val="16"/>
                <w:highlight w:val="none"/>
                <w:lang w:val="zh-CN"/>
              </w:rPr>
              <w:t>序号</w:t>
            </w:r>
          </w:p>
        </w:tc>
        <w:tc>
          <w:tcPr>
            <w:tcW w:w="1104" w:type="dxa"/>
            <w:noWrap/>
            <w:vAlign w:val="center"/>
          </w:tcPr>
          <w:p w14:paraId="696EF0F8">
            <w:pPr>
              <w:bidi w:val="0"/>
              <w:spacing w:line="240" w:lineRule="auto"/>
              <w:jc w:val="center"/>
              <w:rPr>
                <w:rFonts w:hint="eastAsia" w:asciiTheme="minorEastAsia" w:hAnsiTheme="minorEastAsia" w:eastAsiaTheme="minorEastAsia" w:cstheme="minorEastAsia"/>
                <w:sz w:val="21"/>
                <w:szCs w:val="16"/>
                <w:highlight w:val="none"/>
                <w:lang w:val="zh-CN"/>
              </w:rPr>
            </w:pPr>
            <w:r>
              <w:rPr>
                <w:rFonts w:hint="eastAsia" w:asciiTheme="minorEastAsia" w:hAnsiTheme="minorEastAsia" w:eastAsiaTheme="minorEastAsia" w:cstheme="minorEastAsia"/>
                <w:sz w:val="21"/>
                <w:szCs w:val="16"/>
                <w:highlight w:val="none"/>
                <w:lang w:val="zh-CN"/>
              </w:rPr>
              <w:t>项目名称</w:t>
            </w:r>
          </w:p>
        </w:tc>
        <w:tc>
          <w:tcPr>
            <w:tcW w:w="1541" w:type="dxa"/>
            <w:noWrap/>
            <w:vAlign w:val="center"/>
          </w:tcPr>
          <w:p w14:paraId="173B1454">
            <w:pPr>
              <w:bidi w:val="0"/>
              <w:spacing w:line="240" w:lineRule="auto"/>
              <w:jc w:val="center"/>
              <w:rPr>
                <w:rFonts w:hint="eastAsia" w:asciiTheme="minorEastAsia" w:hAnsiTheme="minorEastAsia" w:eastAsiaTheme="minorEastAsia" w:cstheme="minorEastAsia"/>
                <w:sz w:val="21"/>
                <w:szCs w:val="16"/>
                <w:highlight w:val="none"/>
                <w:lang w:val="zh-CN" w:eastAsia="zh-CN"/>
              </w:rPr>
            </w:pPr>
            <w:r>
              <w:rPr>
                <w:rFonts w:hint="eastAsia" w:asciiTheme="minorEastAsia" w:hAnsiTheme="minorEastAsia" w:eastAsiaTheme="minorEastAsia" w:cstheme="minorEastAsia"/>
                <w:sz w:val="21"/>
                <w:szCs w:val="16"/>
                <w:highlight w:val="none"/>
                <w:lang w:val="zh-CN" w:eastAsia="zh-CN"/>
              </w:rPr>
              <w:t>报价基数（元）</w:t>
            </w:r>
          </w:p>
        </w:tc>
        <w:tc>
          <w:tcPr>
            <w:tcW w:w="1473" w:type="dxa"/>
            <w:noWrap/>
            <w:vAlign w:val="center"/>
          </w:tcPr>
          <w:p w14:paraId="7B3510B8">
            <w:pPr>
              <w:bidi w:val="0"/>
              <w:spacing w:line="240" w:lineRule="auto"/>
              <w:jc w:val="center"/>
              <w:rPr>
                <w:rFonts w:hint="eastAsia" w:asciiTheme="minorEastAsia" w:hAnsiTheme="minorEastAsia" w:eastAsiaTheme="minorEastAsia" w:cstheme="minorEastAsia"/>
                <w:sz w:val="21"/>
                <w:szCs w:val="16"/>
                <w:highlight w:val="none"/>
                <w:lang w:val="zh-CN" w:eastAsia="zh-CN"/>
              </w:rPr>
            </w:pPr>
            <w:r>
              <w:rPr>
                <w:rFonts w:hint="eastAsia" w:asciiTheme="minorEastAsia" w:hAnsiTheme="minorEastAsia" w:eastAsiaTheme="minorEastAsia" w:cstheme="minorEastAsia"/>
                <w:sz w:val="21"/>
                <w:szCs w:val="16"/>
                <w:highlight w:val="none"/>
                <w:lang w:val="en-US" w:eastAsia="zh-CN"/>
              </w:rPr>
              <w:t>投标费率/</w:t>
            </w:r>
            <w:r>
              <w:rPr>
                <w:rFonts w:hint="eastAsia" w:asciiTheme="minorEastAsia" w:hAnsiTheme="minorEastAsia" w:eastAsiaTheme="minorEastAsia" w:cstheme="minorEastAsia"/>
                <w:sz w:val="21"/>
                <w:szCs w:val="16"/>
                <w:highlight w:val="none"/>
                <w:lang w:val="zh-CN"/>
              </w:rPr>
              <w:t>投标下浮率（</w:t>
            </w:r>
            <w:r>
              <w:rPr>
                <w:rFonts w:hint="eastAsia" w:asciiTheme="minorEastAsia" w:hAnsiTheme="minorEastAsia" w:eastAsiaTheme="minorEastAsia" w:cstheme="minorEastAsia"/>
                <w:sz w:val="21"/>
                <w:szCs w:val="16"/>
                <w:highlight w:val="none"/>
                <w:lang w:val="en-US" w:eastAsia="zh-CN"/>
              </w:rPr>
              <w:t>%</w:t>
            </w:r>
            <w:r>
              <w:rPr>
                <w:rFonts w:hint="eastAsia" w:asciiTheme="minorEastAsia" w:hAnsiTheme="minorEastAsia" w:eastAsiaTheme="minorEastAsia" w:cstheme="minorEastAsia"/>
                <w:sz w:val="21"/>
                <w:szCs w:val="16"/>
                <w:highlight w:val="none"/>
                <w:lang w:val="zh-CN"/>
              </w:rPr>
              <w:t>)</w:t>
            </w:r>
          </w:p>
        </w:tc>
        <w:tc>
          <w:tcPr>
            <w:tcW w:w="1514" w:type="dxa"/>
            <w:noWrap/>
            <w:vAlign w:val="center"/>
          </w:tcPr>
          <w:p w14:paraId="081F2511">
            <w:pPr>
              <w:bidi w:val="0"/>
              <w:spacing w:line="240" w:lineRule="auto"/>
              <w:jc w:val="center"/>
              <w:rPr>
                <w:rFonts w:hint="eastAsia" w:asciiTheme="minorEastAsia" w:hAnsiTheme="minorEastAsia" w:eastAsiaTheme="minorEastAsia" w:cstheme="minorEastAsia"/>
                <w:sz w:val="21"/>
                <w:szCs w:val="16"/>
                <w:highlight w:val="none"/>
                <w:lang w:val="zh-CN"/>
              </w:rPr>
            </w:pPr>
            <w:r>
              <w:rPr>
                <w:rFonts w:hint="eastAsia" w:asciiTheme="minorEastAsia" w:hAnsiTheme="minorEastAsia" w:eastAsiaTheme="minorEastAsia" w:cstheme="minorEastAsia"/>
                <w:sz w:val="21"/>
                <w:szCs w:val="16"/>
                <w:highlight w:val="none"/>
                <w:lang w:val="zh-CN" w:eastAsia="zh-CN"/>
              </w:rPr>
              <w:t>最高</w:t>
            </w:r>
            <w:r>
              <w:rPr>
                <w:rFonts w:hint="eastAsia" w:asciiTheme="minorEastAsia" w:hAnsiTheme="minorEastAsia" w:eastAsiaTheme="minorEastAsia" w:cstheme="minorEastAsia"/>
                <w:sz w:val="21"/>
                <w:szCs w:val="16"/>
                <w:highlight w:val="none"/>
                <w:lang w:val="zh-CN"/>
              </w:rPr>
              <w:t>投标</w:t>
            </w:r>
            <w:r>
              <w:rPr>
                <w:rFonts w:hint="eastAsia" w:asciiTheme="minorEastAsia" w:hAnsiTheme="minorEastAsia" w:eastAsiaTheme="minorEastAsia" w:cstheme="minorEastAsia"/>
                <w:sz w:val="21"/>
                <w:szCs w:val="16"/>
                <w:highlight w:val="none"/>
                <w:lang w:val="zh-CN" w:eastAsia="zh-CN"/>
              </w:rPr>
              <w:t>限价</w:t>
            </w:r>
            <w:r>
              <w:rPr>
                <w:rFonts w:hint="eastAsia" w:asciiTheme="minorEastAsia" w:hAnsiTheme="minorEastAsia" w:eastAsiaTheme="minorEastAsia" w:cstheme="minorEastAsia"/>
                <w:sz w:val="21"/>
                <w:szCs w:val="16"/>
                <w:highlight w:val="none"/>
                <w:lang w:val="zh-CN"/>
              </w:rPr>
              <w:t>（元）</w:t>
            </w:r>
          </w:p>
        </w:tc>
        <w:tc>
          <w:tcPr>
            <w:tcW w:w="4038" w:type="dxa"/>
            <w:noWrap/>
            <w:vAlign w:val="center"/>
          </w:tcPr>
          <w:p w14:paraId="27970FA4">
            <w:pPr>
              <w:bidi w:val="0"/>
              <w:spacing w:line="240" w:lineRule="auto"/>
              <w:jc w:val="center"/>
              <w:rPr>
                <w:rFonts w:hint="eastAsia" w:asciiTheme="minorEastAsia" w:hAnsiTheme="minorEastAsia" w:eastAsiaTheme="minorEastAsia" w:cstheme="minorEastAsia"/>
                <w:sz w:val="21"/>
                <w:szCs w:val="16"/>
                <w:highlight w:val="none"/>
                <w:lang w:val="zh-CN"/>
              </w:rPr>
            </w:pPr>
            <w:r>
              <w:rPr>
                <w:rFonts w:hint="eastAsia" w:asciiTheme="minorEastAsia" w:hAnsiTheme="minorEastAsia" w:eastAsiaTheme="minorEastAsia" w:cstheme="minorEastAsia"/>
                <w:sz w:val="21"/>
                <w:szCs w:val="16"/>
                <w:highlight w:val="none"/>
                <w:lang w:val="zh-CN"/>
              </w:rPr>
              <w:t>报价要求</w:t>
            </w:r>
          </w:p>
        </w:tc>
      </w:tr>
      <w:tr w14:paraId="34CDD0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55" w:hRule="atLeast"/>
          <w:jc w:val="center"/>
        </w:trPr>
        <w:tc>
          <w:tcPr>
            <w:tcW w:w="384" w:type="dxa"/>
            <w:shd w:val="clear" w:color="auto" w:fill="auto"/>
            <w:noWrap/>
            <w:vAlign w:val="center"/>
          </w:tcPr>
          <w:p w14:paraId="689E6187">
            <w:pPr>
              <w:bidi w:val="0"/>
              <w:spacing w:line="360" w:lineRule="auto"/>
              <w:jc w:val="center"/>
              <w:rPr>
                <w:rFonts w:hint="eastAsia" w:asciiTheme="minorEastAsia" w:hAnsiTheme="minorEastAsia" w:eastAsiaTheme="minorEastAsia" w:cstheme="minorEastAsia"/>
                <w:sz w:val="21"/>
                <w:szCs w:val="16"/>
                <w:highlight w:val="none"/>
                <w:lang w:val="zh-CN" w:eastAsia="zh-CN"/>
              </w:rPr>
            </w:pPr>
            <w:r>
              <w:rPr>
                <w:rFonts w:hint="eastAsia" w:asciiTheme="minorEastAsia" w:hAnsiTheme="minorEastAsia" w:eastAsiaTheme="minorEastAsia" w:cstheme="minorEastAsia"/>
                <w:sz w:val="21"/>
                <w:szCs w:val="16"/>
                <w:highlight w:val="none"/>
                <w:lang w:val="zh-CN" w:eastAsia="zh-CN"/>
              </w:rPr>
              <w:t>1</w:t>
            </w:r>
          </w:p>
        </w:tc>
        <w:tc>
          <w:tcPr>
            <w:tcW w:w="1104" w:type="dxa"/>
            <w:noWrap/>
            <w:vAlign w:val="center"/>
          </w:tcPr>
          <w:p w14:paraId="683E6E3D">
            <w:pPr>
              <w:bidi w:val="0"/>
              <w:spacing w:line="360" w:lineRule="auto"/>
              <w:jc w:val="center"/>
              <w:rPr>
                <w:rFonts w:hint="eastAsia" w:asciiTheme="minorEastAsia" w:hAnsiTheme="minorEastAsia" w:eastAsiaTheme="minorEastAsia" w:cstheme="minorEastAsia"/>
                <w:sz w:val="21"/>
                <w:szCs w:val="16"/>
                <w:highlight w:val="none"/>
                <w:lang w:val="zh-CN"/>
              </w:rPr>
            </w:pPr>
            <w:r>
              <w:rPr>
                <w:rFonts w:hint="eastAsia" w:asciiTheme="minorEastAsia" w:hAnsiTheme="minorEastAsia" w:eastAsiaTheme="minorEastAsia" w:cstheme="minorEastAsia"/>
                <w:sz w:val="21"/>
                <w:szCs w:val="16"/>
                <w:highlight w:val="none"/>
                <w:lang w:val="zh-CN"/>
              </w:rPr>
              <w:t>设计费</w:t>
            </w:r>
          </w:p>
        </w:tc>
        <w:tc>
          <w:tcPr>
            <w:tcW w:w="1541" w:type="dxa"/>
            <w:noWrap/>
            <w:vAlign w:val="center"/>
          </w:tcPr>
          <w:p w14:paraId="462E844A">
            <w:pPr>
              <w:bidi w:val="0"/>
              <w:spacing w:line="360" w:lineRule="auto"/>
              <w:jc w:val="center"/>
              <w:rPr>
                <w:rFonts w:hint="default" w:asciiTheme="minorEastAsia" w:hAnsiTheme="minorEastAsia" w:eastAsiaTheme="minorEastAsia" w:cstheme="minorEastAsia"/>
                <w:sz w:val="21"/>
                <w:szCs w:val="16"/>
                <w:highlight w:val="none"/>
                <w:lang w:val="en-US" w:eastAsia="zh-CN"/>
              </w:rPr>
            </w:pPr>
            <w:r>
              <w:rPr>
                <w:rFonts w:hint="eastAsia" w:asciiTheme="minorEastAsia" w:hAnsiTheme="minorEastAsia" w:eastAsiaTheme="minorEastAsia" w:cstheme="minorEastAsia"/>
                <w:sz w:val="21"/>
                <w:szCs w:val="16"/>
                <w:highlight w:val="none"/>
                <w:lang w:val="en-US" w:eastAsia="zh-CN"/>
              </w:rPr>
              <w:t>3020000.00</w:t>
            </w:r>
          </w:p>
        </w:tc>
        <w:tc>
          <w:tcPr>
            <w:tcW w:w="1473" w:type="dxa"/>
            <w:noWrap/>
            <w:vAlign w:val="center"/>
          </w:tcPr>
          <w:p w14:paraId="30EDE20A">
            <w:pPr>
              <w:bidi w:val="0"/>
              <w:spacing w:line="360" w:lineRule="auto"/>
              <w:jc w:val="center"/>
              <w:rPr>
                <w:rFonts w:hint="default" w:asciiTheme="minorEastAsia" w:hAnsiTheme="minorEastAsia" w:eastAsiaTheme="minorEastAsia" w:cstheme="minorEastAsia"/>
                <w:sz w:val="21"/>
                <w:szCs w:val="16"/>
                <w:highlight w:val="none"/>
                <w:lang w:val="en-US" w:eastAsia="zh-CN"/>
              </w:rPr>
            </w:pPr>
            <w:r>
              <w:rPr>
                <w:rFonts w:hint="eastAsia" w:asciiTheme="minorEastAsia" w:hAnsiTheme="minorEastAsia" w:eastAsiaTheme="minorEastAsia" w:cstheme="minorEastAsia"/>
                <w:sz w:val="21"/>
                <w:szCs w:val="16"/>
                <w:highlight w:val="none"/>
                <w:lang w:val="en-US" w:eastAsia="zh-CN"/>
              </w:rPr>
              <w:t>≤2.719</w:t>
            </w:r>
          </w:p>
        </w:tc>
        <w:tc>
          <w:tcPr>
            <w:tcW w:w="1514" w:type="dxa"/>
            <w:noWrap/>
            <w:vAlign w:val="center"/>
          </w:tcPr>
          <w:p w14:paraId="7339FB5F">
            <w:pPr>
              <w:bidi w:val="0"/>
              <w:spacing w:line="360" w:lineRule="auto"/>
              <w:jc w:val="center"/>
              <w:rPr>
                <w:rFonts w:hint="default" w:asciiTheme="minorEastAsia" w:hAnsiTheme="minorEastAsia" w:eastAsiaTheme="minorEastAsia" w:cstheme="minorEastAsia"/>
                <w:sz w:val="21"/>
                <w:szCs w:val="16"/>
                <w:highlight w:val="none"/>
                <w:lang w:val="en-US" w:eastAsia="zh-CN"/>
              </w:rPr>
            </w:pPr>
            <w:r>
              <w:rPr>
                <w:rFonts w:hint="eastAsia" w:asciiTheme="minorEastAsia" w:hAnsiTheme="minorEastAsia" w:eastAsiaTheme="minorEastAsia" w:cstheme="minorEastAsia"/>
                <w:sz w:val="21"/>
                <w:szCs w:val="16"/>
                <w:highlight w:val="none"/>
                <w:lang w:val="en-US" w:eastAsia="zh-CN"/>
              </w:rPr>
              <w:t>82100.00</w:t>
            </w:r>
          </w:p>
        </w:tc>
        <w:tc>
          <w:tcPr>
            <w:tcW w:w="4038" w:type="dxa"/>
            <w:noWrap/>
            <w:vAlign w:val="center"/>
          </w:tcPr>
          <w:p w14:paraId="0BE472CB">
            <w:pPr>
              <w:bidi w:val="0"/>
              <w:spacing w:line="360" w:lineRule="auto"/>
              <w:jc w:val="center"/>
              <w:rPr>
                <w:rFonts w:hint="eastAsia" w:asciiTheme="minorEastAsia" w:hAnsiTheme="minorEastAsia" w:eastAsiaTheme="minorEastAsia" w:cstheme="minorEastAsia"/>
                <w:sz w:val="21"/>
                <w:szCs w:val="16"/>
                <w:highlight w:val="none"/>
                <w:lang w:val="zh-CN"/>
              </w:rPr>
            </w:pPr>
            <w:r>
              <w:rPr>
                <w:rFonts w:hint="eastAsia" w:asciiTheme="minorEastAsia" w:hAnsiTheme="minorEastAsia" w:eastAsiaTheme="minorEastAsia" w:cstheme="minorEastAsia"/>
                <w:sz w:val="21"/>
                <w:szCs w:val="16"/>
                <w:highlight w:val="none"/>
                <w:lang w:val="zh-CN"/>
              </w:rPr>
              <w:t>按最高投标限价范围内自行报总价及投标费率。报价基数作为暂定量，仅作为投标报价编制依据，不作为结算依据。</w:t>
            </w:r>
          </w:p>
        </w:tc>
      </w:tr>
      <w:tr w14:paraId="7C27D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92" w:hRule="atLeast"/>
          <w:jc w:val="center"/>
        </w:trPr>
        <w:tc>
          <w:tcPr>
            <w:tcW w:w="384" w:type="dxa"/>
            <w:shd w:val="clear" w:color="auto" w:fill="auto"/>
            <w:noWrap/>
            <w:vAlign w:val="center"/>
          </w:tcPr>
          <w:p w14:paraId="5CB6A171">
            <w:pPr>
              <w:bidi w:val="0"/>
              <w:spacing w:line="360" w:lineRule="auto"/>
              <w:jc w:val="center"/>
              <w:rPr>
                <w:rFonts w:hint="eastAsia" w:asciiTheme="minorEastAsia" w:hAnsiTheme="minorEastAsia" w:eastAsiaTheme="minorEastAsia" w:cstheme="minorEastAsia"/>
                <w:sz w:val="21"/>
                <w:szCs w:val="16"/>
                <w:highlight w:val="none"/>
                <w:lang w:val="zh-CN" w:eastAsia="zh-CN"/>
              </w:rPr>
            </w:pPr>
            <w:r>
              <w:rPr>
                <w:rFonts w:hint="eastAsia" w:asciiTheme="minorEastAsia" w:hAnsiTheme="minorEastAsia" w:eastAsiaTheme="minorEastAsia" w:cstheme="minorEastAsia"/>
                <w:sz w:val="21"/>
                <w:szCs w:val="16"/>
                <w:highlight w:val="none"/>
                <w:lang w:val="zh-CN" w:eastAsia="zh-CN"/>
              </w:rPr>
              <w:t>2</w:t>
            </w:r>
          </w:p>
        </w:tc>
        <w:tc>
          <w:tcPr>
            <w:tcW w:w="1104" w:type="dxa"/>
            <w:noWrap/>
            <w:vAlign w:val="center"/>
          </w:tcPr>
          <w:p w14:paraId="758A5946">
            <w:pPr>
              <w:bidi w:val="0"/>
              <w:spacing w:line="360" w:lineRule="auto"/>
              <w:jc w:val="center"/>
              <w:rPr>
                <w:rFonts w:hint="eastAsia" w:asciiTheme="minorEastAsia" w:hAnsiTheme="minorEastAsia" w:eastAsiaTheme="minorEastAsia" w:cstheme="minorEastAsia"/>
                <w:sz w:val="21"/>
                <w:szCs w:val="16"/>
                <w:highlight w:val="none"/>
                <w:lang w:val="zh-CN"/>
              </w:rPr>
            </w:pPr>
            <w:r>
              <w:rPr>
                <w:rFonts w:hint="eastAsia" w:asciiTheme="minorEastAsia" w:hAnsiTheme="minorEastAsia" w:eastAsiaTheme="minorEastAsia" w:cstheme="minorEastAsia"/>
                <w:sz w:val="21"/>
                <w:szCs w:val="16"/>
                <w:highlight w:val="none"/>
                <w:lang w:val="zh-CN"/>
              </w:rPr>
              <w:t>建安工程费</w:t>
            </w:r>
          </w:p>
        </w:tc>
        <w:tc>
          <w:tcPr>
            <w:tcW w:w="1541" w:type="dxa"/>
            <w:noWrap/>
            <w:vAlign w:val="center"/>
          </w:tcPr>
          <w:p w14:paraId="5CFFE73B">
            <w:pPr>
              <w:bidi w:val="0"/>
              <w:spacing w:line="360" w:lineRule="auto"/>
              <w:jc w:val="center"/>
              <w:rPr>
                <w:rFonts w:hint="default" w:asciiTheme="minorEastAsia" w:hAnsiTheme="minorEastAsia" w:eastAsiaTheme="minorEastAsia" w:cstheme="minorEastAsia"/>
                <w:sz w:val="21"/>
                <w:szCs w:val="16"/>
                <w:highlight w:val="none"/>
                <w:lang w:val="en-US" w:eastAsia="zh-CN"/>
              </w:rPr>
            </w:pPr>
            <w:r>
              <w:rPr>
                <w:rFonts w:hint="eastAsia" w:asciiTheme="minorEastAsia" w:hAnsiTheme="minorEastAsia" w:eastAsiaTheme="minorEastAsia" w:cstheme="minorEastAsia"/>
                <w:sz w:val="21"/>
                <w:szCs w:val="16"/>
                <w:highlight w:val="none"/>
                <w:lang w:val="en-US" w:eastAsia="zh-CN"/>
              </w:rPr>
              <w:t>3020000.00</w:t>
            </w:r>
          </w:p>
        </w:tc>
        <w:tc>
          <w:tcPr>
            <w:tcW w:w="1473" w:type="dxa"/>
            <w:noWrap/>
            <w:vAlign w:val="center"/>
          </w:tcPr>
          <w:p w14:paraId="7EEB6ECE">
            <w:pPr>
              <w:bidi w:val="0"/>
              <w:spacing w:line="360" w:lineRule="auto"/>
              <w:jc w:val="center"/>
              <w:rPr>
                <w:rFonts w:hint="eastAsia" w:asciiTheme="minorEastAsia" w:hAnsiTheme="minorEastAsia" w:eastAsiaTheme="minorEastAsia" w:cstheme="minorEastAsia"/>
                <w:sz w:val="21"/>
                <w:szCs w:val="16"/>
                <w:highlight w:val="none"/>
                <w:lang w:val="zh-CN" w:eastAsia="zh-CN"/>
              </w:rPr>
            </w:pPr>
            <w:r>
              <w:rPr>
                <w:rFonts w:hint="eastAsia" w:asciiTheme="minorEastAsia" w:hAnsiTheme="minorEastAsia" w:eastAsiaTheme="minorEastAsia" w:cstheme="minorEastAsia"/>
                <w:sz w:val="21"/>
                <w:szCs w:val="16"/>
                <w:highlight w:val="none"/>
                <w:lang w:val="en-US" w:eastAsia="zh-CN"/>
              </w:rPr>
              <w:t>≥</w:t>
            </w:r>
            <w:r>
              <w:rPr>
                <w:rFonts w:hint="eastAsia" w:asciiTheme="minorEastAsia" w:hAnsiTheme="minorEastAsia" w:eastAsiaTheme="minorEastAsia" w:cstheme="minorEastAsia"/>
                <w:sz w:val="21"/>
                <w:szCs w:val="16"/>
                <w:highlight w:val="none"/>
                <w:lang w:val="zh-CN" w:eastAsia="zh-CN"/>
              </w:rPr>
              <w:t>0.00%</w:t>
            </w:r>
          </w:p>
        </w:tc>
        <w:tc>
          <w:tcPr>
            <w:tcW w:w="1514" w:type="dxa"/>
            <w:noWrap/>
            <w:vAlign w:val="center"/>
          </w:tcPr>
          <w:p w14:paraId="2FCADE79">
            <w:pPr>
              <w:bidi w:val="0"/>
              <w:spacing w:line="360" w:lineRule="auto"/>
              <w:jc w:val="center"/>
              <w:rPr>
                <w:rFonts w:hint="eastAsia" w:asciiTheme="minorEastAsia" w:hAnsiTheme="minorEastAsia" w:eastAsiaTheme="minorEastAsia" w:cstheme="minorEastAsia"/>
                <w:sz w:val="21"/>
                <w:szCs w:val="16"/>
                <w:highlight w:val="none"/>
                <w:lang w:val="zh-CN" w:eastAsia="zh-CN"/>
              </w:rPr>
            </w:pPr>
            <w:r>
              <w:rPr>
                <w:rFonts w:hint="eastAsia" w:asciiTheme="minorEastAsia" w:hAnsiTheme="minorEastAsia" w:eastAsiaTheme="minorEastAsia" w:cstheme="minorEastAsia"/>
                <w:sz w:val="21"/>
                <w:szCs w:val="16"/>
                <w:highlight w:val="none"/>
                <w:lang w:val="zh-CN" w:eastAsia="zh-CN"/>
              </w:rPr>
              <w:t>3020000.00</w:t>
            </w:r>
          </w:p>
        </w:tc>
        <w:tc>
          <w:tcPr>
            <w:tcW w:w="4038" w:type="dxa"/>
            <w:noWrap/>
            <w:vAlign w:val="center"/>
          </w:tcPr>
          <w:p w14:paraId="7F72D490">
            <w:pPr>
              <w:bidi w:val="0"/>
              <w:spacing w:line="360" w:lineRule="auto"/>
              <w:jc w:val="center"/>
              <w:rPr>
                <w:rFonts w:hint="eastAsia" w:asciiTheme="minorEastAsia" w:hAnsiTheme="minorEastAsia" w:eastAsiaTheme="minorEastAsia" w:cstheme="minorEastAsia"/>
                <w:sz w:val="21"/>
                <w:szCs w:val="16"/>
                <w:highlight w:val="none"/>
                <w:lang w:val="zh-CN"/>
              </w:rPr>
            </w:pPr>
            <w:r>
              <w:rPr>
                <w:rFonts w:hint="eastAsia" w:asciiTheme="minorEastAsia" w:hAnsiTheme="minorEastAsia" w:eastAsiaTheme="minorEastAsia" w:cstheme="minorEastAsia"/>
                <w:sz w:val="21"/>
                <w:szCs w:val="16"/>
                <w:highlight w:val="none"/>
                <w:lang w:val="zh-CN" w:eastAsia="zh-CN"/>
              </w:rPr>
              <w:t>本项目工程结算价未超过建安工程费中标价的按实结算，超过建安工程费中标价的则按建安工程费中标价结算。建安工程投标报价=报价基数×(1-投标下浮率)</w:t>
            </w:r>
          </w:p>
        </w:tc>
      </w:tr>
      <w:tr w14:paraId="02130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8" w:hRule="atLeast"/>
          <w:jc w:val="center"/>
        </w:trPr>
        <w:tc>
          <w:tcPr>
            <w:tcW w:w="1488" w:type="dxa"/>
            <w:gridSpan w:val="2"/>
            <w:noWrap/>
            <w:vAlign w:val="center"/>
          </w:tcPr>
          <w:p w14:paraId="2F339026">
            <w:pPr>
              <w:bidi w:val="0"/>
              <w:spacing w:line="360" w:lineRule="auto"/>
              <w:jc w:val="center"/>
              <w:rPr>
                <w:rFonts w:hint="eastAsia" w:asciiTheme="minorEastAsia" w:hAnsiTheme="minorEastAsia" w:eastAsiaTheme="minorEastAsia" w:cstheme="minorEastAsia"/>
                <w:sz w:val="21"/>
                <w:szCs w:val="16"/>
                <w:highlight w:val="none"/>
                <w:lang w:val="zh-CN"/>
              </w:rPr>
            </w:pPr>
            <w:r>
              <w:rPr>
                <w:rFonts w:hint="eastAsia" w:asciiTheme="minorEastAsia" w:hAnsiTheme="minorEastAsia" w:eastAsiaTheme="minorEastAsia" w:cstheme="minorEastAsia"/>
                <w:sz w:val="21"/>
                <w:szCs w:val="16"/>
                <w:highlight w:val="none"/>
                <w:lang w:val="zh-CN"/>
              </w:rPr>
              <w:t>合计</w:t>
            </w:r>
          </w:p>
        </w:tc>
        <w:tc>
          <w:tcPr>
            <w:tcW w:w="1541" w:type="dxa"/>
            <w:noWrap/>
            <w:vAlign w:val="center"/>
          </w:tcPr>
          <w:p w14:paraId="77BE866F">
            <w:pPr>
              <w:bidi w:val="0"/>
              <w:spacing w:line="360" w:lineRule="auto"/>
              <w:jc w:val="both"/>
              <w:rPr>
                <w:rFonts w:hint="default" w:asciiTheme="minorEastAsia" w:hAnsiTheme="minorEastAsia" w:eastAsiaTheme="minorEastAsia" w:cstheme="minorEastAsia"/>
                <w:sz w:val="21"/>
                <w:szCs w:val="16"/>
                <w:highlight w:val="none"/>
                <w:lang w:val="en-US" w:eastAsia="zh-CN"/>
              </w:rPr>
            </w:pPr>
          </w:p>
        </w:tc>
        <w:tc>
          <w:tcPr>
            <w:tcW w:w="1473" w:type="dxa"/>
            <w:noWrap/>
            <w:vAlign w:val="center"/>
          </w:tcPr>
          <w:p w14:paraId="1B1A8CBB">
            <w:pPr>
              <w:bidi w:val="0"/>
              <w:spacing w:line="360" w:lineRule="auto"/>
              <w:jc w:val="both"/>
              <w:rPr>
                <w:rFonts w:hint="eastAsia" w:asciiTheme="minorEastAsia" w:hAnsiTheme="minorEastAsia" w:eastAsiaTheme="minorEastAsia" w:cstheme="minorEastAsia"/>
                <w:sz w:val="21"/>
                <w:szCs w:val="16"/>
                <w:highlight w:val="none"/>
                <w:lang w:val="zh-CN" w:eastAsia="zh-CN"/>
              </w:rPr>
            </w:pPr>
          </w:p>
        </w:tc>
        <w:tc>
          <w:tcPr>
            <w:tcW w:w="1514" w:type="dxa"/>
            <w:noWrap/>
            <w:vAlign w:val="center"/>
          </w:tcPr>
          <w:p w14:paraId="3573A371">
            <w:pPr>
              <w:bidi w:val="0"/>
              <w:spacing w:line="360" w:lineRule="auto"/>
              <w:jc w:val="center"/>
              <w:rPr>
                <w:rFonts w:hint="default" w:asciiTheme="minorEastAsia" w:hAnsiTheme="minorEastAsia" w:eastAsiaTheme="minorEastAsia" w:cstheme="minorEastAsia"/>
                <w:sz w:val="21"/>
                <w:szCs w:val="16"/>
                <w:highlight w:val="none"/>
                <w:lang w:val="en-US" w:eastAsia="zh-CN"/>
              </w:rPr>
            </w:pPr>
            <w:r>
              <w:rPr>
                <w:rFonts w:hint="eastAsia" w:asciiTheme="minorEastAsia" w:hAnsiTheme="minorEastAsia" w:eastAsiaTheme="minorEastAsia" w:cstheme="minorEastAsia"/>
                <w:sz w:val="21"/>
                <w:szCs w:val="16"/>
                <w:highlight w:val="none"/>
                <w:lang w:val="en-US" w:eastAsia="zh-CN"/>
              </w:rPr>
              <w:t>3102100.00</w:t>
            </w:r>
          </w:p>
        </w:tc>
        <w:tc>
          <w:tcPr>
            <w:tcW w:w="4038" w:type="dxa"/>
            <w:noWrap/>
            <w:vAlign w:val="center"/>
          </w:tcPr>
          <w:p w14:paraId="1198692F">
            <w:pPr>
              <w:bidi w:val="0"/>
              <w:spacing w:line="360" w:lineRule="auto"/>
              <w:jc w:val="center"/>
              <w:rPr>
                <w:rFonts w:hint="eastAsia" w:asciiTheme="minorEastAsia" w:hAnsiTheme="minorEastAsia" w:eastAsiaTheme="minorEastAsia" w:cstheme="minorEastAsia"/>
                <w:sz w:val="21"/>
                <w:szCs w:val="16"/>
                <w:highlight w:val="none"/>
                <w:lang w:val="zh-CN"/>
              </w:rPr>
            </w:pPr>
            <w:r>
              <w:rPr>
                <w:rFonts w:hint="eastAsia" w:asciiTheme="minorEastAsia" w:hAnsiTheme="minorEastAsia" w:eastAsiaTheme="minorEastAsia" w:cstheme="minorEastAsia"/>
                <w:sz w:val="21"/>
                <w:szCs w:val="16"/>
                <w:highlight w:val="none"/>
                <w:lang w:val="zh-CN"/>
              </w:rPr>
              <w:t>/</w:t>
            </w:r>
          </w:p>
        </w:tc>
      </w:tr>
    </w:tbl>
    <w:p w14:paraId="42821A2E">
      <w:pPr>
        <w:bidi w:val="0"/>
        <w:spacing w:line="360" w:lineRule="auto"/>
        <w:ind w:firstLine="420" w:firstLineChars="200"/>
        <w:rPr>
          <w:rFonts w:hint="eastAsia" w:asciiTheme="minorEastAsia" w:hAnsiTheme="minorEastAsia" w:eastAsiaTheme="minorEastAsia" w:cstheme="minorEastAsia"/>
          <w:color w:val="auto"/>
          <w:sz w:val="21"/>
          <w:szCs w:val="16"/>
          <w:highlight w:val="none"/>
        </w:rPr>
      </w:pPr>
      <w:r>
        <w:rPr>
          <w:rFonts w:hint="eastAsia" w:asciiTheme="minorEastAsia" w:hAnsiTheme="minorEastAsia" w:eastAsiaTheme="minorEastAsia" w:cstheme="minorEastAsia"/>
          <w:color w:val="auto"/>
          <w:sz w:val="21"/>
          <w:szCs w:val="16"/>
          <w:highlight w:val="none"/>
        </w:rPr>
        <w:t>注：投标报价、投标下浮率均保留至小数点后两位，投标费率保留至小数点后三位。</w:t>
      </w:r>
    </w:p>
    <w:p w14:paraId="79507113">
      <w:pPr>
        <w:pStyle w:val="44"/>
        <w:keepNext/>
        <w:keepLines/>
        <w:ind w:firstLine="480"/>
        <w:jc w:val="both"/>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11、</w:t>
      </w:r>
      <w:r>
        <w:rPr>
          <w:rFonts w:hint="eastAsia" w:ascii="宋体" w:hAnsi="宋体" w:eastAsia="宋体" w:cs="宋体"/>
          <w:b/>
          <w:color w:val="auto"/>
          <w:kern w:val="2"/>
          <w:sz w:val="21"/>
          <w:szCs w:val="21"/>
          <w:highlight w:val="none"/>
        </w:rPr>
        <w:t>投标</w:t>
      </w:r>
      <w:r>
        <w:rPr>
          <w:rFonts w:hint="eastAsia" w:ascii="宋体" w:hAnsi="宋体" w:eastAsia="宋体" w:cs="宋体"/>
          <w:b/>
          <w:color w:val="auto"/>
          <w:sz w:val="21"/>
          <w:szCs w:val="21"/>
          <w:highlight w:val="none"/>
        </w:rPr>
        <w:t>文件的编制</w:t>
      </w:r>
      <w:bookmarkStart w:id="163" w:name="_Hlt69208262"/>
      <w:bookmarkEnd w:id="163"/>
      <w:bookmarkStart w:id="164" w:name="_Hlt69332370"/>
      <w:bookmarkEnd w:id="164"/>
      <w:r>
        <w:rPr>
          <w:rFonts w:hint="eastAsia" w:ascii="宋体" w:hAnsi="宋体" w:eastAsia="宋体" w:cs="宋体"/>
          <w:b/>
          <w:color w:val="auto"/>
          <w:sz w:val="21"/>
          <w:szCs w:val="21"/>
          <w:highlight w:val="none"/>
        </w:rPr>
        <w:t>要求</w:t>
      </w:r>
      <w:bookmarkEnd w:id="154"/>
      <w:bookmarkEnd w:id="155"/>
      <w:bookmarkEnd w:id="156"/>
      <w:bookmarkEnd w:id="157"/>
      <w:bookmarkEnd w:id="158"/>
      <w:bookmarkEnd w:id="159"/>
      <w:bookmarkEnd w:id="160"/>
      <w:bookmarkEnd w:id="161"/>
      <w:bookmarkEnd w:id="162"/>
    </w:p>
    <w:p w14:paraId="7B885695">
      <w:pPr>
        <w:pStyle w:val="51"/>
        <w:spacing w:line="360" w:lineRule="auto"/>
        <w:ind w:firstLine="422" w:firstLineChars="200"/>
        <w:jc w:val="both"/>
        <w:outlineLvl w:val="9"/>
        <w:rPr>
          <w:rFonts w:hint="eastAsia" w:ascii="宋体" w:hAnsi="宋体" w:eastAsia="宋体" w:cs="宋体"/>
          <w:b/>
          <w:bCs/>
          <w:snapToGrid w:val="0"/>
          <w:color w:val="auto"/>
          <w:sz w:val="21"/>
          <w:szCs w:val="21"/>
          <w:highlight w:val="none"/>
        </w:rPr>
      </w:pPr>
      <w:bookmarkStart w:id="165" w:name="_Hlt74495594"/>
      <w:bookmarkEnd w:id="165"/>
      <w:bookmarkStart w:id="166" w:name="_Hlt74497202"/>
      <w:bookmarkEnd w:id="166"/>
      <w:bookmarkStart w:id="167" w:name="_Hlt78768224"/>
      <w:bookmarkEnd w:id="167"/>
      <w:bookmarkStart w:id="168" w:name="_Toc6695"/>
      <w:bookmarkStart w:id="169" w:name="_Toc2841"/>
      <w:bookmarkStart w:id="170" w:name="_Toc929"/>
      <w:bookmarkStart w:id="171" w:name="_Toc17330"/>
      <w:bookmarkStart w:id="172" w:name="_Toc13462"/>
      <w:bookmarkStart w:id="173" w:name="_Toc12050"/>
      <w:bookmarkStart w:id="174" w:name="_Toc31856"/>
      <w:bookmarkStart w:id="175" w:name="_Toc437"/>
      <w:bookmarkStart w:id="176" w:name="_Toc29847"/>
      <w:bookmarkStart w:id="177" w:name="_Toc20541"/>
      <w:bookmarkStart w:id="178" w:name="_Toc25295"/>
      <w:bookmarkStart w:id="179" w:name="_Toc5812"/>
      <w:bookmarkStart w:id="180" w:name="_Toc20091"/>
      <w:bookmarkStart w:id="181" w:name="_Toc32061"/>
      <w:bookmarkStart w:id="182" w:name="_Toc9696"/>
      <w:r>
        <w:rPr>
          <w:rFonts w:hint="eastAsia" w:ascii="宋体" w:hAnsi="宋体" w:eastAsia="宋体" w:cs="宋体"/>
          <w:b/>
          <w:bCs/>
          <w:snapToGrid w:val="0"/>
          <w:color w:val="auto"/>
          <w:sz w:val="21"/>
          <w:szCs w:val="21"/>
          <w:highlight w:val="none"/>
        </w:rPr>
        <w:t>11.1 一般要求</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14:paraId="25D811A3">
      <w:pPr>
        <w:pStyle w:val="49"/>
        <w:ind w:firstLineChars="0"/>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投标文件应按第七章 投标文件格式规定的内容，投标人提交的投标文件应当使用招标文件所提供的投标文件全部格式。</w:t>
      </w:r>
    </w:p>
    <w:p w14:paraId="4537F017">
      <w:pPr>
        <w:pStyle w:val="42"/>
        <w:ind w:firstLine="560"/>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rPr>
        <w:t>11.1.1</w:t>
      </w:r>
      <w:r>
        <w:rPr>
          <w:rFonts w:hint="eastAsia" w:ascii="宋体" w:hAnsi="宋体" w:eastAsia="宋体" w:cs="宋体"/>
          <w:snapToGrid w:val="0"/>
          <w:color w:val="auto"/>
          <w:kern w:val="0"/>
          <w:sz w:val="21"/>
          <w:szCs w:val="21"/>
          <w:highlight w:val="none"/>
        </w:rPr>
        <w:t>投标人必须响应招标文件，并在充分理解招标人提供的全部文件、设计图纸、资料及现场条件的基础上编制投标文件。因投标文件不符合招标文件的要求而造成的损失和后果，由投标人自行承担。</w:t>
      </w:r>
    </w:p>
    <w:p w14:paraId="30D30AB0">
      <w:pPr>
        <w:pStyle w:val="42"/>
        <w:ind w:firstLine="56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11.1.2</w:t>
      </w:r>
      <w:r>
        <w:rPr>
          <w:rFonts w:hint="eastAsia" w:ascii="宋体" w:hAnsi="宋体" w:eastAsia="宋体" w:cs="宋体"/>
          <w:snapToGrid w:val="0"/>
          <w:color w:val="auto"/>
          <w:kern w:val="0"/>
          <w:sz w:val="21"/>
          <w:szCs w:val="21"/>
          <w:highlight w:val="none"/>
        </w:rPr>
        <w:t>投标文件包含投标标书分为一册。投标文件在电子投标时全部采用电子文档（中标人自中标通知书发出之日起五个工作日内再提供正本1份、副本壹份的纸质版投标文件给招标人存档），投标文件所附证书证件均为原件彩色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 （广东省 · 韶关市）（https://ygp.gdzwfw.gov.cn/ggzy-portal/#/440200/index）交易指引。</w:t>
      </w:r>
      <w:r>
        <w:rPr>
          <w:rFonts w:hint="eastAsia" w:ascii="宋体" w:hAnsi="宋体" w:eastAsia="宋体" w:cs="宋体"/>
          <w:color w:val="auto"/>
          <w:sz w:val="21"/>
          <w:szCs w:val="21"/>
          <w:highlight w:val="none"/>
        </w:rPr>
        <w:t>（注：组成联合体时，只须加盖联合体牵头人的公章，联合体其它成员可不盖章）。</w:t>
      </w:r>
    </w:p>
    <w:p w14:paraId="1D66B74D">
      <w:pPr>
        <w:pStyle w:val="42"/>
        <w:ind w:firstLine="56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11.1.3 投标文件需按以下要求签字、盖章：</w:t>
      </w:r>
    </w:p>
    <w:p w14:paraId="717A9BB6">
      <w:pPr>
        <w:pStyle w:val="42"/>
        <w:ind w:firstLine="56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电子投标文件：</w:t>
      </w:r>
    </w:p>
    <w:p w14:paraId="4F547346">
      <w:pPr>
        <w:pStyle w:val="42"/>
        <w:ind w:firstLine="56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11.1.3.1 投标文件封面、组成内容中凡注明“签字”处由要求的人员签字或电子签章；凡注明“签字或盖章”处由要求的人员签字或盖其私章（电子印章）；凡注明“签字并盖执业印章”处由要求的人员签字并盖其执业印章。</w:t>
      </w:r>
    </w:p>
    <w:p w14:paraId="776DAA27">
      <w:pPr>
        <w:pStyle w:val="42"/>
        <w:ind w:firstLine="56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11.1.3.2 投标文件封套、封面、组成内容中凡要求录入投标人名称且注明“盖单位章”处盖单位法人公章（电子印章）</w:t>
      </w:r>
    </w:p>
    <w:p w14:paraId="649A4CB4">
      <w:pPr>
        <w:pStyle w:val="42"/>
        <w:ind w:firstLine="56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11.1.3.3 投标文件的签字均为签字人本人亲笔署名或签章（电子印章），其余部分的彩色扫描件无须另行签字、盖章。</w:t>
      </w:r>
    </w:p>
    <w:p w14:paraId="5AA0EF71">
      <w:pPr>
        <w:pStyle w:val="42"/>
        <w:ind w:firstLine="560"/>
        <w:rPr>
          <w:rFonts w:hint="eastAsia" w:ascii="宋体" w:hAnsi="宋体" w:eastAsia="宋体" w:cs="宋体"/>
          <w:b/>
          <w:color w:val="auto"/>
          <w:sz w:val="21"/>
          <w:szCs w:val="21"/>
          <w:highlight w:val="none"/>
        </w:rPr>
      </w:pPr>
      <w:r>
        <w:rPr>
          <w:rFonts w:hint="eastAsia" w:ascii="宋体" w:hAnsi="宋体" w:eastAsia="宋体" w:cs="宋体"/>
          <w:snapToGrid w:val="0"/>
          <w:color w:val="auto"/>
          <w:kern w:val="0"/>
          <w:sz w:val="21"/>
          <w:szCs w:val="21"/>
          <w:highlight w:val="none"/>
        </w:rPr>
        <w:t>11.1.3.4 联合体投标的，除《联合体协议书》外，由联合体牵头人按以上要求签字（电子印章）、盖章（电子印章）即可。</w:t>
      </w:r>
      <w:bookmarkStart w:id="183" w:name="_Toc257031159"/>
      <w:bookmarkStart w:id="184" w:name="_Toc274313880"/>
    </w:p>
    <w:p w14:paraId="3497A27E">
      <w:pPr>
        <w:pStyle w:val="51"/>
        <w:spacing w:line="360" w:lineRule="auto"/>
        <w:ind w:firstLine="422" w:firstLineChars="200"/>
        <w:jc w:val="both"/>
        <w:outlineLvl w:val="9"/>
        <w:rPr>
          <w:rFonts w:hint="eastAsia" w:ascii="宋体" w:hAnsi="宋体" w:eastAsia="宋体" w:cs="宋体"/>
          <w:b/>
          <w:bCs/>
          <w:snapToGrid w:val="0"/>
          <w:color w:val="auto"/>
          <w:sz w:val="21"/>
          <w:szCs w:val="21"/>
          <w:highlight w:val="none"/>
        </w:rPr>
      </w:pPr>
      <w:bookmarkStart w:id="185" w:name="_Toc18076"/>
      <w:bookmarkStart w:id="186" w:name="_Toc26859"/>
      <w:bookmarkStart w:id="187" w:name="_Toc16107"/>
      <w:bookmarkStart w:id="188" w:name="_Toc27670"/>
      <w:bookmarkStart w:id="189" w:name="_Toc38"/>
      <w:bookmarkStart w:id="190" w:name="_Toc6622"/>
      <w:bookmarkStart w:id="191" w:name="_Toc27606"/>
      <w:bookmarkStart w:id="192" w:name="_Toc8355"/>
      <w:bookmarkStart w:id="193" w:name="_Toc4699"/>
      <w:bookmarkStart w:id="194" w:name="_Toc29894"/>
      <w:bookmarkStart w:id="195" w:name="_Toc18670"/>
      <w:bookmarkStart w:id="196" w:name="_Toc26289"/>
      <w:bookmarkStart w:id="197" w:name="_Toc23484"/>
      <w:bookmarkStart w:id="198" w:name="_Toc17946"/>
      <w:bookmarkStart w:id="199" w:name="_Toc23329"/>
      <w:r>
        <w:rPr>
          <w:rFonts w:hint="eastAsia" w:ascii="宋体" w:hAnsi="宋体" w:eastAsia="宋体" w:cs="宋体"/>
          <w:b/>
          <w:bCs/>
          <w:snapToGrid w:val="0"/>
          <w:color w:val="auto"/>
          <w:sz w:val="21"/>
          <w:szCs w:val="21"/>
          <w:highlight w:val="none"/>
        </w:rPr>
        <w:t xml:space="preserve">11.2 </w:t>
      </w:r>
      <w:bookmarkEnd w:id="183"/>
      <w:bookmarkEnd w:id="184"/>
      <w:bookmarkEnd w:id="185"/>
      <w:bookmarkEnd w:id="186"/>
      <w:bookmarkEnd w:id="187"/>
      <w:bookmarkEnd w:id="188"/>
      <w:bookmarkEnd w:id="189"/>
      <w:bookmarkEnd w:id="190"/>
      <w:bookmarkEnd w:id="191"/>
      <w:bookmarkEnd w:id="192"/>
      <w:r>
        <w:rPr>
          <w:rFonts w:hint="eastAsia" w:ascii="宋体" w:hAnsi="宋体" w:eastAsia="宋体" w:cs="宋体"/>
          <w:b/>
          <w:bCs/>
          <w:snapToGrid w:val="0"/>
          <w:color w:val="auto"/>
          <w:sz w:val="21"/>
          <w:szCs w:val="21"/>
          <w:highlight w:val="none"/>
        </w:rPr>
        <w:t>投标标书的编制要求</w:t>
      </w:r>
      <w:bookmarkEnd w:id="193"/>
      <w:bookmarkEnd w:id="194"/>
      <w:bookmarkEnd w:id="195"/>
      <w:bookmarkEnd w:id="196"/>
      <w:bookmarkEnd w:id="197"/>
      <w:bookmarkEnd w:id="198"/>
      <w:bookmarkEnd w:id="199"/>
    </w:p>
    <w:p w14:paraId="2E60ADD4">
      <w:pPr>
        <w:pStyle w:val="42"/>
        <w:ind w:firstLine="561"/>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11.2.1 投标标书包括但不限于以下内容：</w:t>
      </w:r>
    </w:p>
    <w:p w14:paraId="2EAAAB5E">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（1）封面（格式一）；</w:t>
      </w:r>
    </w:p>
    <w:p w14:paraId="408692FB">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（2）目录； </w:t>
      </w:r>
    </w:p>
    <w:p w14:paraId="459ACE91">
      <w:pPr>
        <w:wordWrap w:val="0"/>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（3）《投标函》及《工程项目总价表》（格式二）；</w:t>
      </w:r>
    </w:p>
    <w:p w14:paraId="749DF8AA">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（4）《各项承诺一览表》（格式三）；</w:t>
      </w:r>
    </w:p>
    <w:p w14:paraId="3B392D21">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（5）《授权委托书》（格式四）；</w:t>
      </w:r>
    </w:p>
    <w:p w14:paraId="5B7DD3F7">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（6）《法定代表人身份证明》（格式五）；</w:t>
      </w:r>
    </w:p>
    <w:p w14:paraId="67ADAE34">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（7）《联合体协议书》（格式六）及所附资料；</w:t>
      </w:r>
    </w:p>
    <w:p w14:paraId="35AA0E1B">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8）投标保证缴纳证明（投标人采用投标保证金的，附建设工程交易系统《缴纳投标保证金通知书》页面截图和银行转账单彩色扫描件；采用投标保证担保的，附银行保函彩色扫描件；采用投标保证保险的，附电子保单和</w:t>
      </w:r>
      <w:r>
        <w:rPr>
          <w:rFonts w:hint="eastAsia" w:ascii="宋体" w:hAnsi="宋体" w:eastAsia="宋体" w:cs="宋体"/>
          <w:color w:val="auto"/>
          <w:sz w:val="21"/>
          <w:szCs w:val="21"/>
          <w:highlight w:val="none"/>
        </w:rPr>
        <w:t>《韶关市公共资源交易一体化平台保证金缴纳信息》</w:t>
      </w:r>
      <w:r>
        <w:rPr>
          <w:rFonts w:hint="eastAsia" w:ascii="宋体" w:hAnsi="宋体" w:eastAsia="宋体" w:cs="宋体"/>
          <w:snapToGrid w:val="0"/>
          <w:color w:val="auto"/>
          <w:kern w:val="0"/>
          <w:sz w:val="21"/>
          <w:szCs w:val="21"/>
          <w:highlight w:val="none"/>
        </w:rPr>
        <w:t>页面截图）。</w:t>
      </w:r>
    </w:p>
    <w:p w14:paraId="22741E63">
      <w:pPr>
        <w:wordWrap w:val="0"/>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（9）《投标人基本情况表》（格式七）及所附资料；</w:t>
      </w:r>
    </w:p>
    <w:p w14:paraId="5F47F5E1">
      <w:pPr>
        <w:wordWrap w:val="0"/>
        <w:adjustRightInd w:val="0"/>
        <w:snapToGrid w:val="0"/>
        <w:spacing w:line="360" w:lineRule="auto"/>
        <w:ind w:firstLine="420" w:firstLineChars="200"/>
        <w:rPr>
          <w:rFonts w:hint="eastAsia" w:ascii="宋体" w:hAnsi="宋体" w:eastAsia="宋体" w:cs="宋体"/>
          <w:strike/>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（10）《项目经理简历表》（格式八）及所附资料；</w:t>
      </w:r>
    </w:p>
    <w:p w14:paraId="1731CEAD">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（11）《项目经理任职声明》（格式九）；</w:t>
      </w:r>
    </w:p>
    <w:p w14:paraId="2C4FB1B0">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（12）《项目技术负责人简历表》（格式十）及所附资料；</w:t>
      </w:r>
    </w:p>
    <w:p w14:paraId="23AAB881">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（13）《项目设计负责人简历表简历表》（格式十一）及所附资料；</w:t>
      </w:r>
    </w:p>
    <w:p w14:paraId="32043EFA">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（14）《项目管理机构组成表》（格式十二 ）及所附资料；</w:t>
      </w:r>
    </w:p>
    <w:p w14:paraId="4FC6776D">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（15）本章第14.2目“评标方法”要求提供的评审资料（如有）；</w:t>
      </w:r>
    </w:p>
    <w:p w14:paraId="22648F30">
      <w:pPr>
        <w:pStyle w:val="42"/>
        <w:ind w:firstLine="420" w:firstLineChars="200"/>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16）投标人认为有必要补充的其他资料。（例如投标人已经工商变更，但其企业资质证书、安全生产许可证或其员工执业资格注册证书上的企业名称未能在投标期间完成变更的书面说明和佐证材料；外省企业所在省、地级市住房和城乡建设部门或其授权的组织（机构）关于企业资质、人员资格有效期自动顺延或延期办理的相关文件等；关于投标总价下浮率超过15%的书面说明和佐证材料）。</w:t>
      </w:r>
    </w:p>
    <w:p w14:paraId="684124F2">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rPr>
        <w:t>11.2.</w:t>
      </w:r>
      <w:r>
        <w:rPr>
          <w:rFonts w:hint="eastAsia" w:ascii="宋体" w:hAnsi="宋体" w:eastAsia="宋体" w:cs="宋体"/>
          <w:snapToGrid w:val="0"/>
          <w:color w:val="auto"/>
          <w:kern w:val="0"/>
          <w:sz w:val="21"/>
          <w:szCs w:val="21"/>
          <w:highlight w:val="none"/>
        </w:rPr>
        <w:t>2 本章第</w:t>
      </w:r>
      <w:r>
        <w:rPr>
          <w:rFonts w:hint="eastAsia" w:ascii="宋体" w:hAnsi="宋体" w:eastAsia="宋体" w:cs="宋体"/>
          <w:b/>
          <w:bCs/>
          <w:snapToGrid w:val="0"/>
          <w:color w:val="auto"/>
          <w:kern w:val="0"/>
          <w:sz w:val="21"/>
          <w:szCs w:val="21"/>
          <w:highlight w:val="none"/>
        </w:rPr>
        <w:t>11.2.1</w:t>
      </w:r>
      <w:r>
        <w:rPr>
          <w:rFonts w:hint="eastAsia" w:ascii="宋体" w:hAnsi="宋体" w:eastAsia="宋体" w:cs="宋体"/>
          <w:snapToGrid w:val="0"/>
          <w:color w:val="auto"/>
          <w:kern w:val="0"/>
          <w:sz w:val="21"/>
          <w:szCs w:val="21"/>
          <w:highlight w:val="none"/>
        </w:rPr>
        <w:t>目中所列出的投标标书组成内容中，第（1）至第（14）项所有投标人均应提供，</w:t>
      </w:r>
      <w:r>
        <w:rPr>
          <w:rFonts w:hint="eastAsia" w:ascii="宋体" w:hAnsi="宋体" w:eastAsia="宋体" w:cs="宋体"/>
          <w:b/>
          <w:bCs/>
          <w:snapToGrid w:val="0"/>
          <w:color w:val="auto"/>
          <w:kern w:val="0"/>
          <w:sz w:val="21"/>
          <w:szCs w:val="21"/>
          <w:highlight w:val="none"/>
        </w:rPr>
        <w:t>但非联合体投标的，无需提供第（7）项内容。</w:t>
      </w:r>
    </w:p>
    <w:p w14:paraId="4A2BA493">
      <w:pPr>
        <w:wordWrap w:val="0"/>
        <w:adjustRightInd w:val="0"/>
        <w:snapToGrid w:val="0"/>
        <w:spacing w:line="360" w:lineRule="auto"/>
        <w:ind w:firstLine="420" w:firstLineChars="200"/>
        <w:rPr>
          <w:rFonts w:hint="eastAsia" w:ascii="宋体" w:hAnsi="宋体" w:eastAsia="宋体" w:cs="宋体"/>
          <w:b/>
          <w:bCs/>
          <w:snapToGrid w:val="0"/>
          <w:color w:val="auto"/>
          <w:kern w:val="0"/>
          <w:sz w:val="21"/>
          <w:szCs w:val="21"/>
          <w:highlight w:val="none"/>
        </w:rPr>
      </w:pPr>
      <w:r>
        <w:rPr>
          <w:rFonts w:hint="eastAsia" w:ascii="宋体" w:hAnsi="宋体" w:eastAsia="宋体" w:cs="宋体"/>
          <w:color w:val="auto"/>
          <w:sz w:val="21"/>
          <w:szCs w:val="21"/>
          <w:highlight w:val="none"/>
        </w:rPr>
        <w:t>11.2.</w:t>
      </w:r>
      <w:r>
        <w:rPr>
          <w:rFonts w:hint="eastAsia" w:ascii="宋体" w:hAnsi="宋体" w:eastAsia="宋体" w:cs="宋体"/>
          <w:snapToGrid w:val="0"/>
          <w:color w:val="auto"/>
          <w:kern w:val="0"/>
          <w:sz w:val="21"/>
          <w:szCs w:val="21"/>
          <w:highlight w:val="none"/>
        </w:rPr>
        <w:t>3 投标标书的组成内容按本章第</w:t>
      </w:r>
      <w:r>
        <w:rPr>
          <w:rFonts w:hint="eastAsia" w:ascii="宋体" w:hAnsi="宋体" w:eastAsia="宋体" w:cs="宋体"/>
          <w:b/>
          <w:bCs/>
          <w:snapToGrid w:val="0"/>
          <w:color w:val="auto"/>
          <w:kern w:val="0"/>
          <w:sz w:val="21"/>
          <w:szCs w:val="21"/>
          <w:highlight w:val="none"/>
        </w:rPr>
        <w:t>11.2.1</w:t>
      </w:r>
      <w:r>
        <w:rPr>
          <w:rFonts w:hint="eastAsia" w:ascii="宋体" w:hAnsi="宋体" w:eastAsia="宋体" w:cs="宋体"/>
          <w:snapToGrid w:val="0"/>
          <w:color w:val="auto"/>
          <w:kern w:val="0"/>
          <w:sz w:val="21"/>
          <w:szCs w:val="21"/>
          <w:highlight w:val="none"/>
        </w:rPr>
        <w:t>目规定的顺序整理、编排后，逐页连续标记页码。</w:t>
      </w:r>
    </w:p>
    <w:p w14:paraId="73FCB0AC">
      <w:pPr>
        <w:pStyle w:val="54"/>
        <w:ind w:firstLine="422" w:firstLineChars="200"/>
        <w:rPr>
          <w:rFonts w:hint="eastAsia" w:ascii="宋体" w:hAnsi="宋体" w:eastAsia="宋体" w:cs="宋体"/>
          <w:b/>
          <w:bCs/>
          <w:color w:val="auto"/>
          <w:sz w:val="21"/>
          <w:szCs w:val="21"/>
          <w:highlight w:val="none"/>
          <w:u w:val="single"/>
        </w:rPr>
      </w:pPr>
      <w:r>
        <w:rPr>
          <w:rFonts w:hint="eastAsia" w:ascii="宋体" w:hAnsi="宋体" w:eastAsia="宋体" w:cs="宋体"/>
          <w:b/>
          <w:bCs/>
          <w:color w:val="auto"/>
          <w:sz w:val="21"/>
          <w:szCs w:val="21"/>
          <w:highlight w:val="none"/>
          <w:u w:val="single"/>
        </w:rPr>
        <w:t>特别说明：</w:t>
      </w:r>
    </w:p>
    <w:p w14:paraId="130E0A98">
      <w:pPr>
        <w:pStyle w:val="54"/>
        <w:ind w:firstLine="422" w:firstLineChars="200"/>
        <w:rPr>
          <w:rFonts w:hint="eastAsia" w:ascii="宋体" w:hAnsi="宋体" w:eastAsia="宋体" w:cs="宋体"/>
          <w:b/>
          <w:bCs/>
          <w:color w:val="auto"/>
          <w:sz w:val="21"/>
          <w:szCs w:val="21"/>
          <w:highlight w:val="none"/>
          <w:u w:val="single"/>
        </w:rPr>
      </w:pPr>
      <w:r>
        <w:rPr>
          <w:rFonts w:hint="eastAsia" w:ascii="宋体" w:hAnsi="宋体" w:eastAsia="宋体" w:cs="宋体"/>
          <w:b/>
          <w:bCs/>
          <w:color w:val="auto"/>
          <w:sz w:val="21"/>
          <w:szCs w:val="21"/>
          <w:highlight w:val="none"/>
          <w:u w:val="single"/>
        </w:rPr>
        <w:t>1、本次招标投标时不要求编制施工组织设计。中标人中标后先按有关规定及要求提供设计成果文件，中标人设计成果确认经有关部门的审查及经有资质的审图机构审查合格通过，中标人还应编制施工组织设计及专项施工方案报监理及招标人审批，然后依据审图合格后的设计施工图编写施工组织设计，报有关部门审查批准后方可实施；中标人须向招标人提供经批准的施工组织设计一式五份。</w:t>
      </w:r>
    </w:p>
    <w:p w14:paraId="020D13D8">
      <w:pPr>
        <w:pStyle w:val="54"/>
        <w:ind w:firstLine="422" w:firstLineChars="200"/>
        <w:rPr>
          <w:rFonts w:hint="eastAsia" w:ascii="宋体" w:hAnsi="宋体" w:eastAsia="宋体" w:cs="宋体"/>
          <w:b/>
          <w:bCs/>
          <w:color w:val="auto"/>
          <w:sz w:val="21"/>
          <w:szCs w:val="21"/>
          <w:highlight w:val="none"/>
          <w:u w:val="single"/>
        </w:rPr>
      </w:pPr>
      <w:r>
        <w:rPr>
          <w:rFonts w:hint="eastAsia" w:ascii="宋体" w:hAnsi="宋体" w:eastAsia="宋体" w:cs="宋体"/>
          <w:b/>
          <w:bCs/>
          <w:color w:val="auto"/>
          <w:sz w:val="21"/>
          <w:szCs w:val="21"/>
          <w:highlight w:val="none"/>
          <w:u w:val="single"/>
        </w:rPr>
        <w:t xml:space="preserve">2、本次招标投标时不要求按编制工程量清单计价模式进行投标报价。 </w:t>
      </w:r>
      <w:bookmarkStart w:id="200" w:name="_Toc27175"/>
      <w:bookmarkStart w:id="201" w:name="_Toc11926"/>
      <w:bookmarkStart w:id="202" w:name="_Toc11313"/>
      <w:bookmarkStart w:id="203" w:name="_Toc17459"/>
      <w:bookmarkStart w:id="204" w:name="_Toc13003"/>
      <w:bookmarkStart w:id="205" w:name="_Toc17812"/>
      <w:bookmarkStart w:id="206" w:name="_Toc14130"/>
      <w:bookmarkStart w:id="207" w:name="_Toc1583"/>
    </w:p>
    <w:p w14:paraId="6CF50BA8">
      <w:pPr>
        <w:bidi w:val="0"/>
        <w:spacing w:line="360" w:lineRule="auto"/>
        <w:ind w:firstLine="422" w:firstLineChars="200"/>
        <w:rPr>
          <w:rFonts w:hint="eastAsia" w:asciiTheme="minorEastAsia" w:hAnsiTheme="minorEastAsia" w:eastAsiaTheme="minorEastAsia" w:cstheme="minorEastAsia"/>
          <w:b/>
          <w:bCs/>
          <w:color w:val="auto"/>
          <w:sz w:val="21"/>
          <w:szCs w:val="16"/>
          <w:highlight w:val="none"/>
          <w:lang w:val="en-US" w:eastAsia="zh-CN"/>
        </w:rPr>
      </w:pPr>
      <w:r>
        <w:rPr>
          <w:rFonts w:hint="eastAsia" w:asciiTheme="minorEastAsia" w:hAnsiTheme="minorEastAsia" w:eastAsiaTheme="minorEastAsia" w:cstheme="minorEastAsia"/>
          <w:b/>
          <w:bCs/>
          <w:color w:val="auto"/>
          <w:sz w:val="21"/>
          <w:szCs w:val="16"/>
          <w:highlight w:val="none"/>
          <w:lang w:val="en-US" w:eastAsia="zh-CN"/>
        </w:rPr>
        <w:t>11.3 定标文件的编制要求</w:t>
      </w:r>
    </w:p>
    <w:p w14:paraId="372B3FC0">
      <w:pPr>
        <w:bidi w:val="0"/>
        <w:spacing w:line="360" w:lineRule="auto"/>
        <w:ind w:firstLine="420" w:firstLineChars="200"/>
        <w:rPr>
          <w:rFonts w:hint="eastAsia" w:asciiTheme="minorEastAsia" w:hAnsiTheme="minorEastAsia" w:eastAsiaTheme="minorEastAsia" w:cstheme="minorEastAsia"/>
          <w:color w:val="auto"/>
          <w:sz w:val="21"/>
          <w:szCs w:val="16"/>
          <w:highlight w:val="none"/>
        </w:rPr>
      </w:pPr>
      <w:r>
        <w:rPr>
          <w:rFonts w:hint="eastAsia" w:asciiTheme="minorEastAsia" w:hAnsiTheme="minorEastAsia" w:eastAsiaTheme="minorEastAsia" w:cstheme="minorEastAsia"/>
          <w:color w:val="auto"/>
          <w:sz w:val="21"/>
          <w:szCs w:val="16"/>
          <w:highlight w:val="none"/>
        </w:rPr>
        <w:t>1</w:t>
      </w:r>
      <w:r>
        <w:rPr>
          <w:rFonts w:hint="eastAsia" w:asciiTheme="minorEastAsia" w:hAnsiTheme="minorEastAsia" w:eastAsiaTheme="minorEastAsia" w:cstheme="minorEastAsia"/>
          <w:color w:val="auto"/>
          <w:sz w:val="21"/>
          <w:szCs w:val="16"/>
          <w:highlight w:val="none"/>
          <w:lang w:val="en-US" w:eastAsia="zh-CN"/>
        </w:rPr>
        <w:t>1.3</w:t>
      </w:r>
      <w:r>
        <w:rPr>
          <w:rFonts w:hint="eastAsia" w:asciiTheme="minorEastAsia" w:hAnsiTheme="minorEastAsia" w:eastAsiaTheme="minorEastAsia" w:cstheme="minorEastAsia"/>
          <w:color w:val="auto"/>
          <w:sz w:val="21"/>
          <w:szCs w:val="16"/>
          <w:highlight w:val="none"/>
        </w:rPr>
        <w:t xml:space="preserve">.1 </w:t>
      </w:r>
      <w:r>
        <w:rPr>
          <w:rFonts w:hint="eastAsia" w:asciiTheme="minorEastAsia" w:hAnsiTheme="minorEastAsia" w:eastAsiaTheme="minorEastAsia" w:cstheme="minorEastAsia"/>
          <w:color w:val="auto"/>
          <w:sz w:val="21"/>
          <w:szCs w:val="16"/>
          <w:highlight w:val="none"/>
          <w:lang w:val="en-US" w:eastAsia="zh-CN"/>
        </w:rPr>
        <w:t>定标文件</w:t>
      </w:r>
      <w:r>
        <w:rPr>
          <w:rFonts w:hint="eastAsia" w:asciiTheme="minorEastAsia" w:hAnsiTheme="minorEastAsia" w:eastAsiaTheme="minorEastAsia" w:cstheme="minorEastAsia"/>
          <w:color w:val="auto"/>
          <w:sz w:val="21"/>
          <w:szCs w:val="16"/>
          <w:highlight w:val="none"/>
        </w:rPr>
        <w:t>包括以下内容：</w:t>
      </w:r>
    </w:p>
    <w:p w14:paraId="48565CB0">
      <w:pPr>
        <w:bidi w:val="0"/>
        <w:spacing w:line="360" w:lineRule="auto"/>
        <w:ind w:firstLine="420" w:firstLineChars="200"/>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eastAsia="zh-CN"/>
        </w:rPr>
        <w:t>（</w:t>
      </w:r>
      <w:r>
        <w:rPr>
          <w:rFonts w:hint="eastAsia" w:asciiTheme="minorEastAsia" w:hAnsiTheme="minorEastAsia" w:eastAsiaTheme="minorEastAsia" w:cstheme="minorEastAsia"/>
          <w:color w:val="auto"/>
          <w:sz w:val="21"/>
          <w:szCs w:val="16"/>
          <w:highlight w:val="none"/>
          <w:lang w:val="en-US" w:eastAsia="zh-CN"/>
        </w:rPr>
        <w:t>1</w:t>
      </w:r>
      <w:r>
        <w:rPr>
          <w:rFonts w:hint="eastAsia" w:asciiTheme="minorEastAsia" w:hAnsiTheme="minorEastAsia" w:eastAsiaTheme="minorEastAsia" w:cstheme="minorEastAsia"/>
          <w:color w:val="auto"/>
          <w:sz w:val="21"/>
          <w:szCs w:val="16"/>
          <w:highlight w:val="none"/>
          <w:lang w:eastAsia="zh-CN"/>
        </w:rPr>
        <w:t>）</w:t>
      </w:r>
      <w:r>
        <w:rPr>
          <w:rFonts w:hint="eastAsia" w:asciiTheme="minorEastAsia" w:hAnsiTheme="minorEastAsia" w:eastAsiaTheme="minorEastAsia" w:cstheme="minorEastAsia"/>
          <w:color w:val="auto"/>
          <w:sz w:val="21"/>
          <w:szCs w:val="16"/>
          <w:highlight w:val="none"/>
          <w:lang w:val="en-US" w:eastAsia="zh-CN"/>
        </w:rPr>
        <w:t>封面（格式一）；</w:t>
      </w:r>
    </w:p>
    <w:p w14:paraId="348895CA">
      <w:pPr>
        <w:bidi w:val="0"/>
        <w:spacing w:line="360" w:lineRule="auto"/>
        <w:ind w:firstLine="420" w:firstLineChars="200"/>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（2）目录；</w:t>
      </w:r>
    </w:p>
    <w:p w14:paraId="2E65EEFB">
      <w:pPr>
        <w:bidi w:val="0"/>
        <w:spacing w:line="360" w:lineRule="auto"/>
        <w:ind w:firstLine="420" w:firstLineChars="200"/>
        <w:rPr>
          <w:rFonts w:hint="eastAsia" w:asciiTheme="minorEastAsia" w:hAnsiTheme="minorEastAsia" w:eastAsiaTheme="minorEastAsia" w:cstheme="minorEastAsia"/>
          <w:color w:val="auto"/>
          <w:sz w:val="21"/>
          <w:szCs w:val="16"/>
          <w:highlight w:val="none"/>
        </w:rPr>
      </w:pPr>
      <w:r>
        <w:rPr>
          <w:rFonts w:hint="eastAsia" w:asciiTheme="minorEastAsia" w:hAnsiTheme="minorEastAsia" w:eastAsiaTheme="minorEastAsia" w:cstheme="minorEastAsia"/>
          <w:color w:val="auto"/>
          <w:sz w:val="21"/>
          <w:szCs w:val="16"/>
          <w:highlight w:val="none"/>
          <w:lang w:val="en-US" w:eastAsia="zh-CN"/>
        </w:rPr>
        <w:t>（3）定标因素评审资料（格式十五）。</w:t>
      </w:r>
    </w:p>
    <w:p w14:paraId="2926D258">
      <w:pPr>
        <w:bidi w:val="0"/>
        <w:spacing w:line="360" w:lineRule="auto"/>
        <w:ind w:firstLine="420" w:firstLineChars="200"/>
        <w:rPr>
          <w:rFonts w:hint="eastAsia" w:asciiTheme="minorEastAsia" w:hAnsiTheme="minorEastAsia" w:eastAsiaTheme="minorEastAsia" w:cstheme="minorEastAsia"/>
          <w:color w:val="auto"/>
          <w:sz w:val="21"/>
          <w:szCs w:val="16"/>
          <w:highlight w:val="none"/>
        </w:rPr>
      </w:pPr>
      <w:r>
        <w:rPr>
          <w:rFonts w:hint="eastAsia" w:asciiTheme="minorEastAsia" w:hAnsiTheme="minorEastAsia" w:eastAsiaTheme="minorEastAsia" w:cstheme="minorEastAsia"/>
          <w:color w:val="auto"/>
          <w:sz w:val="21"/>
          <w:szCs w:val="16"/>
          <w:highlight w:val="none"/>
        </w:rPr>
        <w:t>1</w:t>
      </w:r>
      <w:r>
        <w:rPr>
          <w:rFonts w:hint="eastAsia" w:asciiTheme="minorEastAsia" w:hAnsiTheme="minorEastAsia" w:eastAsiaTheme="minorEastAsia" w:cstheme="minorEastAsia"/>
          <w:color w:val="auto"/>
          <w:sz w:val="21"/>
          <w:szCs w:val="16"/>
          <w:highlight w:val="none"/>
          <w:lang w:val="en-US" w:eastAsia="zh-CN"/>
        </w:rPr>
        <w:t>1.3</w:t>
      </w:r>
      <w:r>
        <w:rPr>
          <w:rFonts w:hint="eastAsia" w:asciiTheme="minorEastAsia" w:hAnsiTheme="minorEastAsia" w:eastAsiaTheme="minorEastAsia" w:cstheme="minorEastAsia"/>
          <w:color w:val="auto"/>
          <w:sz w:val="21"/>
          <w:szCs w:val="16"/>
          <w:highlight w:val="none"/>
        </w:rPr>
        <w:t>.</w:t>
      </w:r>
      <w:r>
        <w:rPr>
          <w:rFonts w:hint="eastAsia" w:asciiTheme="minorEastAsia" w:hAnsiTheme="minorEastAsia" w:eastAsiaTheme="minorEastAsia" w:cstheme="minorEastAsia"/>
          <w:color w:val="auto"/>
          <w:sz w:val="21"/>
          <w:szCs w:val="16"/>
          <w:highlight w:val="none"/>
          <w:lang w:val="en-US" w:eastAsia="zh-CN"/>
        </w:rPr>
        <w:t>2</w:t>
      </w:r>
      <w:r>
        <w:rPr>
          <w:rFonts w:hint="eastAsia" w:asciiTheme="minorEastAsia" w:hAnsiTheme="minorEastAsia" w:eastAsiaTheme="minorEastAsia" w:cstheme="minorEastAsia"/>
          <w:color w:val="auto"/>
          <w:sz w:val="21"/>
          <w:szCs w:val="16"/>
          <w:highlight w:val="none"/>
        </w:rPr>
        <w:t xml:space="preserve"> 本节第1</w:t>
      </w:r>
      <w:r>
        <w:rPr>
          <w:rFonts w:hint="eastAsia" w:asciiTheme="minorEastAsia" w:hAnsiTheme="minorEastAsia" w:eastAsiaTheme="minorEastAsia" w:cstheme="minorEastAsia"/>
          <w:color w:val="auto"/>
          <w:sz w:val="21"/>
          <w:szCs w:val="16"/>
          <w:highlight w:val="none"/>
          <w:lang w:val="en-US" w:eastAsia="zh-CN"/>
        </w:rPr>
        <w:t>0.3</w:t>
      </w:r>
      <w:r>
        <w:rPr>
          <w:rFonts w:hint="eastAsia" w:asciiTheme="minorEastAsia" w:hAnsiTheme="minorEastAsia" w:eastAsiaTheme="minorEastAsia" w:cstheme="minorEastAsia"/>
          <w:color w:val="auto"/>
          <w:sz w:val="21"/>
          <w:szCs w:val="16"/>
          <w:highlight w:val="none"/>
        </w:rPr>
        <w:t>.</w:t>
      </w:r>
      <w:r>
        <w:rPr>
          <w:rFonts w:hint="eastAsia" w:asciiTheme="minorEastAsia" w:hAnsiTheme="minorEastAsia" w:eastAsiaTheme="minorEastAsia" w:cstheme="minorEastAsia"/>
          <w:color w:val="auto"/>
          <w:sz w:val="21"/>
          <w:szCs w:val="16"/>
          <w:highlight w:val="none"/>
          <w:lang w:val="en-US" w:eastAsia="zh-CN"/>
        </w:rPr>
        <w:t>1</w:t>
      </w:r>
      <w:r>
        <w:rPr>
          <w:rFonts w:hint="eastAsia" w:asciiTheme="minorEastAsia" w:hAnsiTheme="minorEastAsia" w:eastAsiaTheme="minorEastAsia" w:cstheme="minorEastAsia"/>
          <w:color w:val="auto"/>
          <w:sz w:val="21"/>
          <w:szCs w:val="16"/>
          <w:highlight w:val="none"/>
        </w:rPr>
        <w:t>目中所列出的组成内容中，第（1）项</w:t>
      </w:r>
      <w:r>
        <w:rPr>
          <w:rFonts w:hint="eastAsia" w:asciiTheme="minorEastAsia" w:hAnsiTheme="minorEastAsia" w:eastAsiaTheme="minorEastAsia" w:cstheme="minorEastAsia"/>
          <w:color w:val="auto"/>
          <w:sz w:val="21"/>
          <w:szCs w:val="16"/>
          <w:highlight w:val="none"/>
          <w:lang w:val="en-US" w:eastAsia="zh-CN"/>
        </w:rPr>
        <w:t>至</w:t>
      </w:r>
      <w:r>
        <w:rPr>
          <w:rFonts w:hint="eastAsia" w:asciiTheme="minorEastAsia" w:hAnsiTheme="minorEastAsia" w:eastAsiaTheme="minorEastAsia" w:cstheme="minorEastAsia"/>
          <w:color w:val="auto"/>
          <w:sz w:val="21"/>
          <w:szCs w:val="16"/>
          <w:highlight w:val="none"/>
        </w:rPr>
        <w:t>第（</w:t>
      </w:r>
      <w:r>
        <w:rPr>
          <w:rFonts w:hint="eastAsia" w:asciiTheme="minorEastAsia" w:hAnsiTheme="minorEastAsia" w:eastAsiaTheme="minorEastAsia" w:cstheme="minorEastAsia"/>
          <w:color w:val="auto"/>
          <w:sz w:val="21"/>
          <w:szCs w:val="16"/>
          <w:highlight w:val="none"/>
          <w:lang w:val="en-US" w:eastAsia="zh-CN"/>
        </w:rPr>
        <w:t>3</w:t>
      </w:r>
      <w:r>
        <w:rPr>
          <w:rFonts w:hint="eastAsia" w:asciiTheme="minorEastAsia" w:hAnsiTheme="minorEastAsia" w:eastAsiaTheme="minorEastAsia" w:cstheme="minorEastAsia"/>
          <w:color w:val="auto"/>
          <w:sz w:val="21"/>
          <w:szCs w:val="16"/>
          <w:highlight w:val="none"/>
        </w:rPr>
        <w:t>）项所有投标人均应提供。</w:t>
      </w:r>
    </w:p>
    <w:p w14:paraId="655D71F8">
      <w:pPr>
        <w:pStyle w:val="54"/>
        <w:ind w:firstLine="422" w:firstLineChars="200"/>
        <w:rPr>
          <w:rFonts w:hint="eastAsia" w:ascii="宋体" w:hAnsi="宋体" w:eastAsia="宋体" w:cs="宋体"/>
          <w:b/>
          <w:snapToGrid w:val="0"/>
          <w:color w:val="auto"/>
          <w:sz w:val="21"/>
          <w:szCs w:val="21"/>
          <w:highlight w:val="none"/>
        </w:rPr>
      </w:pPr>
      <w:r>
        <w:rPr>
          <w:rFonts w:hint="eastAsia" w:ascii="宋体" w:hAnsi="宋体" w:eastAsia="宋体" w:cs="宋体"/>
          <w:b/>
          <w:color w:val="auto"/>
          <w:sz w:val="21"/>
          <w:szCs w:val="21"/>
          <w:highlight w:val="none"/>
        </w:rPr>
        <w:t>11.</w:t>
      </w:r>
      <w:bookmarkEnd w:id="200"/>
      <w:bookmarkEnd w:id="201"/>
      <w:bookmarkEnd w:id="202"/>
      <w:bookmarkEnd w:id="203"/>
      <w:bookmarkEnd w:id="204"/>
      <w:bookmarkEnd w:id="205"/>
      <w:bookmarkEnd w:id="206"/>
      <w:bookmarkEnd w:id="207"/>
      <w:r>
        <w:rPr>
          <w:rFonts w:hint="eastAsia" w:hAnsi="宋体" w:cs="宋体"/>
          <w:b/>
          <w:color w:val="auto"/>
          <w:sz w:val="21"/>
          <w:szCs w:val="21"/>
          <w:highlight w:val="none"/>
          <w:lang w:val="en-US" w:eastAsia="zh-CN"/>
        </w:rPr>
        <w:t>4</w:t>
      </w:r>
      <w:r>
        <w:rPr>
          <w:rFonts w:hint="eastAsia" w:ascii="宋体" w:hAnsi="宋体" w:eastAsia="宋体" w:cs="宋体"/>
          <w:b/>
          <w:snapToGrid w:val="0"/>
          <w:color w:val="auto"/>
          <w:sz w:val="21"/>
          <w:szCs w:val="21"/>
          <w:highlight w:val="none"/>
        </w:rPr>
        <w:t>电子投标</w:t>
      </w:r>
      <w:bookmarkStart w:id="208" w:name="_Hlt88627590"/>
      <w:bookmarkEnd w:id="208"/>
      <w:bookmarkStart w:id="209" w:name="_Hlt66511038"/>
      <w:bookmarkEnd w:id="209"/>
      <w:bookmarkStart w:id="210" w:name="_Hlt66200498"/>
      <w:bookmarkEnd w:id="210"/>
      <w:bookmarkStart w:id="211" w:name="_Toc27961"/>
    </w:p>
    <w:p w14:paraId="0E19606D">
      <w:pPr>
        <w:pStyle w:val="54"/>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4</w:t>
      </w:r>
      <w:r>
        <w:rPr>
          <w:rFonts w:hint="eastAsia" w:ascii="宋体" w:hAnsi="宋体" w:eastAsia="宋体" w:cs="宋体"/>
          <w:bCs/>
          <w:color w:val="auto"/>
          <w:sz w:val="21"/>
          <w:szCs w:val="21"/>
          <w:highlight w:val="none"/>
        </w:rPr>
        <w:t>.1</w:t>
      </w:r>
      <w:r>
        <w:rPr>
          <w:rFonts w:hint="eastAsia" w:hAnsi="宋体" w:cs="宋体"/>
          <w:bCs/>
          <w:color w:val="auto"/>
          <w:sz w:val="21"/>
          <w:szCs w:val="21"/>
          <w:highlight w:val="none"/>
          <w:lang w:val="en-US" w:eastAsia="zh-CN"/>
        </w:rPr>
        <w:t xml:space="preserve"> </w:t>
      </w:r>
      <w:r>
        <w:rPr>
          <w:rFonts w:hint="eastAsia" w:ascii="宋体" w:hAnsi="宋体" w:eastAsia="宋体" w:cs="宋体"/>
          <w:bCs/>
          <w:color w:val="auto"/>
          <w:sz w:val="21"/>
          <w:szCs w:val="21"/>
          <w:highlight w:val="none"/>
        </w:rPr>
        <w:t>在交易平台上传加盖了电子印章的投标文件、录入相关信息及标书页码信息，并提交投标标书（页码起始从封面开始）。提交标书为已加密投标文件。具体操作参照《韶关市公共资源建设工程交易系统-投标人操作指南（电子评标）》。</w:t>
      </w:r>
    </w:p>
    <w:p w14:paraId="54805577">
      <w:pPr>
        <w:pStyle w:val="54"/>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项目评标采用全流程电子化进行招标投标（投标人应在交易平台进行编辑投标相关内容、按招标文件电子投标要求上传已加盖电子印章的投标文件，否则将自行承担不利后果）。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2BED27E1">
      <w:pPr>
        <w:pStyle w:val="54"/>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投标文件完成上传后，投标人应使用 CA 数字证书对投标文件进行文件加密，形成加密的投标文件并提交标书。</w:t>
      </w:r>
    </w:p>
    <w:p w14:paraId="15B073AD">
      <w:pPr>
        <w:pStyle w:val="54"/>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4</w:t>
      </w:r>
      <w:r>
        <w:rPr>
          <w:rFonts w:hint="eastAsia" w:ascii="宋体" w:hAnsi="宋体" w:eastAsia="宋体" w:cs="宋体"/>
          <w:bCs/>
          <w:color w:val="auto"/>
          <w:sz w:val="21"/>
          <w:szCs w:val="21"/>
          <w:highlight w:val="none"/>
        </w:rPr>
        <w:t>.2电子投标文件的修改、撤回：在提交投标文件截止时间前，投标人可以修改或撤回未解密的电子投标文件，并于提交投标文件截止时间前将重新上传修改后的电子投标文件至交易平台，到达投标文件提交截止时间后投标人不得撤回、补充、修改和更换投标文件。</w:t>
      </w:r>
    </w:p>
    <w:p w14:paraId="2F495349">
      <w:pPr>
        <w:pStyle w:val="54"/>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4</w:t>
      </w:r>
      <w:r>
        <w:rPr>
          <w:rFonts w:hint="eastAsia" w:ascii="宋体" w:hAnsi="宋体" w:eastAsia="宋体" w:cs="宋体"/>
          <w:bCs/>
          <w:color w:val="auto"/>
          <w:sz w:val="21"/>
          <w:szCs w:val="21"/>
          <w:highlight w:val="none"/>
        </w:rPr>
        <w:t>.3电子投标及投标解密失败及突发情况的补救方案</w:t>
      </w:r>
    </w:p>
    <w:p w14:paraId="382B796A">
      <w:pPr>
        <w:pStyle w:val="54"/>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4</w:t>
      </w:r>
      <w:r>
        <w:rPr>
          <w:rFonts w:hint="eastAsia" w:ascii="宋体" w:hAnsi="宋体" w:eastAsia="宋体" w:cs="宋体"/>
          <w:bCs/>
          <w:color w:val="auto"/>
          <w:sz w:val="21"/>
          <w:szCs w:val="21"/>
          <w:highlight w:val="none"/>
        </w:rPr>
        <w:t>.3.1按照交易平台关于全流程电子化项目的相关指南进行操作。详见：全国公共资源交易平台（广东省·韶关市）发布的最新版操作指南。</w:t>
      </w:r>
    </w:p>
    <w:p w14:paraId="1BDEC91D">
      <w:pPr>
        <w:pStyle w:val="54"/>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4</w:t>
      </w:r>
      <w:r>
        <w:rPr>
          <w:rFonts w:hint="eastAsia" w:ascii="宋体" w:hAnsi="宋体" w:eastAsia="宋体" w:cs="宋体"/>
          <w:bCs/>
          <w:color w:val="auto"/>
          <w:sz w:val="21"/>
          <w:szCs w:val="21"/>
          <w:highlight w:val="none"/>
        </w:rPr>
        <w:t>.3.2补救方案</w:t>
      </w:r>
    </w:p>
    <w:p w14:paraId="007A9458">
      <w:pPr>
        <w:pStyle w:val="54"/>
        <w:numPr>
          <w:ilvl w:val="0"/>
          <w:numId w:val="2"/>
        </w:numPr>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投标文件解密失败的补救方案：</w:t>
      </w:r>
      <w:bookmarkStart w:id="212" w:name="_Toc28927"/>
    </w:p>
    <w:p w14:paraId="7233C0D5">
      <w:pPr>
        <w:pStyle w:val="54"/>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30分钟内）内重新提交投标文件继续开标程序。电子投标文件解密失败且未在规定的时限内按要求成功上传未加密的备用投标文件的，视为无效投标。</w:t>
      </w:r>
      <w:bookmarkEnd w:id="212"/>
      <w:bookmarkStart w:id="213" w:name="_Toc9612"/>
    </w:p>
    <w:p w14:paraId="307DB85E">
      <w:pPr>
        <w:pStyle w:val="54"/>
        <w:numPr>
          <w:ilvl w:val="0"/>
          <w:numId w:val="2"/>
        </w:numPr>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评标时突发情况的补救方案</w:t>
      </w:r>
      <w:bookmarkEnd w:id="213"/>
      <w:bookmarkStart w:id="214" w:name="_Toc6314"/>
      <w:r>
        <w:rPr>
          <w:rFonts w:hint="eastAsia" w:ascii="宋体" w:hAnsi="宋体" w:eastAsia="宋体" w:cs="宋体"/>
          <w:bCs/>
          <w:color w:val="auto"/>
          <w:sz w:val="21"/>
          <w:szCs w:val="21"/>
          <w:highlight w:val="none"/>
        </w:rPr>
        <w:t>：</w:t>
      </w:r>
    </w:p>
    <w:p w14:paraId="7857FC76">
      <w:pPr>
        <w:pStyle w:val="54"/>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bookmarkEnd w:id="214"/>
      <w:bookmarkStart w:id="215" w:name="_Toc10157"/>
    </w:p>
    <w:p w14:paraId="0998C9BD">
      <w:pPr>
        <w:pStyle w:val="54"/>
        <w:numPr>
          <w:ilvl w:val="0"/>
          <w:numId w:val="2"/>
        </w:numPr>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除发生上述情况外，开标评标均以投标人通过交易平台网上递交的电子投标文件为准。</w:t>
      </w:r>
      <w:bookmarkEnd w:id="215"/>
      <w:bookmarkStart w:id="216" w:name="_Toc12675"/>
    </w:p>
    <w:p w14:paraId="72B39C36">
      <w:pPr>
        <w:pStyle w:val="54"/>
        <w:ind w:left="480" w:left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11.</w:t>
      </w:r>
      <w:r>
        <w:rPr>
          <w:rFonts w:hint="eastAsia" w:hAnsi="宋体" w:cs="宋体"/>
          <w:b/>
          <w:color w:val="auto"/>
          <w:sz w:val="21"/>
          <w:szCs w:val="21"/>
          <w:highlight w:val="none"/>
          <w:lang w:val="en-US" w:eastAsia="zh-CN"/>
        </w:rPr>
        <w:t>5</w:t>
      </w:r>
      <w:r>
        <w:rPr>
          <w:rFonts w:hint="eastAsia" w:ascii="宋体" w:hAnsi="宋体" w:eastAsia="宋体" w:cs="宋体"/>
          <w:b/>
          <w:color w:val="auto"/>
          <w:sz w:val="21"/>
          <w:szCs w:val="21"/>
          <w:highlight w:val="none"/>
        </w:rPr>
        <w:t xml:space="preserve"> 投标文件的提交、修改和撤回</w:t>
      </w:r>
      <w:bookmarkEnd w:id="211"/>
      <w:bookmarkEnd w:id="216"/>
      <w:bookmarkStart w:id="217" w:name="_Hlt75685366"/>
      <w:bookmarkEnd w:id="217"/>
      <w:bookmarkStart w:id="218" w:name="_Hlt66608380"/>
      <w:bookmarkEnd w:id="218"/>
      <w:bookmarkStart w:id="219" w:name="_Hlt69699424"/>
      <w:bookmarkEnd w:id="219"/>
      <w:bookmarkStart w:id="220" w:name="_Hlt92512875"/>
      <w:bookmarkEnd w:id="220"/>
      <w:bookmarkStart w:id="221" w:name="_Hlt74494779"/>
      <w:bookmarkEnd w:id="221"/>
      <w:bookmarkStart w:id="222" w:name="_Toc24469"/>
      <w:bookmarkStart w:id="223" w:name="_Toc4483"/>
      <w:bookmarkStart w:id="224" w:name="_Toc9838"/>
      <w:bookmarkStart w:id="225" w:name="_Toc28454"/>
      <w:bookmarkStart w:id="226" w:name="_Toc7631"/>
      <w:bookmarkStart w:id="227" w:name="_Toc104711075"/>
      <w:bookmarkStart w:id="228" w:name="_Toc30635"/>
      <w:bookmarkStart w:id="229" w:name="_Toc106418820"/>
      <w:bookmarkStart w:id="230" w:name="_Toc3050"/>
      <w:bookmarkStart w:id="231" w:name="_Toc24322"/>
      <w:bookmarkStart w:id="232" w:name="_Toc22741"/>
    </w:p>
    <w:p w14:paraId="23CBD891">
      <w:pPr>
        <w:pStyle w:val="54"/>
        <w:ind w:left="480" w:left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.1在投标文件提交截止时间前，投标人通过交易平台提交已加密投标文件。逾期提交的电子投标文件，交易平台将予以拒收。</w:t>
      </w:r>
      <w:bookmarkEnd w:id="222"/>
      <w:bookmarkStart w:id="233" w:name="_Toc25103"/>
    </w:p>
    <w:p w14:paraId="69DD7560">
      <w:pPr>
        <w:pStyle w:val="54"/>
        <w:ind w:left="480" w:left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.2提交时间：见本章第二节“重要事项时间地点一览表”。</w:t>
      </w:r>
      <w:bookmarkEnd w:id="233"/>
      <w:bookmarkStart w:id="234" w:name="_Toc9791"/>
    </w:p>
    <w:p w14:paraId="54997E6E">
      <w:pPr>
        <w:pStyle w:val="54"/>
        <w:ind w:left="480" w:left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.3投标人无须进行现场签到，如有招标文件要求提交的用于评审的证书、证件、证明原件等投标相关资料，投标人可在规定的地点、时间内递交至开标现场（附一式两份清单），无原件的不作要求。</w:t>
      </w:r>
      <w:bookmarkEnd w:id="234"/>
      <w:bookmarkStart w:id="235" w:name="_Toc25029"/>
    </w:p>
    <w:p w14:paraId="19A4F94F">
      <w:pPr>
        <w:pStyle w:val="54"/>
        <w:ind w:left="480" w:left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.4 递交时间和地点：见本章第二节“重要事项时间地点一览表”。</w:t>
      </w:r>
      <w:bookmarkEnd w:id="235"/>
      <w:bookmarkStart w:id="236" w:name="_Toc5665"/>
    </w:p>
    <w:p w14:paraId="42225A63">
      <w:pPr>
        <w:pStyle w:val="54"/>
        <w:ind w:left="480" w:left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.5 投标人代表到达现场后，应出示以下身份证明材料：</w:t>
      </w:r>
      <w:bookmarkEnd w:id="236"/>
      <w:bookmarkStart w:id="237" w:name="_Toc1714"/>
    </w:p>
    <w:p w14:paraId="4AB3A1C2">
      <w:pPr>
        <w:pStyle w:val="54"/>
        <w:ind w:left="480" w:left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（1）本人有效的第二代居民身份证；</w:t>
      </w:r>
      <w:bookmarkEnd w:id="237"/>
      <w:bookmarkStart w:id="238" w:name="_Toc1212"/>
      <w:bookmarkStart w:id="239" w:name="_Toc22519"/>
      <w:bookmarkStart w:id="240" w:name="_Toc30210"/>
    </w:p>
    <w:p w14:paraId="4933FA7E">
      <w:pPr>
        <w:pStyle w:val="54"/>
        <w:ind w:left="480" w:left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（2）法定代表人到场的，出示《法定代表人身份证明》（格式五）；委托代理人到场的，应同时出示《授权委托书》（格式四）和《法定代表人身份证明》。</w:t>
      </w:r>
      <w:bookmarkEnd w:id="238"/>
      <w:bookmarkEnd w:id="239"/>
      <w:bookmarkEnd w:id="240"/>
      <w:bookmarkStart w:id="241" w:name="_Toc29016"/>
      <w:bookmarkStart w:id="242" w:name="_Toc3014"/>
      <w:bookmarkStart w:id="243" w:name="_Toc8927"/>
    </w:p>
    <w:p w14:paraId="32470AA5">
      <w:pPr>
        <w:pStyle w:val="54"/>
        <w:ind w:left="480" w:left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.6联合体投标的，由联合体牵头人按以上要求递交投标相关资料。</w:t>
      </w:r>
      <w:bookmarkEnd w:id="241"/>
      <w:bookmarkEnd w:id="242"/>
      <w:bookmarkEnd w:id="243"/>
      <w:bookmarkStart w:id="244" w:name="_Toc13703"/>
      <w:bookmarkStart w:id="245" w:name="_Toc16539"/>
      <w:bookmarkStart w:id="246" w:name="_Toc13697"/>
    </w:p>
    <w:p w14:paraId="05BF6175">
      <w:pPr>
        <w:pStyle w:val="54"/>
        <w:ind w:left="480" w:left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.7招标人或其授权的招标代理机构核对、接收投标人递交的投标相关资料后，应并妥善保管。</w:t>
      </w:r>
      <w:bookmarkEnd w:id="244"/>
      <w:bookmarkEnd w:id="245"/>
      <w:bookmarkEnd w:id="246"/>
      <w:bookmarkStart w:id="247" w:name="_Toc20579"/>
      <w:bookmarkStart w:id="248" w:name="_Toc5287"/>
      <w:bookmarkStart w:id="249" w:name="_Toc6708"/>
    </w:p>
    <w:p w14:paraId="070D5DF4">
      <w:pPr>
        <w:pStyle w:val="54"/>
        <w:ind w:left="480" w:left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.8 投标人发生以下情形的，其投标相关资料招标人不予接收：</w:t>
      </w:r>
      <w:bookmarkEnd w:id="247"/>
      <w:bookmarkEnd w:id="248"/>
      <w:bookmarkEnd w:id="249"/>
      <w:bookmarkStart w:id="250" w:name="_Toc18916"/>
      <w:bookmarkStart w:id="251" w:name="_Toc32603"/>
      <w:bookmarkStart w:id="252" w:name="_Toc31045"/>
    </w:p>
    <w:p w14:paraId="483D004D">
      <w:pPr>
        <w:pStyle w:val="54"/>
        <w:ind w:left="480" w:left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（1）未在指定的时间和地点递交的；</w:t>
      </w:r>
      <w:bookmarkEnd w:id="250"/>
      <w:bookmarkEnd w:id="251"/>
      <w:bookmarkEnd w:id="252"/>
      <w:bookmarkStart w:id="253" w:name="_Toc17194"/>
      <w:bookmarkStart w:id="254" w:name="_Toc15124"/>
      <w:bookmarkStart w:id="255" w:name="_Toc15823"/>
    </w:p>
    <w:p w14:paraId="69AC52FD">
      <w:pPr>
        <w:pStyle w:val="54"/>
        <w:ind w:left="480" w:left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（2）到场人员未出示身份证明材料的。</w:t>
      </w:r>
      <w:bookmarkEnd w:id="253"/>
      <w:bookmarkEnd w:id="254"/>
      <w:bookmarkEnd w:id="255"/>
      <w:bookmarkStart w:id="256" w:name="_Toc23037"/>
      <w:bookmarkStart w:id="257" w:name="_Toc17679"/>
      <w:bookmarkStart w:id="258" w:name="_Toc2022"/>
    </w:p>
    <w:p w14:paraId="1F46AF46">
      <w:pPr>
        <w:pStyle w:val="54"/>
        <w:ind w:left="480" w:left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.9出现下述情形之一，属于未成功提交投标文件，按无效投标处理：</w:t>
      </w:r>
      <w:bookmarkEnd w:id="256"/>
      <w:bookmarkEnd w:id="257"/>
      <w:bookmarkEnd w:id="258"/>
      <w:bookmarkStart w:id="259" w:name="_Toc22805"/>
      <w:bookmarkStart w:id="260" w:name="_Toc27579"/>
      <w:bookmarkStart w:id="261" w:name="_Toc30279"/>
    </w:p>
    <w:p w14:paraId="4AE2D695">
      <w:pPr>
        <w:pStyle w:val="42"/>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（1）至提交投标文件截止时，投标文件未完整上传或未提交投标；</w:t>
      </w:r>
      <w:bookmarkEnd w:id="259"/>
      <w:bookmarkEnd w:id="260"/>
      <w:bookmarkEnd w:id="261"/>
      <w:bookmarkStart w:id="262" w:name="_Toc17052"/>
      <w:bookmarkStart w:id="263" w:name="_Toc26257"/>
      <w:bookmarkStart w:id="264" w:name="_Toc1293"/>
    </w:p>
    <w:p w14:paraId="79BB28CC">
      <w:pPr>
        <w:pStyle w:val="42"/>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（2）投标文件未按投标格式中注明需签字盖章的要求进行签名（含电子签名）和加盖电子印章，或签名（含电子签名）或电子印章不完整的；</w:t>
      </w:r>
      <w:bookmarkEnd w:id="262"/>
      <w:bookmarkEnd w:id="263"/>
      <w:bookmarkEnd w:id="264"/>
    </w:p>
    <w:p w14:paraId="1B246A00">
      <w:pPr>
        <w:pStyle w:val="42"/>
        <w:ind w:firstLine="420" w:firstLineChars="200"/>
        <w:rPr>
          <w:rFonts w:hint="eastAsia" w:ascii="宋体" w:hAnsi="宋体" w:eastAsia="宋体" w:cs="宋体"/>
          <w:snapToGrid w:val="0"/>
          <w:color w:val="auto"/>
          <w:kern w:val="0"/>
          <w:sz w:val="21"/>
          <w:szCs w:val="21"/>
          <w:highlight w:val="none"/>
        </w:rPr>
      </w:pPr>
      <w:bookmarkStart w:id="265" w:name="_Toc444"/>
      <w:bookmarkStart w:id="266" w:name="_Toc7367"/>
      <w:bookmarkStart w:id="267" w:name="_Toc23907"/>
      <w:r>
        <w:rPr>
          <w:rFonts w:hint="eastAsia" w:ascii="宋体" w:hAnsi="宋体" w:eastAsia="宋体" w:cs="宋体"/>
          <w:snapToGrid w:val="0"/>
          <w:color w:val="auto"/>
          <w:kern w:val="0"/>
          <w:sz w:val="21"/>
          <w:szCs w:val="21"/>
          <w:highlight w:val="none"/>
        </w:rPr>
        <w:t>（3）解密失败且在规定时间内未重新提交投标文件的；</w:t>
      </w:r>
      <w:bookmarkEnd w:id="265"/>
      <w:bookmarkEnd w:id="266"/>
      <w:bookmarkEnd w:id="267"/>
    </w:p>
    <w:p w14:paraId="74E47095">
      <w:pPr>
        <w:pStyle w:val="42"/>
        <w:ind w:firstLine="420" w:firstLineChars="200"/>
        <w:rPr>
          <w:rFonts w:hint="eastAsia" w:ascii="宋体" w:hAnsi="宋体" w:eastAsia="宋体" w:cs="宋体"/>
          <w:snapToGrid w:val="0"/>
          <w:color w:val="auto"/>
          <w:kern w:val="0"/>
          <w:sz w:val="21"/>
          <w:szCs w:val="21"/>
          <w:highlight w:val="none"/>
        </w:rPr>
      </w:pPr>
      <w:bookmarkStart w:id="268" w:name="_Toc26444"/>
      <w:bookmarkStart w:id="269" w:name="_Toc13"/>
      <w:bookmarkStart w:id="270" w:name="_Toc21719"/>
      <w:r>
        <w:rPr>
          <w:rFonts w:hint="eastAsia" w:ascii="宋体" w:hAnsi="宋体" w:eastAsia="宋体" w:cs="宋体"/>
          <w:snapToGrid w:val="0"/>
          <w:color w:val="auto"/>
          <w:kern w:val="0"/>
          <w:sz w:val="21"/>
          <w:szCs w:val="21"/>
          <w:highlight w:val="none"/>
        </w:rPr>
        <w:t>（4）投标文件损坏或格式不正确的。</w:t>
      </w:r>
      <w:bookmarkEnd w:id="268"/>
      <w:bookmarkEnd w:id="269"/>
      <w:bookmarkEnd w:id="270"/>
    </w:p>
    <w:p w14:paraId="6F773501">
      <w:pPr>
        <w:pStyle w:val="44"/>
        <w:keepNext/>
        <w:keepLines/>
        <w:ind w:firstLine="480"/>
        <w:jc w:val="both"/>
        <w:rPr>
          <w:rFonts w:hint="eastAsia" w:ascii="宋体" w:hAnsi="宋体" w:eastAsia="宋体" w:cs="宋体"/>
          <w:b/>
          <w:color w:val="auto"/>
          <w:kern w:val="2"/>
          <w:sz w:val="21"/>
          <w:szCs w:val="21"/>
          <w:highlight w:val="none"/>
        </w:rPr>
      </w:pPr>
      <w:bookmarkStart w:id="271" w:name="_Toc23010"/>
      <w:bookmarkStart w:id="272" w:name="_Toc6027"/>
      <w:r>
        <w:rPr>
          <w:rFonts w:hint="eastAsia" w:ascii="宋体" w:hAnsi="宋体" w:eastAsia="宋体" w:cs="宋体"/>
          <w:b/>
          <w:color w:val="auto"/>
          <w:kern w:val="2"/>
          <w:sz w:val="21"/>
          <w:szCs w:val="21"/>
          <w:highlight w:val="none"/>
        </w:rPr>
        <w:t>12、 投标有效期及对投标人的其他要求</w:t>
      </w:r>
      <w:bookmarkEnd w:id="223"/>
      <w:bookmarkEnd w:id="224"/>
      <w:bookmarkEnd w:id="225"/>
      <w:bookmarkEnd w:id="226"/>
      <w:bookmarkEnd w:id="227"/>
      <w:bookmarkEnd w:id="228"/>
      <w:bookmarkEnd w:id="229"/>
      <w:bookmarkEnd w:id="230"/>
      <w:bookmarkEnd w:id="231"/>
      <w:bookmarkEnd w:id="232"/>
      <w:bookmarkEnd w:id="271"/>
      <w:bookmarkEnd w:id="272"/>
    </w:p>
    <w:p w14:paraId="6F4C0839">
      <w:pPr>
        <w:pStyle w:val="42"/>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snapToGrid w:val="0"/>
          <w:color w:val="auto"/>
          <w:kern w:val="0"/>
          <w:sz w:val="21"/>
          <w:szCs w:val="21"/>
          <w:highlight w:val="none"/>
        </w:rPr>
        <w:t>本次招标投标有效期为</w:t>
      </w:r>
      <w:r>
        <w:rPr>
          <w:rFonts w:hint="eastAsia" w:ascii="宋体" w:hAnsi="宋体" w:eastAsia="宋体" w:cs="宋体"/>
          <w:snapToGrid w:val="0"/>
          <w:color w:val="auto"/>
          <w:kern w:val="0"/>
          <w:sz w:val="21"/>
          <w:szCs w:val="21"/>
          <w:highlight w:val="none"/>
          <w:u w:val="single"/>
        </w:rPr>
        <w:t xml:space="preserve"> 120 </w:t>
      </w:r>
      <w:r>
        <w:rPr>
          <w:rFonts w:hint="eastAsia" w:ascii="宋体" w:hAnsi="宋体" w:eastAsia="宋体" w:cs="宋体"/>
          <w:snapToGrid w:val="0"/>
          <w:color w:val="auto"/>
          <w:kern w:val="0"/>
          <w:sz w:val="21"/>
          <w:szCs w:val="21"/>
          <w:highlight w:val="none"/>
        </w:rPr>
        <w:t>个日历天，投标有效期从提交投标文件的截止之日起计算。在此期间，投标人不得撤销或修改其投标文件，否则其投标保证不予退还。</w:t>
      </w:r>
    </w:p>
    <w:bookmarkEnd w:id="152"/>
    <w:p w14:paraId="5A4FFF93">
      <w:pPr>
        <w:pStyle w:val="44"/>
        <w:keepNext/>
        <w:keepLines/>
        <w:ind w:firstLine="480"/>
        <w:jc w:val="both"/>
        <w:rPr>
          <w:rFonts w:hint="eastAsia" w:ascii="宋体" w:hAnsi="宋体" w:eastAsia="宋体" w:cs="宋体"/>
          <w:b/>
          <w:color w:val="auto"/>
          <w:kern w:val="2"/>
          <w:sz w:val="21"/>
          <w:szCs w:val="21"/>
          <w:highlight w:val="none"/>
        </w:rPr>
      </w:pPr>
      <w:bookmarkStart w:id="273" w:name="_Hlt111081624"/>
      <w:bookmarkEnd w:id="273"/>
      <w:bookmarkStart w:id="274" w:name="_Toc21498"/>
      <w:r>
        <w:rPr>
          <w:rFonts w:hint="eastAsia" w:ascii="宋体" w:hAnsi="宋体" w:eastAsia="宋体" w:cs="宋体"/>
          <w:b/>
          <w:color w:val="auto"/>
          <w:kern w:val="2"/>
          <w:sz w:val="21"/>
          <w:szCs w:val="21"/>
          <w:highlight w:val="none"/>
        </w:rPr>
        <w:t>13、开标</w:t>
      </w:r>
      <w:bookmarkEnd w:id="274"/>
    </w:p>
    <w:p w14:paraId="57608418">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13.1 招标人邀请所有正确完成了网上获取招标文件、电子投标、缴纳投标保证、递交投标文件的投标人参加开标，投标人可自主决定是否参加。投标人不参加开标的，视其默认开标结果，以及放弃在开标期间见证、监督、投诉、申辩的权利。</w:t>
      </w:r>
    </w:p>
    <w:p w14:paraId="0BEFBC05">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13.1.1 开标时间和地点：见本章第二节“重要事项时间地点一览表”。</w:t>
      </w:r>
    </w:p>
    <w:p w14:paraId="61F5B08E">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13.1.2 开标前24小时，若交易平台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登录全国公共资源交易平台（广东省·韶关市）（https://ygp.gdzwfw.gov.cn/ggzy-portal/#/440200/index）查询是否发布了取消开标活动的相关信息。</w:t>
      </w:r>
    </w:p>
    <w:p w14:paraId="7780E34D">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13.1.3本项目实行全流程电子化招标投标，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22E51935">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13.2 开标程序</w:t>
      </w:r>
    </w:p>
    <w:p w14:paraId="499B38EE">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（1）主持人（招标人代表或招标人授权的招标代理机构人员）宣读开标纪律。</w:t>
      </w:r>
    </w:p>
    <w:p w14:paraId="0C0DA5A6">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（2）主持人宣布唱标人、记录人、见证人、监督人等有关人员姓名。</w:t>
      </w:r>
    </w:p>
    <w:p w14:paraId="2B2A6365">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（3）唱标人公布在投标截止时间前进行投标文件的投标人数量和名称</w:t>
      </w:r>
    </w:p>
    <w:p w14:paraId="0A4223EC">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（4）招标代理机构会同交易场所工作人员对投标人的电子投标信息进行解密，建设工程交易系统自动生成《投标保证缴纳情况表》和《开标一览表》。</w:t>
      </w:r>
    </w:p>
    <w:p w14:paraId="6D1E824A">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温馨提示：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14:paraId="56290192">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因本工程采用全流程电子招标投标方式进行招标，投标人在唱标环节为解密唱标时，以网上电子解密唱标信息为准。全流程电子招标投标采用线上评审，以电子投标文件为准。如果两者报价不一致的，视为报价不唯一，其响应性评审不通过。</w:t>
      </w:r>
    </w:p>
    <w:p w14:paraId="557C6570">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13.3 投标人对开标相关事项（如开标程序等）有异议的，必须在开标期间及时提出，招标人或其授权的招标代理机构应当场作出答复，并记录在案。对开标事项的异议未在开标期间及时提出的，招标人不予受理。</w:t>
      </w:r>
    </w:p>
    <w:p w14:paraId="7CCBE0A2">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13.4 招标代理机构将资料原件（若有）、《开标一览表》以及其他有关资料移交评标委员会。</w:t>
      </w:r>
    </w:p>
    <w:p w14:paraId="2DF48D5A">
      <w:pPr>
        <w:pStyle w:val="44"/>
        <w:keepNext/>
        <w:keepLines/>
        <w:ind w:firstLine="480"/>
        <w:jc w:val="both"/>
        <w:rPr>
          <w:rFonts w:hint="eastAsia" w:ascii="宋体" w:hAnsi="宋体" w:eastAsia="宋体" w:cs="宋体"/>
          <w:b/>
          <w:color w:val="auto"/>
          <w:kern w:val="2"/>
          <w:sz w:val="21"/>
          <w:szCs w:val="21"/>
          <w:highlight w:val="none"/>
        </w:rPr>
      </w:pPr>
      <w:bookmarkStart w:id="275" w:name="_Toc23128"/>
      <w:bookmarkStart w:id="276" w:name="_Toc21041"/>
      <w:r>
        <w:rPr>
          <w:rFonts w:hint="eastAsia" w:ascii="宋体" w:hAnsi="宋体" w:eastAsia="宋体" w:cs="宋体"/>
          <w:b/>
          <w:color w:val="auto"/>
          <w:kern w:val="2"/>
          <w:sz w:val="21"/>
          <w:szCs w:val="21"/>
          <w:highlight w:val="none"/>
        </w:rPr>
        <w:t>14</w:t>
      </w:r>
      <w:bookmarkStart w:id="277" w:name="_Hlt127093805"/>
      <w:bookmarkEnd w:id="277"/>
      <w:r>
        <w:rPr>
          <w:rFonts w:hint="eastAsia" w:ascii="宋体" w:hAnsi="宋体" w:eastAsia="宋体" w:cs="宋体"/>
          <w:b/>
          <w:color w:val="auto"/>
          <w:kern w:val="2"/>
          <w:sz w:val="21"/>
          <w:szCs w:val="21"/>
          <w:highlight w:val="none"/>
        </w:rPr>
        <w:t>、评标的方法和标准</w:t>
      </w:r>
      <w:bookmarkEnd w:id="275"/>
      <w:bookmarkEnd w:id="276"/>
    </w:p>
    <w:p w14:paraId="1D17D8E7">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评标分为初步评审和详细评审两个阶段，由评标委员会在有关部门的监督下，严格按照本招标文件指定的评标方法，对投标人的投标文件进行审查、评审。评标委员会完成评标后，向招标人推荐 3 个中标候选人，并向招标人提交由全体评标委员会成员签字的评标报告。</w:t>
      </w:r>
    </w:p>
    <w:p w14:paraId="0C12D1CC">
      <w:pPr>
        <w:pStyle w:val="42"/>
        <w:autoSpaceDE w:val="0"/>
        <w:autoSpaceDN w:val="0"/>
        <w:adjustRightInd w:val="0"/>
        <w:ind w:firstLine="422" w:firstLineChars="200"/>
        <w:rPr>
          <w:rFonts w:hint="eastAsia" w:ascii="宋体" w:hAnsi="宋体" w:eastAsia="宋体" w:cs="宋体"/>
          <w:bCs/>
          <w:color w:val="auto"/>
          <w:sz w:val="21"/>
          <w:szCs w:val="21"/>
          <w:highlight w:val="none"/>
        </w:rPr>
      </w:pPr>
      <w:bookmarkStart w:id="278" w:name="_Toc32313"/>
      <w:r>
        <w:rPr>
          <w:rFonts w:hint="eastAsia" w:ascii="宋体" w:hAnsi="宋体" w:eastAsia="宋体" w:cs="宋体"/>
          <w:b/>
          <w:color w:val="auto"/>
          <w:sz w:val="21"/>
          <w:szCs w:val="21"/>
          <w:highlight w:val="none"/>
        </w:rPr>
        <w:t>14.1 评标</w:t>
      </w:r>
      <w:bookmarkStart w:id="279" w:name="_Hlt69208274"/>
      <w:bookmarkEnd w:id="279"/>
      <w:r>
        <w:rPr>
          <w:rFonts w:hint="eastAsia" w:ascii="宋体" w:hAnsi="宋体" w:eastAsia="宋体" w:cs="宋体"/>
          <w:b/>
          <w:color w:val="auto"/>
          <w:sz w:val="21"/>
          <w:szCs w:val="21"/>
          <w:highlight w:val="none"/>
        </w:rPr>
        <w:t>委员会</w:t>
      </w:r>
      <w:bookmarkEnd w:id="278"/>
      <w:bookmarkStart w:id="280" w:name="_Hlt69338169"/>
      <w:bookmarkEnd w:id="280"/>
    </w:p>
    <w:p w14:paraId="689BC6E3">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14.1.1 评标委员会由5人组成。专家从广东省综合评标评审专家库-</w:t>
      </w:r>
      <w:r>
        <w:rPr>
          <w:rFonts w:hint="eastAsia" w:ascii="宋体" w:hAnsi="宋体" w:eastAsia="宋体" w:cs="宋体"/>
          <w:snapToGrid w:val="0"/>
          <w:color w:val="auto"/>
          <w:kern w:val="0"/>
          <w:sz w:val="21"/>
          <w:szCs w:val="21"/>
          <w:highlight w:val="none"/>
          <w:u w:val="single"/>
        </w:rPr>
        <w:t>韶关区域</w:t>
      </w:r>
      <w:r>
        <w:rPr>
          <w:rFonts w:hint="eastAsia" w:ascii="宋体" w:hAnsi="宋体" w:eastAsia="宋体" w:cs="宋体"/>
          <w:bCs/>
          <w:color w:val="auto"/>
          <w:sz w:val="21"/>
          <w:szCs w:val="21"/>
          <w:highlight w:val="none"/>
        </w:rPr>
        <w:t>中随机抽取，其中技术类专家3人，经济类专家2人。评标委员会的负责人在评委中民主选出，负责人的权力与评委成员相等。</w:t>
      </w:r>
    </w:p>
    <w:p w14:paraId="17879FD0">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14.1.</w:t>
      </w:r>
      <w:r>
        <w:rPr>
          <w:rFonts w:hint="eastAsia" w:hAnsi="宋体" w:cs="宋体"/>
          <w:bCs/>
          <w:color w:val="auto"/>
          <w:sz w:val="21"/>
          <w:szCs w:val="21"/>
          <w:highlight w:val="none"/>
          <w:lang w:val="en-US" w:eastAsia="zh-CN"/>
        </w:rPr>
        <w:t xml:space="preserve">2 </w:t>
      </w:r>
      <w:r>
        <w:rPr>
          <w:rFonts w:hint="eastAsia" w:ascii="宋体" w:hAnsi="宋体" w:eastAsia="宋体" w:cs="宋体"/>
          <w:bCs/>
          <w:color w:val="auto"/>
          <w:sz w:val="21"/>
          <w:szCs w:val="21"/>
          <w:highlight w:val="none"/>
        </w:rPr>
        <w:t>评标委员会应认真、公正、诚实、廉洁地履行职责。有下列情形之一的，不得担任评标委员会成员：</w:t>
      </w:r>
    </w:p>
    <w:p w14:paraId="496F93D7">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hAnsi="宋体" w:cs="宋体"/>
          <w:bCs/>
          <w:color w:val="auto"/>
          <w:sz w:val="21"/>
          <w:szCs w:val="21"/>
          <w:highlight w:val="none"/>
          <w:lang w:eastAsia="zh-CN"/>
        </w:rPr>
        <w:t>（</w:t>
      </w:r>
      <w:r>
        <w:rPr>
          <w:rFonts w:hint="eastAsia" w:hAnsi="宋体" w:cs="宋体"/>
          <w:bCs/>
          <w:color w:val="auto"/>
          <w:sz w:val="21"/>
          <w:szCs w:val="21"/>
          <w:highlight w:val="none"/>
          <w:lang w:val="en-US" w:eastAsia="zh-CN"/>
        </w:rPr>
        <w:t>1</w:t>
      </w:r>
      <w:r>
        <w:rPr>
          <w:rFonts w:hint="eastAsia" w:hAnsi="宋体" w:cs="宋体"/>
          <w:bCs/>
          <w:color w:val="auto"/>
          <w:sz w:val="21"/>
          <w:szCs w:val="21"/>
          <w:highlight w:val="none"/>
          <w:lang w:eastAsia="zh-CN"/>
        </w:rPr>
        <w:t>）</w:t>
      </w:r>
      <w:r>
        <w:rPr>
          <w:rFonts w:hint="eastAsia" w:ascii="宋体" w:hAnsi="宋体" w:eastAsia="宋体" w:cs="宋体"/>
          <w:bCs/>
          <w:color w:val="auto"/>
          <w:sz w:val="21"/>
          <w:szCs w:val="21"/>
          <w:highlight w:val="none"/>
        </w:rPr>
        <w:t xml:space="preserve"> 投标人或者投标人主要负责人的近亲属；</w:t>
      </w:r>
    </w:p>
    <w:p w14:paraId="2A8BF88D">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hAnsi="宋体" w:cs="宋体"/>
          <w:bCs/>
          <w:color w:val="auto"/>
          <w:sz w:val="21"/>
          <w:szCs w:val="21"/>
          <w:highlight w:val="none"/>
          <w:lang w:eastAsia="zh-CN"/>
        </w:rPr>
        <w:t>（</w:t>
      </w:r>
      <w:r>
        <w:rPr>
          <w:rFonts w:hint="eastAsia" w:hAnsi="宋体" w:cs="宋体"/>
          <w:bCs/>
          <w:color w:val="auto"/>
          <w:sz w:val="21"/>
          <w:szCs w:val="21"/>
          <w:highlight w:val="none"/>
          <w:lang w:val="en-US" w:eastAsia="zh-CN"/>
        </w:rPr>
        <w:t>2</w:t>
      </w:r>
      <w:r>
        <w:rPr>
          <w:rFonts w:hint="eastAsia" w:hAnsi="宋体" w:cs="宋体"/>
          <w:bCs/>
          <w:color w:val="auto"/>
          <w:sz w:val="21"/>
          <w:szCs w:val="21"/>
          <w:highlight w:val="none"/>
          <w:lang w:eastAsia="zh-CN"/>
        </w:rPr>
        <w:t>）</w:t>
      </w:r>
      <w:r>
        <w:rPr>
          <w:rFonts w:hint="eastAsia" w:ascii="宋体" w:hAnsi="宋体" w:eastAsia="宋体" w:cs="宋体"/>
          <w:bCs/>
          <w:color w:val="auto"/>
          <w:sz w:val="21"/>
          <w:szCs w:val="21"/>
          <w:highlight w:val="none"/>
        </w:rPr>
        <w:t xml:space="preserve"> 项目主管部门或者行政监督部门的人员；</w:t>
      </w:r>
    </w:p>
    <w:p w14:paraId="06B260B9">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hAnsi="宋体" w:cs="宋体"/>
          <w:bCs/>
          <w:color w:val="auto"/>
          <w:sz w:val="21"/>
          <w:szCs w:val="21"/>
          <w:highlight w:val="none"/>
          <w:lang w:eastAsia="zh-CN"/>
        </w:rPr>
        <w:t>（</w:t>
      </w:r>
      <w:r>
        <w:rPr>
          <w:rFonts w:hint="eastAsia" w:hAnsi="宋体" w:cs="宋体"/>
          <w:bCs/>
          <w:color w:val="auto"/>
          <w:sz w:val="21"/>
          <w:szCs w:val="21"/>
          <w:highlight w:val="none"/>
          <w:lang w:val="en-US" w:eastAsia="zh-CN"/>
        </w:rPr>
        <w:t>3</w:t>
      </w:r>
      <w:r>
        <w:rPr>
          <w:rFonts w:hint="eastAsia" w:hAnsi="宋体" w:cs="宋体"/>
          <w:bCs/>
          <w:color w:val="auto"/>
          <w:sz w:val="21"/>
          <w:szCs w:val="21"/>
          <w:highlight w:val="none"/>
          <w:lang w:eastAsia="zh-CN"/>
        </w:rPr>
        <w:t>）</w:t>
      </w:r>
      <w:r>
        <w:rPr>
          <w:rFonts w:hint="eastAsia" w:ascii="宋体" w:hAnsi="宋体" w:eastAsia="宋体" w:cs="宋体"/>
          <w:bCs/>
          <w:color w:val="auto"/>
          <w:sz w:val="21"/>
          <w:szCs w:val="21"/>
          <w:highlight w:val="none"/>
        </w:rPr>
        <w:t xml:space="preserve"> 与投标人有经济利益关系，可能影响对投标公正评审的；</w:t>
      </w:r>
    </w:p>
    <w:p w14:paraId="4EB2BE51">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hAnsi="宋体" w:cs="宋体"/>
          <w:bCs/>
          <w:color w:val="auto"/>
          <w:sz w:val="21"/>
          <w:szCs w:val="21"/>
          <w:highlight w:val="none"/>
          <w:lang w:eastAsia="zh-CN"/>
        </w:rPr>
        <w:t>（</w:t>
      </w:r>
      <w:r>
        <w:rPr>
          <w:rFonts w:hint="eastAsia" w:hAnsi="宋体" w:cs="宋体"/>
          <w:bCs/>
          <w:color w:val="auto"/>
          <w:sz w:val="21"/>
          <w:szCs w:val="21"/>
          <w:highlight w:val="none"/>
          <w:lang w:val="en-US" w:eastAsia="zh-CN"/>
        </w:rPr>
        <w:t>4</w:t>
      </w:r>
      <w:r>
        <w:rPr>
          <w:rFonts w:hint="eastAsia" w:hAnsi="宋体" w:cs="宋体"/>
          <w:bCs/>
          <w:color w:val="auto"/>
          <w:sz w:val="21"/>
          <w:szCs w:val="21"/>
          <w:highlight w:val="none"/>
          <w:lang w:eastAsia="zh-CN"/>
        </w:rPr>
        <w:t>）</w:t>
      </w:r>
      <w:r>
        <w:rPr>
          <w:rFonts w:hint="eastAsia" w:ascii="宋体" w:hAnsi="宋体" w:eastAsia="宋体" w:cs="宋体"/>
          <w:bCs/>
          <w:color w:val="auto"/>
          <w:sz w:val="21"/>
          <w:szCs w:val="21"/>
          <w:highlight w:val="none"/>
        </w:rPr>
        <w:t xml:space="preserve"> 曾因在</w:t>
      </w:r>
      <w:bookmarkStart w:id="281" w:name="_Hlt69700387"/>
      <w:bookmarkEnd w:id="281"/>
      <w:r>
        <w:rPr>
          <w:rFonts w:hint="eastAsia" w:ascii="宋体" w:hAnsi="宋体" w:eastAsia="宋体" w:cs="宋体"/>
          <w:bCs/>
          <w:color w:val="auto"/>
          <w:sz w:val="21"/>
          <w:szCs w:val="21"/>
          <w:highlight w:val="none"/>
        </w:rPr>
        <w:t>招标、评标以及其他与招标投标有关活动中从事违法行为而受过行政处罚或刑事处罚的。</w:t>
      </w:r>
    </w:p>
    <w:p w14:paraId="0EE415F3">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eastAsia="zh-CN"/>
        </w:rPr>
        <w:t>1</w:t>
      </w:r>
      <w:r>
        <w:rPr>
          <w:rFonts w:hint="eastAsia" w:ascii="宋体" w:hAnsi="宋体" w:eastAsia="宋体" w:cs="宋体"/>
          <w:bCs/>
          <w:color w:val="auto"/>
          <w:sz w:val="21"/>
          <w:szCs w:val="21"/>
          <w:highlight w:val="none"/>
          <w:lang w:val="en-US" w:eastAsia="zh-CN"/>
        </w:rPr>
        <w:t>4</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1</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 xml:space="preserve">3 </w:t>
      </w:r>
      <w:r>
        <w:rPr>
          <w:rFonts w:hint="eastAsia" w:ascii="宋体" w:hAnsi="宋体" w:eastAsia="宋体" w:cs="宋体"/>
          <w:bCs/>
          <w:color w:val="auto"/>
          <w:sz w:val="21"/>
          <w:szCs w:val="21"/>
          <w:highlight w:val="none"/>
        </w:rPr>
        <w:t>评标委员会成员有前款规定情形之一的，应主动提出回避。</w:t>
      </w:r>
    </w:p>
    <w:p w14:paraId="012C5E8A">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eastAsia="zh-CN"/>
        </w:rPr>
        <w:t>1</w:t>
      </w:r>
      <w:r>
        <w:rPr>
          <w:rFonts w:hint="eastAsia" w:ascii="宋体" w:hAnsi="宋体" w:eastAsia="宋体" w:cs="宋体"/>
          <w:bCs/>
          <w:color w:val="auto"/>
          <w:sz w:val="21"/>
          <w:szCs w:val="21"/>
          <w:highlight w:val="none"/>
          <w:lang w:val="en-US" w:eastAsia="zh-CN"/>
        </w:rPr>
        <w:t>4</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1</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 xml:space="preserve">4 </w:t>
      </w:r>
      <w:r>
        <w:rPr>
          <w:rFonts w:hint="eastAsia" w:ascii="宋体" w:hAnsi="宋体" w:eastAsia="宋体" w:cs="宋体"/>
          <w:bCs/>
          <w:color w:val="auto"/>
          <w:sz w:val="21"/>
          <w:szCs w:val="21"/>
          <w:highlight w:val="none"/>
          <w:lang w:eastAsia="zh-CN"/>
        </w:rPr>
        <w:t>评标委员会专家不主动提出回避的，一经发现，应立即终止其评标活动，已完成评标活动的，其评标结果无效。</w:t>
      </w:r>
    </w:p>
    <w:p w14:paraId="6DEF95D1">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14.1.</w:t>
      </w:r>
      <w:r>
        <w:rPr>
          <w:rFonts w:hint="eastAsia"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 xml:space="preserve"> 评标全过程实行封闭式管理，在中标结果公布前，禁止评标委员会成员以任何方式私下接触投标人。</w:t>
      </w:r>
    </w:p>
    <w:p w14:paraId="1E37484E">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14.1.</w:t>
      </w:r>
      <w:r>
        <w:rPr>
          <w:rFonts w:hint="eastAsia" w:hAnsi="宋体" w:cs="宋体"/>
          <w:bCs/>
          <w:color w:val="auto"/>
          <w:sz w:val="21"/>
          <w:szCs w:val="21"/>
          <w:highlight w:val="none"/>
          <w:lang w:val="en-US" w:eastAsia="zh-CN"/>
        </w:rPr>
        <w:t>6</w:t>
      </w:r>
      <w:r>
        <w:rPr>
          <w:rFonts w:hint="eastAsia" w:ascii="宋体" w:hAnsi="宋体" w:eastAsia="宋体" w:cs="宋体"/>
          <w:bCs/>
          <w:color w:val="auto"/>
          <w:sz w:val="21"/>
          <w:szCs w:val="21"/>
          <w:highlight w:val="none"/>
        </w:rPr>
        <w:t xml:space="preserve">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6EE20871">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14.1.</w:t>
      </w:r>
      <w:r>
        <w:rPr>
          <w:rFonts w:hint="eastAsia" w:hAnsi="宋体" w:cs="宋体"/>
          <w:bCs/>
          <w:color w:val="auto"/>
          <w:sz w:val="21"/>
          <w:szCs w:val="21"/>
          <w:highlight w:val="none"/>
          <w:lang w:val="en-US" w:eastAsia="zh-CN"/>
        </w:rPr>
        <w:t>7</w:t>
      </w:r>
      <w:r>
        <w:rPr>
          <w:rFonts w:hint="eastAsia" w:ascii="宋体" w:hAnsi="宋体" w:eastAsia="宋体" w:cs="宋体"/>
          <w:bCs/>
          <w:color w:val="auto"/>
          <w:sz w:val="21"/>
          <w:szCs w:val="21"/>
          <w:highlight w:val="none"/>
        </w:rPr>
        <w:t xml:space="preserve">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606DDA0F">
      <w:pPr>
        <w:pStyle w:val="42"/>
        <w:autoSpaceDE w:val="0"/>
        <w:autoSpaceDN w:val="0"/>
        <w:adjustRightInd w:val="0"/>
        <w:ind w:firstLine="422" w:firstLineChars="200"/>
        <w:rPr>
          <w:rFonts w:hint="eastAsia" w:ascii="宋体" w:hAnsi="宋体" w:eastAsia="宋体" w:cs="宋体"/>
          <w:b/>
          <w:color w:val="auto"/>
          <w:sz w:val="21"/>
          <w:szCs w:val="21"/>
          <w:highlight w:val="none"/>
        </w:rPr>
      </w:pPr>
      <w:bookmarkStart w:id="282" w:name="_Toc104711078"/>
      <w:bookmarkStart w:id="283" w:name="_Toc106418823"/>
      <w:bookmarkStart w:id="284" w:name="_Toc17385"/>
      <w:r>
        <w:rPr>
          <w:rFonts w:hint="eastAsia" w:ascii="宋体" w:hAnsi="宋体" w:eastAsia="宋体" w:cs="宋体"/>
          <w:b/>
          <w:color w:val="auto"/>
          <w:sz w:val="21"/>
          <w:szCs w:val="21"/>
          <w:highlight w:val="none"/>
        </w:rPr>
        <w:t>14.2</w:t>
      </w:r>
      <w:bookmarkEnd w:id="282"/>
      <w:bookmarkEnd w:id="283"/>
      <w:r>
        <w:rPr>
          <w:rFonts w:hint="eastAsia" w:hAnsi="宋体" w:cs="宋体"/>
          <w:b/>
          <w:color w:val="auto"/>
          <w:sz w:val="21"/>
          <w:szCs w:val="21"/>
          <w:highlight w:val="none"/>
          <w:lang w:val="en-US" w:eastAsia="zh-CN"/>
        </w:rPr>
        <w:t xml:space="preserve"> </w:t>
      </w:r>
      <w:r>
        <w:rPr>
          <w:rFonts w:hint="eastAsia" w:ascii="宋体" w:hAnsi="宋体" w:eastAsia="宋体" w:cs="宋体"/>
          <w:bCs/>
          <w:color w:val="auto"/>
          <w:sz w:val="21"/>
          <w:szCs w:val="21"/>
          <w:highlight w:val="none"/>
        </w:rPr>
        <w:t>评标方法</w:t>
      </w:r>
      <w:bookmarkEnd w:id="284"/>
    </w:p>
    <w:p w14:paraId="05A6141E">
      <w:pPr>
        <w:pStyle w:val="42"/>
        <w:autoSpaceDE w:val="0"/>
        <w:autoSpaceDN w:val="0"/>
        <w:adjustRightInd w:val="0"/>
        <w:ind w:firstLine="420" w:firstLineChars="200"/>
        <w:rPr>
          <w:rFonts w:hint="eastAsia" w:ascii="宋体" w:hAnsi="宋体" w:eastAsia="宋体" w:cs="宋体"/>
          <w:bCs/>
          <w:color w:val="auto"/>
          <w:sz w:val="21"/>
          <w:szCs w:val="21"/>
          <w:highlight w:val="none"/>
        </w:rPr>
      </w:pPr>
      <w:bookmarkStart w:id="285" w:name="_Hlt66591657"/>
      <w:bookmarkEnd w:id="285"/>
      <w:r>
        <w:rPr>
          <w:rFonts w:hint="eastAsia" w:ascii="宋体" w:hAnsi="宋体" w:eastAsia="宋体" w:cs="宋体"/>
          <w:bCs/>
          <w:color w:val="auto"/>
          <w:sz w:val="21"/>
          <w:szCs w:val="21"/>
          <w:highlight w:val="none"/>
        </w:rPr>
        <w:t>根据有关法律、法规的相关规定，结合本招标项目资金来源和规模特点，本次招标采用综合评估法进行评标。</w:t>
      </w:r>
    </w:p>
    <w:p w14:paraId="6323BDAF">
      <w:pPr>
        <w:pStyle w:val="42"/>
        <w:autoSpaceDE w:val="0"/>
        <w:autoSpaceDN w:val="0"/>
        <w:adjustRightInd w:val="0"/>
        <w:ind w:firstLine="422" w:firstLineChars="200"/>
        <w:rPr>
          <w:rFonts w:hint="eastAsia" w:ascii="宋体" w:hAnsi="宋体" w:eastAsia="宋体" w:cs="宋体"/>
          <w:bCs/>
          <w:color w:val="auto"/>
          <w:sz w:val="21"/>
          <w:szCs w:val="21"/>
          <w:highlight w:val="none"/>
        </w:rPr>
      </w:pPr>
      <w:r>
        <w:rPr>
          <w:rFonts w:hint="eastAsia" w:ascii="宋体" w:hAnsi="宋体" w:eastAsia="宋体" w:cs="宋体"/>
          <w:b/>
          <w:color w:val="auto"/>
          <w:sz w:val="21"/>
          <w:szCs w:val="21"/>
          <w:highlight w:val="none"/>
        </w:rPr>
        <w:t>14.3</w:t>
      </w:r>
      <w:r>
        <w:rPr>
          <w:rFonts w:hint="eastAsia" w:hAnsi="宋体" w:cs="宋体"/>
          <w:b/>
          <w:color w:val="auto"/>
          <w:sz w:val="21"/>
          <w:szCs w:val="21"/>
          <w:highlight w:val="none"/>
          <w:lang w:val="en-US" w:eastAsia="zh-CN"/>
        </w:rPr>
        <w:t xml:space="preserve"> </w:t>
      </w:r>
      <w:r>
        <w:rPr>
          <w:rFonts w:hint="eastAsia" w:ascii="宋体" w:hAnsi="宋体" w:eastAsia="宋体" w:cs="宋体"/>
          <w:bCs/>
          <w:color w:val="auto"/>
          <w:sz w:val="21"/>
          <w:szCs w:val="21"/>
          <w:highlight w:val="none"/>
        </w:rPr>
        <w:t>评审范围</w:t>
      </w:r>
      <w:r>
        <w:rPr>
          <w:rFonts w:hint="eastAsia" w:ascii="宋体" w:hAnsi="宋体" w:eastAsia="宋体" w:cs="宋体"/>
          <w:b/>
          <w:color w:val="auto"/>
          <w:sz w:val="21"/>
          <w:szCs w:val="21"/>
          <w:highlight w:val="none"/>
        </w:rPr>
        <w:t>：</w:t>
      </w:r>
      <w:r>
        <w:rPr>
          <w:rFonts w:hint="eastAsia" w:ascii="宋体" w:hAnsi="宋体" w:eastAsia="宋体" w:cs="宋体"/>
          <w:bCs/>
          <w:color w:val="auto"/>
          <w:sz w:val="21"/>
          <w:szCs w:val="21"/>
          <w:highlight w:val="none"/>
        </w:rPr>
        <w:t>评标委员会应对所有投标人的投标文件进行评审。</w:t>
      </w:r>
    </w:p>
    <w:p w14:paraId="7FD71D74">
      <w:pPr>
        <w:pStyle w:val="42"/>
        <w:autoSpaceDE w:val="0"/>
        <w:autoSpaceDN w:val="0"/>
        <w:adjustRightInd w:val="0"/>
        <w:ind w:firstLine="422" w:firstLineChars="200"/>
        <w:rPr>
          <w:rFonts w:hint="eastAsia" w:ascii="宋体" w:hAnsi="宋体" w:eastAsia="宋体" w:cs="宋体"/>
          <w:bCs/>
          <w:color w:val="auto"/>
          <w:sz w:val="21"/>
          <w:szCs w:val="21"/>
          <w:highlight w:val="none"/>
        </w:rPr>
      </w:pPr>
      <w:r>
        <w:rPr>
          <w:rFonts w:hint="eastAsia" w:ascii="宋体" w:hAnsi="宋体" w:eastAsia="宋体" w:cs="宋体"/>
          <w:b/>
          <w:color w:val="auto"/>
          <w:sz w:val="21"/>
          <w:szCs w:val="21"/>
          <w:highlight w:val="none"/>
        </w:rPr>
        <w:t>14.4</w:t>
      </w:r>
      <w:r>
        <w:rPr>
          <w:rFonts w:hint="eastAsia" w:ascii="宋体" w:hAnsi="宋体" w:eastAsia="宋体" w:cs="宋体"/>
          <w:bCs/>
          <w:color w:val="auto"/>
          <w:sz w:val="21"/>
          <w:szCs w:val="21"/>
          <w:highlight w:val="none"/>
        </w:rPr>
        <w:t xml:space="preserve"> 初步评审阶段</w:t>
      </w:r>
    </w:p>
    <w:p w14:paraId="318D4405">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初步评审阶段分为资格评审、形式评审和响应性评审三个环节。</w:t>
      </w:r>
    </w:p>
    <w:p w14:paraId="7FD77720">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14.4.1资格评审环节</w:t>
      </w:r>
    </w:p>
    <w:p w14:paraId="72F6A0DA">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资格</w:t>
      </w:r>
      <w:bookmarkStart w:id="286" w:name="OLE_LINK33"/>
      <w:r>
        <w:rPr>
          <w:rFonts w:hint="eastAsia" w:ascii="宋体" w:hAnsi="宋体" w:eastAsia="宋体" w:cs="宋体"/>
          <w:bCs/>
          <w:color w:val="auto"/>
          <w:sz w:val="21"/>
          <w:szCs w:val="21"/>
          <w:highlight w:val="none"/>
        </w:rPr>
        <w:t>评审事项包括：</w:t>
      </w:r>
    </w:p>
    <w:p w14:paraId="66BD3749">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bookmarkStart w:id="287" w:name="OLE_LINK34"/>
      <w:r>
        <w:rPr>
          <w:rFonts w:hint="eastAsia" w:ascii="宋体" w:hAnsi="宋体" w:eastAsia="宋体" w:cs="宋体"/>
          <w:bCs/>
          <w:color w:val="auto"/>
          <w:sz w:val="21"/>
          <w:szCs w:val="21"/>
          <w:highlight w:val="none"/>
        </w:rPr>
        <w:t>投标人是否符合本章第三节第 4.4条“禁止投标条款”规定</w:t>
      </w:r>
      <w:bookmarkEnd w:id="286"/>
      <w:bookmarkEnd w:id="287"/>
      <w:r>
        <w:rPr>
          <w:rFonts w:hint="eastAsia" w:ascii="宋体" w:hAnsi="宋体" w:eastAsia="宋体" w:cs="宋体"/>
          <w:bCs/>
          <w:color w:val="auto"/>
          <w:sz w:val="21"/>
          <w:szCs w:val="21"/>
          <w:highlight w:val="none"/>
        </w:rPr>
        <w:t>。</w:t>
      </w:r>
    </w:p>
    <w:p w14:paraId="0EDD089F">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bookmarkStart w:id="288" w:name="OLE_LINK35"/>
      <w:r>
        <w:rPr>
          <w:rFonts w:hint="eastAsia" w:ascii="宋体" w:hAnsi="宋体" w:eastAsia="宋体" w:cs="宋体"/>
          <w:bCs/>
          <w:color w:val="auto"/>
          <w:sz w:val="21"/>
          <w:szCs w:val="21"/>
          <w:highlight w:val="none"/>
        </w:rPr>
        <w:t>投标人名称是否与营业执照、资质证书、安全生产许可证一致</w:t>
      </w:r>
      <w:bookmarkEnd w:id="288"/>
      <w:r>
        <w:rPr>
          <w:rFonts w:hint="eastAsia" w:ascii="宋体" w:hAnsi="宋体" w:eastAsia="宋体" w:cs="宋体"/>
          <w:bCs/>
          <w:color w:val="auto"/>
          <w:sz w:val="21"/>
          <w:szCs w:val="21"/>
          <w:highlight w:val="none"/>
        </w:rPr>
        <w:t>。</w:t>
      </w:r>
    </w:p>
    <w:p w14:paraId="6EA7CF8B">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w:t>
      </w:r>
      <w:bookmarkStart w:id="289" w:name="OLE_LINK36"/>
      <w:r>
        <w:rPr>
          <w:rFonts w:hint="eastAsia" w:ascii="宋体" w:hAnsi="宋体" w:eastAsia="宋体" w:cs="宋体"/>
          <w:bCs/>
          <w:color w:val="auto"/>
          <w:sz w:val="21"/>
          <w:szCs w:val="21"/>
          <w:highlight w:val="none"/>
        </w:rPr>
        <w:t>投标人的资质是否符合招标文件规定；其营业执照、资质证书、安全生产许可证是否合法、有效、准确</w:t>
      </w:r>
      <w:bookmarkEnd w:id="289"/>
      <w:r>
        <w:rPr>
          <w:rFonts w:hint="eastAsia" w:ascii="宋体" w:hAnsi="宋体" w:eastAsia="宋体" w:cs="宋体"/>
          <w:bCs/>
          <w:color w:val="auto"/>
          <w:sz w:val="21"/>
          <w:szCs w:val="21"/>
          <w:highlight w:val="none"/>
        </w:rPr>
        <w:t>。</w:t>
      </w:r>
    </w:p>
    <w:p w14:paraId="294F28DB">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w:t>
      </w:r>
      <w:bookmarkStart w:id="290" w:name="OLE_LINK37"/>
      <w:r>
        <w:rPr>
          <w:rFonts w:hint="eastAsia" w:ascii="宋体" w:hAnsi="宋体" w:eastAsia="宋体" w:cs="宋体"/>
          <w:bCs/>
          <w:color w:val="auto"/>
          <w:sz w:val="21"/>
          <w:szCs w:val="21"/>
          <w:highlight w:val="none"/>
        </w:rPr>
        <w:t>《项目经理简历表》中拟派项目经理是否与《开标一览表》一致</w:t>
      </w:r>
      <w:bookmarkEnd w:id="290"/>
      <w:r>
        <w:rPr>
          <w:rFonts w:hint="eastAsia" w:ascii="宋体" w:hAnsi="宋体" w:eastAsia="宋体" w:cs="宋体"/>
          <w:bCs/>
          <w:color w:val="auto"/>
          <w:sz w:val="21"/>
          <w:szCs w:val="21"/>
          <w:highlight w:val="none"/>
        </w:rPr>
        <w:t>。</w:t>
      </w:r>
    </w:p>
    <w:p w14:paraId="3832B0D7">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w:t>
      </w:r>
      <w:bookmarkStart w:id="291" w:name="OLE_LINK38"/>
      <w:r>
        <w:rPr>
          <w:rFonts w:hint="eastAsia" w:ascii="宋体" w:hAnsi="宋体" w:eastAsia="宋体" w:cs="宋体"/>
          <w:bCs/>
          <w:color w:val="auto"/>
          <w:sz w:val="21"/>
          <w:szCs w:val="21"/>
          <w:highlight w:val="none"/>
        </w:rPr>
        <w:t>拟派项目经理、项目技术负责人、专职安全员、设计负责人的条件是否符合招标文件规定；项目管理机构组成人员的各类证书、证件、证明是否合法、有效、准确；是否擅自修改、遗漏《项目经理任职声明》的实质性内容</w:t>
      </w:r>
      <w:bookmarkEnd w:id="291"/>
      <w:r>
        <w:rPr>
          <w:rFonts w:hint="eastAsia" w:ascii="宋体" w:hAnsi="宋体" w:eastAsia="宋体" w:cs="宋体"/>
          <w:bCs/>
          <w:color w:val="auto"/>
          <w:sz w:val="21"/>
          <w:szCs w:val="21"/>
          <w:highlight w:val="none"/>
        </w:rPr>
        <w:t>。</w:t>
      </w:r>
    </w:p>
    <w:p w14:paraId="648A4677">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（6）</w:t>
      </w:r>
      <w:bookmarkStart w:id="292" w:name="OLE_LINK39"/>
      <w:r>
        <w:rPr>
          <w:rFonts w:hint="eastAsia" w:ascii="宋体" w:hAnsi="宋体" w:eastAsia="宋体" w:cs="宋体"/>
          <w:bCs/>
          <w:color w:val="auto"/>
          <w:sz w:val="21"/>
          <w:szCs w:val="21"/>
          <w:highlight w:val="none"/>
        </w:rPr>
        <w:t>联合体投标的，是否提交《联合体协议书》；是否擅自修改、遗漏《联合体协议书》的实质性内容；联合体成员的数量、资质是否符合招标文件规定；联合体成员是否以自己名义单独或者参加其他联合体参与本招标工程投标</w:t>
      </w:r>
      <w:bookmarkEnd w:id="292"/>
      <w:r>
        <w:rPr>
          <w:rFonts w:hint="eastAsia" w:ascii="宋体" w:hAnsi="宋体" w:eastAsia="宋体" w:cs="宋体"/>
          <w:bCs/>
          <w:color w:val="auto"/>
          <w:sz w:val="21"/>
          <w:szCs w:val="21"/>
          <w:highlight w:val="none"/>
        </w:rPr>
        <w:t>。</w:t>
      </w:r>
    </w:p>
    <w:p w14:paraId="73412430">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（7）</w:t>
      </w:r>
      <w:bookmarkStart w:id="293" w:name="OLE_LINK40"/>
      <w:r>
        <w:rPr>
          <w:rFonts w:hint="eastAsia" w:ascii="宋体" w:hAnsi="宋体" w:eastAsia="宋体" w:cs="宋体"/>
          <w:bCs/>
          <w:color w:val="auto"/>
          <w:sz w:val="21"/>
          <w:szCs w:val="21"/>
          <w:highlight w:val="none"/>
        </w:rPr>
        <w:t>投标人为外省建筑企业的，是否按规定在“进粤企业和人员诚信信息登记平台”录入企业及其拟派人员有关信息并通过数据规范检查</w:t>
      </w:r>
      <w:bookmarkEnd w:id="293"/>
      <w:r>
        <w:rPr>
          <w:rFonts w:hint="eastAsia" w:ascii="宋体" w:hAnsi="宋体" w:eastAsia="宋体" w:cs="宋体"/>
          <w:bCs/>
          <w:color w:val="auto"/>
          <w:sz w:val="21"/>
          <w:szCs w:val="21"/>
          <w:highlight w:val="none"/>
        </w:rPr>
        <w:t>。</w:t>
      </w:r>
    </w:p>
    <w:p w14:paraId="2ACCB569">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注：如果“禁止投标条款”包括失信惩戒的，投标人信用信息的获取采用现场实时查询的方式实施。由招标代理机构工作人员在评标委员会成员、交易场所工作人员共同见证下，登录信用中国网站（https://www.creditchina.gov.cn），在企业查询界面下载和打印《法人和非法人组织公共信用信息报告》，作为评审依据移交评标委员会。</w:t>
      </w:r>
    </w:p>
    <w:p w14:paraId="661F5E29">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14.4.2 形式评审环节</w:t>
      </w:r>
    </w:p>
    <w:p w14:paraId="4AC7E67B">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形式评审事项包括：</w:t>
      </w:r>
    </w:p>
    <w:p w14:paraId="243FC42F">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bookmarkStart w:id="294" w:name="OLE_LINK41"/>
      <w:r>
        <w:rPr>
          <w:rFonts w:hint="eastAsia" w:ascii="宋体" w:hAnsi="宋体" w:eastAsia="宋体" w:cs="宋体"/>
          <w:bCs/>
          <w:color w:val="auto"/>
          <w:sz w:val="21"/>
          <w:szCs w:val="21"/>
          <w:highlight w:val="none"/>
        </w:rPr>
        <w:t>投标文件是否按招标文件规定加盖电子印章</w:t>
      </w:r>
      <w:bookmarkEnd w:id="294"/>
      <w:r>
        <w:rPr>
          <w:rFonts w:hint="eastAsia" w:ascii="宋体" w:hAnsi="宋体" w:eastAsia="宋体" w:cs="宋体"/>
          <w:bCs/>
          <w:color w:val="auto"/>
          <w:sz w:val="21"/>
          <w:szCs w:val="21"/>
          <w:highlight w:val="none"/>
        </w:rPr>
        <w:t>。</w:t>
      </w:r>
    </w:p>
    <w:p w14:paraId="42474A34">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bookmarkStart w:id="295" w:name="OLE_LINK42"/>
      <w:r>
        <w:rPr>
          <w:rFonts w:hint="eastAsia" w:ascii="宋体" w:hAnsi="宋体" w:eastAsia="宋体" w:cs="宋体"/>
          <w:bCs/>
          <w:color w:val="auto"/>
          <w:sz w:val="21"/>
          <w:szCs w:val="21"/>
          <w:highlight w:val="none"/>
        </w:rPr>
        <w:t>本节第11.2.2目中规定的“所有投标人均应提供”的组成内容（包括该组成内容的所附资料）是否完整、齐全</w:t>
      </w:r>
      <w:bookmarkEnd w:id="295"/>
      <w:r>
        <w:rPr>
          <w:rFonts w:hint="eastAsia" w:ascii="宋体" w:hAnsi="宋体" w:eastAsia="宋体" w:cs="宋体"/>
          <w:bCs/>
          <w:color w:val="auto"/>
          <w:sz w:val="21"/>
          <w:szCs w:val="21"/>
          <w:highlight w:val="none"/>
        </w:rPr>
        <w:t>。</w:t>
      </w:r>
    </w:p>
    <w:p w14:paraId="038AFE02">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14.4.3 响应性评审环节</w:t>
      </w:r>
    </w:p>
    <w:p w14:paraId="713D0494">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响应性评审事项包括：</w:t>
      </w:r>
    </w:p>
    <w:p w14:paraId="1258E48D">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bookmarkStart w:id="296" w:name="OLE_LINK43"/>
      <w:r>
        <w:rPr>
          <w:rFonts w:hint="eastAsia" w:ascii="宋体" w:hAnsi="宋体" w:eastAsia="宋体" w:cs="宋体"/>
          <w:bCs/>
          <w:color w:val="auto"/>
          <w:sz w:val="21"/>
          <w:szCs w:val="21"/>
          <w:highlight w:val="none"/>
        </w:rPr>
        <w:t>投标有效期、质量标准、工期等是否响应招标文件实质性要求；是否擅自修改、遗漏《投标函》《各项承诺一览表》的实质性内容</w:t>
      </w:r>
      <w:bookmarkEnd w:id="296"/>
      <w:r>
        <w:rPr>
          <w:rFonts w:hint="eastAsia" w:ascii="宋体" w:hAnsi="宋体" w:eastAsia="宋体" w:cs="宋体"/>
          <w:bCs/>
          <w:color w:val="auto"/>
          <w:sz w:val="21"/>
          <w:szCs w:val="21"/>
          <w:highlight w:val="none"/>
        </w:rPr>
        <w:t>。</w:t>
      </w:r>
    </w:p>
    <w:p w14:paraId="65FB2314">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bookmarkStart w:id="297" w:name="OLE_LINK44"/>
      <w:r>
        <w:rPr>
          <w:rFonts w:hint="eastAsia" w:ascii="宋体" w:hAnsi="宋体" w:eastAsia="宋体" w:cs="宋体"/>
          <w:bCs/>
          <w:color w:val="auto"/>
          <w:sz w:val="21"/>
          <w:szCs w:val="21"/>
          <w:highlight w:val="none"/>
        </w:rPr>
        <w:t>编投标总价是否唯一；投标总价是否超出最高投标限价；投标人是否以低于成本的价格竞</w:t>
      </w:r>
      <w:bookmarkEnd w:id="297"/>
      <w:r>
        <w:rPr>
          <w:rFonts w:hint="eastAsia" w:ascii="宋体" w:hAnsi="宋体" w:eastAsia="宋体" w:cs="宋体"/>
          <w:bCs/>
          <w:color w:val="auto"/>
          <w:sz w:val="21"/>
          <w:szCs w:val="21"/>
          <w:highlight w:val="none"/>
        </w:rPr>
        <w:t>标。</w:t>
      </w:r>
    </w:p>
    <w:p w14:paraId="688840ED">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    注：如果某投标人的投标总价下浮率（投标总价下浮率＝100%－投标总价÷最高投标限价×100%）超过15%，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p w14:paraId="5A89A80E">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14.4.4 否决投标说明</w:t>
      </w:r>
    </w:p>
    <w:p w14:paraId="29F555FF">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初步评审阶段各个环节否决投标的全部条件，在本章第四节“否决投标条件”第1条至第4条中集中列示。投标人有其中所列任何一种情形的，由评标委员会否决其投标。在初步评审阶段任何环节被否决的投标人，不进入下一环节（或阶段）评审。在初步评审阶段任何环节，有效投标人数量不足3个时，招标人应依法重新组织招标。</w:t>
      </w:r>
    </w:p>
    <w:p w14:paraId="585890A8">
      <w:pPr>
        <w:pStyle w:val="42"/>
        <w:autoSpaceDE w:val="0"/>
        <w:autoSpaceDN w:val="0"/>
        <w:adjustRightInd w:val="0"/>
        <w:ind w:firstLine="422" w:firstLineChars="200"/>
        <w:rPr>
          <w:rFonts w:hint="eastAsia" w:ascii="宋体" w:hAnsi="宋体" w:eastAsia="宋体" w:cs="宋体"/>
          <w:bCs/>
          <w:color w:val="auto"/>
          <w:sz w:val="21"/>
          <w:szCs w:val="21"/>
          <w:highlight w:val="none"/>
        </w:rPr>
      </w:pPr>
      <w:bookmarkStart w:id="298" w:name="_Toc18413"/>
      <w:r>
        <w:rPr>
          <w:rFonts w:hint="eastAsia" w:ascii="宋体" w:hAnsi="宋体" w:eastAsia="宋体" w:cs="宋体"/>
          <w:b/>
          <w:color w:val="auto"/>
          <w:sz w:val="21"/>
          <w:szCs w:val="21"/>
          <w:highlight w:val="none"/>
        </w:rPr>
        <w:t>14.5详细评审阶段</w:t>
      </w:r>
      <w:bookmarkEnd w:id="298"/>
    </w:p>
    <w:p w14:paraId="11DB1B84">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 14.5.1 “综合评估法”评审程序</w:t>
      </w:r>
    </w:p>
    <w:p w14:paraId="0C2B9F4A">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评审内容分为商务和投标报价两大部分。其中，商务合计满分70分；投标报价满分30分。两大部分之和为100分。</w:t>
      </w:r>
    </w:p>
    <w:p w14:paraId="149AD068">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除特别注明外，综合得分以及商务得分、投标报价得分的中间过程计算值和最终值，均按“四舍五入”原则精确到两位小数。</w:t>
      </w:r>
    </w:p>
    <w:bookmarkEnd w:id="153"/>
    <w:p w14:paraId="4FA5C731">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（1）商务得分M</w:t>
      </w:r>
    </w:p>
    <w:p w14:paraId="579573DC">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a．评标委员会按照《综合评分表》商务部分指定的评分标准对各评分因素进行打分。各评分因素得分之和即为某投标人的商务得分M。</w:t>
      </w:r>
    </w:p>
    <w:p w14:paraId="0B3EE8D3">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（2）投标报价得分N</w:t>
      </w:r>
    </w:p>
    <w:p w14:paraId="516A5FF7">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a．评标委员会按照《综合评分表》投标报价部分指定的方法计算评标基准价D。</w:t>
      </w:r>
    </w:p>
    <w:p w14:paraId="7AD1A694">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b．采用内插法计算某投标人的投标报价得分N，即当投标人的投标总价等于评标基准</w:t>
      </w:r>
      <w:bookmarkStart w:id="299" w:name="OLE_LINK20"/>
      <w:r>
        <w:rPr>
          <w:rFonts w:hint="eastAsia" w:ascii="宋体" w:hAnsi="宋体" w:eastAsia="宋体" w:cs="宋体"/>
          <w:bCs/>
          <w:color w:val="auto"/>
          <w:sz w:val="21"/>
          <w:szCs w:val="21"/>
          <w:highlight w:val="none"/>
        </w:rPr>
        <w:t>价时得30分</w:t>
      </w:r>
      <w:bookmarkEnd w:id="299"/>
      <w:r>
        <w:rPr>
          <w:rFonts w:hint="eastAsia" w:ascii="宋体" w:hAnsi="宋体" w:eastAsia="宋体" w:cs="宋体"/>
          <w:bCs/>
          <w:color w:val="auto"/>
          <w:sz w:val="21"/>
          <w:szCs w:val="21"/>
          <w:highlight w:val="none"/>
        </w:rPr>
        <w:t>，每高于评标基准价一个百分点扣1分, 每低于评标基准价一个百分点扣0.5分，扣完为止。</w:t>
      </w:r>
    </w:p>
    <w:p w14:paraId="5CD8CB5B">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公式如下：</w:t>
      </w:r>
    </w:p>
    <w:p w14:paraId="7750D567">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N＝30－（| Di－D | ÷D）×100×E</w:t>
      </w:r>
    </w:p>
    <w:p w14:paraId="5D25E23C">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式中：D为评标基准价；Di为某投标人的投标总价；E为扣分因子，当Di＞D时，E＝1；当Di＜D时，E＝0.5。</w:t>
      </w:r>
    </w:p>
    <w:p w14:paraId="534C233C">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（3）综合得分</w:t>
      </w:r>
    </w:p>
    <w:p w14:paraId="01AAB737">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综合得分满分100分，公式如下</w:t>
      </w:r>
    </w:p>
    <w:p w14:paraId="114305AB">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综合得分＝M＋N</w:t>
      </w:r>
    </w:p>
    <w:p w14:paraId="1F1842D6">
      <w:pPr>
        <w:pStyle w:val="42"/>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式中：M为商务得分，N为投标报价得分。</w:t>
      </w:r>
    </w:p>
    <w:p w14:paraId="2C8E2FD6">
      <w:pPr>
        <w:pStyle w:val="42"/>
        <w:autoSpaceDE w:val="0"/>
        <w:autoSpaceDN w:val="0"/>
        <w:adjustRightInd w:val="0"/>
        <w:ind w:firstLine="420" w:firstLineChars="200"/>
        <w:rPr>
          <w:rFonts w:hint="eastAsia" w:ascii="宋体" w:hAnsi="宋体" w:eastAsia="宋体" w:cs="宋体"/>
          <w:b/>
          <w:bCs w:val="0"/>
          <w:color w:val="auto"/>
          <w:sz w:val="21"/>
          <w:szCs w:val="21"/>
          <w:highlight w:val="none"/>
        </w:rPr>
      </w:pPr>
      <w:r>
        <w:rPr>
          <w:rFonts w:hint="eastAsia" w:ascii="宋体" w:hAnsi="宋体" w:eastAsia="宋体" w:cs="宋体"/>
          <w:bCs/>
          <w:color w:val="auto"/>
          <w:sz w:val="21"/>
          <w:szCs w:val="21"/>
          <w:highlight w:val="none"/>
        </w:rPr>
        <w:t>（4）</w:t>
      </w:r>
      <w:r>
        <w:rPr>
          <w:rFonts w:hint="eastAsia" w:ascii="宋体" w:hAnsi="宋体" w:eastAsia="宋体" w:cs="宋体"/>
          <w:b/>
          <w:bCs w:val="0"/>
          <w:color w:val="auto"/>
          <w:sz w:val="21"/>
          <w:szCs w:val="21"/>
          <w:highlight w:val="none"/>
        </w:rPr>
        <w:t>评标委员会根据招标文件规定的评分细则，对招标文件中的各评审因素进行评审、比较、打分，将得分前5名不排序（按企业统一社会信用代码后4位由大到小排位，统一社会信用代码后4位出现字母的，字母以“0”进行代替，如出现后4位大小一致的，则随机排位）的投标人作为定标候选人推荐给招标人，并对每个定标候选人的优势、风险等评审情况进行说明。当投标人综合总得分相同时，以报价低为前；当投标人综合总得分相同且报价相同时，由评标委员会投票确定排</w:t>
      </w:r>
      <w:r>
        <w:rPr>
          <w:rFonts w:hint="eastAsia" w:ascii="宋体" w:hAnsi="宋体" w:eastAsia="宋体" w:cs="宋体"/>
          <w:b/>
          <w:bCs w:val="0"/>
          <w:color w:val="auto"/>
          <w:sz w:val="21"/>
          <w:szCs w:val="21"/>
          <w:highlight w:val="none"/>
          <w:lang w:eastAsia="zh-CN"/>
        </w:rPr>
        <w:t>前</w:t>
      </w:r>
      <w:r>
        <w:rPr>
          <w:rFonts w:hint="eastAsia" w:ascii="宋体" w:hAnsi="宋体" w:eastAsia="宋体" w:cs="宋体"/>
          <w:b/>
          <w:bCs w:val="0"/>
          <w:color w:val="auto"/>
          <w:sz w:val="21"/>
          <w:szCs w:val="21"/>
          <w:highlight w:val="none"/>
        </w:rPr>
        <w:t>。</w:t>
      </w:r>
    </w:p>
    <w:p w14:paraId="5CE9650F">
      <w:pPr>
        <w:pStyle w:val="42"/>
        <w:autoSpaceDE w:val="0"/>
        <w:autoSpaceDN w:val="0"/>
        <w:adjustRightInd w:val="0"/>
        <w:ind w:firstLine="422" w:firstLineChars="200"/>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rPr>
        <w:t>定标候选人得分只作为评标委员会的推荐依据，不作为定标委员会对中标候选人排序的依据。</w:t>
      </w:r>
      <w:r>
        <w:rPr>
          <w:rFonts w:hint="eastAsia" w:ascii="宋体" w:hAnsi="宋体" w:eastAsia="宋体" w:cs="宋体"/>
          <w:b/>
          <w:bCs w:val="0"/>
          <w:color w:val="auto"/>
          <w:sz w:val="21"/>
          <w:szCs w:val="21"/>
          <w:highlight w:val="none"/>
          <w:lang w:val="en-US" w:eastAsia="zh-CN"/>
        </w:rPr>
        <w:t>当有效投标人数量不足5名但满足法定要求时，所有通过评审的有效投标人均应作为定标候选人。</w:t>
      </w:r>
    </w:p>
    <w:p w14:paraId="504AEE6E">
      <w:pPr>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br w:type="page"/>
      </w:r>
    </w:p>
    <w:p w14:paraId="0D1FEB14">
      <w:pPr>
        <w:pStyle w:val="42"/>
        <w:autoSpaceDE w:val="0"/>
        <w:autoSpaceDN w:val="0"/>
        <w:adjustRightInd w:val="0"/>
        <w:spacing w:line="240" w:lineRule="auto"/>
        <w:jc w:val="center"/>
        <w:outlineLvl w:val="2"/>
        <w:rPr>
          <w:rFonts w:hAnsi="宋体" w:cs="宋体"/>
          <w:b/>
          <w:bCs/>
          <w:color w:val="auto"/>
          <w:kern w:val="0"/>
          <w:sz w:val="28"/>
          <w:szCs w:val="30"/>
          <w:highlight w:val="none"/>
        </w:rPr>
      </w:pPr>
      <w:r>
        <w:rPr>
          <w:rFonts w:hint="eastAsia" w:hAnsi="宋体" w:cs="宋体"/>
          <w:b/>
          <w:bCs/>
          <w:color w:val="auto"/>
          <w:kern w:val="0"/>
          <w:sz w:val="28"/>
          <w:szCs w:val="30"/>
          <w:highlight w:val="none"/>
        </w:rPr>
        <w:t>综合评分表</w:t>
      </w:r>
    </w:p>
    <w:tbl>
      <w:tblPr>
        <w:tblStyle w:val="24"/>
        <w:tblpPr w:leftFromText="180" w:rightFromText="180" w:vertAnchor="text" w:horzAnchor="page" w:tblpXSpec="center" w:tblpY="70"/>
        <w:tblOverlap w:val="never"/>
        <w:tblW w:w="103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
        <w:gridCol w:w="695"/>
        <w:gridCol w:w="655"/>
        <w:gridCol w:w="1023"/>
        <w:gridCol w:w="3477"/>
        <w:gridCol w:w="4113"/>
      </w:tblGrid>
      <w:tr w14:paraId="43D02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dxa"/>
            <w:vMerge w:val="restart"/>
            <w:vAlign w:val="center"/>
          </w:tcPr>
          <w:p w14:paraId="0496D02D">
            <w:pPr>
              <w:keepNext/>
              <w:widowControl/>
              <w:snapToGrid w:val="0"/>
              <w:spacing w:line="340" w:lineRule="exact"/>
              <w:jc w:val="center"/>
              <w:rPr>
                <w:rFonts w:hint="default" w:hAnsi="宋体" w:eastAsia="宋体" w:cs="宋体"/>
                <w:b/>
                <w:bCs/>
                <w:color w:val="auto"/>
                <w:sz w:val="21"/>
                <w:szCs w:val="21"/>
                <w:highlight w:val="none"/>
              </w:rPr>
            </w:pPr>
            <w:r>
              <w:rPr>
                <w:rFonts w:hAnsi="宋体" w:eastAsia="宋体" w:cs="宋体"/>
                <w:b/>
                <w:bCs/>
                <w:color w:val="auto"/>
                <w:sz w:val="21"/>
                <w:szCs w:val="21"/>
                <w:highlight w:val="none"/>
              </w:rPr>
              <w:t>序号</w:t>
            </w:r>
          </w:p>
        </w:tc>
        <w:tc>
          <w:tcPr>
            <w:tcW w:w="1350" w:type="dxa"/>
            <w:gridSpan w:val="2"/>
            <w:vMerge w:val="restart"/>
            <w:vAlign w:val="center"/>
          </w:tcPr>
          <w:p w14:paraId="4ED73530">
            <w:pPr>
              <w:keepNext/>
              <w:widowControl/>
              <w:snapToGrid w:val="0"/>
              <w:spacing w:line="340" w:lineRule="exact"/>
              <w:jc w:val="center"/>
              <w:rPr>
                <w:rFonts w:hint="default" w:hAnsi="宋体" w:eastAsia="宋体" w:cs="宋体"/>
                <w:b/>
                <w:bCs/>
                <w:color w:val="auto"/>
                <w:sz w:val="21"/>
                <w:szCs w:val="21"/>
                <w:highlight w:val="none"/>
              </w:rPr>
            </w:pPr>
            <w:r>
              <w:rPr>
                <w:rFonts w:hAnsi="宋体" w:eastAsia="宋体" w:cs="宋体"/>
                <w:b/>
                <w:bCs/>
                <w:color w:val="auto"/>
                <w:sz w:val="21"/>
                <w:szCs w:val="21"/>
                <w:highlight w:val="none"/>
              </w:rPr>
              <w:t>评标内容</w:t>
            </w:r>
          </w:p>
        </w:tc>
        <w:tc>
          <w:tcPr>
            <w:tcW w:w="8613" w:type="dxa"/>
            <w:gridSpan w:val="3"/>
            <w:vAlign w:val="center"/>
          </w:tcPr>
          <w:p w14:paraId="6FD4AB2E">
            <w:pPr>
              <w:keepNext/>
              <w:widowControl/>
              <w:snapToGrid w:val="0"/>
              <w:spacing w:line="340" w:lineRule="exact"/>
              <w:jc w:val="center"/>
              <w:rPr>
                <w:rFonts w:hint="default" w:hAnsi="宋体" w:eastAsia="宋体" w:cs="宋体"/>
                <w:b/>
                <w:bCs/>
                <w:color w:val="auto"/>
                <w:sz w:val="21"/>
                <w:szCs w:val="21"/>
                <w:highlight w:val="none"/>
              </w:rPr>
            </w:pPr>
            <w:r>
              <w:rPr>
                <w:rFonts w:hAnsi="宋体" w:eastAsia="宋体" w:cs="宋体"/>
                <w:b/>
                <w:bCs/>
                <w:color w:val="auto"/>
                <w:sz w:val="21"/>
                <w:szCs w:val="21"/>
                <w:highlight w:val="none"/>
              </w:rPr>
              <w:t>说明</w:t>
            </w:r>
          </w:p>
        </w:tc>
      </w:tr>
      <w:tr w14:paraId="29592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dxa"/>
            <w:vMerge w:val="continue"/>
            <w:vAlign w:val="center"/>
          </w:tcPr>
          <w:p w14:paraId="1794C3AC">
            <w:pPr>
              <w:keepNext/>
              <w:widowControl/>
              <w:snapToGrid w:val="0"/>
              <w:spacing w:line="340" w:lineRule="exact"/>
              <w:jc w:val="center"/>
              <w:rPr>
                <w:rFonts w:hint="default" w:hAnsi="宋体" w:eastAsia="宋体" w:cs="宋体"/>
                <w:b/>
                <w:bCs/>
                <w:color w:val="auto"/>
                <w:sz w:val="21"/>
                <w:szCs w:val="21"/>
                <w:highlight w:val="none"/>
              </w:rPr>
            </w:pPr>
          </w:p>
        </w:tc>
        <w:tc>
          <w:tcPr>
            <w:tcW w:w="1350" w:type="dxa"/>
            <w:gridSpan w:val="2"/>
            <w:vMerge w:val="continue"/>
            <w:vAlign w:val="center"/>
          </w:tcPr>
          <w:p w14:paraId="4077F59B">
            <w:pPr>
              <w:keepNext/>
              <w:widowControl/>
              <w:spacing w:line="340" w:lineRule="exact"/>
              <w:jc w:val="center"/>
              <w:rPr>
                <w:rFonts w:hint="default" w:hAnsi="宋体" w:eastAsia="宋体" w:cs="宋体"/>
                <w:b/>
                <w:bCs/>
                <w:color w:val="auto"/>
                <w:sz w:val="21"/>
                <w:szCs w:val="21"/>
                <w:highlight w:val="none"/>
              </w:rPr>
            </w:pPr>
          </w:p>
        </w:tc>
        <w:tc>
          <w:tcPr>
            <w:tcW w:w="4500" w:type="dxa"/>
            <w:gridSpan w:val="2"/>
            <w:vAlign w:val="center"/>
          </w:tcPr>
          <w:p w14:paraId="29531ABF">
            <w:pPr>
              <w:keepNext/>
              <w:widowControl/>
              <w:spacing w:line="340" w:lineRule="exact"/>
              <w:jc w:val="center"/>
              <w:rPr>
                <w:rFonts w:hint="default" w:hAnsi="宋体" w:eastAsia="宋体" w:cs="宋体"/>
                <w:b/>
                <w:bCs/>
                <w:color w:val="auto"/>
                <w:sz w:val="21"/>
                <w:szCs w:val="21"/>
                <w:highlight w:val="none"/>
              </w:rPr>
            </w:pPr>
            <w:r>
              <w:rPr>
                <w:rFonts w:hAnsi="宋体" w:eastAsia="宋体" w:cs="宋体"/>
                <w:b/>
                <w:bCs/>
                <w:color w:val="auto"/>
                <w:kern w:val="0"/>
                <w:sz w:val="21"/>
                <w:szCs w:val="21"/>
                <w:highlight w:val="none"/>
              </w:rPr>
              <w:t>评分标准</w:t>
            </w:r>
          </w:p>
        </w:tc>
        <w:tc>
          <w:tcPr>
            <w:tcW w:w="4113" w:type="dxa"/>
            <w:vAlign w:val="center"/>
          </w:tcPr>
          <w:p w14:paraId="28566695">
            <w:pPr>
              <w:keepNext/>
              <w:widowControl/>
              <w:spacing w:line="340" w:lineRule="exact"/>
              <w:jc w:val="center"/>
              <w:rPr>
                <w:rFonts w:hint="default" w:hAnsi="宋体" w:eastAsia="宋体" w:cs="宋体"/>
                <w:b/>
                <w:bCs/>
                <w:color w:val="auto"/>
                <w:sz w:val="21"/>
                <w:szCs w:val="21"/>
                <w:highlight w:val="none"/>
              </w:rPr>
            </w:pPr>
            <w:r>
              <w:rPr>
                <w:rFonts w:hAnsi="宋体" w:eastAsia="宋体" w:cs="宋体"/>
                <w:b/>
                <w:bCs/>
                <w:color w:val="auto"/>
                <w:kern w:val="0"/>
                <w:sz w:val="21"/>
                <w:szCs w:val="21"/>
                <w:highlight w:val="none"/>
              </w:rPr>
              <w:t>备注</w:t>
            </w:r>
          </w:p>
        </w:tc>
      </w:tr>
      <w:tr w14:paraId="5EE27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8" w:type="dxa"/>
            <w:vMerge w:val="restart"/>
            <w:vAlign w:val="center"/>
          </w:tcPr>
          <w:p w14:paraId="75F4DB29">
            <w:pPr>
              <w:keepNext/>
              <w:widowControl/>
              <w:snapToGrid w:val="0"/>
              <w:spacing w:line="340" w:lineRule="exact"/>
              <w:jc w:val="center"/>
              <w:rPr>
                <w:rFonts w:hint="default" w:hAnsi="宋体" w:eastAsia="宋体" w:cs="宋体"/>
                <w:color w:val="auto"/>
                <w:sz w:val="21"/>
                <w:szCs w:val="21"/>
                <w:highlight w:val="none"/>
              </w:rPr>
            </w:pPr>
            <w:bookmarkStart w:id="300" w:name="OLE_LINK53" w:colFirst="3" w:colLast="5"/>
            <w:r>
              <w:rPr>
                <w:rFonts w:hAnsi="宋体" w:eastAsia="宋体" w:cs="宋体"/>
                <w:color w:val="auto"/>
                <w:sz w:val="21"/>
                <w:szCs w:val="21"/>
                <w:highlight w:val="none"/>
              </w:rPr>
              <w:t>1</w:t>
            </w:r>
          </w:p>
        </w:tc>
        <w:tc>
          <w:tcPr>
            <w:tcW w:w="695" w:type="dxa"/>
            <w:vMerge w:val="restart"/>
            <w:vAlign w:val="center"/>
          </w:tcPr>
          <w:p w14:paraId="55ADAFA6">
            <w:pPr>
              <w:keepNext/>
              <w:widowControl/>
              <w:snapToGrid w:val="0"/>
              <w:spacing w:line="340" w:lineRule="exact"/>
              <w:rPr>
                <w:rFonts w:hint="default" w:hAnsi="宋体" w:eastAsia="宋体" w:cs="宋体"/>
                <w:color w:val="auto"/>
                <w:sz w:val="21"/>
                <w:szCs w:val="21"/>
                <w:highlight w:val="none"/>
              </w:rPr>
            </w:pPr>
            <w:r>
              <w:rPr>
                <w:rFonts w:hAnsi="宋体" w:eastAsia="宋体" w:cs="宋体"/>
                <w:b/>
                <w:bCs/>
                <w:color w:val="auto"/>
                <w:sz w:val="21"/>
                <w:szCs w:val="21"/>
                <w:highlight w:val="none"/>
              </w:rPr>
              <w:t>商务得分</w:t>
            </w:r>
            <w:r>
              <w:rPr>
                <w:rFonts w:hint="eastAsia" w:hAnsi="宋体" w:eastAsia="宋体" w:cs="宋体"/>
                <w:b/>
                <w:bCs/>
                <w:color w:val="auto"/>
                <w:sz w:val="21"/>
                <w:szCs w:val="21"/>
                <w:highlight w:val="none"/>
                <w:lang w:eastAsia="zh-CN"/>
              </w:rPr>
              <w:t>（</w:t>
            </w:r>
            <w:r>
              <w:rPr>
                <w:rFonts w:hAnsi="宋体" w:eastAsia="宋体" w:cs="宋体"/>
                <w:b/>
                <w:bCs/>
                <w:color w:val="auto"/>
                <w:sz w:val="21"/>
                <w:szCs w:val="21"/>
                <w:highlight w:val="none"/>
              </w:rPr>
              <w:t>70分）</w:t>
            </w:r>
          </w:p>
        </w:tc>
        <w:tc>
          <w:tcPr>
            <w:tcW w:w="655" w:type="dxa"/>
            <w:vMerge w:val="restart"/>
            <w:vAlign w:val="center"/>
          </w:tcPr>
          <w:p w14:paraId="612504F5">
            <w:pPr>
              <w:keepNext/>
              <w:widowControl/>
              <w:snapToGrid w:val="0"/>
              <w:spacing w:line="340" w:lineRule="exact"/>
              <w:rPr>
                <w:rFonts w:hint="default" w:hAnsi="宋体" w:eastAsia="宋体" w:cs="宋体"/>
                <w:color w:val="auto"/>
                <w:sz w:val="21"/>
                <w:szCs w:val="21"/>
                <w:highlight w:val="none"/>
              </w:rPr>
            </w:pPr>
            <w:r>
              <w:rPr>
                <w:rFonts w:hAnsi="宋体" w:eastAsia="宋体" w:cs="宋体"/>
                <w:color w:val="auto"/>
                <w:sz w:val="21"/>
                <w:szCs w:val="21"/>
                <w:highlight w:val="none"/>
              </w:rPr>
              <w:t>施工企业（</w:t>
            </w:r>
            <w:r>
              <w:rPr>
                <w:rFonts w:hint="eastAsia" w:hAnsi="宋体" w:eastAsia="宋体" w:cs="宋体"/>
                <w:color w:val="auto"/>
                <w:sz w:val="21"/>
                <w:szCs w:val="21"/>
                <w:highlight w:val="none"/>
                <w:lang w:val="en-US" w:eastAsia="zh-CN"/>
              </w:rPr>
              <w:t>50</w:t>
            </w:r>
            <w:r>
              <w:rPr>
                <w:rFonts w:hAnsi="宋体" w:eastAsia="宋体" w:cs="宋体"/>
                <w:color w:val="auto"/>
                <w:sz w:val="21"/>
                <w:szCs w:val="21"/>
                <w:highlight w:val="none"/>
              </w:rPr>
              <w:t>分）</w:t>
            </w:r>
          </w:p>
        </w:tc>
        <w:tc>
          <w:tcPr>
            <w:tcW w:w="1023" w:type="dxa"/>
            <w:vAlign w:val="center"/>
          </w:tcPr>
          <w:p w14:paraId="36E07BF8">
            <w:pPr>
              <w:keepNext/>
              <w:widowControl/>
              <w:snapToGrid w:val="0"/>
              <w:spacing w:line="340" w:lineRule="exact"/>
              <w:jc w:val="center"/>
              <w:rPr>
                <w:rFonts w:hint="default" w:hAnsi="宋体" w:eastAsia="宋体" w:cs="宋体"/>
                <w:color w:val="auto"/>
                <w:sz w:val="21"/>
                <w:szCs w:val="21"/>
                <w:highlight w:val="none"/>
              </w:rPr>
            </w:pPr>
            <w:r>
              <w:rPr>
                <w:rFonts w:hint="default" w:hAnsi="宋体" w:eastAsia="宋体" w:cs="宋体"/>
                <w:color w:val="auto"/>
                <w:sz w:val="21"/>
                <w:szCs w:val="21"/>
                <w:highlight w:val="none"/>
              </w:rPr>
              <w:t>企业奖项</w:t>
            </w:r>
          </w:p>
          <w:p w14:paraId="5795230C">
            <w:pPr>
              <w:keepNext/>
              <w:widowControl/>
              <w:snapToGrid w:val="0"/>
              <w:spacing w:line="340" w:lineRule="exact"/>
              <w:jc w:val="center"/>
              <w:rPr>
                <w:rFonts w:hint="default" w:hAnsi="宋体" w:eastAsia="宋体" w:cs="宋体"/>
                <w:color w:val="auto"/>
                <w:sz w:val="21"/>
                <w:szCs w:val="21"/>
                <w:highlight w:val="none"/>
              </w:rPr>
            </w:pPr>
            <w:r>
              <w:rPr>
                <w:rFonts w:hint="default" w:hAnsi="宋体" w:eastAsia="宋体" w:cs="宋体"/>
                <w:color w:val="auto"/>
                <w:sz w:val="21"/>
                <w:szCs w:val="21"/>
                <w:highlight w:val="none"/>
              </w:rPr>
              <w:t>（1</w:t>
            </w:r>
            <w:r>
              <w:rPr>
                <w:rFonts w:hint="default" w:hAnsi="宋体" w:eastAsia="宋体" w:cs="宋体"/>
                <w:color w:val="auto"/>
                <w:sz w:val="21"/>
                <w:szCs w:val="21"/>
                <w:highlight w:val="none"/>
                <w:lang w:val="en-US" w:eastAsia="zh-CN"/>
              </w:rPr>
              <w:t>0</w:t>
            </w:r>
            <w:r>
              <w:rPr>
                <w:rFonts w:hint="default" w:hAnsi="宋体" w:eastAsia="宋体" w:cs="宋体"/>
                <w:color w:val="auto"/>
                <w:sz w:val="21"/>
                <w:szCs w:val="21"/>
                <w:highlight w:val="none"/>
              </w:rPr>
              <w:t>分）</w:t>
            </w:r>
          </w:p>
        </w:tc>
        <w:tc>
          <w:tcPr>
            <w:tcW w:w="3477" w:type="dxa"/>
            <w:vAlign w:val="center"/>
          </w:tcPr>
          <w:p w14:paraId="779D6050">
            <w:pPr>
              <w:spacing w:line="340" w:lineRule="exact"/>
              <w:rPr>
                <w:rFonts w:hint="default" w:hAnsi="宋体" w:eastAsia="宋体" w:cs="宋体"/>
                <w:color w:val="auto"/>
                <w:sz w:val="21"/>
                <w:szCs w:val="21"/>
                <w:highlight w:val="none"/>
              </w:rPr>
            </w:pPr>
            <w:r>
              <w:rPr>
                <w:rFonts w:hint="default" w:hAnsi="宋体" w:eastAsia="宋体" w:cs="宋体"/>
                <w:color w:val="auto"/>
                <w:sz w:val="21"/>
                <w:szCs w:val="21"/>
                <w:highlight w:val="none"/>
              </w:rPr>
              <w:t>企业近</w:t>
            </w:r>
            <w:r>
              <w:rPr>
                <w:rFonts w:hint="eastAsia" w:hAnsi="宋体" w:eastAsia="宋体" w:cs="宋体"/>
                <w:color w:val="auto"/>
                <w:sz w:val="21"/>
                <w:szCs w:val="21"/>
                <w:highlight w:val="none"/>
                <w:u w:val="none"/>
                <w:lang w:val="en-US" w:eastAsia="zh-CN"/>
              </w:rPr>
              <w:t>5</w:t>
            </w:r>
            <w:r>
              <w:rPr>
                <w:rFonts w:hint="default" w:hAnsi="宋体" w:eastAsia="宋体" w:cs="宋体"/>
                <w:color w:val="auto"/>
                <w:sz w:val="21"/>
                <w:szCs w:val="21"/>
                <w:highlight w:val="none"/>
              </w:rPr>
              <w:t>年来（20</w:t>
            </w:r>
            <w:r>
              <w:rPr>
                <w:rFonts w:hint="default" w:hAnsi="宋体" w:eastAsia="宋体" w:cs="宋体"/>
                <w:color w:val="auto"/>
                <w:sz w:val="21"/>
                <w:szCs w:val="21"/>
                <w:highlight w:val="none"/>
                <w:lang w:val="en-US" w:eastAsia="zh-CN"/>
              </w:rPr>
              <w:t>21</w:t>
            </w:r>
            <w:r>
              <w:rPr>
                <w:rFonts w:hint="default" w:hAnsi="宋体" w:eastAsia="宋体" w:cs="宋体"/>
                <w:color w:val="auto"/>
                <w:sz w:val="21"/>
                <w:szCs w:val="21"/>
                <w:highlight w:val="none"/>
              </w:rPr>
              <w:t>年1月1日至</w:t>
            </w:r>
            <w:r>
              <w:rPr>
                <w:rFonts w:hint="default" w:hAnsi="宋体" w:eastAsia="宋体" w:cs="宋体"/>
                <w:color w:val="auto"/>
                <w:sz w:val="21"/>
                <w:szCs w:val="21"/>
                <w:highlight w:val="none"/>
                <w:lang w:val="en-US" w:eastAsia="zh-CN"/>
              </w:rPr>
              <w:t>今</w:t>
            </w:r>
            <w:r>
              <w:rPr>
                <w:rFonts w:hint="default" w:hAnsi="宋体" w:eastAsia="宋体" w:cs="宋体"/>
                <w:color w:val="auto"/>
                <w:sz w:val="21"/>
                <w:szCs w:val="21"/>
                <w:highlight w:val="none"/>
              </w:rPr>
              <w:t>）获得</w:t>
            </w:r>
            <w:r>
              <w:rPr>
                <w:rFonts w:hint="default" w:hAnsi="宋体" w:eastAsia="宋体" w:cs="宋体"/>
                <w:color w:val="auto"/>
                <w:sz w:val="21"/>
                <w:szCs w:val="21"/>
                <w:highlight w:val="none"/>
                <w:u w:val="single"/>
                <w:lang w:val="en-US" w:eastAsia="zh-CN"/>
              </w:rPr>
              <w:t>房屋建筑工程或市政公用工程</w:t>
            </w:r>
            <w:r>
              <w:rPr>
                <w:rFonts w:hint="default" w:hAnsi="宋体" w:eastAsia="宋体" w:cs="宋体"/>
                <w:color w:val="auto"/>
                <w:sz w:val="21"/>
                <w:szCs w:val="21"/>
                <w:highlight w:val="none"/>
              </w:rPr>
              <w:t>工程类奖项情况：</w:t>
            </w:r>
          </w:p>
          <w:p w14:paraId="21F458A3">
            <w:pPr>
              <w:spacing w:line="340" w:lineRule="exact"/>
              <w:rPr>
                <w:rFonts w:hint="default" w:hAnsi="宋体" w:eastAsia="宋体" w:cs="宋体"/>
                <w:color w:val="auto"/>
                <w:sz w:val="21"/>
                <w:szCs w:val="21"/>
                <w:highlight w:val="none"/>
                <w:u w:val="none"/>
              </w:rPr>
            </w:pPr>
            <w:r>
              <w:rPr>
                <w:rFonts w:hint="default" w:hAnsi="宋体" w:eastAsia="宋体" w:cs="宋体"/>
                <w:color w:val="auto"/>
                <w:sz w:val="21"/>
                <w:szCs w:val="21"/>
                <w:highlight w:val="none"/>
              </w:rPr>
              <w:t>1</w:t>
            </w:r>
            <w:r>
              <w:rPr>
                <w:rFonts w:hint="eastAsia" w:hAnsi="宋体" w:eastAsia="宋体" w:cs="宋体"/>
                <w:color w:val="auto"/>
                <w:sz w:val="21"/>
                <w:szCs w:val="21"/>
                <w:highlight w:val="none"/>
                <w:lang w:val="en-US" w:eastAsia="zh-CN"/>
              </w:rPr>
              <w:t>.</w:t>
            </w:r>
            <w:r>
              <w:rPr>
                <w:rFonts w:hint="default" w:hAnsi="宋体" w:eastAsia="宋体" w:cs="宋体"/>
                <w:color w:val="auto"/>
                <w:sz w:val="21"/>
                <w:szCs w:val="21"/>
                <w:highlight w:val="none"/>
              </w:rPr>
              <w:t>获得国家级</w:t>
            </w:r>
            <w:r>
              <w:rPr>
                <w:rFonts w:hint="default" w:hAnsi="宋体" w:eastAsia="宋体" w:cs="宋体"/>
                <w:color w:val="auto"/>
                <w:sz w:val="21"/>
                <w:szCs w:val="21"/>
                <w:highlight w:val="none"/>
                <w:u w:val="none"/>
              </w:rPr>
              <w:t>奖项的，每个得</w:t>
            </w:r>
            <w:r>
              <w:rPr>
                <w:rFonts w:hint="eastAsia" w:hAnsi="宋体" w:eastAsia="宋体" w:cs="宋体"/>
                <w:color w:val="auto"/>
                <w:sz w:val="21"/>
                <w:szCs w:val="21"/>
                <w:highlight w:val="none"/>
                <w:u w:val="none"/>
                <w:lang w:val="en-US" w:eastAsia="zh-CN"/>
              </w:rPr>
              <w:t>8</w:t>
            </w:r>
            <w:r>
              <w:rPr>
                <w:rFonts w:hint="default" w:hAnsi="宋体" w:eastAsia="宋体" w:cs="宋体"/>
                <w:color w:val="auto"/>
                <w:sz w:val="21"/>
                <w:szCs w:val="21"/>
                <w:highlight w:val="none"/>
                <w:u w:val="none"/>
              </w:rPr>
              <w:t>分。</w:t>
            </w:r>
          </w:p>
          <w:p w14:paraId="7EE0DAAD">
            <w:pPr>
              <w:spacing w:line="340" w:lineRule="exact"/>
              <w:rPr>
                <w:rFonts w:hint="default" w:hAnsi="宋体" w:eastAsia="宋体" w:cs="宋体"/>
                <w:color w:val="auto"/>
                <w:sz w:val="21"/>
                <w:szCs w:val="21"/>
                <w:highlight w:val="none"/>
                <w:u w:val="none"/>
              </w:rPr>
            </w:pPr>
            <w:r>
              <w:rPr>
                <w:rFonts w:hint="default" w:hAnsi="宋体" w:eastAsia="宋体" w:cs="宋体"/>
                <w:color w:val="auto"/>
                <w:sz w:val="21"/>
                <w:szCs w:val="21"/>
                <w:highlight w:val="none"/>
                <w:u w:val="none"/>
              </w:rPr>
              <w:t>2</w:t>
            </w:r>
            <w:r>
              <w:rPr>
                <w:rFonts w:hint="eastAsia" w:hAnsi="宋体" w:eastAsia="宋体" w:cs="宋体"/>
                <w:color w:val="auto"/>
                <w:sz w:val="21"/>
                <w:szCs w:val="21"/>
                <w:highlight w:val="none"/>
                <w:u w:val="none"/>
                <w:lang w:val="en-US" w:eastAsia="zh-CN"/>
              </w:rPr>
              <w:t>.</w:t>
            </w:r>
            <w:r>
              <w:rPr>
                <w:rFonts w:hint="default" w:hAnsi="宋体" w:eastAsia="宋体" w:cs="宋体"/>
                <w:color w:val="auto"/>
                <w:sz w:val="21"/>
                <w:szCs w:val="21"/>
                <w:highlight w:val="none"/>
                <w:u w:val="none"/>
              </w:rPr>
              <w:t>获得省级奖项的，每个得</w:t>
            </w:r>
            <w:r>
              <w:rPr>
                <w:rFonts w:hint="default" w:hAnsi="宋体" w:eastAsia="宋体" w:cs="宋体"/>
                <w:color w:val="auto"/>
                <w:sz w:val="21"/>
                <w:szCs w:val="21"/>
                <w:highlight w:val="none"/>
                <w:u w:val="none"/>
                <w:lang w:val="en-US" w:eastAsia="zh-CN"/>
              </w:rPr>
              <w:t>4</w:t>
            </w:r>
            <w:r>
              <w:rPr>
                <w:rFonts w:hint="default" w:hAnsi="宋体" w:eastAsia="宋体" w:cs="宋体"/>
                <w:color w:val="auto"/>
                <w:sz w:val="21"/>
                <w:szCs w:val="21"/>
                <w:highlight w:val="none"/>
                <w:u w:val="none"/>
              </w:rPr>
              <w:t>分。</w:t>
            </w:r>
          </w:p>
          <w:p w14:paraId="73826758">
            <w:pPr>
              <w:spacing w:line="340" w:lineRule="exact"/>
              <w:rPr>
                <w:rFonts w:hint="default" w:hAnsi="宋体" w:eastAsia="宋体" w:cs="宋体"/>
                <w:color w:val="auto"/>
                <w:sz w:val="21"/>
                <w:szCs w:val="21"/>
                <w:highlight w:val="none"/>
                <w:u w:val="none"/>
              </w:rPr>
            </w:pPr>
            <w:r>
              <w:rPr>
                <w:rFonts w:hint="default" w:hAnsi="宋体" w:eastAsia="宋体" w:cs="宋体"/>
                <w:color w:val="auto"/>
                <w:sz w:val="21"/>
                <w:szCs w:val="21"/>
                <w:highlight w:val="none"/>
                <w:u w:val="none"/>
              </w:rPr>
              <w:t>3</w:t>
            </w:r>
            <w:r>
              <w:rPr>
                <w:rFonts w:hint="eastAsia" w:hAnsi="宋体" w:eastAsia="宋体" w:cs="宋体"/>
                <w:color w:val="auto"/>
                <w:sz w:val="21"/>
                <w:szCs w:val="21"/>
                <w:highlight w:val="none"/>
                <w:u w:val="none"/>
                <w:lang w:val="en-US" w:eastAsia="zh-CN"/>
              </w:rPr>
              <w:t>.</w:t>
            </w:r>
            <w:r>
              <w:rPr>
                <w:rFonts w:hint="default" w:hAnsi="宋体" w:eastAsia="宋体" w:cs="宋体"/>
                <w:color w:val="auto"/>
                <w:sz w:val="21"/>
                <w:szCs w:val="21"/>
                <w:highlight w:val="none"/>
                <w:u w:val="none"/>
              </w:rPr>
              <w:t>获得地市级奖项的，每个得</w:t>
            </w:r>
            <w:r>
              <w:rPr>
                <w:rFonts w:hint="default" w:hAnsi="宋体" w:eastAsia="宋体" w:cs="宋体"/>
                <w:color w:val="auto"/>
                <w:sz w:val="21"/>
                <w:szCs w:val="21"/>
                <w:highlight w:val="none"/>
                <w:u w:val="none"/>
                <w:lang w:val="en-US" w:eastAsia="zh-CN"/>
              </w:rPr>
              <w:t>2</w:t>
            </w:r>
            <w:r>
              <w:rPr>
                <w:rFonts w:hint="default" w:hAnsi="宋体" w:eastAsia="宋体" w:cs="宋体"/>
                <w:color w:val="auto"/>
                <w:sz w:val="21"/>
                <w:szCs w:val="21"/>
                <w:highlight w:val="none"/>
                <w:u w:val="none"/>
              </w:rPr>
              <w:t>分。</w:t>
            </w:r>
          </w:p>
          <w:p w14:paraId="449EC9DD">
            <w:pPr>
              <w:spacing w:line="340" w:lineRule="exact"/>
              <w:rPr>
                <w:rFonts w:hint="default" w:hAnsi="宋体" w:eastAsia="宋体" w:cs="宋体"/>
                <w:color w:val="auto"/>
                <w:sz w:val="21"/>
                <w:szCs w:val="21"/>
                <w:highlight w:val="none"/>
                <w:u w:val="none"/>
              </w:rPr>
            </w:pPr>
            <w:r>
              <w:rPr>
                <w:rFonts w:hint="default" w:hAnsi="宋体" w:eastAsia="宋体" w:cs="宋体"/>
                <w:color w:val="auto"/>
                <w:sz w:val="21"/>
                <w:szCs w:val="21"/>
                <w:highlight w:val="none"/>
                <w:u w:val="none"/>
              </w:rPr>
              <w:t>4</w:t>
            </w:r>
            <w:r>
              <w:rPr>
                <w:rFonts w:hint="eastAsia" w:hAnsi="宋体" w:eastAsia="宋体" w:cs="宋体"/>
                <w:color w:val="auto"/>
                <w:sz w:val="21"/>
                <w:szCs w:val="21"/>
                <w:highlight w:val="none"/>
                <w:u w:val="none"/>
                <w:lang w:val="en-US" w:eastAsia="zh-CN"/>
              </w:rPr>
              <w:t>.</w:t>
            </w:r>
            <w:r>
              <w:rPr>
                <w:rFonts w:hint="default" w:hAnsi="宋体" w:eastAsia="宋体" w:cs="宋体"/>
                <w:color w:val="auto"/>
                <w:sz w:val="21"/>
                <w:szCs w:val="21"/>
                <w:highlight w:val="none"/>
                <w:u w:val="none"/>
              </w:rPr>
              <w:t>以上奖项均未获得的，不予计分。</w:t>
            </w:r>
          </w:p>
          <w:p w14:paraId="75A30B53">
            <w:pPr>
              <w:spacing w:line="340" w:lineRule="exact"/>
              <w:rPr>
                <w:rFonts w:hint="default" w:hAnsi="宋体" w:eastAsia="宋体" w:cs="宋体"/>
                <w:color w:val="auto"/>
                <w:sz w:val="21"/>
                <w:szCs w:val="21"/>
                <w:highlight w:val="none"/>
              </w:rPr>
            </w:pPr>
            <w:r>
              <w:rPr>
                <w:rFonts w:hint="default" w:hAnsi="宋体" w:eastAsia="宋体" w:cs="宋体"/>
                <w:color w:val="auto"/>
                <w:sz w:val="21"/>
                <w:szCs w:val="21"/>
                <w:highlight w:val="none"/>
                <w:u w:val="none"/>
              </w:rPr>
              <w:t>5</w:t>
            </w:r>
            <w:r>
              <w:rPr>
                <w:rFonts w:hint="eastAsia" w:hAnsi="宋体" w:eastAsia="宋体" w:cs="宋体"/>
                <w:color w:val="auto"/>
                <w:sz w:val="21"/>
                <w:szCs w:val="21"/>
                <w:highlight w:val="none"/>
                <w:u w:val="none"/>
                <w:lang w:val="en-US" w:eastAsia="zh-CN"/>
              </w:rPr>
              <w:t>.</w:t>
            </w:r>
            <w:r>
              <w:rPr>
                <w:rFonts w:hint="default" w:hAnsi="宋体" w:eastAsia="宋体" w:cs="宋体"/>
                <w:color w:val="auto"/>
                <w:sz w:val="21"/>
                <w:szCs w:val="21"/>
                <w:highlight w:val="none"/>
                <w:u w:val="none"/>
              </w:rPr>
              <w:t>本项最高得1</w:t>
            </w:r>
            <w:r>
              <w:rPr>
                <w:rFonts w:hint="default" w:hAnsi="宋体" w:eastAsia="宋体" w:cs="宋体"/>
                <w:color w:val="auto"/>
                <w:sz w:val="21"/>
                <w:szCs w:val="21"/>
                <w:highlight w:val="none"/>
                <w:u w:val="none"/>
                <w:lang w:val="en-US" w:eastAsia="zh-CN"/>
              </w:rPr>
              <w:t>0</w:t>
            </w:r>
            <w:r>
              <w:rPr>
                <w:rFonts w:hint="default" w:hAnsi="宋体" w:eastAsia="宋体" w:cs="宋体"/>
                <w:color w:val="auto"/>
                <w:sz w:val="21"/>
                <w:szCs w:val="21"/>
                <w:highlight w:val="none"/>
                <w:u w:val="none"/>
              </w:rPr>
              <w:t>分。</w:t>
            </w:r>
          </w:p>
        </w:tc>
        <w:tc>
          <w:tcPr>
            <w:tcW w:w="4113" w:type="dxa"/>
            <w:vAlign w:val="center"/>
          </w:tcPr>
          <w:p w14:paraId="042AF6AB">
            <w:pPr>
              <w:keepNext/>
              <w:widowControl/>
              <w:snapToGrid w:val="0"/>
              <w:spacing w:line="340" w:lineRule="exact"/>
              <w:textAlignment w:val="baseline"/>
              <w:rPr>
                <w:rFonts w:hint="default" w:hAnsi="宋体" w:eastAsia="宋体" w:cs="宋体"/>
                <w:color w:val="auto"/>
                <w:sz w:val="21"/>
                <w:szCs w:val="21"/>
                <w:highlight w:val="none"/>
              </w:rPr>
            </w:pPr>
            <w:r>
              <w:rPr>
                <w:rFonts w:hint="default" w:hAnsi="宋体" w:eastAsia="宋体" w:cs="宋体"/>
                <w:color w:val="auto"/>
                <w:sz w:val="21"/>
                <w:szCs w:val="21"/>
                <w:highlight w:val="none"/>
              </w:rPr>
              <w:t>1．允许投标人提交多个业绩，但同一业绩只按最高级别奖项计分一次。</w:t>
            </w:r>
          </w:p>
          <w:p w14:paraId="6C5905A8">
            <w:pPr>
              <w:keepNext/>
              <w:widowControl/>
              <w:snapToGrid w:val="0"/>
              <w:spacing w:line="340" w:lineRule="exact"/>
              <w:textAlignment w:val="baseline"/>
              <w:rPr>
                <w:rFonts w:hint="default" w:hAnsi="宋体" w:eastAsia="宋体" w:cs="宋体"/>
                <w:color w:val="auto"/>
                <w:sz w:val="21"/>
                <w:szCs w:val="21"/>
                <w:highlight w:val="none"/>
              </w:rPr>
            </w:pPr>
            <w:r>
              <w:rPr>
                <w:rFonts w:hint="default" w:hAnsi="宋体" w:eastAsia="宋体" w:cs="宋体"/>
                <w:color w:val="auto"/>
                <w:sz w:val="21"/>
                <w:szCs w:val="21"/>
                <w:highlight w:val="none"/>
              </w:rPr>
              <w:t>2．需附有关奖项证明</w:t>
            </w:r>
            <w:r>
              <w:rPr>
                <w:rFonts w:hint="default" w:hAnsi="宋体" w:eastAsia="宋体" w:cs="宋体"/>
                <w:color w:val="auto"/>
                <w:sz w:val="21"/>
                <w:szCs w:val="21"/>
                <w:highlight w:val="none"/>
                <w:lang w:val="en-US" w:eastAsia="zh-CN"/>
              </w:rPr>
              <w:t>扫描件</w:t>
            </w:r>
            <w:r>
              <w:rPr>
                <w:rFonts w:hint="default" w:hAnsi="宋体" w:eastAsia="宋体" w:cs="宋体"/>
                <w:color w:val="auto"/>
                <w:sz w:val="21"/>
                <w:szCs w:val="21"/>
                <w:highlight w:val="none"/>
                <w:lang w:eastAsia="zh-CN"/>
              </w:rPr>
              <w:t>。</w:t>
            </w:r>
          </w:p>
          <w:p w14:paraId="150F1081">
            <w:pPr>
              <w:keepNext/>
              <w:widowControl/>
              <w:snapToGrid w:val="0"/>
              <w:spacing w:line="340" w:lineRule="exact"/>
              <w:textAlignment w:val="baseline"/>
              <w:rPr>
                <w:rFonts w:hint="default" w:hAnsi="宋体" w:eastAsia="宋体" w:cs="宋体"/>
                <w:color w:val="auto"/>
                <w:sz w:val="21"/>
                <w:szCs w:val="21"/>
                <w:highlight w:val="none"/>
              </w:rPr>
            </w:pPr>
            <w:r>
              <w:rPr>
                <w:rFonts w:hint="default" w:hAnsi="宋体" w:eastAsia="宋体" w:cs="宋体"/>
                <w:color w:val="auto"/>
                <w:sz w:val="21"/>
                <w:szCs w:val="21"/>
                <w:highlight w:val="none"/>
              </w:rPr>
              <w:t>3．颁发机构限定以下范围：</w:t>
            </w:r>
          </w:p>
          <w:p w14:paraId="42966CDA">
            <w:pPr>
              <w:keepNext/>
              <w:widowControl/>
              <w:snapToGrid w:val="0"/>
              <w:spacing w:line="340" w:lineRule="exact"/>
              <w:textAlignment w:val="baseline"/>
              <w:rPr>
                <w:rFonts w:hint="default" w:hAnsi="宋体" w:eastAsia="宋体" w:cs="宋体"/>
                <w:color w:val="auto"/>
                <w:sz w:val="21"/>
                <w:szCs w:val="21"/>
                <w:highlight w:val="none"/>
                <w:u w:val="single"/>
              </w:rPr>
            </w:pPr>
            <w:r>
              <w:rPr>
                <w:rFonts w:hint="default" w:hAnsi="宋体" w:eastAsia="宋体" w:cs="宋体"/>
                <w:color w:val="auto"/>
                <w:sz w:val="21"/>
                <w:szCs w:val="21"/>
                <w:highlight w:val="none"/>
              </w:rPr>
              <w:t>①国家级奖项：</w:t>
            </w:r>
            <w:r>
              <w:rPr>
                <w:rFonts w:hint="default" w:hAnsi="宋体" w:eastAsia="宋体" w:cs="宋体"/>
                <w:color w:val="auto"/>
                <w:sz w:val="21"/>
                <w:szCs w:val="21"/>
                <w:highlight w:val="none"/>
                <w:u w:val="single"/>
              </w:rPr>
              <w:t>国务院、住建部、中国建筑</w:t>
            </w:r>
            <w:r>
              <w:rPr>
                <w:rFonts w:hint="default" w:hAnsi="宋体" w:eastAsia="宋体" w:cs="宋体"/>
                <w:color w:val="auto"/>
                <w:sz w:val="21"/>
                <w:szCs w:val="21"/>
                <w:highlight w:val="none"/>
                <w:u w:val="single"/>
                <w:lang w:val="en-US" w:eastAsia="zh-CN"/>
              </w:rPr>
              <w:t>或市政协会</w:t>
            </w:r>
            <w:r>
              <w:rPr>
                <w:rFonts w:hint="default" w:hAnsi="宋体" w:eastAsia="宋体" w:cs="宋体"/>
                <w:color w:val="auto"/>
                <w:sz w:val="21"/>
                <w:szCs w:val="21"/>
                <w:highlight w:val="none"/>
                <w:u w:val="single"/>
              </w:rPr>
              <w:t xml:space="preserve">；（相关协会需经民政部门备案） </w:t>
            </w:r>
          </w:p>
          <w:p w14:paraId="2405C564">
            <w:pPr>
              <w:keepNext/>
              <w:widowControl/>
              <w:snapToGrid w:val="0"/>
              <w:spacing w:line="340" w:lineRule="exact"/>
              <w:textAlignment w:val="baseline"/>
              <w:rPr>
                <w:rFonts w:hint="default" w:hAnsi="宋体" w:eastAsia="宋体" w:cs="宋体"/>
                <w:color w:val="auto"/>
                <w:sz w:val="21"/>
                <w:szCs w:val="21"/>
                <w:highlight w:val="none"/>
                <w:u w:val="single"/>
              </w:rPr>
            </w:pPr>
            <w:r>
              <w:rPr>
                <w:rFonts w:hint="default" w:hAnsi="宋体" w:eastAsia="宋体" w:cs="宋体"/>
                <w:color w:val="auto"/>
                <w:sz w:val="21"/>
                <w:szCs w:val="21"/>
                <w:highlight w:val="none"/>
              </w:rPr>
              <w:t>②省级奖项：</w:t>
            </w:r>
            <w:r>
              <w:rPr>
                <w:rFonts w:hint="default" w:hAnsi="宋体" w:eastAsia="宋体" w:cs="宋体"/>
                <w:color w:val="auto"/>
                <w:sz w:val="21"/>
                <w:szCs w:val="21"/>
                <w:highlight w:val="none"/>
                <w:u w:val="single"/>
              </w:rPr>
              <w:t>省级人民政府、省级住建部门或监督部门、省级建筑</w:t>
            </w:r>
            <w:r>
              <w:rPr>
                <w:rFonts w:hint="default" w:hAnsi="宋体" w:eastAsia="宋体" w:cs="宋体"/>
                <w:color w:val="auto"/>
                <w:sz w:val="21"/>
                <w:szCs w:val="21"/>
                <w:highlight w:val="none"/>
                <w:u w:val="single"/>
                <w:lang w:val="en-US" w:eastAsia="zh-CN"/>
              </w:rPr>
              <w:t>或市政协会</w:t>
            </w:r>
            <w:r>
              <w:rPr>
                <w:rFonts w:hint="default" w:hAnsi="宋体" w:eastAsia="宋体" w:cs="宋体"/>
                <w:color w:val="auto"/>
                <w:sz w:val="21"/>
                <w:szCs w:val="21"/>
                <w:highlight w:val="none"/>
                <w:u w:val="single"/>
              </w:rPr>
              <w:t xml:space="preserve">；（相关协会需经民政部门备案） </w:t>
            </w:r>
          </w:p>
          <w:p w14:paraId="3E271122">
            <w:pPr>
              <w:keepNext/>
              <w:widowControl/>
              <w:snapToGrid w:val="0"/>
              <w:spacing w:line="340" w:lineRule="exact"/>
              <w:textAlignment w:val="baseline"/>
              <w:rPr>
                <w:rFonts w:hint="default" w:hAnsi="宋体" w:eastAsia="宋体" w:cs="宋体"/>
                <w:color w:val="auto"/>
                <w:sz w:val="21"/>
                <w:szCs w:val="21"/>
                <w:highlight w:val="none"/>
              </w:rPr>
            </w:pPr>
            <w:r>
              <w:rPr>
                <w:rFonts w:hint="default" w:hAnsi="宋体" w:eastAsia="宋体" w:cs="宋体"/>
                <w:color w:val="auto"/>
                <w:sz w:val="21"/>
                <w:szCs w:val="21"/>
                <w:highlight w:val="none"/>
              </w:rPr>
              <w:t>③地市级奖项：</w:t>
            </w:r>
            <w:r>
              <w:rPr>
                <w:rFonts w:hint="default" w:hAnsi="宋体" w:eastAsia="宋体" w:cs="宋体"/>
                <w:color w:val="auto"/>
                <w:sz w:val="21"/>
                <w:szCs w:val="21"/>
                <w:highlight w:val="none"/>
                <w:u w:val="single"/>
              </w:rPr>
              <w:t>地市级人民政府、地市级住建部门或监督部门、</w:t>
            </w:r>
            <w:r>
              <w:rPr>
                <w:rFonts w:hint="default" w:hAnsi="宋体" w:eastAsia="宋体" w:cs="宋体"/>
                <w:color w:val="auto"/>
                <w:sz w:val="21"/>
                <w:szCs w:val="21"/>
                <w:highlight w:val="none"/>
                <w:u w:val="single"/>
                <w:lang w:val="en-US" w:eastAsia="zh-CN"/>
              </w:rPr>
              <w:t>地级市</w:t>
            </w:r>
            <w:r>
              <w:rPr>
                <w:rFonts w:hint="default" w:hAnsi="宋体" w:eastAsia="宋体" w:cs="宋体"/>
                <w:color w:val="auto"/>
                <w:sz w:val="21"/>
                <w:szCs w:val="21"/>
                <w:highlight w:val="none"/>
                <w:u w:val="single"/>
              </w:rPr>
              <w:t>建筑</w:t>
            </w:r>
            <w:r>
              <w:rPr>
                <w:rFonts w:hint="default" w:hAnsi="宋体" w:eastAsia="宋体" w:cs="宋体"/>
                <w:color w:val="auto"/>
                <w:sz w:val="21"/>
                <w:szCs w:val="21"/>
                <w:highlight w:val="none"/>
                <w:u w:val="single"/>
                <w:lang w:val="en-US" w:eastAsia="zh-CN"/>
              </w:rPr>
              <w:t>或市政协会</w:t>
            </w:r>
            <w:r>
              <w:rPr>
                <w:rFonts w:hint="default" w:hAnsi="宋体" w:eastAsia="宋体" w:cs="宋体"/>
                <w:color w:val="auto"/>
                <w:sz w:val="21"/>
                <w:szCs w:val="21"/>
                <w:highlight w:val="none"/>
                <w:u w:val="single"/>
              </w:rPr>
              <w:t>。（相关协会需经民政部门备案）</w:t>
            </w:r>
          </w:p>
          <w:p w14:paraId="596391C6">
            <w:pPr>
              <w:keepNext/>
              <w:widowControl/>
              <w:snapToGrid w:val="0"/>
              <w:spacing w:line="340" w:lineRule="exact"/>
              <w:textAlignment w:val="baseline"/>
              <w:rPr>
                <w:rFonts w:hint="default" w:hAnsi="宋体" w:eastAsia="宋体" w:cs="宋体"/>
                <w:color w:val="auto"/>
                <w:sz w:val="21"/>
                <w:szCs w:val="21"/>
                <w:highlight w:val="none"/>
              </w:rPr>
            </w:pPr>
            <w:r>
              <w:rPr>
                <w:rFonts w:hint="default" w:hAnsi="宋体" w:eastAsia="宋体" w:cs="宋体"/>
                <w:color w:val="auto"/>
                <w:sz w:val="21"/>
                <w:szCs w:val="21"/>
                <w:highlight w:val="none"/>
              </w:rPr>
              <w:t>4．获奖时间以奖项证明的落款日期为准。</w:t>
            </w:r>
          </w:p>
          <w:p w14:paraId="1DC82FEC">
            <w:pPr>
              <w:keepNext/>
              <w:widowControl/>
              <w:snapToGrid w:val="0"/>
              <w:spacing w:line="340" w:lineRule="exact"/>
              <w:textAlignment w:val="baseline"/>
              <w:rPr>
                <w:rFonts w:hint="default" w:hAnsi="宋体" w:eastAsia="宋体" w:cs="宋体"/>
                <w:color w:val="auto"/>
                <w:sz w:val="21"/>
                <w:szCs w:val="21"/>
                <w:highlight w:val="none"/>
              </w:rPr>
            </w:pPr>
            <w:r>
              <w:rPr>
                <w:rFonts w:hint="default" w:hAnsi="宋体" w:eastAsia="宋体" w:cs="宋体"/>
                <w:color w:val="auto"/>
                <w:sz w:val="21"/>
                <w:szCs w:val="21"/>
                <w:highlight w:val="none"/>
              </w:rPr>
              <w:t>5．任一奖项有以下情形之一的，该奖项视为无效，不予计分：</w:t>
            </w:r>
          </w:p>
          <w:p w14:paraId="6836E754">
            <w:pPr>
              <w:keepNext/>
              <w:widowControl/>
              <w:snapToGrid w:val="0"/>
              <w:spacing w:line="340" w:lineRule="exact"/>
              <w:textAlignment w:val="baseline"/>
              <w:rPr>
                <w:rFonts w:hint="default" w:hAnsi="宋体" w:eastAsia="宋体" w:cs="宋体"/>
                <w:color w:val="auto"/>
                <w:sz w:val="21"/>
                <w:szCs w:val="21"/>
                <w:highlight w:val="none"/>
              </w:rPr>
            </w:pPr>
            <w:r>
              <w:rPr>
                <w:rFonts w:hint="default" w:hAnsi="宋体" w:eastAsia="宋体" w:cs="宋体"/>
                <w:color w:val="auto"/>
                <w:sz w:val="21"/>
                <w:szCs w:val="21"/>
                <w:highlight w:val="none"/>
              </w:rPr>
              <w:t>①奖项不属于指定类别的；</w:t>
            </w:r>
          </w:p>
          <w:p w14:paraId="37051FA3">
            <w:pPr>
              <w:keepNext/>
              <w:widowControl/>
              <w:snapToGrid w:val="0"/>
              <w:spacing w:line="340" w:lineRule="exact"/>
              <w:textAlignment w:val="baseline"/>
              <w:rPr>
                <w:rFonts w:hint="default" w:hAnsi="宋体" w:eastAsia="宋体" w:cs="宋体"/>
                <w:color w:val="auto"/>
                <w:sz w:val="21"/>
                <w:szCs w:val="21"/>
                <w:highlight w:val="none"/>
              </w:rPr>
            </w:pPr>
            <w:r>
              <w:rPr>
                <w:rFonts w:hint="default" w:hAnsi="宋体" w:eastAsia="宋体" w:cs="宋体"/>
                <w:color w:val="auto"/>
                <w:sz w:val="21"/>
                <w:szCs w:val="21"/>
                <w:highlight w:val="none"/>
              </w:rPr>
              <w:t>②颁发机构不符合要求的；</w:t>
            </w:r>
          </w:p>
          <w:p w14:paraId="4BEEF018">
            <w:pPr>
              <w:keepNext/>
              <w:widowControl/>
              <w:snapToGrid w:val="0"/>
              <w:spacing w:line="340" w:lineRule="exact"/>
              <w:textAlignment w:val="baseline"/>
              <w:rPr>
                <w:rFonts w:hint="default" w:hAnsi="宋体" w:eastAsia="宋体" w:cs="宋体"/>
                <w:color w:val="auto"/>
                <w:sz w:val="21"/>
                <w:szCs w:val="21"/>
                <w:highlight w:val="none"/>
              </w:rPr>
            </w:pPr>
            <w:r>
              <w:rPr>
                <w:rFonts w:hint="default" w:hAnsi="宋体" w:eastAsia="宋体" w:cs="宋体"/>
                <w:color w:val="auto"/>
                <w:sz w:val="21"/>
                <w:szCs w:val="21"/>
                <w:highlight w:val="none"/>
              </w:rPr>
              <w:t>③获奖时间不符合要求的。</w:t>
            </w:r>
          </w:p>
          <w:p w14:paraId="37F17A13">
            <w:pPr>
              <w:keepNext/>
              <w:widowControl/>
              <w:snapToGrid w:val="0"/>
              <w:spacing w:line="340" w:lineRule="exact"/>
              <w:textAlignment w:val="baseline"/>
              <w:rPr>
                <w:rFonts w:hint="default" w:hAnsi="宋体" w:eastAsia="宋体" w:cs="宋体"/>
                <w:color w:val="auto"/>
                <w:sz w:val="21"/>
                <w:szCs w:val="21"/>
                <w:highlight w:val="none"/>
              </w:rPr>
            </w:pPr>
            <w:r>
              <w:rPr>
                <w:rFonts w:hint="default" w:hAnsi="宋体" w:eastAsia="宋体" w:cs="宋体"/>
                <w:color w:val="auto"/>
                <w:sz w:val="21"/>
                <w:szCs w:val="21"/>
                <w:highlight w:val="none"/>
                <w:lang w:val="en-US" w:eastAsia="zh-CN"/>
              </w:rPr>
              <w:t>说明： 以上所称“要求 ”均指本表评分标准及备注的要求，下同。</w:t>
            </w:r>
          </w:p>
        </w:tc>
      </w:tr>
      <w:bookmarkEnd w:id="300"/>
      <w:tr w14:paraId="085C7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dxa"/>
            <w:vMerge w:val="continue"/>
            <w:vAlign w:val="center"/>
          </w:tcPr>
          <w:p w14:paraId="4B3B9B9D">
            <w:pPr>
              <w:keepNext/>
              <w:widowControl/>
              <w:snapToGrid w:val="0"/>
              <w:spacing w:line="340" w:lineRule="exact"/>
              <w:jc w:val="center"/>
              <w:rPr>
                <w:rFonts w:hint="default" w:hAnsi="宋体" w:eastAsia="宋体" w:cs="宋体"/>
                <w:color w:val="auto"/>
                <w:sz w:val="21"/>
                <w:szCs w:val="21"/>
                <w:highlight w:val="none"/>
              </w:rPr>
            </w:pPr>
          </w:p>
        </w:tc>
        <w:tc>
          <w:tcPr>
            <w:tcW w:w="695" w:type="dxa"/>
            <w:vMerge w:val="continue"/>
            <w:vAlign w:val="center"/>
          </w:tcPr>
          <w:p w14:paraId="7B2FD470">
            <w:pPr>
              <w:keepNext/>
              <w:widowControl/>
              <w:snapToGrid w:val="0"/>
              <w:spacing w:line="340" w:lineRule="exact"/>
              <w:rPr>
                <w:rFonts w:hint="default" w:hAnsi="宋体" w:eastAsia="宋体" w:cs="宋体"/>
                <w:color w:val="auto"/>
                <w:sz w:val="21"/>
                <w:szCs w:val="21"/>
                <w:highlight w:val="none"/>
              </w:rPr>
            </w:pPr>
          </w:p>
        </w:tc>
        <w:tc>
          <w:tcPr>
            <w:tcW w:w="655" w:type="dxa"/>
            <w:vMerge w:val="continue"/>
            <w:vAlign w:val="center"/>
          </w:tcPr>
          <w:p w14:paraId="5CFCA0FB">
            <w:pPr>
              <w:keepNext/>
              <w:widowControl/>
              <w:snapToGrid w:val="0"/>
              <w:spacing w:line="340" w:lineRule="exact"/>
              <w:rPr>
                <w:rFonts w:hint="default" w:hAnsi="宋体" w:eastAsia="宋体" w:cs="宋体"/>
                <w:color w:val="auto"/>
                <w:sz w:val="21"/>
                <w:szCs w:val="21"/>
                <w:highlight w:val="none"/>
              </w:rPr>
            </w:pPr>
          </w:p>
        </w:tc>
        <w:tc>
          <w:tcPr>
            <w:tcW w:w="1023" w:type="dxa"/>
            <w:vAlign w:val="center"/>
          </w:tcPr>
          <w:p w14:paraId="1FDA6E4D">
            <w:pPr>
              <w:keepNext/>
              <w:widowControl/>
              <w:snapToGrid w:val="0"/>
              <w:spacing w:line="340" w:lineRule="exact"/>
              <w:jc w:val="center"/>
              <w:rPr>
                <w:rFonts w:hint="default" w:hAnsi="宋体" w:eastAsia="宋体" w:cs="宋体"/>
                <w:color w:val="auto"/>
                <w:sz w:val="21"/>
                <w:szCs w:val="21"/>
                <w:highlight w:val="none"/>
              </w:rPr>
            </w:pPr>
            <w:r>
              <w:rPr>
                <w:rFonts w:hint="default" w:hAnsi="宋体" w:eastAsia="宋体" w:cs="宋体"/>
                <w:color w:val="auto"/>
                <w:sz w:val="21"/>
                <w:szCs w:val="21"/>
                <w:highlight w:val="none"/>
              </w:rPr>
              <w:t>企业业绩</w:t>
            </w:r>
          </w:p>
          <w:p w14:paraId="4D8C51FE">
            <w:pPr>
              <w:keepNext/>
              <w:widowControl/>
              <w:snapToGrid w:val="0"/>
              <w:spacing w:line="340" w:lineRule="exact"/>
              <w:jc w:val="center"/>
              <w:rPr>
                <w:rFonts w:hint="default" w:hAnsi="宋体" w:eastAsia="宋体" w:cs="宋体"/>
                <w:color w:val="auto"/>
                <w:sz w:val="21"/>
                <w:szCs w:val="21"/>
                <w:highlight w:val="none"/>
              </w:rPr>
            </w:pPr>
            <w:r>
              <w:rPr>
                <w:rFonts w:hint="default" w:hAnsi="宋体" w:eastAsia="宋体" w:cs="宋体"/>
                <w:color w:val="auto"/>
                <w:sz w:val="21"/>
                <w:szCs w:val="21"/>
                <w:highlight w:val="none"/>
              </w:rPr>
              <w:t>（</w:t>
            </w:r>
            <w:r>
              <w:rPr>
                <w:rFonts w:hint="default" w:hAnsi="宋体" w:eastAsia="宋体" w:cs="宋体"/>
                <w:color w:val="auto"/>
                <w:sz w:val="21"/>
                <w:szCs w:val="21"/>
                <w:highlight w:val="none"/>
                <w:lang w:val="en-US" w:eastAsia="zh-CN"/>
              </w:rPr>
              <w:t>10</w:t>
            </w:r>
            <w:r>
              <w:rPr>
                <w:rFonts w:hint="default" w:hAnsi="宋体" w:eastAsia="宋体" w:cs="宋体"/>
                <w:color w:val="auto"/>
                <w:sz w:val="21"/>
                <w:szCs w:val="21"/>
                <w:highlight w:val="none"/>
              </w:rPr>
              <w:t>分）</w:t>
            </w:r>
          </w:p>
        </w:tc>
        <w:tc>
          <w:tcPr>
            <w:tcW w:w="3477" w:type="dxa"/>
            <w:vAlign w:val="center"/>
          </w:tcPr>
          <w:p w14:paraId="43749466">
            <w:pPr>
              <w:keepNext/>
              <w:widowControl/>
              <w:snapToGrid w:val="0"/>
              <w:spacing w:line="340" w:lineRule="exact"/>
              <w:rPr>
                <w:rFonts w:hint="default" w:hAnsi="宋体" w:eastAsia="宋体" w:cs="宋体"/>
                <w:color w:val="auto"/>
                <w:sz w:val="21"/>
                <w:szCs w:val="21"/>
                <w:highlight w:val="none"/>
              </w:rPr>
            </w:pPr>
            <w:r>
              <w:rPr>
                <w:rFonts w:hint="default" w:hAnsi="宋体" w:eastAsia="宋体" w:cs="宋体"/>
                <w:color w:val="auto"/>
                <w:sz w:val="21"/>
                <w:szCs w:val="21"/>
                <w:highlight w:val="none"/>
              </w:rPr>
              <w:t>企业近</w:t>
            </w:r>
            <w:r>
              <w:rPr>
                <w:rFonts w:hint="default" w:hAnsi="宋体" w:eastAsia="宋体" w:cs="宋体"/>
                <w:color w:val="auto"/>
                <w:sz w:val="21"/>
                <w:szCs w:val="21"/>
                <w:highlight w:val="none"/>
                <w:u w:val="none"/>
                <w:lang w:val="en-US" w:eastAsia="zh-CN"/>
              </w:rPr>
              <w:t>5</w:t>
            </w:r>
            <w:r>
              <w:rPr>
                <w:rFonts w:hint="default" w:hAnsi="宋体" w:eastAsia="宋体" w:cs="宋体"/>
                <w:color w:val="auto"/>
                <w:sz w:val="21"/>
                <w:szCs w:val="21"/>
                <w:highlight w:val="none"/>
              </w:rPr>
              <w:t>年来（20</w:t>
            </w:r>
            <w:r>
              <w:rPr>
                <w:rFonts w:hint="default" w:hAnsi="宋体" w:eastAsia="宋体" w:cs="宋体"/>
                <w:color w:val="auto"/>
                <w:sz w:val="21"/>
                <w:szCs w:val="21"/>
                <w:highlight w:val="none"/>
                <w:lang w:val="en-US" w:eastAsia="zh-CN"/>
              </w:rPr>
              <w:t>21</w:t>
            </w:r>
            <w:r>
              <w:rPr>
                <w:rFonts w:hint="default" w:hAnsi="宋体" w:eastAsia="宋体" w:cs="宋体"/>
                <w:color w:val="auto"/>
                <w:sz w:val="21"/>
                <w:szCs w:val="21"/>
                <w:highlight w:val="none"/>
              </w:rPr>
              <w:t>年1月1日至</w:t>
            </w:r>
            <w:r>
              <w:rPr>
                <w:rFonts w:hint="default" w:hAnsi="宋体" w:eastAsia="宋体" w:cs="宋体"/>
                <w:color w:val="auto"/>
                <w:sz w:val="21"/>
                <w:szCs w:val="21"/>
                <w:highlight w:val="none"/>
                <w:lang w:val="en-US" w:eastAsia="zh-CN"/>
              </w:rPr>
              <w:t>今</w:t>
            </w:r>
            <w:r>
              <w:rPr>
                <w:rFonts w:hint="default" w:hAnsi="宋体" w:eastAsia="宋体" w:cs="宋体"/>
                <w:color w:val="auto"/>
                <w:sz w:val="21"/>
                <w:szCs w:val="21"/>
                <w:highlight w:val="none"/>
              </w:rPr>
              <w:t>）业绩情况：</w:t>
            </w:r>
          </w:p>
          <w:p w14:paraId="16CDDF78">
            <w:pPr>
              <w:keepNext/>
              <w:widowControl/>
              <w:snapToGrid w:val="0"/>
              <w:spacing w:line="340" w:lineRule="exact"/>
              <w:rPr>
                <w:rFonts w:hint="default" w:hAnsi="宋体" w:eastAsia="宋体" w:cs="宋体"/>
                <w:color w:val="auto"/>
                <w:sz w:val="21"/>
                <w:szCs w:val="21"/>
                <w:highlight w:val="none"/>
              </w:rPr>
            </w:pPr>
            <w:r>
              <w:rPr>
                <w:rFonts w:hint="default" w:hAnsi="宋体" w:eastAsia="宋体" w:cs="宋体"/>
                <w:color w:val="auto"/>
                <w:sz w:val="21"/>
                <w:szCs w:val="21"/>
                <w:highlight w:val="none"/>
              </w:rPr>
              <w:t>1</w:t>
            </w:r>
            <w:r>
              <w:rPr>
                <w:rFonts w:hint="eastAsia" w:hAnsi="宋体" w:eastAsia="宋体" w:cs="宋体"/>
                <w:color w:val="auto"/>
                <w:sz w:val="21"/>
                <w:szCs w:val="21"/>
                <w:highlight w:val="none"/>
                <w:lang w:val="en-US" w:eastAsia="zh-CN"/>
              </w:rPr>
              <w:t>.</w:t>
            </w:r>
            <w:r>
              <w:rPr>
                <w:rFonts w:hint="eastAsia" w:hAnsi="宋体" w:eastAsia="宋体" w:cs="宋体"/>
                <w:color w:val="auto"/>
                <w:sz w:val="21"/>
                <w:szCs w:val="21"/>
                <w:highlight w:val="none"/>
                <w:u w:val="single"/>
                <w:lang w:val="en-US" w:eastAsia="zh-CN"/>
              </w:rPr>
              <w:t>承接</w:t>
            </w:r>
            <w:r>
              <w:rPr>
                <w:rFonts w:hint="default" w:hAnsi="宋体" w:eastAsia="宋体" w:cs="宋体"/>
                <w:color w:val="auto"/>
                <w:sz w:val="21"/>
                <w:szCs w:val="21"/>
                <w:highlight w:val="none"/>
              </w:rPr>
              <w:t>过类似工程的，每个得5分。</w:t>
            </w:r>
          </w:p>
          <w:p w14:paraId="757DDFB7">
            <w:pPr>
              <w:keepNext/>
              <w:widowControl/>
              <w:snapToGrid w:val="0"/>
              <w:spacing w:line="340" w:lineRule="exact"/>
              <w:rPr>
                <w:rFonts w:hint="default" w:hAnsi="宋体" w:eastAsia="宋体" w:cs="宋体"/>
                <w:color w:val="auto"/>
                <w:sz w:val="21"/>
                <w:szCs w:val="21"/>
                <w:highlight w:val="none"/>
              </w:rPr>
            </w:pPr>
            <w:r>
              <w:rPr>
                <w:rFonts w:hint="default" w:hAnsi="宋体" w:eastAsia="宋体" w:cs="宋体"/>
                <w:color w:val="auto"/>
                <w:sz w:val="21"/>
                <w:szCs w:val="21"/>
                <w:highlight w:val="none"/>
              </w:rPr>
              <w:t>2</w:t>
            </w:r>
            <w:r>
              <w:rPr>
                <w:rFonts w:hint="eastAsia" w:hAnsi="宋体" w:eastAsia="宋体" w:cs="宋体"/>
                <w:color w:val="auto"/>
                <w:sz w:val="21"/>
                <w:szCs w:val="21"/>
                <w:highlight w:val="none"/>
                <w:lang w:val="en-US" w:eastAsia="zh-CN"/>
              </w:rPr>
              <w:t>.</w:t>
            </w:r>
            <w:r>
              <w:rPr>
                <w:rFonts w:hint="default" w:hAnsi="宋体" w:eastAsia="宋体" w:cs="宋体"/>
                <w:color w:val="auto"/>
                <w:sz w:val="21"/>
                <w:szCs w:val="21"/>
                <w:highlight w:val="none"/>
                <w:u w:val="single"/>
              </w:rPr>
              <w:t>未</w:t>
            </w:r>
            <w:r>
              <w:rPr>
                <w:rFonts w:hint="default" w:hAnsi="宋体" w:eastAsia="宋体" w:cs="宋体"/>
                <w:color w:val="auto"/>
                <w:sz w:val="21"/>
                <w:szCs w:val="21"/>
                <w:highlight w:val="none"/>
                <w:u w:val="single"/>
                <w:lang w:val="en-US" w:eastAsia="zh-CN"/>
              </w:rPr>
              <w:t>承接</w:t>
            </w:r>
            <w:r>
              <w:rPr>
                <w:rFonts w:hint="default" w:hAnsi="宋体" w:eastAsia="宋体" w:cs="宋体"/>
                <w:color w:val="auto"/>
                <w:sz w:val="21"/>
                <w:szCs w:val="21"/>
                <w:highlight w:val="none"/>
              </w:rPr>
              <w:t>过类似工程的，不予计分。</w:t>
            </w:r>
          </w:p>
          <w:p w14:paraId="50D0746F">
            <w:pPr>
              <w:keepNext/>
              <w:widowControl/>
              <w:snapToGrid w:val="0"/>
              <w:spacing w:line="340" w:lineRule="exact"/>
              <w:rPr>
                <w:rFonts w:hint="default" w:hAnsi="宋体" w:eastAsia="宋体" w:cs="宋体"/>
                <w:color w:val="auto"/>
                <w:sz w:val="21"/>
                <w:szCs w:val="21"/>
                <w:highlight w:val="none"/>
              </w:rPr>
            </w:pPr>
            <w:r>
              <w:rPr>
                <w:rFonts w:hint="default" w:hAnsi="宋体" w:eastAsia="宋体" w:cs="宋体"/>
                <w:color w:val="auto"/>
                <w:sz w:val="21"/>
                <w:szCs w:val="21"/>
                <w:highlight w:val="none"/>
              </w:rPr>
              <w:t>3</w:t>
            </w:r>
            <w:r>
              <w:rPr>
                <w:rFonts w:hint="eastAsia" w:hAnsi="宋体" w:eastAsia="宋体" w:cs="宋体"/>
                <w:color w:val="auto"/>
                <w:sz w:val="21"/>
                <w:szCs w:val="21"/>
                <w:highlight w:val="none"/>
                <w:lang w:val="en-US" w:eastAsia="zh-CN"/>
              </w:rPr>
              <w:t>.</w:t>
            </w:r>
            <w:r>
              <w:rPr>
                <w:rFonts w:hint="default" w:hAnsi="宋体" w:eastAsia="宋体" w:cs="宋体"/>
                <w:color w:val="auto"/>
                <w:sz w:val="21"/>
                <w:szCs w:val="21"/>
                <w:highlight w:val="none"/>
              </w:rPr>
              <w:t>本项最高得10分。</w:t>
            </w:r>
          </w:p>
        </w:tc>
        <w:tc>
          <w:tcPr>
            <w:tcW w:w="4113" w:type="dxa"/>
            <w:vAlign w:val="center"/>
          </w:tcPr>
          <w:p w14:paraId="145D8F88">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1"/>
                <w:szCs w:val="21"/>
                <w:highlight w:val="none"/>
                <w:u w:val="single"/>
                <w:lang w:eastAsia="zh-CN"/>
              </w:rPr>
            </w:pPr>
            <w:r>
              <w:rPr>
                <w:rFonts w:hint="eastAsia" w:ascii="宋体" w:hAnsi="宋体" w:eastAsia="宋体" w:cs="宋体"/>
                <w:snapToGrid w:val="0"/>
                <w:color w:val="auto"/>
                <w:kern w:val="0"/>
                <w:sz w:val="21"/>
                <w:szCs w:val="21"/>
                <w:highlight w:val="none"/>
              </w:rPr>
              <w:t>1．类似工程指：</w:t>
            </w:r>
            <w:r>
              <w:rPr>
                <w:rFonts w:hint="eastAsia" w:ascii="宋体" w:hAnsi="宋体" w:eastAsia="宋体" w:cs="宋体"/>
                <w:snapToGrid w:val="0"/>
                <w:color w:val="auto"/>
                <w:kern w:val="0"/>
                <w:sz w:val="21"/>
                <w:szCs w:val="21"/>
                <w:highlight w:val="none"/>
                <w:u w:val="single"/>
              </w:rPr>
              <w:t>合同金额≥</w:t>
            </w:r>
            <w:r>
              <w:rPr>
                <w:rFonts w:hint="eastAsia" w:hAnsi="宋体" w:eastAsia="宋体" w:cs="宋体"/>
                <w:snapToGrid w:val="0"/>
                <w:color w:val="auto"/>
                <w:kern w:val="0"/>
                <w:sz w:val="21"/>
                <w:szCs w:val="21"/>
                <w:highlight w:val="none"/>
                <w:u w:val="single"/>
                <w:lang w:val="en-US" w:eastAsia="zh-CN"/>
              </w:rPr>
              <w:t>200</w:t>
            </w:r>
            <w:r>
              <w:rPr>
                <w:rFonts w:hint="eastAsia" w:ascii="宋体" w:hAnsi="宋体" w:eastAsia="宋体" w:cs="宋体"/>
                <w:snapToGrid w:val="0"/>
                <w:color w:val="auto"/>
                <w:kern w:val="0"/>
                <w:sz w:val="21"/>
                <w:szCs w:val="21"/>
                <w:highlight w:val="none"/>
                <w:u w:val="single"/>
              </w:rPr>
              <w:t>万的</w:t>
            </w:r>
            <w:r>
              <w:rPr>
                <w:rFonts w:hint="eastAsia" w:ascii="宋体" w:hAnsi="宋体" w:eastAsia="宋体" w:cs="宋体"/>
                <w:snapToGrid w:val="0"/>
                <w:color w:val="auto"/>
                <w:kern w:val="0"/>
                <w:sz w:val="21"/>
                <w:szCs w:val="21"/>
                <w:highlight w:val="none"/>
                <w:u w:val="single"/>
                <w:lang w:val="en-US" w:eastAsia="zh-CN"/>
              </w:rPr>
              <w:t>房屋建筑工程或市政公用工程</w:t>
            </w:r>
            <w:r>
              <w:rPr>
                <w:rFonts w:hint="eastAsia" w:ascii="宋体" w:hAnsi="宋体" w:eastAsia="宋体" w:cs="宋体"/>
                <w:snapToGrid w:val="0"/>
                <w:color w:val="auto"/>
                <w:kern w:val="0"/>
                <w:sz w:val="21"/>
                <w:szCs w:val="21"/>
                <w:highlight w:val="none"/>
                <w:u w:val="single"/>
              </w:rPr>
              <w:t>。</w:t>
            </w:r>
          </w:p>
          <w:p w14:paraId="30B0159B">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2．需附有关业绩（仅限于以施工</w:t>
            </w:r>
            <w:r>
              <w:rPr>
                <w:rFonts w:hint="eastAsia" w:ascii="宋体" w:hAnsi="宋体" w:eastAsia="宋体" w:cs="宋体"/>
                <w:b/>
                <w:bCs/>
                <w:snapToGrid w:val="0"/>
                <w:color w:val="auto"/>
                <w:kern w:val="0"/>
                <w:sz w:val="21"/>
                <w:szCs w:val="21"/>
                <w:highlight w:val="none"/>
                <w:u w:val="single"/>
              </w:rPr>
              <w:t xml:space="preserve"> 总承包单位 </w:t>
            </w:r>
            <w:r>
              <w:rPr>
                <w:rFonts w:hint="eastAsia" w:ascii="宋体" w:hAnsi="宋体" w:eastAsia="宋体" w:cs="宋体"/>
                <w:snapToGrid w:val="0"/>
                <w:color w:val="auto"/>
                <w:kern w:val="0"/>
                <w:sz w:val="21"/>
                <w:szCs w:val="21"/>
                <w:highlight w:val="none"/>
              </w:rPr>
              <w:t>身份参建的项目）合同协议书</w:t>
            </w:r>
            <w:r>
              <w:rPr>
                <w:rFonts w:hint="eastAsia" w:ascii="宋体" w:hAnsi="宋体" w:eastAsia="宋体" w:cs="宋体"/>
                <w:snapToGrid w:val="0"/>
                <w:color w:val="auto"/>
                <w:kern w:val="0"/>
                <w:sz w:val="21"/>
                <w:szCs w:val="21"/>
                <w:highlight w:val="none"/>
                <w:lang w:val="en-US" w:eastAsia="zh-CN"/>
              </w:rPr>
              <w:t>彩色扫描件</w:t>
            </w:r>
            <w:r>
              <w:rPr>
                <w:rFonts w:hint="eastAsia" w:ascii="宋体" w:hAnsi="宋体" w:eastAsia="宋体" w:cs="宋体"/>
                <w:snapToGrid w:val="0"/>
                <w:color w:val="auto"/>
                <w:kern w:val="0"/>
                <w:sz w:val="21"/>
                <w:szCs w:val="21"/>
                <w:highlight w:val="none"/>
              </w:rPr>
              <w:t>。</w:t>
            </w:r>
          </w:p>
          <w:p w14:paraId="48CCC872">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3．业绩时间以合同协议书日期为准。</w:t>
            </w:r>
          </w:p>
          <w:p w14:paraId="1E126227">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4．任一业绩有以下情形之一的，该业绩视为无效，不予计分：</w:t>
            </w:r>
          </w:p>
          <w:p w14:paraId="463E38B4">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①业绩不属于类似工程的；</w:t>
            </w:r>
          </w:p>
          <w:p w14:paraId="0E43506E">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②不是以指定身份参建的；</w:t>
            </w:r>
          </w:p>
          <w:p w14:paraId="79BB38BC">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textAlignment w:val="auto"/>
              <w:rPr>
                <w:rFonts w:hint="eastAsia" w:hAnsi="宋体" w:eastAsia="宋体" w:cs="宋体"/>
                <w:color w:val="auto"/>
                <w:sz w:val="21"/>
                <w:szCs w:val="21"/>
                <w:highlight w:val="none"/>
                <w:lang w:eastAsia="zh-CN"/>
              </w:rPr>
            </w:pPr>
            <w:r>
              <w:rPr>
                <w:rFonts w:hint="eastAsia" w:ascii="宋体" w:hAnsi="宋体" w:eastAsia="宋体" w:cs="宋体"/>
                <w:snapToGrid w:val="0"/>
                <w:color w:val="auto"/>
                <w:kern w:val="0"/>
                <w:sz w:val="21"/>
                <w:szCs w:val="21"/>
                <w:highlight w:val="none"/>
              </w:rPr>
              <w:t>③业绩时间不符合要求的</w:t>
            </w:r>
            <w:r>
              <w:rPr>
                <w:rFonts w:hint="eastAsia" w:hAnsi="宋体" w:eastAsia="宋体" w:cs="宋体"/>
                <w:snapToGrid w:val="0"/>
                <w:color w:val="auto"/>
                <w:kern w:val="0"/>
                <w:sz w:val="21"/>
                <w:szCs w:val="21"/>
                <w:highlight w:val="none"/>
                <w:lang w:eastAsia="zh-CN"/>
              </w:rPr>
              <w:t>。</w:t>
            </w:r>
          </w:p>
        </w:tc>
      </w:tr>
      <w:tr w14:paraId="40AC5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dxa"/>
            <w:vMerge w:val="continue"/>
            <w:vAlign w:val="center"/>
          </w:tcPr>
          <w:p w14:paraId="4E8D0034">
            <w:pPr>
              <w:keepNext/>
              <w:widowControl/>
              <w:snapToGrid w:val="0"/>
              <w:spacing w:line="340" w:lineRule="exact"/>
              <w:rPr>
                <w:rFonts w:hint="default" w:hAnsi="宋体" w:eastAsia="宋体" w:cs="宋体"/>
                <w:color w:val="auto"/>
                <w:sz w:val="21"/>
                <w:szCs w:val="21"/>
                <w:highlight w:val="none"/>
              </w:rPr>
            </w:pPr>
          </w:p>
        </w:tc>
        <w:tc>
          <w:tcPr>
            <w:tcW w:w="695" w:type="dxa"/>
            <w:vMerge w:val="continue"/>
            <w:vAlign w:val="center"/>
          </w:tcPr>
          <w:p w14:paraId="2355122E">
            <w:pPr>
              <w:keepNext/>
              <w:widowControl/>
              <w:snapToGrid w:val="0"/>
              <w:spacing w:line="340" w:lineRule="exact"/>
              <w:rPr>
                <w:rFonts w:hint="default" w:hAnsi="宋体" w:eastAsia="宋体" w:cs="宋体"/>
                <w:color w:val="auto"/>
                <w:sz w:val="21"/>
                <w:szCs w:val="21"/>
                <w:highlight w:val="none"/>
              </w:rPr>
            </w:pPr>
          </w:p>
        </w:tc>
        <w:tc>
          <w:tcPr>
            <w:tcW w:w="655" w:type="dxa"/>
            <w:vMerge w:val="continue"/>
            <w:vAlign w:val="center"/>
          </w:tcPr>
          <w:p w14:paraId="7025EEBF">
            <w:pPr>
              <w:keepNext/>
              <w:widowControl/>
              <w:snapToGrid w:val="0"/>
              <w:spacing w:line="340" w:lineRule="exact"/>
              <w:rPr>
                <w:rFonts w:hint="default" w:hAnsi="宋体" w:eastAsia="宋体" w:cs="宋体"/>
                <w:color w:val="auto"/>
                <w:sz w:val="21"/>
                <w:szCs w:val="21"/>
                <w:highlight w:val="none"/>
              </w:rPr>
            </w:pPr>
          </w:p>
        </w:tc>
        <w:tc>
          <w:tcPr>
            <w:tcW w:w="1023" w:type="dxa"/>
            <w:vAlign w:val="center"/>
          </w:tcPr>
          <w:p w14:paraId="5C4B4A14">
            <w:pPr>
              <w:keepNext/>
              <w:widowControl/>
              <w:snapToGrid w:val="0"/>
              <w:spacing w:line="340" w:lineRule="exact"/>
              <w:jc w:val="center"/>
              <w:rPr>
                <w:rFonts w:hint="default" w:hAnsi="宋体" w:eastAsia="宋体" w:cs="宋体"/>
                <w:color w:val="auto"/>
                <w:sz w:val="21"/>
                <w:szCs w:val="21"/>
                <w:highlight w:val="none"/>
              </w:rPr>
            </w:pPr>
            <w:r>
              <w:rPr>
                <w:rFonts w:hint="default" w:hAnsi="宋体" w:eastAsia="宋体" w:cs="宋体"/>
                <w:color w:val="auto"/>
                <w:sz w:val="21"/>
                <w:szCs w:val="21"/>
                <w:highlight w:val="none"/>
                <w:lang w:val="en-US" w:eastAsia="zh-CN"/>
              </w:rPr>
              <w:t>企业纳税信用</w:t>
            </w:r>
            <w:r>
              <w:rPr>
                <w:rFonts w:hint="default" w:hAnsi="宋体" w:eastAsia="宋体" w:cs="宋体"/>
                <w:color w:val="auto"/>
                <w:sz w:val="21"/>
                <w:szCs w:val="21"/>
                <w:highlight w:val="none"/>
              </w:rPr>
              <w:t>（</w:t>
            </w:r>
            <w:r>
              <w:rPr>
                <w:rFonts w:hint="default" w:hAnsi="宋体" w:eastAsia="宋体" w:cs="宋体"/>
                <w:color w:val="auto"/>
                <w:sz w:val="21"/>
                <w:szCs w:val="21"/>
                <w:highlight w:val="none"/>
                <w:lang w:val="en-US" w:eastAsia="zh-CN"/>
              </w:rPr>
              <w:t>10</w:t>
            </w:r>
            <w:r>
              <w:rPr>
                <w:rFonts w:hint="default" w:hAnsi="宋体" w:eastAsia="宋体" w:cs="宋体"/>
                <w:color w:val="auto"/>
                <w:sz w:val="21"/>
                <w:szCs w:val="21"/>
                <w:highlight w:val="none"/>
              </w:rPr>
              <w:t>分）</w:t>
            </w:r>
          </w:p>
        </w:tc>
        <w:tc>
          <w:tcPr>
            <w:tcW w:w="3477" w:type="dxa"/>
            <w:vAlign w:val="center"/>
          </w:tcPr>
          <w:p w14:paraId="098A3FE7">
            <w:pPr>
              <w:keepNext/>
              <w:widowControl/>
              <w:snapToGrid w:val="0"/>
              <w:spacing w:line="340" w:lineRule="exact"/>
              <w:rPr>
                <w:rFonts w:hint="default" w:hAnsi="宋体" w:eastAsia="宋体" w:cs="宋体"/>
                <w:color w:val="auto"/>
                <w:sz w:val="21"/>
                <w:szCs w:val="21"/>
                <w:highlight w:val="none"/>
                <w:lang w:val="en-US" w:eastAsia="zh-CN"/>
              </w:rPr>
            </w:pPr>
            <w:r>
              <w:rPr>
                <w:rFonts w:hint="default" w:hAnsi="宋体" w:eastAsia="宋体" w:cs="宋体"/>
                <w:color w:val="auto"/>
                <w:sz w:val="21"/>
                <w:szCs w:val="21"/>
                <w:highlight w:val="none"/>
                <w:lang w:val="en-US" w:eastAsia="zh-CN"/>
              </w:rPr>
              <w:t>投标人获得纳税信用A级纳税人的情况（其中必须有2025年度）：</w:t>
            </w:r>
          </w:p>
          <w:p w14:paraId="16C4C6E9">
            <w:pPr>
              <w:keepNext/>
              <w:widowControl/>
              <w:snapToGrid w:val="0"/>
              <w:spacing w:line="340" w:lineRule="exact"/>
              <w:rPr>
                <w:rFonts w:hint="default" w:hAnsi="宋体" w:eastAsia="宋体" w:cs="宋体"/>
                <w:color w:val="auto"/>
                <w:sz w:val="21"/>
                <w:szCs w:val="21"/>
                <w:highlight w:val="none"/>
                <w:lang w:val="en-US" w:eastAsia="zh-CN"/>
              </w:rPr>
            </w:pPr>
            <w:r>
              <w:rPr>
                <w:rFonts w:hint="default" w:hAnsi="宋体" w:eastAsia="宋体" w:cs="宋体"/>
                <w:color w:val="auto"/>
                <w:sz w:val="21"/>
                <w:szCs w:val="21"/>
                <w:highlight w:val="none"/>
                <w:lang w:val="en-US" w:eastAsia="zh-CN"/>
              </w:rPr>
              <w:t>1.企业连续8年及以上获得的，得10分；</w:t>
            </w:r>
          </w:p>
          <w:p w14:paraId="0B81FFE0">
            <w:pPr>
              <w:keepNext/>
              <w:widowControl/>
              <w:snapToGrid w:val="0"/>
              <w:spacing w:line="340" w:lineRule="exact"/>
              <w:rPr>
                <w:rFonts w:hint="default" w:hAnsi="宋体" w:eastAsia="宋体" w:cs="宋体"/>
                <w:color w:val="auto"/>
                <w:sz w:val="21"/>
                <w:szCs w:val="21"/>
                <w:highlight w:val="none"/>
                <w:lang w:val="en-US" w:eastAsia="zh-CN"/>
              </w:rPr>
            </w:pPr>
            <w:r>
              <w:rPr>
                <w:rFonts w:hint="default" w:hAnsi="宋体" w:eastAsia="宋体" w:cs="宋体"/>
                <w:color w:val="auto"/>
                <w:sz w:val="21"/>
                <w:szCs w:val="21"/>
                <w:highlight w:val="none"/>
                <w:lang w:val="en-US" w:eastAsia="zh-CN"/>
              </w:rPr>
              <w:t>2.企业连续6-7年获得的，得7分；</w:t>
            </w:r>
          </w:p>
          <w:p w14:paraId="1B32A98B">
            <w:pPr>
              <w:keepNext/>
              <w:widowControl/>
              <w:snapToGrid w:val="0"/>
              <w:spacing w:line="340" w:lineRule="exact"/>
              <w:rPr>
                <w:rFonts w:hint="default" w:hAnsi="宋体" w:eastAsia="宋体" w:cs="宋体"/>
                <w:color w:val="auto"/>
                <w:sz w:val="21"/>
                <w:szCs w:val="21"/>
                <w:highlight w:val="none"/>
                <w:lang w:val="en-US" w:eastAsia="zh-CN"/>
              </w:rPr>
            </w:pPr>
            <w:r>
              <w:rPr>
                <w:rFonts w:hint="default" w:hAnsi="宋体" w:eastAsia="宋体" w:cs="宋体"/>
                <w:color w:val="auto"/>
                <w:sz w:val="21"/>
                <w:szCs w:val="21"/>
                <w:highlight w:val="none"/>
                <w:lang w:val="en-US" w:eastAsia="zh-CN"/>
              </w:rPr>
              <w:t>3.企业连续4-5年获得的，得5分；</w:t>
            </w:r>
          </w:p>
          <w:p w14:paraId="5BE77D71">
            <w:pPr>
              <w:keepNext/>
              <w:widowControl/>
              <w:snapToGrid w:val="0"/>
              <w:spacing w:line="340" w:lineRule="exact"/>
              <w:rPr>
                <w:rFonts w:hint="default" w:hAnsi="宋体" w:eastAsia="宋体" w:cs="宋体"/>
                <w:color w:val="auto"/>
                <w:sz w:val="21"/>
                <w:szCs w:val="21"/>
                <w:highlight w:val="none"/>
                <w:lang w:val="en-US" w:eastAsia="zh-CN"/>
              </w:rPr>
            </w:pPr>
            <w:r>
              <w:rPr>
                <w:rFonts w:hint="default" w:hAnsi="宋体" w:eastAsia="宋体" w:cs="宋体"/>
                <w:color w:val="auto"/>
                <w:sz w:val="21"/>
                <w:szCs w:val="21"/>
                <w:highlight w:val="none"/>
                <w:lang w:val="en-US" w:eastAsia="zh-CN"/>
              </w:rPr>
              <w:t>4.企业连续1-3年获得的，得1分；</w:t>
            </w:r>
          </w:p>
          <w:p w14:paraId="2592A257">
            <w:pPr>
              <w:keepNext/>
              <w:widowControl/>
              <w:snapToGrid w:val="0"/>
              <w:spacing w:line="340" w:lineRule="exact"/>
              <w:rPr>
                <w:rFonts w:hint="default" w:hAnsi="宋体" w:eastAsia="宋体" w:cs="宋体"/>
                <w:color w:val="auto"/>
                <w:sz w:val="21"/>
                <w:szCs w:val="21"/>
                <w:highlight w:val="none"/>
                <w:lang w:val="en-US" w:eastAsia="zh-CN"/>
              </w:rPr>
            </w:pPr>
            <w:r>
              <w:rPr>
                <w:rFonts w:hint="default" w:hAnsi="宋体" w:eastAsia="宋体" w:cs="宋体"/>
                <w:color w:val="auto"/>
                <w:sz w:val="21"/>
                <w:szCs w:val="21"/>
                <w:highlight w:val="none"/>
                <w:lang w:val="en-US" w:eastAsia="zh-CN"/>
              </w:rPr>
              <w:t>5.其他情形的，不予计分。</w:t>
            </w:r>
          </w:p>
          <w:p w14:paraId="0599E70C">
            <w:pPr>
              <w:keepNext/>
              <w:widowControl/>
              <w:snapToGrid w:val="0"/>
              <w:spacing w:line="340" w:lineRule="exact"/>
              <w:rPr>
                <w:rFonts w:hint="default" w:hAnsi="宋体" w:eastAsia="宋体" w:cs="宋体"/>
                <w:color w:val="auto"/>
                <w:sz w:val="21"/>
                <w:szCs w:val="21"/>
                <w:highlight w:val="none"/>
              </w:rPr>
            </w:pPr>
            <w:r>
              <w:rPr>
                <w:rFonts w:hint="eastAsia" w:hAnsi="宋体" w:eastAsia="宋体" w:cs="宋体"/>
                <w:color w:val="auto"/>
                <w:sz w:val="21"/>
                <w:szCs w:val="21"/>
                <w:highlight w:val="none"/>
                <w:lang w:val="en-US" w:eastAsia="zh-CN"/>
              </w:rPr>
              <w:t>6.</w:t>
            </w:r>
            <w:r>
              <w:rPr>
                <w:rFonts w:hint="default" w:hAnsi="宋体" w:eastAsia="宋体" w:cs="宋体"/>
                <w:color w:val="auto"/>
                <w:sz w:val="21"/>
                <w:szCs w:val="21"/>
                <w:highlight w:val="none"/>
                <w:lang w:val="en-US" w:eastAsia="zh-CN"/>
              </w:rPr>
              <w:t>本项最高得10分。</w:t>
            </w:r>
          </w:p>
        </w:tc>
        <w:tc>
          <w:tcPr>
            <w:tcW w:w="4113" w:type="dxa"/>
            <w:vAlign w:val="center"/>
          </w:tcPr>
          <w:p w14:paraId="4CB1687F">
            <w:pPr>
              <w:pStyle w:val="23"/>
              <w:keepNext w:val="0"/>
              <w:keepLines w:val="0"/>
              <w:pageBreakBefore w:val="0"/>
              <w:kinsoku/>
              <w:wordWrap/>
              <w:overflowPunct/>
              <w:topLinePunct w:val="0"/>
              <w:autoSpaceDE/>
              <w:autoSpaceDN/>
              <w:bidi w:val="0"/>
              <w:adjustRightInd/>
              <w:snapToGrid/>
              <w:spacing w:line="320" w:lineRule="exact"/>
              <w:ind w:left="0" w:leftChars="0" w:firstLine="0" w:firstLineChars="0"/>
              <w:textAlignment w:val="auto"/>
              <w:rPr>
                <w:rFonts w:hint="eastAsia" w:ascii="宋体" w:hAnsi="宋体" w:eastAsia="宋体" w:cs="宋体"/>
                <w:b w:val="0"/>
                <w:bCs w:val="0"/>
                <w:color w:val="auto"/>
                <w:sz w:val="21"/>
                <w:szCs w:val="21"/>
                <w:highlight w:val="none"/>
                <w:shd w:val="clear" w:color="auto" w:fill="FFFFFF"/>
                <w:lang w:val="en-US" w:eastAsia="zh-CN"/>
              </w:rPr>
            </w:pPr>
            <w:r>
              <w:rPr>
                <w:rFonts w:hint="eastAsia" w:ascii="宋体" w:hAnsi="宋体" w:eastAsia="宋体" w:cs="宋体"/>
                <w:b w:val="0"/>
                <w:bCs w:val="0"/>
                <w:color w:val="auto"/>
                <w:sz w:val="21"/>
                <w:szCs w:val="21"/>
                <w:highlight w:val="none"/>
                <w:shd w:val="clear" w:color="auto" w:fill="FFFFFF"/>
                <w:lang w:val="en-US" w:eastAsia="zh-CN"/>
              </w:rPr>
              <w:t>1.需提供企业纳税信用A级纳税人证明材料（或证书）</w:t>
            </w:r>
            <w:r>
              <w:rPr>
                <w:rFonts w:hint="eastAsia" w:ascii="宋体" w:hAnsi="宋体" w:eastAsia="宋体" w:cs="宋体"/>
                <w:b w:val="0"/>
                <w:bCs w:val="0"/>
                <w:color w:val="auto"/>
                <w:sz w:val="21"/>
                <w:szCs w:val="21"/>
                <w:highlight w:val="none"/>
                <w:u w:val="single"/>
                <w:shd w:val="clear" w:color="auto" w:fill="FFFFFF"/>
                <w:lang w:val="en-US" w:eastAsia="zh-CN"/>
              </w:rPr>
              <w:t>彩色扫描件</w:t>
            </w:r>
            <w:r>
              <w:rPr>
                <w:rFonts w:hint="eastAsia" w:ascii="宋体" w:hAnsi="宋体" w:eastAsia="宋体" w:cs="宋体"/>
                <w:b w:val="0"/>
                <w:bCs w:val="0"/>
                <w:color w:val="auto"/>
                <w:sz w:val="21"/>
                <w:szCs w:val="21"/>
                <w:highlight w:val="none"/>
                <w:shd w:val="clear" w:color="auto" w:fill="FFFFFF"/>
                <w:lang w:val="en-US" w:eastAsia="zh-CN"/>
              </w:rPr>
              <w:t>及国家税务总局（或省级电子税务局）网上查询截图</w:t>
            </w:r>
            <w:r>
              <w:rPr>
                <w:rFonts w:hint="eastAsia" w:ascii="宋体" w:hAnsi="宋体" w:eastAsia="宋体" w:cs="宋体"/>
                <w:b w:val="0"/>
                <w:bCs w:val="0"/>
                <w:snapToGrid w:val="0"/>
                <w:color w:val="auto"/>
                <w:kern w:val="0"/>
                <w:sz w:val="21"/>
                <w:szCs w:val="21"/>
                <w:highlight w:val="none"/>
                <w:u w:val="single"/>
                <w:lang w:eastAsia="zh-CN"/>
              </w:rPr>
              <w:t>并加盖</w:t>
            </w:r>
            <w:r>
              <w:rPr>
                <w:rFonts w:hint="eastAsia" w:ascii="宋体" w:hAnsi="宋体" w:eastAsia="宋体" w:cs="宋体"/>
                <w:b w:val="0"/>
                <w:bCs w:val="0"/>
                <w:snapToGrid w:val="0"/>
                <w:color w:val="auto"/>
                <w:kern w:val="0"/>
                <w:sz w:val="21"/>
                <w:szCs w:val="21"/>
                <w:highlight w:val="none"/>
                <w:u w:val="single"/>
                <w:lang w:val="en-US" w:eastAsia="zh-CN"/>
              </w:rPr>
              <w:t>单位</w:t>
            </w:r>
            <w:r>
              <w:rPr>
                <w:rFonts w:hint="eastAsia" w:ascii="宋体" w:hAnsi="宋体" w:eastAsia="宋体" w:cs="宋体"/>
                <w:b w:val="0"/>
                <w:bCs w:val="0"/>
                <w:snapToGrid w:val="0"/>
                <w:color w:val="auto"/>
                <w:kern w:val="0"/>
                <w:sz w:val="21"/>
                <w:szCs w:val="21"/>
                <w:highlight w:val="none"/>
                <w:u w:val="single"/>
                <w:lang w:eastAsia="zh-CN"/>
              </w:rPr>
              <w:t>公章</w:t>
            </w:r>
            <w:r>
              <w:rPr>
                <w:rFonts w:hint="eastAsia" w:ascii="宋体" w:hAnsi="宋体" w:eastAsia="宋体" w:cs="宋体"/>
                <w:b w:val="0"/>
                <w:bCs w:val="0"/>
                <w:color w:val="auto"/>
                <w:sz w:val="21"/>
                <w:szCs w:val="21"/>
                <w:highlight w:val="none"/>
                <w:shd w:val="clear" w:color="auto" w:fill="FFFFFF"/>
                <w:lang w:val="en-US" w:eastAsia="zh-CN"/>
              </w:rPr>
              <w:t>，否则不得分。</w:t>
            </w:r>
          </w:p>
          <w:p w14:paraId="7A9EC72F">
            <w:pPr>
              <w:keepNext/>
              <w:widowControl/>
              <w:snapToGrid w:val="0"/>
              <w:spacing w:line="340" w:lineRule="exact"/>
              <w:rPr>
                <w:rFonts w:hint="default" w:hAnsi="宋体" w:eastAsia="宋体" w:cs="宋体"/>
                <w:color w:val="auto"/>
                <w:sz w:val="21"/>
                <w:szCs w:val="21"/>
                <w:highlight w:val="none"/>
              </w:rPr>
            </w:pPr>
            <w:r>
              <w:rPr>
                <w:rFonts w:hint="eastAsia" w:ascii="宋体" w:hAnsi="宋体" w:eastAsia="宋体" w:cs="宋体"/>
                <w:b w:val="0"/>
                <w:bCs w:val="0"/>
                <w:color w:val="auto"/>
                <w:sz w:val="21"/>
                <w:szCs w:val="21"/>
                <w:highlight w:val="none"/>
                <w:shd w:val="clear" w:color="auto" w:fill="FFFFFF"/>
                <w:lang w:val="en-US" w:eastAsia="zh-CN"/>
              </w:rPr>
              <w:t>2.只计算投标人自身（不计算投标人的分公司、子公司及分支机构）。</w:t>
            </w:r>
          </w:p>
        </w:tc>
      </w:tr>
      <w:tr w14:paraId="79FA4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dxa"/>
            <w:vMerge w:val="continue"/>
            <w:vAlign w:val="center"/>
          </w:tcPr>
          <w:p w14:paraId="784B53A9">
            <w:pPr>
              <w:keepNext/>
              <w:widowControl/>
              <w:snapToGrid w:val="0"/>
              <w:spacing w:line="340" w:lineRule="exact"/>
              <w:rPr>
                <w:rFonts w:hint="default" w:hAnsi="宋体" w:eastAsia="宋体" w:cs="宋体"/>
                <w:color w:val="auto"/>
                <w:sz w:val="21"/>
                <w:szCs w:val="21"/>
                <w:highlight w:val="none"/>
              </w:rPr>
            </w:pPr>
          </w:p>
        </w:tc>
        <w:tc>
          <w:tcPr>
            <w:tcW w:w="695" w:type="dxa"/>
            <w:vMerge w:val="continue"/>
            <w:vAlign w:val="center"/>
          </w:tcPr>
          <w:p w14:paraId="6D151094">
            <w:pPr>
              <w:keepNext/>
              <w:widowControl/>
              <w:snapToGrid w:val="0"/>
              <w:spacing w:line="340" w:lineRule="exact"/>
              <w:rPr>
                <w:rFonts w:hint="default" w:hAnsi="宋体" w:eastAsia="宋体" w:cs="宋体"/>
                <w:color w:val="auto"/>
                <w:sz w:val="21"/>
                <w:szCs w:val="21"/>
                <w:highlight w:val="none"/>
              </w:rPr>
            </w:pPr>
          </w:p>
        </w:tc>
        <w:tc>
          <w:tcPr>
            <w:tcW w:w="655" w:type="dxa"/>
            <w:vMerge w:val="continue"/>
            <w:vAlign w:val="center"/>
          </w:tcPr>
          <w:p w14:paraId="2C3D0F8C">
            <w:pPr>
              <w:keepNext/>
              <w:widowControl/>
              <w:snapToGrid w:val="0"/>
              <w:spacing w:line="340" w:lineRule="exact"/>
              <w:rPr>
                <w:rFonts w:hint="default" w:hAnsi="宋体" w:eastAsia="宋体" w:cs="宋体"/>
                <w:color w:val="auto"/>
                <w:sz w:val="21"/>
                <w:szCs w:val="21"/>
                <w:highlight w:val="none"/>
              </w:rPr>
            </w:pPr>
          </w:p>
        </w:tc>
        <w:tc>
          <w:tcPr>
            <w:tcW w:w="1023" w:type="dxa"/>
            <w:vAlign w:val="center"/>
          </w:tcPr>
          <w:p w14:paraId="0661F0B2">
            <w:pPr>
              <w:keepNext/>
              <w:widowControl/>
              <w:snapToGrid w:val="0"/>
              <w:spacing w:line="340" w:lineRule="exact"/>
              <w:jc w:val="center"/>
              <w:rPr>
                <w:rFonts w:hint="default" w:hAnsi="宋体" w:eastAsia="宋体" w:cs="宋体"/>
                <w:color w:val="auto"/>
                <w:sz w:val="21"/>
                <w:szCs w:val="21"/>
                <w:highlight w:val="none"/>
              </w:rPr>
            </w:pPr>
            <w:r>
              <w:rPr>
                <w:rFonts w:hint="default" w:hAnsi="宋体" w:eastAsia="宋体" w:cs="宋体"/>
                <w:color w:val="auto"/>
                <w:sz w:val="21"/>
                <w:szCs w:val="21"/>
                <w:highlight w:val="none"/>
              </w:rPr>
              <w:t>企业</w:t>
            </w:r>
            <w:r>
              <w:rPr>
                <w:rFonts w:hint="default" w:hAnsi="宋体" w:eastAsia="宋体" w:cs="宋体"/>
                <w:color w:val="auto"/>
                <w:sz w:val="21"/>
                <w:szCs w:val="21"/>
                <w:highlight w:val="none"/>
                <w:lang w:val="en-US" w:eastAsia="zh-CN"/>
              </w:rPr>
              <w:t>信</w:t>
            </w:r>
            <w:r>
              <w:rPr>
                <w:rFonts w:hint="default" w:hAnsi="宋体" w:eastAsia="宋体" w:cs="宋体"/>
                <w:color w:val="auto"/>
                <w:sz w:val="21"/>
                <w:szCs w:val="21"/>
                <w:highlight w:val="none"/>
              </w:rPr>
              <w:t>誉</w:t>
            </w:r>
          </w:p>
          <w:p w14:paraId="1F88313F">
            <w:pPr>
              <w:keepNext/>
              <w:widowControl/>
              <w:snapToGrid w:val="0"/>
              <w:spacing w:line="340" w:lineRule="exact"/>
              <w:jc w:val="center"/>
              <w:rPr>
                <w:rFonts w:hint="default" w:hAnsi="宋体" w:eastAsia="宋体" w:cs="宋体"/>
                <w:color w:val="auto"/>
                <w:sz w:val="21"/>
                <w:szCs w:val="21"/>
                <w:highlight w:val="none"/>
              </w:rPr>
            </w:pPr>
            <w:r>
              <w:rPr>
                <w:rFonts w:hint="default" w:hAnsi="宋体" w:eastAsia="宋体" w:cs="宋体"/>
                <w:color w:val="auto"/>
                <w:sz w:val="21"/>
                <w:szCs w:val="21"/>
                <w:highlight w:val="none"/>
              </w:rPr>
              <w:t>（</w:t>
            </w:r>
            <w:r>
              <w:rPr>
                <w:rFonts w:hint="default" w:hAnsi="宋体" w:eastAsia="宋体" w:cs="宋体"/>
                <w:color w:val="auto"/>
                <w:sz w:val="21"/>
                <w:szCs w:val="21"/>
                <w:highlight w:val="none"/>
                <w:lang w:val="en-US" w:eastAsia="zh-CN"/>
              </w:rPr>
              <w:t>10</w:t>
            </w:r>
            <w:r>
              <w:rPr>
                <w:rFonts w:hint="default" w:hAnsi="宋体" w:eastAsia="宋体" w:cs="宋体"/>
                <w:color w:val="auto"/>
                <w:sz w:val="21"/>
                <w:szCs w:val="21"/>
                <w:highlight w:val="none"/>
              </w:rPr>
              <w:t>分）</w:t>
            </w:r>
          </w:p>
        </w:tc>
        <w:tc>
          <w:tcPr>
            <w:tcW w:w="3477" w:type="dxa"/>
            <w:vAlign w:val="center"/>
          </w:tcPr>
          <w:p w14:paraId="7E0AACDC">
            <w:pPr>
              <w:keepNext w:val="0"/>
              <w:keepLines w:val="0"/>
              <w:pageBreakBefore w:val="0"/>
              <w:widowControl/>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eastAsia="zh-CN"/>
              </w:rPr>
              <w:t>投标人</w:t>
            </w:r>
            <w:r>
              <w:rPr>
                <w:rFonts w:hint="eastAsia" w:ascii="宋体" w:hAnsi="宋体" w:eastAsia="宋体" w:cs="宋体"/>
                <w:b w:val="0"/>
                <w:bCs w:val="0"/>
                <w:snapToGrid w:val="0"/>
                <w:color w:val="auto"/>
                <w:kern w:val="0"/>
                <w:sz w:val="21"/>
                <w:szCs w:val="21"/>
                <w:highlight w:val="none"/>
                <w:lang w:val="en-US" w:eastAsia="zh-CN" w:bidi="ar-SA"/>
              </w:rPr>
              <w:t>获得地级市及以上建筑协会颁发的建筑企业信誉AAA级施工企业情况（其中必须有2024年度）：</w:t>
            </w:r>
          </w:p>
          <w:p w14:paraId="5E016FBD">
            <w:pPr>
              <w:keepNext w:val="0"/>
              <w:keepLines w:val="0"/>
              <w:pageBreakBefore w:val="0"/>
              <w:widowControl/>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1.企业连续16年及以上获得的，得10分；</w:t>
            </w:r>
          </w:p>
          <w:p w14:paraId="6025ADB7">
            <w:pPr>
              <w:keepNext w:val="0"/>
              <w:keepLines w:val="0"/>
              <w:pageBreakBefore w:val="0"/>
              <w:widowControl/>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2.企业连续11-15年获得的，得7分；</w:t>
            </w:r>
          </w:p>
          <w:p w14:paraId="10B00BDC">
            <w:pPr>
              <w:keepNext w:val="0"/>
              <w:keepLines w:val="0"/>
              <w:pageBreakBefore w:val="0"/>
              <w:widowControl/>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3.企业连续6-10年获得的，得5分；</w:t>
            </w:r>
          </w:p>
          <w:p w14:paraId="0112AEEB">
            <w:pPr>
              <w:keepNext w:val="0"/>
              <w:keepLines w:val="0"/>
              <w:pageBreakBefore w:val="0"/>
              <w:widowControl/>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4.企业连续1-5年获得的，得1分；</w:t>
            </w:r>
          </w:p>
          <w:p w14:paraId="6E866EC5">
            <w:pPr>
              <w:keepNext w:val="0"/>
              <w:keepLines w:val="0"/>
              <w:pageBreakBefore w:val="0"/>
              <w:widowControl/>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5.其他情形的，不予计分。</w:t>
            </w:r>
          </w:p>
          <w:p w14:paraId="0C953F7F">
            <w:pPr>
              <w:keepNext/>
              <w:widowControl/>
              <w:snapToGrid w:val="0"/>
              <w:spacing w:line="340" w:lineRule="exact"/>
              <w:rPr>
                <w:rFonts w:hint="default"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SA"/>
              </w:rPr>
              <w:t>6.本项最高得10分。</w:t>
            </w:r>
          </w:p>
        </w:tc>
        <w:tc>
          <w:tcPr>
            <w:tcW w:w="4113" w:type="dxa"/>
            <w:vAlign w:val="center"/>
          </w:tcPr>
          <w:p w14:paraId="08C388D7">
            <w:pPr>
              <w:keepNext/>
              <w:widowControl/>
              <w:snapToGrid w:val="0"/>
              <w:spacing w:line="340" w:lineRule="exact"/>
              <w:rPr>
                <w:rFonts w:hint="default" w:hAnsi="宋体" w:eastAsia="宋体" w:cs="宋体"/>
                <w:color w:val="auto"/>
                <w:sz w:val="21"/>
                <w:szCs w:val="21"/>
                <w:highlight w:val="none"/>
                <w:lang w:val="en-US" w:eastAsia="zh-CN"/>
              </w:rPr>
            </w:pPr>
            <w:r>
              <w:rPr>
                <w:rFonts w:hint="default" w:hAnsi="宋体" w:eastAsia="宋体" w:cs="宋体"/>
                <w:color w:val="auto"/>
                <w:sz w:val="21"/>
                <w:szCs w:val="21"/>
                <w:highlight w:val="none"/>
                <w:lang w:val="en-US" w:eastAsia="zh-CN"/>
              </w:rPr>
              <w:t>1.需提供“企业信誉”称号须由地级市或以上建筑协会颁发的证书</w:t>
            </w:r>
            <w:r>
              <w:rPr>
                <w:rFonts w:hint="default" w:hAnsi="宋体" w:eastAsia="宋体" w:cs="宋体"/>
                <w:color w:val="auto"/>
                <w:sz w:val="21"/>
                <w:szCs w:val="21"/>
                <w:highlight w:val="none"/>
                <w:u w:val="single"/>
                <w:lang w:val="en-US" w:eastAsia="zh-CN"/>
              </w:rPr>
              <w:t>彩色扫描件及发文材料</w:t>
            </w:r>
            <w:r>
              <w:rPr>
                <w:rFonts w:hint="default" w:hAnsi="宋体" w:eastAsia="宋体" w:cs="宋体"/>
                <w:color w:val="auto"/>
                <w:sz w:val="21"/>
                <w:szCs w:val="21"/>
                <w:highlight w:val="none"/>
                <w:lang w:eastAsia="zh-CN"/>
              </w:rPr>
              <w:t>并加盖</w:t>
            </w:r>
            <w:r>
              <w:rPr>
                <w:rFonts w:hint="default" w:hAnsi="宋体" w:eastAsia="宋体" w:cs="宋体"/>
                <w:color w:val="auto"/>
                <w:sz w:val="21"/>
                <w:szCs w:val="21"/>
                <w:highlight w:val="none"/>
                <w:lang w:val="en-US" w:eastAsia="zh-CN"/>
              </w:rPr>
              <w:t>单位</w:t>
            </w:r>
            <w:r>
              <w:rPr>
                <w:rFonts w:hint="default" w:hAnsi="宋体" w:eastAsia="宋体" w:cs="宋体"/>
                <w:color w:val="auto"/>
                <w:sz w:val="21"/>
                <w:szCs w:val="21"/>
                <w:highlight w:val="none"/>
                <w:lang w:eastAsia="zh-CN"/>
              </w:rPr>
              <w:t>公章</w:t>
            </w:r>
            <w:r>
              <w:rPr>
                <w:rFonts w:hint="default" w:hAnsi="宋体" w:eastAsia="宋体" w:cs="宋体"/>
                <w:color w:val="auto"/>
                <w:sz w:val="21"/>
                <w:szCs w:val="21"/>
                <w:highlight w:val="none"/>
                <w:lang w:val="en-US" w:eastAsia="zh-CN"/>
              </w:rPr>
              <w:t>，否则不得分。</w:t>
            </w:r>
          </w:p>
          <w:p w14:paraId="445B54BC">
            <w:pPr>
              <w:keepNext/>
              <w:widowControl/>
              <w:snapToGrid w:val="0"/>
              <w:spacing w:line="340" w:lineRule="exact"/>
              <w:rPr>
                <w:rFonts w:hint="default" w:hAnsi="宋体" w:eastAsia="宋体" w:cs="宋体"/>
                <w:color w:val="auto"/>
                <w:sz w:val="21"/>
                <w:szCs w:val="21"/>
                <w:highlight w:val="none"/>
              </w:rPr>
            </w:pPr>
            <w:r>
              <w:rPr>
                <w:rFonts w:hint="default" w:hAnsi="宋体" w:eastAsia="宋体" w:cs="宋体"/>
                <w:color w:val="auto"/>
                <w:sz w:val="21"/>
                <w:szCs w:val="21"/>
                <w:highlight w:val="none"/>
                <w:lang w:val="en-US" w:eastAsia="zh-CN"/>
              </w:rPr>
              <w:t>2.</w:t>
            </w:r>
            <w:r>
              <w:rPr>
                <w:rFonts w:hint="default" w:hAnsi="宋体" w:eastAsia="宋体" w:cs="宋体"/>
                <w:color w:val="auto"/>
                <w:sz w:val="21"/>
                <w:szCs w:val="21"/>
                <w:highlight w:val="none"/>
              </w:rPr>
              <w:t>颁发机构不符合要求的；</w:t>
            </w:r>
            <w:r>
              <w:rPr>
                <w:rFonts w:hint="default" w:hAnsi="宋体" w:eastAsia="宋体" w:cs="宋体"/>
                <w:color w:val="auto"/>
                <w:sz w:val="21"/>
                <w:szCs w:val="21"/>
                <w:highlight w:val="none"/>
                <w:lang w:val="en-US" w:eastAsia="zh-CN"/>
              </w:rPr>
              <w:t>不予计分。</w:t>
            </w:r>
          </w:p>
        </w:tc>
      </w:tr>
      <w:tr w14:paraId="4C490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dxa"/>
            <w:vMerge w:val="continue"/>
            <w:vAlign w:val="center"/>
          </w:tcPr>
          <w:p w14:paraId="72EA9C04">
            <w:pPr>
              <w:keepNext/>
              <w:widowControl/>
              <w:snapToGrid w:val="0"/>
              <w:spacing w:line="340" w:lineRule="exact"/>
              <w:rPr>
                <w:rFonts w:hint="default" w:hAnsi="宋体" w:eastAsia="宋体" w:cs="宋体"/>
                <w:color w:val="auto"/>
                <w:sz w:val="21"/>
                <w:szCs w:val="21"/>
                <w:highlight w:val="none"/>
              </w:rPr>
            </w:pPr>
            <w:bookmarkStart w:id="301" w:name="OLE_LINK4" w:colFirst="4" w:colLast="5"/>
          </w:p>
        </w:tc>
        <w:tc>
          <w:tcPr>
            <w:tcW w:w="695" w:type="dxa"/>
            <w:vMerge w:val="continue"/>
            <w:vAlign w:val="center"/>
          </w:tcPr>
          <w:p w14:paraId="0476E0C3">
            <w:pPr>
              <w:keepNext/>
              <w:widowControl/>
              <w:snapToGrid w:val="0"/>
              <w:spacing w:line="340" w:lineRule="exact"/>
              <w:rPr>
                <w:rFonts w:hint="default" w:hAnsi="宋体" w:eastAsia="宋体" w:cs="宋体"/>
                <w:color w:val="auto"/>
                <w:sz w:val="21"/>
                <w:szCs w:val="21"/>
                <w:highlight w:val="none"/>
              </w:rPr>
            </w:pPr>
          </w:p>
        </w:tc>
        <w:tc>
          <w:tcPr>
            <w:tcW w:w="655" w:type="dxa"/>
            <w:vMerge w:val="continue"/>
            <w:vAlign w:val="center"/>
          </w:tcPr>
          <w:p w14:paraId="2F64D3CD">
            <w:pPr>
              <w:keepNext/>
              <w:widowControl/>
              <w:snapToGrid w:val="0"/>
              <w:spacing w:line="340" w:lineRule="exact"/>
              <w:rPr>
                <w:rFonts w:hint="default" w:hAnsi="宋体" w:eastAsia="宋体" w:cs="宋体"/>
                <w:color w:val="auto"/>
                <w:sz w:val="21"/>
                <w:szCs w:val="21"/>
                <w:highlight w:val="none"/>
              </w:rPr>
            </w:pPr>
          </w:p>
        </w:tc>
        <w:tc>
          <w:tcPr>
            <w:tcW w:w="1023" w:type="dxa"/>
            <w:vAlign w:val="center"/>
          </w:tcPr>
          <w:p w14:paraId="3D0BA6C6">
            <w:pPr>
              <w:keepNext/>
              <w:widowControl/>
              <w:snapToGrid w:val="0"/>
              <w:spacing w:line="340" w:lineRule="exact"/>
              <w:jc w:val="center"/>
              <w:rPr>
                <w:rFonts w:hint="default" w:hAnsi="宋体" w:eastAsia="宋体" w:cs="宋体"/>
                <w:color w:val="auto"/>
                <w:sz w:val="21"/>
                <w:szCs w:val="21"/>
                <w:highlight w:val="none"/>
                <w:lang w:val="en-US" w:eastAsia="zh-CN"/>
              </w:rPr>
            </w:pPr>
            <w:r>
              <w:rPr>
                <w:rFonts w:hint="default" w:hAnsi="宋体" w:eastAsia="宋体" w:cs="宋体"/>
                <w:color w:val="auto"/>
                <w:sz w:val="21"/>
                <w:szCs w:val="21"/>
                <w:highlight w:val="none"/>
                <w:lang w:val="en-US" w:eastAsia="zh-CN"/>
              </w:rPr>
              <w:t>招标人</w:t>
            </w:r>
          </w:p>
          <w:p w14:paraId="750679CC">
            <w:pPr>
              <w:keepNext/>
              <w:widowControl/>
              <w:snapToGrid w:val="0"/>
              <w:spacing w:line="340" w:lineRule="exact"/>
              <w:jc w:val="center"/>
              <w:rPr>
                <w:rFonts w:hint="default" w:hAnsi="宋体" w:eastAsia="宋体" w:cs="宋体"/>
                <w:color w:val="auto"/>
                <w:sz w:val="21"/>
                <w:szCs w:val="21"/>
                <w:highlight w:val="none"/>
                <w:lang w:val="en-US" w:eastAsia="zh-CN"/>
              </w:rPr>
            </w:pPr>
            <w:r>
              <w:rPr>
                <w:rFonts w:hint="default" w:hAnsi="宋体" w:eastAsia="宋体" w:cs="宋体"/>
                <w:color w:val="auto"/>
                <w:sz w:val="21"/>
                <w:szCs w:val="21"/>
                <w:highlight w:val="none"/>
                <w:lang w:val="en-US" w:eastAsia="zh-CN"/>
              </w:rPr>
              <w:t>自选项</w:t>
            </w:r>
          </w:p>
          <w:p w14:paraId="77269A33">
            <w:pPr>
              <w:keepNext/>
              <w:widowControl/>
              <w:snapToGrid w:val="0"/>
              <w:spacing w:line="340" w:lineRule="exact"/>
              <w:jc w:val="center"/>
              <w:rPr>
                <w:rFonts w:hint="default" w:hAnsi="宋体" w:eastAsia="宋体" w:cs="宋体"/>
                <w:color w:val="auto"/>
                <w:sz w:val="21"/>
                <w:szCs w:val="21"/>
                <w:highlight w:val="none"/>
              </w:rPr>
            </w:pPr>
            <w:r>
              <w:rPr>
                <w:rFonts w:hint="default" w:hAnsi="宋体" w:eastAsia="宋体" w:cs="宋体"/>
                <w:color w:val="auto"/>
                <w:sz w:val="21"/>
                <w:szCs w:val="21"/>
                <w:highlight w:val="none"/>
                <w:lang w:val="en-US" w:eastAsia="zh-CN"/>
              </w:rPr>
              <w:t>（10分）</w:t>
            </w:r>
          </w:p>
        </w:tc>
        <w:tc>
          <w:tcPr>
            <w:tcW w:w="3477" w:type="dxa"/>
            <w:shd w:val="clear" w:color="auto" w:fill="auto"/>
            <w:vAlign w:val="center"/>
          </w:tcPr>
          <w:p w14:paraId="624EE0E7">
            <w:pPr>
              <w:keepNext/>
              <w:widowControl/>
              <w:snapToGrid w:val="0"/>
              <w:spacing w:line="340" w:lineRule="exact"/>
              <w:rPr>
                <w:rFonts w:hint="default" w:hAnsi="宋体" w:eastAsia="宋体" w:cs="宋体"/>
                <w:snapToGrid w:val="0"/>
                <w:color w:val="auto"/>
                <w:kern w:val="0"/>
                <w:sz w:val="21"/>
                <w:szCs w:val="21"/>
                <w:highlight w:val="none"/>
              </w:rPr>
            </w:pPr>
            <w:r>
              <w:rPr>
                <w:rFonts w:hint="default" w:hAnsi="宋体" w:eastAsia="宋体" w:cs="宋体"/>
                <w:snapToGrid w:val="0"/>
                <w:color w:val="auto"/>
                <w:kern w:val="0"/>
                <w:sz w:val="21"/>
                <w:szCs w:val="21"/>
                <w:highlight w:val="none"/>
              </w:rPr>
              <w:t>1</w:t>
            </w:r>
            <w:r>
              <w:rPr>
                <w:rFonts w:hint="eastAsia" w:hAnsi="宋体" w:eastAsia="宋体" w:cs="宋体"/>
                <w:snapToGrid w:val="0"/>
                <w:color w:val="auto"/>
                <w:kern w:val="0"/>
                <w:sz w:val="21"/>
                <w:szCs w:val="21"/>
                <w:highlight w:val="none"/>
                <w:lang w:val="en-US" w:eastAsia="zh-CN"/>
              </w:rPr>
              <w:t>.</w:t>
            </w:r>
            <w:r>
              <w:rPr>
                <w:rFonts w:hint="default" w:hAnsi="宋体" w:eastAsia="宋体" w:cs="宋体"/>
                <w:snapToGrid w:val="0"/>
                <w:color w:val="auto"/>
                <w:kern w:val="0"/>
                <w:sz w:val="21"/>
                <w:szCs w:val="21"/>
                <w:highlight w:val="none"/>
              </w:rPr>
              <w:t>企业</w:t>
            </w:r>
            <w:r>
              <w:rPr>
                <w:rFonts w:hint="default" w:hAnsi="宋体" w:eastAsia="宋体" w:cs="宋体"/>
                <w:snapToGrid w:val="0"/>
                <w:color w:val="auto"/>
                <w:kern w:val="0"/>
                <w:sz w:val="21"/>
                <w:szCs w:val="21"/>
                <w:highlight w:val="none"/>
                <w:lang w:val="en-US" w:eastAsia="zh-CN"/>
              </w:rPr>
              <w:t>202</w:t>
            </w:r>
            <w:r>
              <w:rPr>
                <w:rFonts w:hint="eastAsia" w:hAnsi="宋体" w:eastAsia="宋体" w:cs="宋体"/>
                <w:snapToGrid w:val="0"/>
                <w:color w:val="auto"/>
                <w:kern w:val="0"/>
                <w:sz w:val="21"/>
                <w:szCs w:val="21"/>
                <w:highlight w:val="none"/>
                <w:lang w:val="en-US" w:eastAsia="zh-CN"/>
              </w:rPr>
              <w:t>4</w:t>
            </w:r>
            <w:r>
              <w:rPr>
                <w:rFonts w:hint="default" w:hAnsi="宋体" w:eastAsia="宋体" w:cs="宋体"/>
                <w:snapToGrid w:val="0"/>
                <w:color w:val="auto"/>
                <w:kern w:val="0"/>
                <w:sz w:val="21"/>
                <w:szCs w:val="21"/>
                <w:highlight w:val="none"/>
                <w:lang w:eastAsia="zh-CN"/>
              </w:rPr>
              <w:t>年1月1日至今</w:t>
            </w:r>
            <w:r>
              <w:rPr>
                <w:rFonts w:hint="default" w:hAnsi="宋体" w:eastAsia="宋体" w:cs="宋体"/>
                <w:snapToGrid w:val="0"/>
                <w:color w:val="auto"/>
                <w:kern w:val="0"/>
                <w:sz w:val="21"/>
                <w:szCs w:val="21"/>
                <w:highlight w:val="none"/>
              </w:rPr>
              <w:t>获得过人民武装部颁发的“支持国防建设模范单位”证书的得10分；</w:t>
            </w:r>
          </w:p>
          <w:p w14:paraId="36E9EC45">
            <w:pPr>
              <w:keepNext/>
              <w:widowControl/>
              <w:snapToGrid w:val="0"/>
              <w:spacing w:line="340" w:lineRule="exact"/>
              <w:rPr>
                <w:rFonts w:hint="eastAsia" w:hAnsi="宋体" w:eastAsia="宋体" w:cs="宋体"/>
                <w:snapToGrid w:val="0"/>
                <w:color w:val="auto"/>
                <w:kern w:val="0"/>
                <w:sz w:val="21"/>
                <w:szCs w:val="21"/>
                <w:highlight w:val="none"/>
                <w:lang w:eastAsia="zh-CN"/>
              </w:rPr>
            </w:pPr>
            <w:r>
              <w:rPr>
                <w:rFonts w:hint="default" w:hAnsi="宋体" w:eastAsia="宋体" w:cs="宋体"/>
                <w:snapToGrid w:val="0"/>
                <w:color w:val="auto"/>
                <w:kern w:val="0"/>
                <w:sz w:val="21"/>
                <w:szCs w:val="21"/>
                <w:highlight w:val="none"/>
              </w:rPr>
              <w:t>2</w:t>
            </w:r>
            <w:r>
              <w:rPr>
                <w:rFonts w:hint="eastAsia" w:hAnsi="宋体" w:eastAsia="宋体" w:cs="宋体"/>
                <w:snapToGrid w:val="0"/>
                <w:color w:val="auto"/>
                <w:kern w:val="0"/>
                <w:sz w:val="21"/>
                <w:szCs w:val="21"/>
                <w:highlight w:val="none"/>
                <w:lang w:val="en-US" w:eastAsia="zh-CN"/>
              </w:rPr>
              <w:t>.</w:t>
            </w:r>
            <w:r>
              <w:rPr>
                <w:rFonts w:hint="default" w:hAnsi="宋体" w:eastAsia="宋体" w:cs="宋体"/>
                <w:snapToGrid w:val="0"/>
                <w:color w:val="auto"/>
                <w:kern w:val="0"/>
                <w:sz w:val="21"/>
                <w:szCs w:val="21"/>
                <w:highlight w:val="none"/>
              </w:rPr>
              <w:t>其他情形的，不予计分</w:t>
            </w:r>
            <w:r>
              <w:rPr>
                <w:rFonts w:hint="eastAsia" w:hAnsi="宋体" w:eastAsia="宋体" w:cs="宋体"/>
                <w:snapToGrid w:val="0"/>
                <w:color w:val="auto"/>
                <w:kern w:val="0"/>
                <w:sz w:val="21"/>
                <w:szCs w:val="21"/>
                <w:highlight w:val="none"/>
                <w:lang w:eastAsia="zh-CN"/>
              </w:rPr>
              <w:t>；</w:t>
            </w:r>
          </w:p>
          <w:p w14:paraId="0D4C05DC">
            <w:pPr>
              <w:keepNext/>
              <w:widowControl/>
              <w:snapToGrid w:val="0"/>
              <w:spacing w:line="340" w:lineRule="exact"/>
              <w:rPr>
                <w:rFonts w:hint="default" w:hAnsi="宋体" w:eastAsia="宋体" w:cs="宋体"/>
                <w:snapToGrid w:val="0"/>
                <w:color w:val="auto"/>
                <w:kern w:val="0"/>
                <w:sz w:val="21"/>
                <w:szCs w:val="21"/>
                <w:highlight w:val="none"/>
              </w:rPr>
            </w:pPr>
            <w:r>
              <w:rPr>
                <w:rFonts w:hint="eastAsia" w:hAnsi="宋体" w:eastAsia="宋体" w:cs="宋体"/>
                <w:snapToGrid w:val="0"/>
                <w:color w:val="auto"/>
                <w:kern w:val="0"/>
                <w:sz w:val="21"/>
                <w:szCs w:val="21"/>
                <w:highlight w:val="none"/>
                <w:lang w:val="en-US" w:eastAsia="zh-CN"/>
              </w:rPr>
              <w:t>3.</w:t>
            </w:r>
            <w:r>
              <w:rPr>
                <w:rFonts w:hint="default" w:hAnsi="宋体" w:eastAsia="宋体" w:cs="宋体"/>
                <w:snapToGrid w:val="0"/>
                <w:color w:val="auto"/>
                <w:kern w:val="0"/>
                <w:sz w:val="21"/>
                <w:szCs w:val="21"/>
                <w:highlight w:val="none"/>
              </w:rPr>
              <w:t>本项最高得10分。</w:t>
            </w:r>
          </w:p>
        </w:tc>
        <w:tc>
          <w:tcPr>
            <w:tcW w:w="4113" w:type="dxa"/>
            <w:shd w:val="clear" w:color="auto" w:fill="auto"/>
            <w:vAlign w:val="center"/>
          </w:tcPr>
          <w:p w14:paraId="67730DF0">
            <w:pPr>
              <w:keepNext/>
              <w:widowControl/>
              <w:snapToGrid w:val="0"/>
              <w:spacing w:line="340" w:lineRule="exact"/>
              <w:rPr>
                <w:rFonts w:hint="default" w:hAnsi="宋体" w:eastAsia="宋体" w:cs="宋体"/>
                <w:color w:val="auto"/>
                <w:kern w:val="0"/>
                <w:sz w:val="21"/>
                <w:szCs w:val="21"/>
                <w:highlight w:val="none"/>
              </w:rPr>
            </w:pPr>
            <w:r>
              <w:rPr>
                <w:rFonts w:hint="default" w:hAnsi="宋体" w:eastAsia="宋体" w:cs="宋体"/>
                <w:color w:val="auto"/>
                <w:kern w:val="0"/>
                <w:sz w:val="21"/>
                <w:szCs w:val="21"/>
                <w:highlight w:val="none"/>
                <w:lang w:val="en-US" w:eastAsia="zh-CN"/>
              </w:rPr>
              <w:t>1</w:t>
            </w:r>
            <w:r>
              <w:rPr>
                <w:rFonts w:hint="eastAsia" w:hAnsi="宋体" w:eastAsia="宋体" w:cs="宋体"/>
                <w:color w:val="auto"/>
                <w:kern w:val="0"/>
                <w:sz w:val="21"/>
                <w:szCs w:val="21"/>
                <w:highlight w:val="none"/>
                <w:lang w:val="en-US" w:eastAsia="zh-CN"/>
              </w:rPr>
              <w:t>.</w:t>
            </w:r>
            <w:r>
              <w:rPr>
                <w:rFonts w:hint="default" w:hAnsi="宋体" w:eastAsia="宋体" w:cs="宋体"/>
                <w:color w:val="auto"/>
                <w:kern w:val="0"/>
                <w:sz w:val="21"/>
                <w:szCs w:val="21"/>
                <w:highlight w:val="none"/>
                <w:lang w:val="en-US" w:eastAsia="zh-CN"/>
              </w:rPr>
              <w:t xml:space="preserve">须提供有关证书彩色扫描件。 </w:t>
            </w:r>
          </w:p>
          <w:p w14:paraId="559BD64C">
            <w:pPr>
              <w:keepNext/>
              <w:widowControl/>
              <w:snapToGrid w:val="0"/>
              <w:spacing w:line="340" w:lineRule="exact"/>
              <w:rPr>
                <w:rFonts w:hint="default" w:hAnsi="宋体" w:eastAsia="宋体" w:cs="宋体"/>
                <w:color w:val="auto"/>
                <w:kern w:val="0"/>
                <w:sz w:val="21"/>
                <w:szCs w:val="21"/>
                <w:highlight w:val="none"/>
              </w:rPr>
            </w:pPr>
            <w:r>
              <w:rPr>
                <w:rFonts w:hint="default" w:hAnsi="宋体" w:eastAsia="宋体" w:cs="宋体"/>
                <w:color w:val="auto"/>
                <w:kern w:val="0"/>
                <w:sz w:val="21"/>
                <w:szCs w:val="21"/>
                <w:highlight w:val="none"/>
                <w:lang w:val="en-US" w:eastAsia="zh-CN"/>
              </w:rPr>
              <w:t>2</w:t>
            </w:r>
            <w:r>
              <w:rPr>
                <w:rFonts w:hint="eastAsia" w:hAnsi="宋体" w:eastAsia="宋体" w:cs="宋体"/>
                <w:color w:val="auto"/>
                <w:kern w:val="0"/>
                <w:sz w:val="21"/>
                <w:szCs w:val="21"/>
                <w:highlight w:val="none"/>
                <w:lang w:val="en-US" w:eastAsia="zh-CN"/>
              </w:rPr>
              <w:t>.</w:t>
            </w:r>
            <w:r>
              <w:rPr>
                <w:rFonts w:hint="default" w:hAnsi="宋体" w:eastAsia="宋体" w:cs="宋体"/>
                <w:color w:val="auto"/>
                <w:kern w:val="0"/>
                <w:sz w:val="21"/>
                <w:szCs w:val="21"/>
                <w:highlight w:val="none"/>
                <w:lang w:val="en-US" w:eastAsia="zh-CN"/>
              </w:rPr>
              <w:t>颁发机构、时间不符合要求的，按</w:t>
            </w:r>
            <w:r>
              <w:rPr>
                <w:rFonts w:hint="eastAsia" w:hAnsi="宋体" w:eastAsia="宋体" w:cs="宋体"/>
                <w:color w:val="auto"/>
                <w:kern w:val="0"/>
                <w:sz w:val="21"/>
                <w:szCs w:val="21"/>
                <w:highlight w:val="none"/>
                <w:lang w:val="en-US" w:eastAsia="zh-CN"/>
              </w:rPr>
              <w:t>第</w:t>
            </w:r>
            <w:r>
              <w:rPr>
                <w:rFonts w:hint="default" w:hAnsi="宋体" w:eastAsia="宋体" w:cs="宋体"/>
                <w:color w:val="auto"/>
                <w:kern w:val="0"/>
                <w:sz w:val="21"/>
                <w:szCs w:val="21"/>
                <w:highlight w:val="none"/>
                <w:lang w:val="en-US" w:eastAsia="zh-CN"/>
              </w:rPr>
              <w:t>2项标准处理。</w:t>
            </w:r>
          </w:p>
        </w:tc>
      </w:tr>
      <w:bookmarkEnd w:id="301"/>
      <w:tr w14:paraId="69EA9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dxa"/>
            <w:vMerge w:val="continue"/>
            <w:vAlign w:val="center"/>
          </w:tcPr>
          <w:p w14:paraId="7F1D5EF1">
            <w:pPr>
              <w:keepNext/>
              <w:widowControl/>
              <w:snapToGrid w:val="0"/>
              <w:spacing w:line="340" w:lineRule="exact"/>
              <w:rPr>
                <w:rFonts w:hint="default" w:hAnsi="宋体" w:eastAsia="宋体" w:cs="宋体"/>
                <w:color w:val="auto"/>
                <w:sz w:val="21"/>
                <w:szCs w:val="21"/>
                <w:highlight w:val="none"/>
              </w:rPr>
            </w:pPr>
          </w:p>
        </w:tc>
        <w:tc>
          <w:tcPr>
            <w:tcW w:w="695" w:type="dxa"/>
            <w:vMerge w:val="continue"/>
            <w:vAlign w:val="center"/>
          </w:tcPr>
          <w:p w14:paraId="094A1868">
            <w:pPr>
              <w:keepNext/>
              <w:widowControl/>
              <w:snapToGrid w:val="0"/>
              <w:spacing w:line="340" w:lineRule="exact"/>
              <w:rPr>
                <w:rFonts w:hint="default" w:hAnsi="宋体" w:eastAsia="宋体" w:cs="宋体"/>
                <w:color w:val="auto"/>
                <w:sz w:val="21"/>
                <w:szCs w:val="21"/>
                <w:highlight w:val="none"/>
              </w:rPr>
            </w:pPr>
          </w:p>
        </w:tc>
        <w:tc>
          <w:tcPr>
            <w:tcW w:w="655" w:type="dxa"/>
            <w:vMerge w:val="restart"/>
            <w:vAlign w:val="center"/>
          </w:tcPr>
          <w:p w14:paraId="7BC74516">
            <w:pPr>
              <w:keepNext/>
              <w:widowControl/>
              <w:snapToGrid w:val="0"/>
              <w:spacing w:line="340" w:lineRule="exact"/>
              <w:rPr>
                <w:rFonts w:hint="default" w:hAnsi="宋体" w:eastAsia="宋体" w:cs="宋体"/>
                <w:color w:val="auto"/>
                <w:sz w:val="21"/>
                <w:szCs w:val="21"/>
                <w:highlight w:val="none"/>
              </w:rPr>
            </w:pPr>
            <w:r>
              <w:rPr>
                <w:rFonts w:hAnsi="宋体" w:eastAsia="宋体" w:cs="宋体"/>
                <w:color w:val="auto"/>
                <w:sz w:val="21"/>
                <w:szCs w:val="21"/>
                <w:highlight w:val="none"/>
              </w:rPr>
              <w:t>设计企业（</w:t>
            </w:r>
            <w:r>
              <w:rPr>
                <w:rFonts w:hint="eastAsia" w:hAnsi="宋体" w:eastAsia="宋体" w:cs="宋体"/>
                <w:color w:val="auto"/>
                <w:sz w:val="21"/>
                <w:szCs w:val="21"/>
                <w:highlight w:val="none"/>
                <w:lang w:val="en-US" w:eastAsia="zh-CN"/>
              </w:rPr>
              <w:t>20</w:t>
            </w:r>
            <w:r>
              <w:rPr>
                <w:rFonts w:hAnsi="宋体" w:eastAsia="宋体" w:cs="宋体"/>
                <w:color w:val="auto"/>
                <w:sz w:val="21"/>
                <w:szCs w:val="21"/>
                <w:highlight w:val="none"/>
              </w:rPr>
              <w:t>分）</w:t>
            </w:r>
          </w:p>
        </w:tc>
        <w:tc>
          <w:tcPr>
            <w:tcW w:w="1023" w:type="dxa"/>
            <w:shd w:val="clear" w:color="auto" w:fill="auto"/>
            <w:vAlign w:val="center"/>
          </w:tcPr>
          <w:p w14:paraId="68B0C656">
            <w:pPr>
              <w:spacing w:line="340" w:lineRule="exact"/>
              <w:jc w:val="center"/>
              <w:rPr>
                <w:rFonts w:hint="default" w:hAnsi="宋体" w:eastAsia="宋体" w:cs="宋体"/>
                <w:color w:val="auto"/>
                <w:sz w:val="21"/>
                <w:szCs w:val="21"/>
                <w:highlight w:val="none"/>
                <w:lang w:val="en-US" w:eastAsia="zh-CN"/>
              </w:rPr>
            </w:pPr>
            <w:r>
              <w:rPr>
                <w:rFonts w:hint="default" w:hAnsi="宋体" w:eastAsia="宋体" w:cs="宋体"/>
                <w:color w:val="auto"/>
                <w:sz w:val="21"/>
                <w:szCs w:val="21"/>
                <w:highlight w:val="none"/>
                <w:lang w:val="en-US" w:eastAsia="zh-CN"/>
              </w:rPr>
              <w:t>设计企业业绩</w:t>
            </w:r>
          </w:p>
          <w:p w14:paraId="53B439EC">
            <w:pPr>
              <w:spacing w:line="340" w:lineRule="exact"/>
              <w:jc w:val="center"/>
              <w:rPr>
                <w:rFonts w:hint="default" w:hAnsi="宋体" w:eastAsia="宋体" w:cs="宋体"/>
                <w:color w:val="auto"/>
                <w:sz w:val="21"/>
                <w:szCs w:val="21"/>
                <w:highlight w:val="none"/>
              </w:rPr>
            </w:pPr>
            <w:r>
              <w:rPr>
                <w:rFonts w:hint="default" w:hAnsi="宋体" w:eastAsia="宋体" w:cs="宋体"/>
                <w:color w:val="auto"/>
                <w:sz w:val="21"/>
                <w:szCs w:val="21"/>
                <w:highlight w:val="none"/>
                <w:lang w:val="en-US" w:eastAsia="zh-CN"/>
              </w:rPr>
              <w:t>（3分）</w:t>
            </w:r>
          </w:p>
        </w:tc>
        <w:tc>
          <w:tcPr>
            <w:tcW w:w="3477" w:type="dxa"/>
            <w:shd w:val="clear" w:color="auto" w:fill="auto"/>
            <w:vAlign w:val="center"/>
          </w:tcPr>
          <w:p w14:paraId="2D24F739">
            <w:pPr>
              <w:pStyle w:val="86"/>
              <w:keepNext w:val="0"/>
              <w:keepLines w:val="0"/>
              <w:pageBreakBefore w:val="0"/>
              <w:kinsoku/>
              <w:overflowPunct/>
              <w:topLinePunct w:val="0"/>
              <w:autoSpaceDN/>
              <w:bidi w:val="0"/>
              <w:spacing w:before="63" w:line="360" w:lineRule="exact"/>
              <w:ind w:right="28"/>
              <w:jc w:val="left"/>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企业近5年来（2021</w:t>
            </w:r>
            <w:r>
              <w:rPr>
                <w:rFonts w:hint="eastAsia" w:asciiTheme="minorEastAsia" w:hAnsiTheme="minorEastAsia" w:eastAsiaTheme="minorEastAsia" w:cstheme="minorEastAsia"/>
                <w:color w:val="auto"/>
                <w:sz w:val="21"/>
                <w:szCs w:val="21"/>
                <w:highlight w:val="none"/>
                <w:lang w:eastAsia="zh-CN"/>
              </w:rPr>
              <w:t>年1月1日至今</w:t>
            </w:r>
            <w:r>
              <w:rPr>
                <w:rFonts w:hint="eastAsia" w:asciiTheme="minorEastAsia" w:hAnsiTheme="minorEastAsia" w:eastAsiaTheme="minorEastAsia" w:cstheme="minorEastAsia"/>
                <w:color w:val="auto"/>
                <w:sz w:val="21"/>
                <w:szCs w:val="21"/>
                <w:highlight w:val="none"/>
                <w:lang w:val="en-US" w:eastAsia="zh-CN"/>
              </w:rPr>
              <w:t>）</w:t>
            </w:r>
            <w:r>
              <w:rPr>
                <w:rFonts w:hint="eastAsia" w:asciiTheme="minorEastAsia" w:hAnsiTheme="minorEastAsia" w:eastAsiaTheme="minorEastAsia" w:cstheme="minorEastAsia"/>
                <w:color w:val="auto"/>
                <w:sz w:val="21"/>
                <w:szCs w:val="21"/>
                <w:highlight w:val="none"/>
                <w:lang w:eastAsia="zh-CN"/>
              </w:rPr>
              <w:t>业绩情况：</w:t>
            </w:r>
          </w:p>
          <w:p w14:paraId="174E3769">
            <w:pPr>
              <w:pStyle w:val="86"/>
              <w:keepNext w:val="0"/>
              <w:keepLines w:val="0"/>
              <w:pageBreakBefore w:val="0"/>
              <w:kinsoku/>
              <w:overflowPunct/>
              <w:topLinePunct w:val="0"/>
              <w:autoSpaceDN/>
              <w:bidi w:val="0"/>
              <w:spacing w:before="63" w:line="360" w:lineRule="exact"/>
              <w:ind w:right="28"/>
              <w:jc w:val="left"/>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1</w:t>
            </w:r>
            <w:r>
              <w:rPr>
                <w:rFonts w:hint="eastAsia" w:asciiTheme="minorEastAsia" w:hAnsiTheme="minorEastAsia" w:eastAsiaTheme="minorEastAsia" w:cstheme="minorEastAsia"/>
                <w:color w:val="auto"/>
                <w:sz w:val="21"/>
                <w:szCs w:val="21"/>
                <w:highlight w:val="none"/>
                <w:lang w:val="en-US" w:eastAsia="zh-CN"/>
              </w:rPr>
              <w:t>.</w:t>
            </w:r>
            <w:r>
              <w:rPr>
                <w:rFonts w:hint="eastAsia" w:asciiTheme="minorEastAsia" w:hAnsiTheme="minorEastAsia" w:eastAsiaTheme="minorEastAsia" w:cstheme="minorEastAsia"/>
                <w:color w:val="auto"/>
                <w:sz w:val="21"/>
                <w:szCs w:val="21"/>
                <w:highlight w:val="none"/>
                <w:u w:val="single"/>
                <w:lang w:eastAsia="zh-CN"/>
              </w:rPr>
              <w:t>承接</w:t>
            </w:r>
            <w:r>
              <w:rPr>
                <w:rFonts w:hint="eastAsia" w:asciiTheme="minorEastAsia" w:hAnsiTheme="minorEastAsia" w:eastAsiaTheme="minorEastAsia" w:cstheme="minorEastAsia"/>
                <w:color w:val="auto"/>
                <w:sz w:val="21"/>
                <w:szCs w:val="21"/>
                <w:highlight w:val="none"/>
                <w:lang w:eastAsia="zh-CN"/>
              </w:rPr>
              <w:t>过类似项目的，每个得</w:t>
            </w: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lang w:eastAsia="zh-CN"/>
              </w:rPr>
              <w:t>分。</w:t>
            </w:r>
          </w:p>
          <w:p w14:paraId="2AEF6670">
            <w:pPr>
              <w:pStyle w:val="86"/>
              <w:keepNext w:val="0"/>
              <w:keepLines w:val="0"/>
              <w:pageBreakBefore w:val="0"/>
              <w:kinsoku/>
              <w:overflowPunct/>
              <w:topLinePunct w:val="0"/>
              <w:autoSpaceDN/>
              <w:bidi w:val="0"/>
              <w:spacing w:before="63" w:line="360" w:lineRule="exact"/>
              <w:ind w:right="28"/>
              <w:jc w:val="left"/>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2</w:t>
            </w:r>
            <w:r>
              <w:rPr>
                <w:rFonts w:hint="eastAsia" w:asciiTheme="minorEastAsia" w:hAnsiTheme="minorEastAsia" w:eastAsiaTheme="minorEastAsia" w:cstheme="minorEastAsia"/>
                <w:color w:val="auto"/>
                <w:sz w:val="21"/>
                <w:szCs w:val="21"/>
                <w:highlight w:val="none"/>
                <w:lang w:val="en-US" w:eastAsia="zh-CN"/>
              </w:rPr>
              <w:t>.</w:t>
            </w:r>
            <w:r>
              <w:rPr>
                <w:rFonts w:hint="eastAsia" w:asciiTheme="minorEastAsia" w:hAnsiTheme="minorEastAsia" w:eastAsiaTheme="minorEastAsia" w:cstheme="minorEastAsia"/>
                <w:color w:val="auto"/>
                <w:sz w:val="21"/>
                <w:szCs w:val="21"/>
                <w:highlight w:val="none"/>
                <w:u w:val="single"/>
                <w:lang w:eastAsia="zh-CN"/>
              </w:rPr>
              <w:t>未承接</w:t>
            </w:r>
            <w:r>
              <w:rPr>
                <w:rFonts w:hint="eastAsia" w:asciiTheme="minorEastAsia" w:hAnsiTheme="minorEastAsia" w:eastAsiaTheme="minorEastAsia" w:cstheme="minorEastAsia"/>
                <w:color w:val="auto"/>
                <w:sz w:val="21"/>
                <w:szCs w:val="21"/>
                <w:highlight w:val="none"/>
                <w:lang w:eastAsia="zh-CN"/>
              </w:rPr>
              <w:t>过类似项目的，不予计分。</w:t>
            </w:r>
          </w:p>
          <w:p w14:paraId="1E386F60">
            <w:pPr>
              <w:pStyle w:val="36"/>
              <w:snapToGrid w:val="0"/>
              <w:spacing w:line="340" w:lineRule="exact"/>
              <w:jc w:val="both"/>
              <w:rPr>
                <w:rFonts w:ascii="宋体" w:hAnsi="宋体" w:cs="宋体"/>
                <w:color w:val="auto"/>
                <w:sz w:val="21"/>
                <w:szCs w:val="21"/>
                <w:highlight w:val="none"/>
              </w:rPr>
            </w:pPr>
            <w:r>
              <w:rPr>
                <w:rFonts w:hint="eastAsia" w:asciiTheme="minorEastAsia" w:hAnsiTheme="minorEastAsia" w:eastAsiaTheme="minorEastAsia" w:cstheme="minorEastAsia"/>
                <w:b w:val="0"/>
                <w:bCs/>
                <w:color w:val="auto"/>
                <w:sz w:val="21"/>
                <w:szCs w:val="21"/>
                <w:highlight w:val="none"/>
                <w:lang w:val="en-US" w:eastAsia="zh-CN"/>
              </w:rPr>
              <w:t>3.</w:t>
            </w:r>
            <w:r>
              <w:rPr>
                <w:rFonts w:hint="eastAsia" w:asciiTheme="minorEastAsia" w:hAnsiTheme="minorEastAsia" w:eastAsiaTheme="minorEastAsia" w:cstheme="minorEastAsia"/>
                <w:b w:val="0"/>
                <w:bCs/>
                <w:color w:val="auto"/>
                <w:sz w:val="21"/>
                <w:szCs w:val="21"/>
                <w:highlight w:val="none"/>
              </w:rPr>
              <w:t>本项最高得</w:t>
            </w:r>
            <w:r>
              <w:rPr>
                <w:rFonts w:hint="eastAsia" w:asciiTheme="minorEastAsia" w:hAnsiTheme="minorEastAsia" w:eastAsiaTheme="minorEastAsia" w:cstheme="minorEastAsia"/>
                <w:b w:val="0"/>
                <w:bCs/>
                <w:color w:val="auto"/>
                <w:sz w:val="21"/>
                <w:szCs w:val="21"/>
                <w:highlight w:val="none"/>
                <w:lang w:val="en-US" w:eastAsia="zh-CN"/>
              </w:rPr>
              <w:t>3</w:t>
            </w:r>
            <w:r>
              <w:rPr>
                <w:rFonts w:hint="eastAsia" w:asciiTheme="minorEastAsia" w:hAnsiTheme="minorEastAsia" w:eastAsiaTheme="minorEastAsia" w:cstheme="minorEastAsia"/>
                <w:b w:val="0"/>
                <w:bCs/>
                <w:color w:val="auto"/>
                <w:sz w:val="21"/>
                <w:szCs w:val="21"/>
                <w:highlight w:val="none"/>
              </w:rPr>
              <w:t>分。</w:t>
            </w:r>
          </w:p>
        </w:tc>
        <w:tc>
          <w:tcPr>
            <w:tcW w:w="4113" w:type="dxa"/>
            <w:shd w:val="clear" w:color="auto" w:fill="auto"/>
            <w:vAlign w:val="center"/>
          </w:tcPr>
          <w:p w14:paraId="2EA9179C">
            <w:pPr>
              <w:keepNext w:val="0"/>
              <w:keepLines w:val="0"/>
              <w:pageBreakBefore w:val="0"/>
              <w:widowControl w:val="0"/>
              <w:kinsoku/>
              <w:wordWrap w:val="0"/>
              <w:overflowPunct/>
              <w:topLinePunct w:val="0"/>
              <w:autoSpaceDN/>
              <w:bidi w:val="0"/>
              <w:adjustRightInd w:val="0"/>
              <w:snapToGrid w:val="0"/>
              <w:spacing w:after="0" w:line="36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1．类似项目指：</w:t>
            </w:r>
            <w:r>
              <w:rPr>
                <w:rFonts w:hint="eastAsia" w:ascii="宋体" w:hAnsi="宋体" w:eastAsia="宋体" w:cs="宋体"/>
                <w:snapToGrid w:val="0"/>
                <w:color w:val="auto"/>
                <w:kern w:val="0"/>
                <w:sz w:val="21"/>
                <w:szCs w:val="21"/>
                <w:highlight w:val="none"/>
                <w:u w:val="single"/>
                <w:lang w:val="en-US" w:eastAsia="zh-CN" w:bidi="ar-SA"/>
              </w:rPr>
              <w:t>房屋建筑工程</w:t>
            </w:r>
            <w:r>
              <w:rPr>
                <w:rFonts w:hint="eastAsia" w:hAnsi="宋体" w:eastAsia="宋体" w:cs="宋体"/>
                <w:snapToGrid w:val="0"/>
                <w:color w:val="auto"/>
                <w:kern w:val="0"/>
                <w:sz w:val="21"/>
                <w:szCs w:val="21"/>
                <w:highlight w:val="none"/>
                <w:u w:val="single"/>
                <w:lang w:val="en-US" w:eastAsia="zh-CN" w:bidi="ar-SA"/>
              </w:rPr>
              <w:t>或</w:t>
            </w:r>
            <w:r>
              <w:rPr>
                <w:rFonts w:hint="eastAsia" w:ascii="宋体" w:hAnsi="宋体" w:eastAsia="宋体" w:cs="宋体"/>
                <w:snapToGrid w:val="0"/>
                <w:color w:val="auto"/>
                <w:kern w:val="0"/>
                <w:sz w:val="21"/>
                <w:szCs w:val="21"/>
                <w:highlight w:val="none"/>
                <w:u w:val="single"/>
                <w:lang w:val="en-US" w:eastAsia="zh-CN" w:bidi="ar-SA"/>
              </w:rPr>
              <w:t>市政工程类项目</w:t>
            </w:r>
            <w:r>
              <w:rPr>
                <w:rFonts w:hint="eastAsia" w:ascii="宋体" w:hAnsi="宋体" w:eastAsia="宋体" w:cs="宋体"/>
                <w:snapToGrid w:val="0"/>
                <w:color w:val="auto"/>
                <w:kern w:val="0"/>
                <w:sz w:val="21"/>
                <w:szCs w:val="21"/>
                <w:highlight w:val="none"/>
                <w:lang w:val="en-US" w:eastAsia="zh-CN" w:bidi="ar-SA"/>
              </w:rPr>
              <w:t>（含设计，勘察设计，勘察设计施工总承包项目、业绩成果）。</w:t>
            </w:r>
          </w:p>
          <w:p w14:paraId="5DF7E34B">
            <w:pPr>
              <w:keepNext w:val="0"/>
              <w:keepLines w:val="0"/>
              <w:pageBreakBefore w:val="0"/>
              <w:widowControl w:val="0"/>
              <w:kinsoku/>
              <w:wordWrap w:val="0"/>
              <w:overflowPunct/>
              <w:topLinePunct w:val="0"/>
              <w:autoSpaceDN/>
              <w:bidi w:val="0"/>
              <w:adjustRightInd w:val="0"/>
              <w:snapToGrid w:val="0"/>
              <w:spacing w:after="0" w:line="36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2．需附有关业绩合同协议书关键页或中标通知书彩色扫描件，并加盖投标人公章。</w:t>
            </w:r>
          </w:p>
          <w:p w14:paraId="5AF7F51D">
            <w:pPr>
              <w:keepNext w:val="0"/>
              <w:keepLines w:val="0"/>
              <w:pageBreakBefore w:val="0"/>
              <w:widowControl w:val="0"/>
              <w:kinsoku/>
              <w:wordWrap w:val="0"/>
              <w:overflowPunct/>
              <w:topLinePunct w:val="0"/>
              <w:autoSpaceDN/>
              <w:bidi w:val="0"/>
              <w:adjustRightInd w:val="0"/>
              <w:snapToGrid w:val="0"/>
              <w:spacing w:after="0" w:line="36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3．业绩时间以中标通知书或合同协议书为准。</w:t>
            </w:r>
          </w:p>
          <w:p w14:paraId="7F923B04">
            <w:pPr>
              <w:keepNext w:val="0"/>
              <w:keepLines w:val="0"/>
              <w:pageBreakBefore w:val="0"/>
              <w:widowControl w:val="0"/>
              <w:kinsoku/>
              <w:wordWrap w:val="0"/>
              <w:overflowPunct/>
              <w:topLinePunct w:val="0"/>
              <w:autoSpaceDN/>
              <w:bidi w:val="0"/>
              <w:adjustRightInd w:val="0"/>
              <w:snapToGrid w:val="0"/>
              <w:spacing w:after="0" w:line="36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4．任一业绩有以下情形之一的，该业绩视为无效，不予计分：</w:t>
            </w:r>
          </w:p>
          <w:p w14:paraId="213B8C23">
            <w:pPr>
              <w:keepNext w:val="0"/>
              <w:keepLines w:val="0"/>
              <w:pageBreakBefore w:val="0"/>
              <w:widowControl w:val="0"/>
              <w:kinsoku/>
              <w:wordWrap w:val="0"/>
              <w:overflowPunct/>
              <w:topLinePunct w:val="0"/>
              <w:autoSpaceDN/>
              <w:bidi w:val="0"/>
              <w:adjustRightInd w:val="0"/>
              <w:snapToGrid w:val="0"/>
              <w:spacing w:after="0" w:line="360" w:lineRule="exact"/>
              <w:jc w:val="both"/>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①业绩不属于类似工程的；</w:t>
            </w:r>
          </w:p>
          <w:p w14:paraId="42847ABD">
            <w:pPr>
              <w:widowControl/>
              <w:spacing w:line="340" w:lineRule="exact"/>
              <w:jc w:val="left"/>
              <w:rPr>
                <w:rFonts w:hint="default"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SA"/>
              </w:rPr>
              <w:t>②业绩时间不符合要求的。</w:t>
            </w:r>
          </w:p>
        </w:tc>
      </w:tr>
      <w:tr w14:paraId="56B8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dxa"/>
            <w:vMerge w:val="continue"/>
            <w:vAlign w:val="center"/>
          </w:tcPr>
          <w:p w14:paraId="3F379522">
            <w:pPr>
              <w:keepNext/>
              <w:widowControl/>
              <w:snapToGrid w:val="0"/>
              <w:spacing w:line="340" w:lineRule="exact"/>
              <w:rPr>
                <w:rFonts w:hint="default" w:hAnsi="宋体" w:eastAsia="宋体" w:cs="宋体"/>
                <w:color w:val="auto"/>
                <w:sz w:val="21"/>
                <w:szCs w:val="21"/>
                <w:highlight w:val="none"/>
              </w:rPr>
            </w:pPr>
          </w:p>
        </w:tc>
        <w:tc>
          <w:tcPr>
            <w:tcW w:w="695" w:type="dxa"/>
            <w:vMerge w:val="continue"/>
            <w:vAlign w:val="center"/>
          </w:tcPr>
          <w:p w14:paraId="42D0B914">
            <w:pPr>
              <w:keepNext/>
              <w:widowControl/>
              <w:snapToGrid w:val="0"/>
              <w:spacing w:line="340" w:lineRule="exact"/>
              <w:rPr>
                <w:rFonts w:hint="default" w:hAnsi="宋体" w:eastAsia="宋体" w:cs="宋体"/>
                <w:color w:val="auto"/>
                <w:sz w:val="21"/>
                <w:szCs w:val="21"/>
                <w:highlight w:val="none"/>
              </w:rPr>
            </w:pPr>
          </w:p>
        </w:tc>
        <w:tc>
          <w:tcPr>
            <w:tcW w:w="655" w:type="dxa"/>
            <w:vMerge w:val="continue"/>
            <w:vAlign w:val="center"/>
          </w:tcPr>
          <w:p w14:paraId="0B8143A0">
            <w:pPr>
              <w:keepNext/>
              <w:widowControl/>
              <w:snapToGrid w:val="0"/>
              <w:spacing w:line="340" w:lineRule="exact"/>
              <w:rPr>
                <w:rFonts w:hint="default" w:hAnsi="宋体" w:eastAsia="宋体" w:cs="宋体"/>
                <w:color w:val="auto"/>
                <w:sz w:val="21"/>
                <w:szCs w:val="21"/>
                <w:highlight w:val="none"/>
              </w:rPr>
            </w:pPr>
          </w:p>
        </w:tc>
        <w:tc>
          <w:tcPr>
            <w:tcW w:w="1023" w:type="dxa"/>
            <w:shd w:val="clear" w:color="auto" w:fill="auto"/>
            <w:vAlign w:val="center"/>
          </w:tcPr>
          <w:p w14:paraId="462C0FDC">
            <w:pPr>
              <w:spacing w:line="340" w:lineRule="exact"/>
              <w:jc w:val="center"/>
              <w:rPr>
                <w:rFonts w:hint="default" w:hAnsi="宋体" w:eastAsia="宋体" w:cs="宋体"/>
                <w:color w:val="auto"/>
                <w:kern w:val="0"/>
                <w:sz w:val="21"/>
                <w:szCs w:val="21"/>
                <w:highlight w:val="none"/>
                <w:lang w:val="en-US" w:eastAsia="zh-CN"/>
              </w:rPr>
            </w:pPr>
            <w:r>
              <w:rPr>
                <w:rFonts w:hint="default" w:hAnsi="宋体" w:eastAsia="宋体" w:cs="宋体"/>
                <w:color w:val="auto"/>
                <w:kern w:val="0"/>
                <w:sz w:val="21"/>
                <w:szCs w:val="21"/>
                <w:highlight w:val="none"/>
                <w:lang w:val="en-US" w:eastAsia="zh-CN"/>
              </w:rPr>
              <w:t>设计负责人综合素质</w:t>
            </w:r>
          </w:p>
          <w:p w14:paraId="7C260BFB">
            <w:pPr>
              <w:spacing w:line="340" w:lineRule="exact"/>
              <w:jc w:val="center"/>
              <w:rPr>
                <w:rFonts w:hint="default" w:hAnsi="宋体" w:eastAsia="宋体" w:cs="宋体"/>
                <w:color w:val="auto"/>
                <w:kern w:val="0"/>
                <w:sz w:val="21"/>
                <w:szCs w:val="21"/>
                <w:highlight w:val="none"/>
              </w:rPr>
            </w:pPr>
            <w:r>
              <w:rPr>
                <w:rFonts w:hint="default" w:hAnsi="宋体" w:eastAsia="宋体" w:cs="宋体"/>
                <w:color w:val="auto"/>
                <w:kern w:val="0"/>
                <w:sz w:val="21"/>
                <w:szCs w:val="21"/>
                <w:highlight w:val="none"/>
                <w:lang w:val="en-US" w:eastAsia="zh-CN"/>
              </w:rPr>
              <w:t>（4分）</w:t>
            </w:r>
          </w:p>
        </w:tc>
        <w:tc>
          <w:tcPr>
            <w:tcW w:w="3477" w:type="dxa"/>
            <w:shd w:val="clear" w:color="auto" w:fill="auto"/>
            <w:vAlign w:val="center"/>
          </w:tcPr>
          <w:p w14:paraId="68E6FE5A">
            <w:pPr>
              <w:pStyle w:val="36"/>
              <w:snapToGrid w:val="0"/>
              <w:spacing w:line="340" w:lineRule="exact"/>
              <w:jc w:val="both"/>
              <w:rPr>
                <w:rFonts w:hint="eastAsia" w:ascii="宋体" w:hAnsi="宋体" w:cs="宋体"/>
                <w:b w:val="0"/>
                <w:bCs/>
                <w:snapToGrid w:val="0"/>
                <w:color w:val="auto"/>
                <w:kern w:val="0"/>
                <w:sz w:val="21"/>
                <w:szCs w:val="21"/>
                <w:highlight w:val="none"/>
                <w:lang w:val="en-US" w:eastAsia="zh-CN"/>
              </w:rPr>
            </w:pPr>
            <w:r>
              <w:rPr>
                <w:rFonts w:hint="eastAsia" w:ascii="宋体" w:hAnsi="宋体" w:cs="宋体"/>
                <w:b w:val="0"/>
                <w:bCs/>
                <w:snapToGrid w:val="0"/>
                <w:color w:val="auto"/>
                <w:kern w:val="0"/>
                <w:sz w:val="21"/>
                <w:szCs w:val="21"/>
                <w:highlight w:val="none"/>
                <w:lang w:val="en-US" w:eastAsia="zh-CN"/>
              </w:rPr>
              <w:t>1.具有一级注册建筑工程师及相关专业高级工程师(或以上)技术职称，得2分。</w:t>
            </w:r>
          </w:p>
          <w:p w14:paraId="78101F02">
            <w:pPr>
              <w:pStyle w:val="36"/>
              <w:snapToGrid w:val="0"/>
              <w:spacing w:line="340" w:lineRule="exact"/>
              <w:jc w:val="both"/>
              <w:rPr>
                <w:rFonts w:hint="eastAsia" w:ascii="宋体" w:hAnsi="宋体" w:cs="宋体"/>
                <w:b w:val="0"/>
                <w:bCs/>
                <w:snapToGrid w:val="0"/>
                <w:color w:val="auto"/>
                <w:kern w:val="0"/>
                <w:sz w:val="21"/>
                <w:szCs w:val="21"/>
                <w:highlight w:val="none"/>
                <w:lang w:val="en-US" w:eastAsia="zh-CN"/>
              </w:rPr>
            </w:pPr>
            <w:r>
              <w:rPr>
                <w:rFonts w:hint="eastAsia" w:ascii="宋体" w:hAnsi="宋体" w:cs="宋体"/>
                <w:b w:val="0"/>
                <w:bCs/>
                <w:snapToGrid w:val="0"/>
                <w:color w:val="auto"/>
                <w:kern w:val="0"/>
                <w:sz w:val="21"/>
                <w:szCs w:val="21"/>
                <w:highlight w:val="none"/>
                <w:lang w:val="en-US" w:eastAsia="zh-CN"/>
              </w:rPr>
              <w:t>2.同时具有注册城乡规划师的加2分。</w:t>
            </w:r>
          </w:p>
          <w:p w14:paraId="112015B5">
            <w:pPr>
              <w:pStyle w:val="36"/>
              <w:snapToGrid w:val="0"/>
              <w:spacing w:line="340" w:lineRule="exact"/>
              <w:jc w:val="both"/>
              <w:rPr>
                <w:rFonts w:ascii="宋体" w:hAnsi="宋体" w:cs="宋体"/>
                <w:snapToGrid w:val="0"/>
                <w:color w:val="auto"/>
                <w:kern w:val="0"/>
                <w:sz w:val="21"/>
                <w:szCs w:val="21"/>
                <w:highlight w:val="none"/>
              </w:rPr>
            </w:pPr>
            <w:r>
              <w:rPr>
                <w:rFonts w:hint="eastAsia" w:ascii="宋体" w:hAnsi="宋体" w:cs="宋体"/>
                <w:b w:val="0"/>
                <w:bCs/>
                <w:snapToGrid w:val="0"/>
                <w:color w:val="auto"/>
                <w:kern w:val="0"/>
                <w:sz w:val="21"/>
                <w:szCs w:val="21"/>
                <w:highlight w:val="none"/>
                <w:lang w:val="en-US" w:eastAsia="zh-CN"/>
              </w:rPr>
              <w:t>3.本项最高得4分。</w:t>
            </w:r>
          </w:p>
        </w:tc>
        <w:tc>
          <w:tcPr>
            <w:tcW w:w="4113" w:type="dxa"/>
            <w:shd w:val="clear" w:color="auto" w:fill="auto"/>
            <w:vAlign w:val="center"/>
          </w:tcPr>
          <w:p w14:paraId="487F7D54">
            <w:pPr>
              <w:spacing w:line="340" w:lineRule="exact"/>
              <w:jc w:val="left"/>
              <w:rPr>
                <w:rFonts w:hint="default" w:hAnsi="宋体" w:eastAsia="宋体" w:cs="宋体"/>
                <w:color w:val="auto"/>
                <w:sz w:val="21"/>
                <w:szCs w:val="21"/>
                <w:highlight w:val="none"/>
                <w:lang w:val="en-US" w:eastAsia="zh-CN"/>
              </w:rPr>
            </w:pPr>
            <w:r>
              <w:rPr>
                <w:rFonts w:hint="default" w:hAnsi="宋体" w:eastAsia="宋体" w:cs="宋体"/>
                <w:color w:val="auto"/>
                <w:sz w:val="21"/>
                <w:szCs w:val="21"/>
                <w:highlight w:val="none"/>
                <w:lang w:val="en-US" w:eastAsia="zh-CN"/>
              </w:rPr>
              <w:t>1.需附证书彩色扫描件（或电子打印件）并加盖投标人公章。</w:t>
            </w:r>
          </w:p>
          <w:p w14:paraId="6E553ECE">
            <w:pPr>
              <w:spacing w:line="340" w:lineRule="exact"/>
              <w:jc w:val="left"/>
              <w:rPr>
                <w:rFonts w:hint="default" w:hAnsi="宋体" w:eastAsia="宋体" w:cs="宋体"/>
                <w:color w:val="auto"/>
                <w:sz w:val="21"/>
                <w:szCs w:val="21"/>
                <w:highlight w:val="none"/>
                <w:lang w:val="en-US" w:eastAsia="zh-CN"/>
              </w:rPr>
            </w:pPr>
            <w:r>
              <w:rPr>
                <w:rFonts w:hint="default" w:hAnsi="宋体" w:eastAsia="宋体" w:cs="宋体"/>
                <w:color w:val="auto"/>
                <w:sz w:val="21"/>
                <w:szCs w:val="21"/>
                <w:highlight w:val="none"/>
                <w:lang w:val="en-US" w:eastAsia="zh-CN"/>
              </w:rPr>
              <w:t>2.需提供设计负责人在本单位缴纳近三个月社保的证明（其中必须有2026年</w:t>
            </w:r>
            <w:r>
              <w:rPr>
                <w:rFonts w:hint="eastAsia" w:hAnsi="宋体" w:eastAsia="宋体" w:cs="宋体"/>
                <w:color w:val="auto"/>
                <w:sz w:val="21"/>
                <w:szCs w:val="21"/>
                <w:highlight w:val="none"/>
                <w:lang w:val="en-US" w:eastAsia="zh-CN"/>
              </w:rPr>
              <w:t>8</w:t>
            </w:r>
            <w:r>
              <w:rPr>
                <w:rFonts w:hint="default" w:hAnsi="宋体" w:eastAsia="宋体" w:cs="宋体"/>
                <w:color w:val="auto"/>
                <w:sz w:val="21"/>
                <w:szCs w:val="21"/>
                <w:highlight w:val="none"/>
                <w:lang w:val="en-US" w:eastAsia="zh-CN"/>
              </w:rPr>
              <w:t>月）</w:t>
            </w:r>
            <w:r>
              <w:rPr>
                <w:rFonts w:hint="default" w:hAnsi="宋体" w:eastAsia="宋体" w:cs="宋体"/>
                <w:color w:val="auto"/>
                <w:sz w:val="21"/>
                <w:szCs w:val="21"/>
                <w:highlight w:val="none"/>
              </w:rPr>
              <w:t>彩色扫描件</w:t>
            </w:r>
            <w:r>
              <w:rPr>
                <w:rFonts w:hint="default" w:hAnsi="宋体" w:eastAsia="宋体" w:cs="宋体"/>
                <w:color w:val="auto"/>
                <w:sz w:val="21"/>
                <w:szCs w:val="21"/>
                <w:highlight w:val="none"/>
                <w:lang w:eastAsia="zh-CN"/>
              </w:rPr>
              <w:t>（</w:t>
            </w:r>
            <w:r>
              <w:rPr>
                <w:rFonts w:hint="default" w:hAnsi="宋体" w:eastAsia="宋体" w:cs="宋体"/>
                <w:color w:val="auto"/>
                <w:sz w:val="21"/>
                <w:szCs w:val="21"/>
                <w:highlight w:val="none"/>
                <w:lang w:val="en-US" w:eastAsia="zh-CN"/>
              </w:rPr>
              <w:t>或打印件</w:t>
            </w:r>
            <w:r>
              <w:rPr>
                <w:rFonts w:hint="default" w:hAnsi="宋体" w:eastAsia="宋体" w:cs="宋体"/>
                <w:color w:val="auto"/>
                <w:sz w:val="21"/>
                <w:szCs w:val="21"/>
                <w:highlight w:val="none"/>
                <w:lang w:eastAsia="zh-CN"/>
              </w:rPr>
              <w:t>）</w:t>
            </w:r>
            <w:r>
              <w:rPr>
                <w:rFonts w:hint="default" w:hAnsi="宋体" w:eastAsia="宋体" w:cs="宋体"/>
                <w:color w:val="auto"/>
                <w:sz w:val="21"/>
                <w:szCs w:val="21"/>
                <w:highlight w:val="none"/>
                <w:lang w:val="en-US" w:eastAsia="zh-CN"/>
              </w:rPr>
              <w:t>，若是退休人员需提供退休证和返聘合同（协议）彩色扫描件。</w:t>
            </w:r>
          </w:p>
          <w:p w14:paraId="24DB256E">
            <w:pPr>
              <w:spacing w:line="340" w:lineRule="exact"/>
              <w:jc w:val="left"/>
              <w:rPr>
                <w:rFonts w:hint="default" w:hAnsi="宋体" w:eastAsia="宋体" w:cs="宋体"/>
                <w:color w:val="auto"/>
                <w:sz w:val="21"/>
                <w:szCs w:val="21"/>
                <w:highlight w:val="none"/>
              </w:rPr>
            </w:pPr>
            <w:r>
              <w:rPr>
                <w:rFonts w:hint="default" w:hAnsi="宋体" w:eastAsia="宋体" w:cs="宋体"/>
                <w:color w:val="auto"/>
                <w:sz w:val="21"/>
                <w:szCs w:val="21"/>
                <w:highlight w:val="none"/>
                <w:lang w:val="en-US" w:eastAsia="zh-CN"/>
              </w:rPr>
              <w:t>3.非独立法人分支机构出具社保，予以认可。</w:t>
            </w:r>
          </w:p>
        </w:tc>
      </w:tr>
      <w:tr w14:paraId="2E68B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dxa"/>
            <w:vMerge w:val="continue"/>
            <w:vAlign w:val="center"/>
          </w:tcPr>
          <w:p w14:paraId="11A066FD">
            <w:pPr>
              <w:keepNext/>
              <w:widowControl/>
              <w:snapToGrid w:val="0"/>
              <w:spacing w:line="340" w:lineRule="exact"/>
              <w:rPr>
                <w:rFonts w:hint="default" w:hAnsi="宋体" w:eastAsia="宋体" w:cs="宋体"/>
                <w:color w:val="auto"/>
                <w:sz w:val="21"/>
                <w:szCs w:val="21"/>
                <w:highlight w:val="none"/>
              </w:rPr>
            </w:pPr>
          </w:p>
        </w:tc>
        <w:tc>
          <w:tcPr>
            <w:tcW w:w="695" w:type="dxa"/>
            <w:vMerge w:val="continue"/>
            <w:vAlign w:val="center"/>
          </w:tcPr>
          <w:p w14:paraId="6215C679">
            <w:pPr>
              <w:keepNext/>
              <w:widowControl/>
              <w:snapToGrid w:val="0"/>
              <w:spacing w:line="340" w:lineRule="exact"/>
              <w:rPr>
                <w:rFonts w:hint="default" w:hAnsi="宋体" w:eastAsia="宋体" w:cs="宋体"/>
                <w:color w:val="auto"/>
                <w:sz w:val="21"/>
                <w:szCs w:val="21"/>
                <w:highlight w:val="none"/>
              </w:rPr>
            </w:pPr>
          </w:p>
        </w:tc>
        <w:tc>
          <w:tcPr>
            <w:tcW w:w="655" w:type="dxa"/>
            <w:vMerge w:val="continue"/>
            <w:vAlign w:val="center"/>
          </w:tcPr>
          <w:p w14:paraId="0E548C2E">
            <w:pPr>
              <w:keepNext/>
              <w:widowControl/>
              <w:snapToGrid w:val="0"/>
              <w:spacing w:line="340" w:lineRule="exact"/>
              <w:rPr>
                <w:rFonts w:hint="default" w:hAnsi="宋体" w:eastAsia="宋体" w:cs="宋体"/>
                <w:color w:val="auto"/>
                <w:sz w:val="21"/>
                <w:szCs w:val="21"/>
                <w:highlight w:val="none"/>
              </w:rPr>
            </w:pPr>
          </w:p>
        </w:tc>
        <w:tc>
          <w:tcPr>
            <w:tcW w:w="1023" w:type="dxa"/>
            <w:shd w:val="clear" w:color="auto" w:fill="auto"/>
            <w:vAlign w:val="center"/>
          </w:tcPr>
          <w:p w14:paraId="1349AC5E">
            <w:pPr>
              <w:pStyle w:val="8"/>
              <w:adjustRightInd w:val="0"/>
              <w:snapToGrid w:val="0"/>
              <w:spacing w:line="340" w:lineRule="exact"/>
              <w:jc w:val="center"/>
              <w:rPr>
                <w:rFonts w:hint="default" w:hAnsi="宋体" w:eastAsia="宋体" w:cs="宋体"/>
                <w:color w:val="auto"/>
                <w:kern w:val="0"/>
                <w:sz w:val="21"/>
                <w:szCs w:val="21"/>
                <w:highlight w:val="none"/>
              </w:rPr>
            </w:pPr>
            <w:r>
              <w:rPr>
                <w:rFonts w:hint="default" w:hAnsi="宋体" w:eastAsia="宋体" w:cs="宋体"/>
                <w:color w:val="auto"/>
                <w:kern w:val="0"/>
                <w:sz w:val="21"/>
                <w:szCs w:val="21"/>
                <w:highlight w:val="none"/>
              </w:rPr>
              <w:t>其他人员综合素质</w:t>
            </w:r>
          </w:p>
          <w:p w14:paraId="68C61342">
            <w:pPr>
              <w:pStyle w:val="8"/>
              <w:adjustRightInd w:val="0"/>
              <w:snapToGrid w:val="0"/>
              <w:spacing w:line="340" w:lineRule="exact"/>
              <w:jc w:val="center"/>
              <w:rPr>
                <w:rFonts w:hint="default" w:hAnsi="宋体" w:eastAsia="宋体" w:cs="宋体"/>
                <w:color w:val="auto"/>
                <w:kern w:val="0"/>
                <w:sz w:val="21"/>
                <w:szCs w:val="21"/>
                <w:highlight w:val="none"/>
              </w:rPr>
            </w:pPr>
            <w:r>
              <w:rPr>
                <w:rFonts w:hint="default" w:hAnsi="宋体" w:eastAsia="宋体" w:cs="宋体"/>
                <w:color w:val="auto"/>
                <w:kern w:val="0"/>
                <w:sz w:val="21"/>
                <w:szCs w:val="21"/>
                <w:highlight w:val="none"/>
              </w:rPr>
              <w:t>（</w:t>
            </w:r>
            <w:r>
              <w:rPr>
                <w:rFonts w:hint="default" w:hAnsi="宋体" w:eastAsia="宋体" w:cs="宋体"/>
                <w:color w:val="auto"/>
                <w:kern w:val="0"/>
                <w:sz w:val="21"/>
                <w:szCs w:val="21"/>
                <w:highlight w:val="none"/>
                <w:lang w:val="en-US" w:eastAsia="zh-CN"/>
              </w:rPr>
              <w:t>5</w:t>
            </w:r>
            <w:r>
              <w:rPr>
                <w:rFonts w:hint="default" w:hAnsi="宋体" w:eastAsia="宋体" w:cs="宋体"/>
                <w:color w:val="auto"/>
                <w:kern w:val="0"/>
                <w:sz w:val="21"/>
                <w:szCs w:val="21"/>
                <w:highlight w:val="none"/>
              </w:rPr>
              <w:t>分）</w:t>
            </w:r>
          </w:p>
        </w:tc>
        <w:tc>
          <w:tcPr>
            <w:tcW w:w="3477" w:type="dxa"/>
            <w:shd w:val="clear" w:color="auto" w:fill="auto"/>
            <w:vAlign w:val="center"/>
          </w:tcPr>
          <w:p w14:paraId="6C5C6986">
            <w:pPr>
              <w:pStyle w:val="36"/>
              <w:snapToGrid w:val="0"/>
              <w:spacing w:line="340" w:lineRule="exact"/>
              <w:jc w:val="both"/>
              <w:rPr>
                <w:rFonts w:hint="eastAsia" w:ascii="宋体" w:hAnsi="宋体" w:cs="宋体"/>
                <w:b w:val="0"/>
                <w:bCs/>
                <w:snapToGrid w:val="0"/>
                <w:color w:val="auto"/>
                <w:kern w:val="0"/>
                <w:sz w:val="21"/>
                <w:szCs w:val="21"/>
                <w:highlight w:val="none"/>
              </w:rPr>
            </w:pPr>
            <w:r>
              <w:rPr>
                <w:rFonts w:hint="eastAsia" w:ascii="宋体" w:hAnsi="宋体" w:cs="宋体"/>
                <w:b w:val="0"/>
                <w:bCs/>
                <w:snapToGrid w:val="0"/>
                <w:color w:val="auto"/>
                <w:kern w:val="0"/>
                <w:sz w:val="21"/>
                <w:szCs w:val="21"/>
                <w:highlight w:val="none"/>
              </w:rPr>
              <w:t>拟投入本项目的</w:t>
            </w:r>
            <w:r>
              <w:rPr>
                <w:rFonts w:hint="eastAsia" w:ascii="宋体" w:hAnsi="宋体" w:cs="宋体"/>
                <w:b w:val="0"/>
                <w:bCs/>
                <w:snapToGrid w:val="0"/>
                <w:color w:val="auto"/>
                <w:kern w:val="0"/>
                <w:sz w:val="21"/>
                <w:szCs w:val="21"/>
                <w:highlight w:val="none"/>
                <w:lang w:val="en-US" w:eastAsia="zh-CN"/>
              </w:rPr>
              <w:t>专业技术</w:t>
            </w:r>
            <w:r>
              <w:rPr>
                <w:rFonts w:hint="eastAsia" w:ascii="宋体" w:hAnsi="宋体" w:cs="宋体"/>
                <w:b w:val="0"/>
                <w:bCs/>
                <w:snapToGrid w:val="0"/>
                <w:color w:val="auto"/>
                <w:kern w:val="0"/>
                <w:sz w:val="21"/>
                <w:szCs w:val="21"/>
                <w:highlight w:val="none"/>
              </w:rPr>
              <w:t>人员（设计负责人除外）情况：</w:t>
            </w:r>
          </w:p>
          <w:p w14:paraId="3F3D067F">
            <w:pPr>
              <w:pStyle w:val="36"/>
              <w:snapToGrid w:val="0"/>
              <w:spacing w:line="340" w:lineRule="exact"/>
              <w:jc w:val="both"/>
              <w:rPr>
                <w:rFonts w:hint="eastAsia" w:ascii="宋体" w:hAnsi="宋体" w:cs="宋体"/>
                <w:b w:val="0"/>
                <w:bCs/>
                <w:snapToGrid w:val="0"/>
                <w:color w:val="auto"/>
                <w:kern w:val="0"/>
                <w:sz w:val="21"/>
                <w:szCs w:val="21"/>
                <w:highlight w:val="none"/>
              </w:rPr>
            </w:pPr>
            <w:r>
              <w:rPr>
                <w:rFonts w:hint="eastAsia" w:ascii="宋体" w:hAnsi="宋体" w:cs="宋体"/>
                <w:b w:val="0"/>
                <w:bCs/>
                <w:snapToGrid w:val="0"/>
                <w:color w:val="auto"/>
                <w:kern w:val="0"/>
                <w:sz w:val="21"/>
                <w:szCs w:val="21"/>
                <w:highlight w:val="none"/>
              </w:rPr>
              <w:t>1.</w:t>
            </w:r>
            <w:r>
              <w:rPr>
                <w:rFonts w:hint="eastAsia" w:ascii="宋体" w:hAnsi="宋体" w:cs="宋体"/>
                <w:b w:val="0"/>
                <w:bCs/>
                <w:snapToGrid w:val="0"/>
                <w:color w:val="auto"/>
                <w:kern w:val="0"/>
                <w:sz w:val="21"/>
                <w:szCs w:val="21"/>
                <w:highlight w:val="none"/>
                <w:lang w:val="en-US" w:eastAsia="zh-CN"/>
              </w:rPr>
              <w:t>市政路桥</w:t>
            </w:r>
            <w:r>
              <w:rPr>
                <w:rFonts w:hint="eastAsia" w:ascii="宋体" w:hAnsi="宋体" w:cs="宋体"/>
                <w:b w:val="0"/>
                <w:bCs/>
                <w:snapToGrid w:val="0"/>
                <w:color w:val="auto"/>
                <w:kern w:val="0"/>
                <w:sz w:val="21"/>
                <w:szCs w:val="21"/>
                <w:highlight w:val="none"/>
              </w:rPr>
              <w:t>专业负责人：具有</w:t>
            </w:r>
            <w:r>
              <w:rPr>
                <w:rFonts w:hint="eastAsia" w:ascii="宋体" w:hAnsi="宋体" w:cs="宋体"/>
                <w:b w:val="0"/>
                <w:bCs/>
                <w:snapToGrid w:val="0"/>
                <w:color w:val="auto"/>
                <w:kern w:val="0"/>
                <w:sz w:val="21"/>
                <w:szCs w:val="21"/>
                <w:highlight w:val="none"/>
                <w:lang w:val="en-US" w:eastAsia="zh-CN"/>
              </w:rPr>
              <w:t>市政路桥相关</w:t>
            </w:r>
            <w:r>
              <w:rPr>
                <w:rFonts w:hint="eastAsia" w:ascii="宋体" w:hAnsi="宋体" w:cs="宋体"/>
                <w:b w:val="0"/>
                <w:bCs/>
                <w:snapToGrid w:val="0"/>
                <w:color w:val="auto"/>
                <w:kern w:val="0"/>
                <w:sz w:val="21"/>
                <w:szCs w:val="21"/>
                <w:highlight w:val="none"/>
              </w:rPr>
              <w:t>专业</w:t>
            </w:r>
            <w:r>
              <w:rPr>
                <w:rFonts w:hint="eastAsia" w:ascii="宋体" w:hAnsi="宋体" w:cs="宋体"/>
                <w:b w:val="0"/>
                <w:bCs/>
                <w:snapToGrid w:val="0"/>
                <w:color w:val="auto"/>
                <w:kern w:val="0"/>
                <w:sz w:val="21"/>
                <w:szCs w:val="21"/>
                <w:highlight w:val="none"/>
                <w:lang w:val="en-US" w:eastAsia="zh-CN"/>
              </w:rPr>
              <w:t>高级或以上技术</w:t>
            </w:r>
            <w:r>
              <w:rPr>
                <w:rFonts w:hint="eastAsia" w:ascii="宋体" w:hAnsi="宋体" w:cs="宋体"/>
                <w:b w:val="0"/>
                <w:bCs/>
                <w:snapToGrid w:val="0"/>
                <w:color w:val="auto"/>
                <w:kern w:val="0"/>
                <w:sz w:val="21"/>
                <w:szCs w:val="21"/>
                <w:highlight w:val="none"/>
              </w:rPr>
              <w:t>职称的，得</w:t>
            </w:r>
            <w:r>
              <w:rPr>
                <w:rFonts w:hint="eastAsia" w:ascii="宋体" w:hAnsi="宋体" w:cs="宋体"/>
                <w:b w:val="0"/>
                <w:bCs/>
                <w:snapToGrid w:val="0"/>
                <w:color w:val="auto"/>
                <w:kern w:val="0"/>
                <w:sz w:val="21"/>
                <w:szCs w:val="21"/>
                <w:highlight w:val="none"/>
                <w:lang w:val="en-US" w:eastAsia="zh-CN"/>
              </w:rPr>
              <w:t>1</w:t>
            </w:r>
            <w:r>
              <w:rPr>
                <w:rFonts w:hint="eastAsia" w:ascii="宋体" w:hAnsi="宋体" w:cs="宋体"/>
                <w:b w:val="0"/>
                <w:bCs/>
                <w:snapToGrid w:val="0"/>
                <w:color w:val="auto"/>
                <w:kern w:val="0"/>
                <w:sz w:val="21"/>
                <w:szCs w:val="21"/>
                <w:highlight w:val="none"/>
              </w:rPr>
              <w:t>分。</w:t>
            </w:r>
          </w:p>
          <w:p w14:paraId="7708B056">
            <w:pPr>
              <w:pStyle w:val="36"/>
              <w:snapToGrid w:val="0"/>
              <w:spacing w:line="340" w:lineRule="exact"/>
              <w:jc w:val="both"/>
              <w:rPr>
                <w:rFonts w:hint="eastAsia" w:ascii="宋体" w:hAnsi="宋体" w:cs="宋体"/>
                <w:b w:val="0"/>
                <w:bCs/>
                <w:snapToGrid w:val="0"/>
                <w:color w:val="auto"/>
                <w:kern w:val="0"/>
                <w:sz w:val="21"/>
                <w:szCs w:val="21"/>
                <w:highlight w:val="none"/>
              </w:rPr>
            </w:pPr>
            <w:r>
              <w:rPr>
                <w:rFonts w:hint="eastAsia" w:ascii="宋体" w:hAnsi="宋体" w:cs="宋体"/>
                <w:b w:val="0"/>
                <w:bCs/>
                <w:snapToGrid w:val="0"/>
                <w:color w:val="auto"/>
                <w:kern w:val="0"/>
                <w:sz w:val="21"/>
                <w:szCs w:val="21"/>
                <w:highlight w:val="none"/>
              </w:rPr>
              <w:t>2.给排水专业负责人：具有给排水</w:t>
            </w:r>
            <w:r>
              <w:rPr>
                <w:rFonts w:hint="eastAsia" w:ascii="宋体" w:hAnsi="宋体" w:cs="宋体"/>
                <w:b w:val="0"/>
                <w:bCs/>
                <w:snapToGrid w:val="0"/>
                <w:color w:val="auto"/>
                <w:kern w:val="0"/>
                <w:sz w:val="21"/>
                <w:szCs w:val="21"/>
                <w:highlight w:val="none"/>
                <w:lang w:val="en-US" w:eastAsia="zh-CN"/>
              </w:rPr>
              <w:t>相关</w:t>
            </w:r>
            <w:r>
              <w:rPr>
                <w:rFonts w:hint="eastAsia" w:ascii="宋体" w:hAnsi="宋体" w:cs="宋体"/>
                <w:b w:val="0"/>
                <w:bCs/>
                <w:snapToGrid w:val="0"/>
                <w:color w:val="auto"/>
                <w:kern w:val="0"/>
                <w:sz w:val="21"/>
                <w:szCs w:val="21"/>
                <w:highlight w:val="none"/>
              </w:rPr>
              <w:t>专业</w:t>
            </w:r>
            <w:r>
              <w:rPr>
                <w:rFonts w:hint="eastAsia" w:ascii="宋体" w:hAnsi="宋体" w:cs="宋体"/>
                <w:b w:val="0"/>
                <w:bCs/>
                <w:snapToGrid w:val="0"/>
                <w:color w:val="auto"/>
                <w:kern w:val="0"/>
                <w:sz w:val="21"/>
                <w:szCs w:val="21"/>
                <w:highlight w:val="none"/>
                <w:lang w:val="en-US" w:eastAsia="zh-CN"/>
              </w:rPr>
              <w:t>高级或以上技术</w:t>
            </w:r>
            <w:r>
              <w:rPr>
                <w:rFonts w:hint="eastAsia" w:ascii="宋体" w:hAnsi="宋体" w:cs="宋体"/>
                <w:b w:val="0"/>
                <w:bCs/>
                <w:snapToGrid w:val="0"/>
                <w:color w:val="auto"/>
                <w:kern w:val="0"/>
                <w:sz w:val="21"/>
                <w:szCs w:val="21"/>
                <w:highlight w:val="none"/>
              </w:rPr>
              <w:t>职称的，得</w:t>
            </w:r>
            <w:r>
              <w:rPr>
                <w:rFonts w:hint="eastAsia" w:ascii="宋体" w:hAnsi="宋体" w:cs="宋体"/>
                <w:b w:val="0"/>
                <w:bCs/>
                <w:snapToGrid w:val="0"/>
                <w:color w:val="auto"/>
                <w:kern w:val="0"/>
                <w:sz w:val="21"/>
                <w:szCs w:val="21"/>
                <w:highlight w:val="none"/>
                <w:lang w:val="en-US" w:eastAsia="zh-CN"/>
              </w:rPr>
              <w:t>1</w:t>
            </w:r>
            <w:r>
              <w:rPr>
                <w:rFonts w:hint="eastAsia" w:ascii="宋体" w:hAnsi="宋体" w:cs="宋体"/>
                <w:b w:val="0"/>
                <w:bCs/>
                <w:snapToGrid w:val="0"/>
                <w:color w:val="auto"/>
                <w:kern w:val="0"/>
                <w:sz w:val="21"/>
                <w:szCs w:val="21"/>
                <w:highlight w:val="none"/>
              </w:rPr>
              <w:t>分。</w:t>
            </w:r>
          </w:p>
          <w:p w14:paraId="424E920B">
            <w:pPr>
              <w:pStyle w:val="36"/>
              <w:snapToGrid w:val="0"/>
              <w:spacing w:line="340" w:lineRule="exact"/>
              <w:jc w:val="both"/>
              <w:rPr>
                <w:rFonts w:hint="eastAsia" w:ascii="宋体" w:hAnsi="宋体" w:cs="宋体"/>
                <w:b w:val="0"/>
                <w:bCs/>
                <w:snapToGrid w:val="0"/>
                <w:color w:val="auto"/>
                <w:kern w:val="0"/>
                <w:sz w:val="21"/>
                <w:szCs w:val="21"/>
                <w:highlight w:val="none"/>
              </w:rPr>
            </w:pPr>
            <w:r>
              <w:rPr>
                <w:rFonts w:hint="eastAsia" w:ascii="宋体" w:hAnsi="宋体" w:cs="宋体"/>
                <w:b w:val="0"/>
                <w:bCs/>
                <w:snapToGrid w:val="0"/>
                <w:color w:val="auto"/>
                <w:kern w:val="0"/>
                <w:sz w:val="21"/>
                <w:szCs w:val="21"/>
                <w:highlight w:val="none"/>
              </w:rPr>
              <w:t>3.结构专业负责人：具有结构</w:t>
            </w:r>
            <w:r>
              <w:rPr>
                <w:rFonts w:hint="eastAsia" w:ascii="宋体" w:hAnsi="宋体" w:cs="宋体"/>
                <w:b w:val="0"/>
                <w:bCs/>
                <w:snapToGrid w:val="0"/>
                <w:color w:val="auto"/>
                <w:kern w:val="0"/>
                <w:sz w:val="21"/>
                <w:szCs w:val="21"/>
                <w:highlight w:val="none"/>
                <w:lang w:val="en-US" w:eastAsia="zh-CN"/>
              </w:rPr>
              <w:t>相关</w:t>
            </w:r>
            <w:r>
              <w:rPr>
                <w:rFonts w:hint="eastAsia" w:ascii="宋体" w:hAnsi="宋体" w:cs="宋体"/>
                <w:b w:val="0"/>
                <w:bCs/>
                <w:snapToGrid w:val="0"/>
                <w:color w:val="auto"/>
                <w:kern w:val="0"/>
                <w:sz w:val="21"/>
                <w:szCs w:val="21"/>
                <w:highlight w:val="none"/>
              </w:rPr>
              <w:t>专业</w:t>
            </w:r>
            <w:r>
              <w:rPr>
                <w:rFonts w:hint="eastAsia" w:ascii="宋体" w:hAnsi="宋体" w:cs="宋体"/>
                <w:b w:val="0"/>
                <w:bCs/>
                <w:snapToGrid w:val="0"/>
                <w:color w:val="auto"/>
                <w:kern w:val="0"/>
                <w:sz w:val="21"/>
                <w:szCs w:val="21"/>
                <w:highlight w:val="none"/>
                <w:lang w:val="en-US" w:eastAsia="zh-CN"/>
              </w:rPr>
              <w:t>高级或以上技术</w:t>
            </w:r>
            <w:r>
              <w:rPr>
                <w:rFonts w:hint="eastAsia" w:ascii="宋体" w:hAnsi="宋体" w:cs="宋体"/>
                <w:b w:val="0"/>
                <w:bCs/>
                <w:snapToGrid w:val="0"/>
                <w:color w:val="auto"/>
                <w:kern w:val="0"/>
                <w:sz w:val="21"/>
                <w:szCs w:val="21"/>
                <w:highlight w:val="none"/>
              </w:rPr>
              <w:t>职称的，得</w:t>
            </w:r>
            <w:r>
              <w:rPr>
                <w:rFonts w:hint="eastAsia" w:ascii="宋体" w:hAnsi="宋体" w:cs="宋体"/>
                <w:b w:val="0"/>
                <w:bCs/>
                <w:snapToGrid w:val="0"/>
                <w:color w:val="auto"/>
                <w:kern w:val="0"/>
                <w:sz w:val="21"/>
                <w:szCs w:val="21"/>
                <w:highlight w:val="none"/>
                <w:lang w:val="en-US" w:eastAsia="zh-CN"/>
              </w:rPr>
              <w:t>1</w:t>
            </w:r>
            <w:r>
              <w:rPr>
                <w:rFonts w:hint="eastAsia" w:ascii="宋体" w:hAnsi="宋体" w:cs="宋体"/>
                <w:b w:val="0"/>
                <w:bCs/>
                <w:snapToGrid w:val="0"/>
                <w:color w:val="auto"/>
                <w:kern w:val="0"/>
                <w:sz w:val="21"/>
                <w:szCs w:val="21"/>
                <w:highlight w:val="none"/>
              </w:rPr>
              <w:t>分。</w:t>
            </w:r>
          </w:p>
          <w:p w14:paraId="165548F4">
            <w:pPr>
              <w:pStyle w:val="36"/>
              <w:snapToGrid w:val="0"/>
              <w:spacing w:line="340" w:lineRule="exact"/>
              <w:jc w:val="both"/>
              <w:rPr>
                <w:rFonts w:hint="eastAsia" w:ascii="宋体" w:hAnsi="宋体" w:cs="宋体"/>
                <w:b w:val="0"/>
                <w:bCs/>
                <w:snapToGrid w:val="0"/>
                <w:color w:val="auto"/>
                <w:kern w:val="0"/>
                <w:sz w:val="21"/>
                <w:szCs w:val="21"/>
                <w:highlight w:val="none"/>
              </w:rPr>
            </w:pPr>
            <w:r>
              <w:rPr>
                <w:rFonts w:hint="eastAsia" w:ascii="宋体" w:hAnsi="宋体" w:cs="宋体"/>
                <w:b w:val="0"/>
                <w:bCs/>
                <w:snapToGrid w:val="0"/>
                <w:color w:val="auto"/>
                <w:kern w:val="0"/>
                <w:sz w:val="21"/>
                <w:szCs w:val="21"/>
                <w:highlight w:val="none"/>
              </w:rPr>
              <w:t>4.电气专业负责人：具有电气</w:t>
            </w:r>
            <w:r>
              <w:rPr>
                <w:rFonts w:hint="eastAsia" w:ascii="宋体" w:hAnsi="宋体" w:cs="宋体"/>
                <w:b w:val="0"/>
                <w:bCs/>
                <w:snapToGrid w:val="0"/>
                <w:color w:val="auto"/>
                <w:kern w:val="0"/>
                <w:sz w:val="21"/>
                <w:szCs w:val="21"/>
                <w:highlight w:val="none"/>
                <w:lang w:val="en-US" w:eastAsia="zh-CN"/>
              </w:rPr>
              <w:t>相关</w:t>
            </w:r>
            <w:r>
              <w:rPr>
                <w:rFonts w:hint="eastAsia" w:ascii="宋体" w:hAnsi="宋体" w:cs="宋体"/>
                <w:b w:val="0"/>
                <w:bCs/>
                <w:snapToGrid w:val="0"/>
                <w:color w:val="auto"/>
                <w:kern w:val="0"/>
                <w:sz w:val="21"/>
                <w:szCs w:val="21"/>
                <w:highlight w:val="none"/>
              </w:rPr>
              <w:t>专业</w:t>
            </w:r>
            <w:r>
              <w:rPr>
                <w:rFonts w:hint="eastAsia" w:ascii="宋体" w:hAnsi="宋体" w:cs="宋体"/>
                <w:b w:val="0"/>
                <w:bCs/>
                <w:snapToGrid w:val="0"/>
                <w:color w:val="auto"/>
                <w:kern w:val="0"/>
                <w:sz w:val="21"/>
                <w:szCs w:val="21"/>
                <w:highlight w:val="none"/>
                <w:lang w:val="en-US" w:eastAsia="zh-CN"/>
              </w:rPr>
              <w:t>高级或以上技术</w:t>
            </w:r>
            <w:r>
              <w:rPr>
                <w:rFonts w:hint="eastAsia" w:ascii="宋体" w:hAnsi="宋体" w:cs="宋体"/>
                <w:b w:val="0"/>
                <w:bCs/>
                <w:snapToGrid w:val="0"/>
                <w:color w:val="auto"/>
                <w:kern w:val="0"/>
                <w:sz w:val="21"/>
                <w:szCs w:val="21"/>
                <w:highlight w:val="none"/>
              </w:rPr>
              <w:t>职称的，得</w:t>
            </w:r>
            <w:r>
              <w:rPr>
                <w:rFonts w:hint="eastAsia" w:ascii="宋体" w:hAnsi="宋体" w:cs="宋体"/>
                <w:b w:val="0"/>
                <w:bCs/>
                <w:snapToGrid w:val="0"/>
                <w:color w:val="auto"/>
                <w:kern w:val="0"/>
                <w:sz w:val="21"/>
                <w:szCs w:val="21"/>
                <w:highlight w:val="none"/>
                <w:lang w:val="en-US" w:eastAsia="zh-CN"/>
              </w:rPr>
              <w:t>1</w:t>
            </w:r>
            <w:r>
              <w:rPr>
                <w:rFonts w:hint="eastAsia" w:ascii="宋体" w:hAnsi="宋体" w:cs="宋体"/>
                <w:b w:val="0"/>
                <w:bCs/>
                <w:snapToGrid w:val="0"/>
                <w:color w:val="auto"/>
                <w:kern w:val="0"/>
                <w:sz w:val="21"/>
                <w:szCs w:val="21"/>
                <w:highlight w:val="none"/>
              </w:rPr>
              <w:t>分。</w:t>
            </w:r>
          </w:p>
          <w:p w14:paraId="3CF228E1">
            <w:pPr>
              <w:pStyle w:val="36"/>
              <w:snapToGrid w:val="0"/>
              <w:spacing w:line="340" w:lineRule="exact"/>
              <w:jc w:val="both"/>
              <w:rPr>
                <w:rFonts w:hint="eastAsia" w:ascii="宋体" w:hAnsi="宋体" w:cs="宋体"/>
                <w:b w:val="0"/>
                <w:bCs/>
                <w:snapToGrid w:val="0"/>
                <w:color w:val="auto"/>
                <w:kern w:val="0"/>
                <w:sz w:val="21"/>
                <w:szCs w:val="21"/>
                <w:highlight w:val="none"/>
              </w:rPr>
            </w:pPr>
            <w:r>
              <w:rPr>
                <w:rFonts w:hint="eastAsia" w:ascii="宋体" w:hAnsi="宋体" w:cs="宋体"/>
                <w:b w:val="0"/>
                <w:bCs/>
                <w:snapToGrid w:val="0"/>
                <w:color w:val="auto"/>
                <w:kern w:val="0"/>
                <w:sz w:val="21"/>
                <w:szCs w:val="21"/>
                <w:highlight w:val="none"/>
              </w:rPr>
              <w:t>5.</w:t>
            </w:r>
            <w:r>
              <w:rPr>
                <w:rFonts w:hint="eastAsia" w:ascii="宋体" w:hAnsi="宋体" w:cs="宋体"/>
                <w:b w:val="0"/>
                <w:bCs/>
                <w:snapToGrid w:val="0"/>
                <w:color w:val="auto"/>
                <w:kern w:val="0"/>
                <w:sz w:val="21"/>
                <w:szCs w:val="21"/>
                <w:highlight w:val="none"/>
                <w:lang w:val="en-US" w:eastAsia="zh-CN"/>
              </w:rPr>
              <w:t>建筑</w:t>
            </w:r>
            <w:r>
              <w:rPr>
                <w:rFonts w:hint="eastAsia" w:ascii="宋体" w:hAnsi="宋体" w:cs="宋体"/>
                <w:b w:val="0"/>
                <w:bCs/>
                <w:snapToGrid w:val="0"/>
                <w:color w:val="auto"/>
                <w:kern w:val="0"/>
                <w:sz w:val="21"/>
                <w:szCs w:val="21"/>
                <w:highlight w:val="none"/>
              </w:rPr>
              <w:t>专业负责人：具有</w:t>
            </w:r>
            <w:r>
              <w:rPr>
                <w:rFonts w:hint="eastAsia" w:ascii="宋体" w:hAnsi="宋体" w:cs="宋体"/>
                <w:b w:val="0"/>
                <w:bCs/>
                <w:snapToGrid w:val="0"/>
                <w:color w:val="auto"/>
                <w:kern w:val="0"/>
                <w:sz w:val="21"/>
                <w:szCs w:val="21"/>
                <w:highlight w:val="none"/>
                <w:lang w:val="en-US" w:eastAsia="zh-CN"/>
              </w:rPr>
              <w:t>建筑相关</w:t>
            </w:r>
            <w:r>
              <w:rPr>
                <w:rFonts w:hint="eastAsia" w:ascii="宋体" w:hAnsi="宋体" w:cs="宋体"/>
                <w:b w:val="0"/>
                <w:bCs/>
                <w:snapToGrid w:val="0"/>
                <w:color w:val="auto"/>
                <w:kern w:val="0"/>
                <w:sz w:val="21"/>
                <w:szCs w:val="21"/>
                <w:highlight w:val="none"/>
              </w:rPr>
              <w:t>专业</w:t>
            </w:r>
            <w:r>
              <w:rPr>
                <w:rFonts w:hint="eastAsia" w:ascii="宋体" w:hAnsi="宋体" w:cs="宋体"/>
                <w:b w:val="0"/>
                <w:bCs/>
                <w:snapToGrid w:val="0"/>
                <w:color w:val="auto"/>
                <w:kern w:val="0"/>
                <w:sz w:val="21"/>
                <w:szCs w:val="21"/>
                <w:highlight w:val="none"/>
                <w:lang w:val="en-US" w:eastAsia="zh-CN"/>
              </w:rPr>
              <w:t>高级或以上技术</w:t>
            </w:r>
            <w:r>
              <w:rPr>
                <w:rFonts w:hint="eastAsia" w:ascii="宋体" w:hAnsi="宋体" w:cs="宋体"/>
                <w:b w:val="0"/>
                <w:bCs/>
                <w:snapToGrid w:val="0"/>
                <w:color w:val="auto"/>
                <w:kern w:val="0"/>
                <w:sz w:val="21"/>
                <w:szCs w:val="21"/>
                <w:highlight w:val="none"/>
              </w:rPr>
              <w:t>职称的，得</w:t>
            </w:r>
            <w:r>
              <w:rPr>
                <w:rFonts w:hint="eastAsia" w:ascii="宋体" w:hAnsi="宋体" w:cs="宋体"/>
                <w:b w:val="0"/>
                <w:bCs/>
                <w:snapToGrid w:val="0"/>
                <w:color w:val="auto"/>
                <w:kern w:val="0"/>
                <w:sz w:val="21"/>
                <w:szCs w:val="21"/>
                <w:highlight w:val="none"/>
                <w:lang w:val="en-US" w:eastAsia="zh-CN"/>
              </w:rPr>
              <w:t>1</w:t>
            </w:r>
            <w:r>
              <w:rPr>
                <w:rFonts w:hint="eastAsia" w:ascii="宋体" w:hAnsi="宋体" w:cs="宋体"/>
                <w:b w:val="0"/>
                <w:bCs/>
                <w:snapToGrid w:val="0"/>
                <w:color w:val="auto"/>
                <w:kern w:val="0"/>
                <w:sz w:val="21"/>
                <w:szCs w:val="21"/>
                <w:highlight w:val="none"/>
              </w:rPr>
              <w:t>分。</w:t>
            </w:r>
          </w:p>
          <w:p w14:paraId="19812324">
            <w:pPr>
              <w:pStyle w:val="36"/>
              <w:snapToGrid w:val="0"/>
              <w:spacing w:line="340" w:lineRule="exact"/>
              <w:jc w:val="both"/>
              <w:rPr>
                <w:rFonts w:ascii="宋体" w:hAnsi="宋体" w:cs="宋体"/>
                <w:snapToGrid w:val="0"/>
                <w:color w:val="auto"/>
                <w:kern w:val="0"/>
                <w:sz w:val="21"/>
                <w:szCs w:val="21"/>
                <w:highlight w:val="none"/>
              </w:rPr>
            </w:pPr>
            <w:r>
              <w:rPr>
                <w:rFonts w:hint="eastAsia" w:ascii="宋体" w:hAnsi="宋体" w:cs="宋体"/>
                <w:b w:val="0"/>
                <w:bCs/>
                <w:snapToGrid w:val="0"/>
                <w:color w:val="auto"/>
                <w:kern w:val="0"/>
                <w:sz w:val="21"/>
                <w:szCs w:val="21"/>
                <w:highlight w:val="none"/>
                <w:lang w:val="en-US" w:eastAsia="zh-CN"/>
              </w:rPr>
              <w:t>6.</w:t>
            </w:r>
            <w:r>
              <w:rPr>
                <w:rFonts w:hint="eastAsia" w:ascii="宋体" w:hAnsi="宋体" w:cs="宋体"/>
                <w:b w:val="0"/>
                <w:bCs/>
                <w:snapToGrid w:val="0"/>
                <w:color w:val="auto"/>
                <w:kern w:val="0"/>
                <w:sz w:val="21"/>
                <w:szCs w:val="21"/>
                <w:highlight w:val="none"/>
              </w:rPr>
              <w:t>本项最高得</w:t>
            </w:r>
            <w:r>
              <w:rPr>
                <w:rFonts w:hint="eastAsia" w:ascii="宋体" w:hAnsi="宋体" w:cs="宋体"/>
                <w:b w:val="0"/>
                <w:bCs/>
                <w:snapToGrid w:val="0"/>
                <w:color w:val="auto"/>
                <w:kern w:val="0"/>
                <w:sz w:val="21"/>
                <w:szCs w:val="21"/>
                <w:highlight w:val="none"/>
                <w:lang w:val="en-US" w:eastAsia="zh-CN"/>
              </w:rPr>
              <w:t>5</w:t>
            </w:r>
            <w:r>
              <w:rPr>
                <w:rFonts w:hint="eastAsia" w:ascii="宋体" w:hAnsi="宋体" w:cs="宋体"/>
                <w:b w:val="0"/>
                <w:bCs/>
                <w:snapToGrid w:val="0"/>
                <w:color w:val="auto"/>
                <w:kern w:val="0"/>
                <w:sz w:val="21"/>
                <w:szCs w:val="21"/>
                <w:highlight w:val="none"/>
              </w:rPr>
              <w:t>分。</w:t>
            </w:r>
          </w:p>
        </w:tc>
        <w:tc>
          <w:tcPr>
            <w:tcW w:w="4113" w:type="dxa"/>
            <w:shd w:val="clear" w:color="auto" w:fill="auto"/>
            <w:vAlign w:val="center"/>
          </w:tcPr>
          <w:p w14:paraId="0E1B9796">
            <w:pPr>
              <w:numPr>
                <w:ilvl w:val="0"/>
                <w:numId w:val="0"/>
              </w:numPr>
              <w:spacing w:line="340" w:lineRule="exact"/>
              <w:jc w:val="left"/>
              <w:rPr>
                <w:rFonts w:hint="default" w:hAnsi="宋体" w:eastAsia="宋体" w:cs="宋体"/>
                <w:color w:val="auto"/>
                <w:sz w:val="21"/>
                <w:szCs w:val="21"/>
                <w:highlight w:val="none"/>
                <w:lang w:val="en-US" w:eastAsia="zh-CN"/>
              </w:rPr>
            </w:pPr>
            <w:r>
              <w:rPr>
                <w:rFonts w:hint="default" w:hAnsi="宋体" w:eastAsia="宋体" w:cs="宋体"/>
                <w:color w:val="auto"/>
                <w:sz w:val="21"/>
                <w:szCs w:val="21"/>
                <w:highlight w:val="none"/>
                <w:lang w:val="en-US" w:eastAsia="zh-CN"/>
              </w:rPr>
              <w:t>1.需附职称证彩色扫描件（或电子职称证书），并加盖投标人公章。</w:t>
            </w:r>
          </w:p>
          <w:p w14:paraId="77F8286E">
            <w:pPr>
              <w:numPr>
                <w:ilvl w:val="0"/>
                <w:numId w:val="0"/>
              </w:numPr>
              <w:spacing w:line="340" w:lineRule="exact"/>
              <w:jc w:val="left"/>
              <w:rPr>
                <w:rFonts w:hint="default" w:hAnsi="宋体" w:eastAsia="宋体" w:cs="宋体"/>
                <w:color w:val="auto"/>
                <w:sz w:val="21"/>
                <w:szCs w:val="21"/>
                <w:highlight w:val="none"/>
              </w:rPr>
            </w:pPr>
            <w:r>
              <w:rPr>
                <w:rFonts w:hint="default" w:hAnsi="宋体" w:eastAsia="宋体" w:cs="宋体"/>
                <w:color w:val="auto"/>
                <w:sz w:val="21"/>
                <w:szCs w:val="21"/>
                <w:highlight w:val="none"/>
              </w:rPr>
              <w:t>2.需提供各专业人员在本单位缴纳近三个月社保的证明（其中必须有</w:t>
            </w:r>
            <w:r>
              <w:rPr>
                <w:rFonts w:hint="default" w:hAnsi="宋体" w:eastAsia="宋体" w:cs="宋体"/>
                <w:color w:val="auto"/>
                <w:sz w:val="21"/>
                <w:szCs w:val="21"/>
                <w:highlight w:val="none"/>
                <w:lang w:val="en-US" w:eastAsia="zh-CN"/>
              </w:rPr>
              <w:t>2026</w:t>
            </w:r>
            <w:r>
              <w:rPr>
                <w:rFonts w:hint="default" w:hAnsi="宋体" w:eastAsia="宋体" w:cs="宋体"/>
                <w:color w:val="auto"/>
                <w:sz w:val="21"/>
                <w:szCs w:val="21"/>
                <w:highlight w:val="none"/>
              </w:rPr>
              <w:t>年</w:t>
            </w:r>
            <w:r>
              <w:rPr>
                <w:rFonts w:hint="eastAsia" w:hAnsi="宋体" w:eastAsia="宋体" w:cs="宋体"/>
                <w:color w:val="auto"/>
                <w:sz w:val="21"/>
                <w:szCs w:val="21"/>
                <w:highlight w:val="none"/>
                <w:lang w:val="en-US" w:eastAsia="zh-CN"/>
              </w:rPr>
              <w:t>8</w:t>
            </w:r>
            <w:r>
              <w:rPr>
                <w:rFonts w:hint="default" w:hAnsi="宋体" w:eastAsia="宋体" w:cs="宋体"/>
                <w:color w:val="auto"/>
                <w:sz w:val="21"/>
                <w:szCs w:val="21"/>
                <w:highlight w:val="none"/>
              </w:rPr>
              <w:t>月）彩色扫描件</w:t>
            </w:r>
            <w:r>
              <w:rPr>
                <w:rFonts w:hint="default" w:hAnsi="宋体" w:eastAsia="宋体" w:cs="宋体"/>
                <w:color w:val="auto"/>
                <w:sz w:val="21"/>
                <w:szCs w:val="21"/>
                <w:highlight w:val="none"/>
                <w:lang w:eastAsia="zh-CN"/>
              </w:rPr>
              <w:t>（</w:t>
            </w:r>
            <w:r>
              <w:rPr>
                <w:rFonts w:hint="default" w:hAnsi="宋体" w:eastAsia="宋体" w:cs="宋体"/>
                <w:color w:val="auto"/>
                <w:sz w:val="21"/>
                <w:szCs w:val="21"/>
                <w:highlight w:val="none"/>
                <w:lang w:val="en-US" w:eastAsia="zh-CN"/>
              </w:rPr>
              <w:t>或打印件</w:t>
            </w:r>
            <w:r>
              <w:rPr>
                <w:rFonts w:hint="default" w:hAnsi="宋体" w:eastAsia="宋体" w:cs="宋体"/>
                <w:color w:val="auto"/>
                <w:sz w:val="21"/>
                <w:szCs w:val="21"/>
                <w:highlight w:val="none"/>
                <w:lang w:eastAsia="zh-CN"/>
              </w:rPr>
              <w:t>）</w:t>
            </w:r>
            <w:r>
              <w:rPr>
                <w:rFonts w:hint="default" w:hAnsi="宋体" w:eastAsia="宋体" w:cs="宋体"/>
                <w:color w:val="auto"/>
                <w:sz w:val="21"/>
                <w:szCs w:val="21"/>
                <w:highlight w:val="none"/>
              </w:rPr>
              <w:t>，若是退休人员需提供退休证和返聘合同（协议）扫描件。</w:t>
            </w:r>
          </w:p>
          <w:p w14:paraId="3FC2E7BC">
            <w:pPr>
              <w:numPr>
                <w:ilvl w:val="0"/>
                <w:numId w:val="0"/>
              </w:numPr>
              <w:spacing w:line="340" w:lineRule="exact"/>
              <w:jc w:val="left"/>
              <w:rPr>
                <w:rFonts w:hint="default" w:hAnsi="宋体" w:eastAsia="宋体" w:cs="宋体"/>
                <w:color w:val="auto"/>
                <w:sz w:val="21"/>
                <w:szCs w:val="21"/>
                <w:highlight w:val="none"/>
              </w:rPr>
            </w:pPr>
            <w:r>
              <w:rPr>
                <w:rFonts w:hint="default" w:hAnsi="宋体" w:eastAsia="宋体" w:cs="宋体"/>
                <w:color w:val="auto"/>
                <w:sz w:val="21"/>
                <w:szCs w:val="21"/>
                <w:highlight w:val="none"/>
                <w:lang w:val="en-US" w:eastAsia="zh-CN"/>
              </w:rPr>
              <w:t>3.非独立法人分支机构出具社保，予以认可。</w:t>
            </w:r>
          </w:p>
        </w:tc>
      </w:tr>
      <w:tr w14:paraId="7BC7A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dxa"/>
            <w:vMerge w:val="continue"/>
            <w:vAlign w:val="center"/>
          </w:tcPr>
          <w:p w14:paraId="1A692B97">
            <w:pPr>
              <w:keepNext/>
              <w:widowControl/>
              <w:snapToGrid w:val="0"/>
              <w:spacing w:line="340" w:lineRule="exact"/>
              <w:rPr>
                <w:rFonts w:hint="default" w:hAnsi="宋体" w:eastAsia="宋体" w:cs="宋体"/>
                <w:color w:val="auto"/>
                <w:sz w:val="21"/>
                <w:szCs w:val="21"/>
                <w:highlight w:val="none"/>
              </w:rPr>
            </w:pPr>
          </w:p>
        </w:tc>
        <w:tc>
          <w:tcPr>
            <w:tcW w:w="695" w:type="dxa"/>
            <w:vMerge w:val="continue"/>
            <w:vAlign w:val="center"/>
          </w:tcPr>
          <w:p w14:paraId="2625C7C8">
            <w:pPr>
              <w:keepNext/>
              <w:widowControl/>
              <w:snapToGrid w:val="0"/>
              <w:spacing w:line="340" w:lineRule="exact"/>
              <w:rPr>
                <w:rFonts w:hint="default" w:hAnsi="宋体" w:eastAsia="宋体" w:cs="宋体"/>
                <w:color w:val="auto"/>
                <w:sz w:val="21"/>
                <w:szCs w:val="21"/>
                <w:highlight w:val="none"/>
              </w:rPr>
            </w:pPr>
          </w:p>
        </w:tc>
        <w:tc>
          <w:tcPr>
            <w:tcW w:w="655" w:type="dxa"/>
            <w:vMerge w:val="continue"/>
            <w:vAlign w:val="center"/>
          </w:tcPr>
          <w:p w14:paraId="298BE937">
            <w:pPr>
              <w:keepNext/>
              <w:widowControl/>
              <w:snapToGrid w:val="0"/>
              <w:spacing w:line="340" w:lineRule="exact"/>
              <w:rPr>
                <w:rFonts w:hint="default" w:hAnsi="宋体" w:eastAsia="宋体" w:cs="宋体"/>
                <w:color w:val="auto"/>
                <w:sz w:val="21"/>
                <w:szCs w:val="21"/>
                <w:highlight w:val="none"/>
              </w:rPr>
            </w:pPr>
          </w:p>
        </w:tc>
        <w:tc>
          <w:tcPr>
            <w:tcW w:w="1023" w:type="dxa"/>
            <w:shd w:val="clear" w:color="auto" w:fill="auto"/>
            <w:vAlign w:val="center"/>
          </w:tcPr>
          <w:p w14:paraId="3907171D">
            <w:pPr>
              <w:spacing w:line="340" w:lineRule="exact"/>
              <w:jc w:val="center"/>
              <w:rPr>
                <w:rFonts w:hint="default" w:hAnsi="宋体" w:eastAsia="宋体" w:cs="宋体"/>
                <w:color w:val="auto"/>
                <w:kern w:val="0"/>
                <w:sz w:val="21"/>
                <w:szCs w:val="21"/>
                <w:highlight w:val="none"/>
              </w:rPr>
            </w:pPr>
            <w:r>
              <w:rPr>
                <w:rFonts w:hint="default" w:hAnsi="宋体" w:eastAsia="宋体" w:cs="宋体"/>
                <w:color w:val="auto"/>
                <w:kern w:val="0"/>
                <w:sz w:val="21"/>
                <w:szCs w:val="21"/>
                <w:highlight w:val="none"/>
                <w:lang w:val="en-US" w:eastAsia="zh-CN"/>
              </w:rPr>
              <w:t>设计企业荣誉</w:t>
            </w:r>
            <w:r>
              <w:rPr>
                <w:rFonts w:hint="eastAsia" w:hAnsi="宋体" w:eastAsia="宋体" w:cs="宋体"/>
                <w:color w:val="auto"/>
                <w:kern w:val="0"/>
                <w:sz w:val="21"/>
                <w:szCs w:val="21"/>
                <w:highlight w:val="none"/>
                <w:lang w:val="en-US" w:eastAsia="zh-CN"/>
              </w:rPr>
              <w:t>（8分）</w:t>
            </w:r>
          </w:p>
        </w:tc>
        <w:tc>
          <w:tcPr>
            <w:tcW w:w="3477" w:type="dxa"/>
            <w:shd w:val="clear" w:color="auto" w:fill="auto"/>
            <w:vAlign w:val="center"/>
          </w:tcPr>
          <w:p w14:paraId="3521C7DC">
            <w:pPr>
              <w:widowControl/>
              <w:spacing w:line="340" w:lineRule="exact"/>
              <w:jc w:val="left"/>
              <w:rPr>
                <w:rFonts w:hint="default"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1.企业2023年1月1日至今</w:t>
            </w:r>
            <w:r>
              <w:rPr>
                <w:rFonts w:hint="default" w:ascii="宋体" w:hAnsi="宋体" w:eastAsia="宋体" w:cs="宋体"/>
                <w:snapToGrid w:val="0"/>
                <w:color w:val="auto"/>
                <w:kern w:val="0"/>
                <w:sz w:val="21"/>
                <w:szCs w:val="21"/>
                <w:highlight w:val="none"/>
                <w:lang w:val="en-US" w:eastAsia="zh-CN"/>
              </w:rPr>
              <w:t>获得</w:t>
            </w:r>
            <w:r>
              <w:rPr>
                <w:rFonts w:hint="eastAsia" w:ascii="宋体" w:hAnsi="宋体" w:eastAsia="宋体" w:cs="宋体"/>
                <w:snapToGrid w:val="0"/>
                <w:color w:val="auto"/>
                <w:kern w:val="0"/>
                <w:sz w:val="21"/>
                <w:szCs w:val="21"/>
                <w:highlight w:val="none"/>
                <w:lang w:val="en-US" w:eastAsia="zh-CN"/>
              </w:rPr>
              <w:t>过</w:t>
            </w:r>
            <w:r>
              <w:rPr>
                <w:rFonts w:hint="default" w:ascii="宋体" w:hAnsi="宋体" w:eastAsia="宋体" w:cs="宋体"/>
                <w:snapToGrid w:val="0"/>
                <w:color w:val="auto"/>
                <w:kern w:val="0"/>
                <w:sz w:val="21"/>
                <w:szCs w:val="21"/>
                <w:highlight w:val="none"/>
                <w:lang w:val="en-US" w:eastAsia="zh-CN"/>
              </w:rPr>
              <w:t>“高新技术企业”称号得</w:t>
            </w:r>
            <w:r>
              <w:rPr>
                <w:rFonts w:hint="eastAsia" w:hAnsi="宋体" w:eastAsia="宋体" w:cs="宋体"/>
                <w:snapToGrid w:val="0"/>
                <w:color w:val="auto"/>
                <w:kern w:val="0"/>
                <w:sz w:val="21"/>
                <w:szCs w:val="21"/>
                <w:highlight w:val="none"/>
                <w:lang w:val="en-US" w:eastAsia="zh-CN"/>
              </w:rPr>
              <w:t>4</w:t>
            </w:r>
            <w:r>
              <w:rPr>
                <w:rFonts w:hint="default" w:ascii="宋体" w:hAnsi="宋体" w:eastAsia="宋体" w:cs="宋体"/>
                <w:snapToGrid w:val="0"/>
                <w:color w:val="auto"/>
                <w:kern w:val="0"/>
                <w:sz w:val="21"/>
                <w:szCs w:val="21"/>
                <w:highlight w:val="none"/>
                <w:lang w:val="en-US" w:eastAsia="zh-CN"/>
              </w:rPr>
              <w:t>分；</w:t>
            </w:r>
          </w:p>
          <w:p w14:paraId="74C15726">
            <w:pPr>
              <w:widowControl/>
              <w:spacing w:line="340" w:lineRule="exact"/>
              <w:jc w:val="left"/>
              <w:rPr>
                <w:rFonts w:hint="default"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2.企业2023年1月1日至今</w:t>
            </w:r>
            <w:r>
              <w:rPr>
                <w:rFonts w:hint="default" w:ascii="宋体" w:hAnsi="宋体" w:eastAsia="宋体" w:cs="宋体"/>
                <w:snapToGrid w:val="0"/>
                <w:color w:val="auto"/>
                <w:kern w:val="0"/>
                <w:sz w:val="21"/>
                <w:szCs w:val="21"/>
                <w:highlight w:val="none"/>
                <w:lang w:val="en-US" w:eastAsia="zh-CN"/>
              </w:rPr>
              <w:t>获得</w:t>
            </w:r>
            <w:r>
              <w:rPr>
                <w:rFonts w:hint="eastAsia" w:ascii="宋体" w:hAnsi="宋体" w:eastAsia="宋体" w:cs="宋体"/>
                <w:snapToGrid w:val="0"/>
                <w:color w:val="auto"/>
                <w:kern w:val="0"/>
                <w:sz w:val="21"/>
                <w:szCs w:val="21"/>
                <w:highlight w:val="none"/>
                <w:lang w:val="en-US" w:eastAsia="zh-CN"/>
              </w:rPr>
              <w:t>过</w:t>
            </w:r>
            <w:r>
              <w:rPr>
                <w:rFonts w:hint="default" w:ascii="宋体" w:hAnsi="宋体" w:eastAsia="宋体" w:cs="宋体"/>
                <w:snapToGrid w:val="0"/>
                <w:color w:val="auto"/>
                <w:kern w:val="0"/>
                <w:sz w:val="21"/>
                <w:szCs w:val="21"/>
                <w:highlight w:val="none"/>
                <w:lang w:val="en-US" w:eastAsia="zh-CN"/>
              </w:rPr>
              <w:t>税务部门颁发的纳税信用“5连A企业”荣誉称号得</w:t>
            </w:r>
            <w:r>
              <w:rPr>
                <w:rFonts w:hint="eastAsia" w:hAnsi="宋体" w:eastAsia="宋体" w:cs="宋体"/>
                <w:snapToGrid w:val="0"/>
                <w:color w:val="auto"/>
                <w:kern w:val="0"/>
                <w:sz w:val="21"/>
                <w:szCs w:val="21"/>
                <w:highlight w:val="none"/>
                <w:lang w:val="en-US" w:eastAsia="zh-CN"/>
              </w:rPr>
              <w:t>4</w:t>
            </w:r>
            <w:r>
              <w:rPr>
                <w:rFonts w:hint="default" w:ascii="宋体" w:hAnsi="宋体" w:eastAsia="宋体" w:cs="宋体"/>
                <w:snapToGrid w:val="0"/>
                <w:color w:val="auto"/>
                <w:kern w:val="0"/>
                <w:sz w:val="21"/>
                <w:szCs w:val="21"/>
                <w:highlight w:val="none"/>
                <w:lang w:val="en-US" w:eastAsia="zh-CN"/>
              </w:rPr>
              <w:t>分；</w:t>
            </w:r>
          </w:p>
          <w:p w14:paraId="54CF3039">
            <w:pPr>
              <w:widowControl/>
              <w:spacing w:line="340" w:lineRule="exact"/>
              <w:jc w:val="left"/>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3.未获得以上证书的，不予计分</w:t>
            </w:r>
            <w:r>
              <w:rPr>
                <w:rFonts w:hint="eastAsia" w:hAnsi="宋体" w:eastAsia="宋体" w:cs="宋体"/>
                <w:snapToGrid w:val="0"/>
                <w:color w:val="auto"/>
                <w:kern w:val="0"/>
                <w:sz w:val="21"/>
                <w:szCs w:val="21"/>
                <w:highlight w:val="none"/>
                <w:lang w:val="en-US" w:eastAsia="zh-CN"/>
              </w:rPr>
              <w:t>；</w:t>
            </w:r>
          </w:p>
          <w:p w14:paraId="3210FDC3">
            <w:pPr>
              <w:widowControl/>
              <w:spacing w:line="340" w:lineRule="exact"/>
              <w:jc w:val="left"/>
              <w:rPr>
                <w:rFonts w:hint="default"/>
                <w:color w:val="auto"/>
                <w:highlight w:val="none"/>
                <w:lang w:val="en-US"/>
              </w:rPr>
            </w:pPr>
            <w:r>
              <w:rPr>
                <w:rFonts w:hint="eastAsia" w:hAnsi="宋体" w:eastAsia="宋体" w:cs="宋体"/>
                <w:snapToGrid w:val="0"/>
                <w:color w:val="auto"/>
                <w:kern w:val="0"/>
                <w:sz w:val="21"/>
                <w:szCs w:val="21"/>
                <w:highlight w:val="none"/>
                <w:lang w:val="en-US" w:eastAsia="zh-CN"/>
              </w:rPr>
              <w:t>4.</w:t>
            </w:r>
            <w:r>
              <w:rPr>
                <w:rFonts w:hint="eastAsia" w:ascii="宋体" w:hAnsi="宋体" w:eastAsia="宋体" w:cs="宋体"/>
                <w:snapToGrid w:val="0"/>
                <w:color w:val="auto"/>
                <w:kern w:val="0"/>
                <w:sz w:val="21"/>
                <w:szCs w:val="21"/>
                <w:highlight w:val="none"/>
                <w:lang w:val="en-US" w:eastAsia="zh-CN"/>
              </w:rPr>
              <w:t>本项最高得</w:t>
            </w:r>
            <w:r>
              <w:rPr>
                <w:rFonts w:hint="eastAsia" w:hAnsi="宋体" w:eastAsia="宋体" w:cs="宋体"/>
                <w:snapToGrid w:val="0"/>
                <w:color w:val="auto"/>
                <w:kern w:val="0"/>
                <w:sz w:val="21"/>
                <w:szCs w:val="21"/>
                <w:highlight w:val="none"/>
                <w:lang w:val="en-US" w:eastAsia="zh-CN"/>
              </w:rPr>
              <w:t>8</w:t>
            </w:r>
            <w:r>
              <w:rPr>
                <w:rFonts w:hint="eastAsia" w:ascii="宋体" w:hAnsi="宋体" w:eastAsia="宋体" w:cs="宋体"/>
                <w:snapToGrid w:val="0"/>
                <w:color w:val="auto"/>
                <w:kern w:val="0"/>
                <w:sz w:val="21"/>
                <w:szCs w:val="21"/>
                <w:highlight w:val="none"/>
                <w:lang w:val="en-US" w:eastAsia="zh-CN"/>
              </w:rPr>
              <w:t>分。</w:t>
            </w:r>
          </w:p>
        </w:tc>
        <w:tc>
          <w:tcPr>
            <w:tcW w:w="4113" w:type="dxa"/>
            <w:shd w:val="clear" w:color="auto" w:fill="auto"/>
            <w:vAlign w:val="center"/>
          </w:tcPr>
          <w:p w14:paraId="646C6A94">
            <w:pPr>
              <w:keepNext/>
              <w:widowControl/>
              <w:adjustRightInd w:val="0"/>
              <w:snapToGrid w:val="0"/>
              <w:spacing w:line="340" w:lineRule="exact"/>
              <w:rPr>
                <w:rFonts w:hint="default" w:hAnsi="宋体" w:eastAsia="宋体" w:cs="宋体"/>
                <w:color w:val="auto"/>
                <w:sz w:val="21"/>
                <w:szCs w:val="21"/>
                <w:highlight w:val="none"/>
                <w:lang w:val="en-US" w:eastAsia="zh-CN"/>
              </w:rPr>
            </w:pPr>
            <w:r>
              <w:rPr>
                <w:rFonts w:hint="default" w:hAnsi="宋体" w:eastAsia="宋体" w:cs="宋体"/>
                <w:color w:val="auto"/>
                <w:sz w:val="21"/>
                <w:szCs w:val="21"/>
                <w:highlight w:val="none"/>
                <w:lang w:val="en-US" w:eastAsia="zh-CN"/>
              </w:rPr>
              <w:t>1.需附在有效期内的认证证书彩色扫描件。</w:t>
            </w:r>
          </w:p>
          <w:p w14:paraId="04AF8EC0">
            <w:pPr>
              <w:keepNext/>
              <w:widowControl/>
              <w:adjustRightInd w:val="0"/>
              <w:snapToGrid w:val="0"/>
              <w:spacing w:line="340" w:lineRule="exact"/>
              <w:rPr>
                <w:rFonts w:hint="default" w:hAnsi="宋体" w:eastAsia="宋体" w:cs="宋体"/>
                <w:color w:val="auto"/>
                <w:sz w:val="21"/>
                <w:szCs w:val="21"/>
                <w:highlight w:val="none"/>
                <w:lang w:val="en-US" w:eastAsia="zh-CN"/>
              </w:rPr>
            </w:pPr>
            <w:r>
              <w:rPr>
                <w:rFonts w:hint="default" w:hAnsi="宋体" w:eastAsia="宋体" w:cs="宋体"/>
                <w:color w:val="auto"/>
                <w:sz w:val="21"/>
                <w:szCs w:val="21"/>
                <w:highlight w:val="none"/>
                <w:lang w:val="en-US" w:eastAsia="zh-CN"/>
              </w:rPr>
              <w:t>2.任一认证证书有以下情形之一的，该认证证书视为无效，不予计分：</w:t>
            </w:r>
          </w:p>
          <w:p w14:paraId="1BDC5FD9">
            <w:pPr>
              <w:widowControl/>
              <w:spacing w:line="340" w:lineRule="exact"/>
              <w:jc w:val="left"/>
              <w:rPr>
                <w:rFonts w:hint="eastAsia" w:hAnsi="宋体" w:eastAsia="宋体" w:cs="宋体"/>
                <w:color w:val="auto"/>
                <w:sz w:val="21"/>
                <w:szCs w:val="21"/>
                <w:highlight w:val="none"/>
                <w:lang w:val="en-US" w:eastAsia="zh-CN"/>
              </w:rPr>
            </w:pPr>
            <w:r>
              <w:rPr>
                <w:rFonts w:hint="default" w:hAnsi="宋体" w:eastAsia="宋体" w:cs="宋体"/>
                <w:color w:val="auto"/>
                <w:sz w:val="21"/>
                <w:szCs w:val="21"/>
                <w:highlight w:val="none"/>
                <w:lang w:val="en-US" w:eastAsia="zh-CN"/>
              </w:rPr>
              <w:t>①认证证书不在有效期内的</w:t>
            </w:r>
            <w:r>
              <w:rPr>
                <w:rFonts w:hint="eastAsia" w:hAnsi="宋体" w:eastAsia="宋体" w:cs="宋体"/>
                <w:color w:val="auto"/>
                <w:sz w:val="21"/>
                <w:szCs w:val="21"/>
                <w:highlight w:val="none"/>
                <w:lang w:val="en-US" w:eastAsia="zh-CN"/>
              </w:rPr>
              <w:t>；</w:t>
            </w:r>
          </w:p>
          <w:p w14:paraId="27729B59">
            <w:pPr>
              <w:widowControl/>
              <w:spacing w:line="340" w:lineRule="exact"/>
              <w:jc w:val="left"/>
              <w:rPr>
                <w:rFonts w:hint="default" w:hAnsi="宋体" w:eastAsia="宋体" w:cs="宋体"/>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②</w:t>
            </w:r>
            <w:r>
              <w:rPr>
                <w:rFonts w:hint="eastAsia" w:hAnsi="宋体" w:eastAsia="宋体" w:cs="宋体"/>
                <w:color w:val="auto"/>
                <w:sz w:val="21"/>
                <w:szCs w:val="21"/>
                <w:highlight w:val="none"/>
                <w:lang w:val="en-US" w:eastAsia="zh-CN"/>
              </w:rPr>
              <w:t>获奖时间不符合要求的。</w:t>
            </w:r>
          </w:p>
        </w:tc>
      </w:tr>
      <w:tr w14:paraId="0657B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dxa"/>
            <w:vMerge w:val="restart"/>
            <w:vAlign w:val="center"/>
          </w:tcPr>
          <w:p w14:paraId="7FA7F311">
            <w:pPr>
              <w:keepNext/>
              <w:widowControl/>
              <w:snapToGrid w:val="0"/>
              <w:spacing w:line="340" w:lineRule="exact"/>
              <w:jc w:val="center"/>
              <w:rPr>
                <w:rFonts w:hint="default" w:hAnsi="宋体" w:eastAsia="宋体" w:cs="宋体"/>
                <w:color w:val="auto"/>
                <w:sz w:val="21"/>
                <w:szCs w:val="21"/>
                <w:highlight w:val="none"/>
              </w:rPr>
            </w:pPr>
            <w:r>
              <w:rPr>
                <w:rFonts w:hAnsi="宋体" w:eastAsia="宋体" w:cs="宋体"/>
                <w:color w:val="auto"/>
                <w:sz w:val="21"/>
                <w:szCs w:val="21"/>
                <w:highlight w:val="none"/>
              </w:rPr>
              <w:t>2</w:t>
            </w:r>
          </w:p>
        </w:tc>
        <w:tc>
          <w:tcPr>
            <w:tcW w:w="695" w:type="dxa"/>
            <w:vMerge w:val="restart"/>
            <w:vAlign w:val="center"/>
          </w:tcPr>
          <w:p w14:paraId="3BC80561">
            <w:pPr>
              <w:keepNext/>
              <w:widowControl/>
              <w:snapToGrid w:val="0"/>
              <w:spacing w:line="340" w:lineRule="exact"/>
              <w:rPr>
                <w:rFonts w:hint="default" w:hAnsi="宋体" w:eastAsia="宋体" w:cs="宋体"/>
                <w:color w:val="auto"/>
                <w:sz w:val="21"/>
                <w:szCs w:val="21"/>
                <w:highlight w:val="none"/>
              </w:rPr>
            </w:pPr>
            <w:r>
              <w:rPr>
                <w:rFonts w:hAnsi="宋体" w:eastAsia="宋体" w:cs="宋体"/>
                <w:color w:val="auto"/>
                <w:sz w:val="21"/>
                <w:szCs w:val="21"/>
                <w:highlight w:val="none"/>
              </w:rPr>
              <w:t>投标报价得分</w:t>
            </w:r>
          </w:p>
          <w:p w14:paraId="26BAA6C9">
            <w:pPr>
              <w:keepNext/>
              <w:widowControl/>
              <w:snapToGrid w:val="0"/>
              <w:spacing w:line="340" w:lineRule="exact"/>
              <w:rPr>
                <w:rFonts w:hint="default" w:hAnsi="宋体" w:eastAsia="宋体" w:cs="宋体"/>
                <w:color w:val="auto"/>
                <w:sz w:val="21"/>
                <w:szCs w:val="21"/>
                <w:highlight w:val="none"/>
              </w:rPr>
            </w:pPr>
            <w:r>
              <w:rPr>
                <w:rFonts w:hAnsi="宋体" w:eastAsia="宋体" w:cs="宋体"/>
                <w:color w:val="auto"/>
                <w:sz w:val="21"/>
                <w:szCs w:val="21"/>
                <w:highlight w:val="none"/>
              </w:rPr>
              <w:t>（30分）</w:t>
            </w:r>
          </w:p>
        </w:tc>
        <w:tc>
          <w:tcPr>
            <w:tcW w:w="655" w:type="dxa"/>
            <w:vAlign w:val="center"/>
          </w:tcPr>
          <w:p w14:paraId="7193ACC0">
            <w:pPr>
              <w:keepNext/>
              <w:widowControl/>
              <w:spacing w:line="340" w:lineRule="exact"/>
              <w:outlineLvl w:val="3"/>
              <w:rPr>
                <w:rFonts w:hint="default" w:hAnsi="宋体" w:eastAsia="宋体" w:cs="宋体"/>
                <w:color w:val="auto"/>
                <w:sz w:val="21"/>
                <w:szCs w:val="21"/>
                <w:highlight w:val="none"/>
              </w:rPr>
            </w:pPr>
            <w:r>
              <w:rPr>
                <w:rFonts w:hAnsi="宋体" w:eastAsia="宋体" w:cs="宋体"/>
                <w:color w:val="auto"/>
                <w:sz w:val="21"/>
                <w:szCs w:val="21"/>
                <w:highlight w:val="none"/>
              </w:rPr>
              <w:t>评标基准价D</w:t>
            </w:r>
          </w:p>
        </w:tc>
        <w:tc>
          <w:tcPr>
            <w:tcW w:w="8613" w:type="dxa"/>
            <w:gridSpan w:val="3"/>
            <w:vAlign w:val="center"/>
          </w:tcPr>
          <w:p w14:paraId="4BA093FA">
            <w:pPr>
              <w:keepNext/>
              <w:widowControl/>
              <w:snapToGrid w:val="0"/>
              <w:spacing w:line="340" w:lineRule="exact"/>
              <w:rPr>
                <w:rFonts w:hint="default" w:hAnsi="宋体" w:eastAsia="宋体" w:cs="宋体"/>
                <w:color w:val="auto"/>
                <w:sz w:val="21"/>
                <w:szCs w:val="21"/>
                <w:highlight w:val="none"/>
              </w:rPr>
            </w:pPr>
            <w:r>
              <w:rPr>
                <w:rFonts w:hAnsi="宋体" w:eastAsia="宋体" w:cs="宋体"/>
                <w:color w:val="auto"/>
                <w:sz w:val="21"/>
                <w:szCs w:val="21"/>
                <w:highlight w:val="none"/>
              </w:rPr>
              <w:t>（1）确定招标控制价下浮系数n：用1～21号球分别代表一个下浮系数，由评委代表从这21个号码中随机抽取3次，每次抽取1个号码，抽出的号球不参与下次抽取。所抽取的3个号码对应下浮系数的算术平均值作为招标控制价下浮系数n。具体号码对应的下浮系数可参考下表。</w:t>
            </w:r>
          </w:p>
          <w:tbl>
            <w:tblPr>
              <w:tblStyle w:val="24"/>
              <w:tblW w:w="8016" w:type="dxa"/>
              <w:tblInd w:w="113" w:type="dxa"/>
              <w:shd w:val="clear" w:color="auto" w:fill="FFFFFF"/>
              <w:tblLayout w:type="fixed"/>
              <w:tblCellMar>
                <w:top w:w="0" w:type="dxa"/>
                <w:left w:w="108" w:type="dxa"/>
                <w:bottom w:w="0" w:type="dxa"/>
                <w:right w:w="108" w:type="dxa"/>
              </w:tblCellMar>
            </w:tblPr>
            <w:tblGrid>
              <w:gridCol w:w="1534"/>
              <w:gridCol w:w="921"/>
              <w:gridCol w:w="828"/>
              <w:gridCol w:w="958"/>
              <w:gridCol w:w="905"/>
              <w:gridCol w:w="1056"/>
              <w:gridCol w:w="994"/>
              <w:gridCol w:w="820"/>
            </w:tblGrid>
            <w:tr w14:paraId="0850277F">
              <w:tblPrEx>
                <w:tblCellMar>
                  <w:top w:w="0" w:type="dxa"/>
                  <w:left w:w="108" w:type="dxa"/>
                  <w:bottom w:w="0" w:type="dxa"/>
                  <w:right w:w="108" w:type="dxa"/>
                </w:tblCellMar>
              </w:tblPrEx>
              <w:trPr>
                <w:trHeight w:val="305" w:hRule="atLeast"/>
              </w:trPr>
              <w:tc>
                <w:tcPr>
                  <w:tcW w:w="15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69468">
                  <w:pPr>
                    <w:keepNext/>
                    <w:widowControl/>
                    <w:snapToGrid w:val="0"/>
                    <w:spacing w:line="340" w:lineRule="exact"/>
                    <w:rPr>
                      <w:rFonts w:hint="default" w:hAnsi="宋体" w:eastAsia="宋体" w:cs="宋体"/>
                      <w:color w:val="auto"/>
                      <w:sz w:val="21"/>
                      <w:szCs w:val="21"/>
                      <w:highlight w:val="none"/>
                    </w:rPr>
                  </w:pPr>
                  <w:r>
                    <w:rPr>
                      <w:rFonts w:hAnsi="宋体" w:eastAsia="宋体" w:cs="宋体"/>
                      <w:color w:val="auto"/>
                      <w:sz w:val="21"/>
                      <w:szCs w:val="21"/>
                      <w:highlight w:val="none"/>
                    </w:rPr>
                    <w:t>号球</w:t>
                  </w:r>
                </w:p>
              </w:tc>
              <w:tc>
                <w:tcPr>
                  <w:tcW w:w="9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A64AA">
                  <w:pPr>
                    <w:keepNext/>
                    <w:widowControl/>
                    <w:snapToGrid w:val="0"/>
                    <w:spacing w:line="340" w:lineRule="exact"/>
                    <w:jc w:val="center"/>
                    <w:rPr>
                      <w:rFonts w:hint="default" w:hAnsi="宋体" w:eastAsia="宋体" w:cs="宋体"/>
                      <w:color w:val="auto"/>
                      <w:sz w:val="21"/>
                      <w:szCs w:val="21"/>
                      <w:highlight w:val="none"/>
                    </w:rPr>
                  </w:pPr>
                  <w:r>
                    <w:rPr>
                      <w:rFonts w:hAnsi="宋体" w:eastAsia="宋体" w:cs="宋体"/>
                      <w:color w:val="auto"/>
                      <w:sz w:val="21"/>
                      <w:szCs w:val="21"/>
                      <w:highlight w:val="none"/>
                    </w:rPr>
                    <w:t>1</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28E34">
                  <w:pPr>
                    <w:keepNext/>
                    <w:widowControl/>
                    <w:snapToGrid w:val="0"/>
                    <w:spacing w:line="340" w:lineRule="exact"/>
                    <w:jc w:val="center"/>
                    <w:rPr>
                      <w:rFonts w:hint="default" w:hAnsi="宋体" w:eastAsia="宋体" w:cs="宋体"/>
                      <w:color w:val="auto"/>
                      <w:sz w:val="21"/>
                      <w:szCs w:val="21"/>
                      <w:highlight w:val="none"/>
                    </w:rPr>
                  </w:pPr>
                  <w:r>
                    <w:rPr>
                      <w:rFonts w:hAnsi="宋体" w:eastAsia="宋体" w:cs="宋体"/>
                      <w:color w:val="auto"/>
                      <w:sz w:val="21"/>
                      <w:szCs w:val="21"/>
                      <w:highlight w:val="none"/>
                    </w:rPr>
                    <w:t>2</w:t>
                  </w:r>
                </w:p>
              </w:tc>
              <w:tc>
                <w:tcPr>
                  <w:tcW w:w="9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72F05">
                  <w:pPr>
                    <w:keepNext/>
                    <w:widowControl/>
                    <w:snapToGrid w:val="0"/>
                    <w:spacing w:line="340" w:lineRule="exact"/>
                    <w:jc w:val="center"/>
                    <w:rPr>
                      <w:rFonts w:hint="default" w:hAnsi="宋体" w:eastAsia="宋体" w:cs="宋体"/>
                      <w:color w:val="auto"/>
                      <w:sz w:val="21"/>
                      <w:szCs w:val="21"/>
                      <w:highlight w:val="none"/>
                    </w:rPr>
                  </w:pPr>
                  <w:r>
                    <w:rPr>
                      <w:rFonts w:hAnsi="宋体" w:eastAsia="宋体" w:cs="宋体"/>
                      <w:color w:val="auto"/>
                      <w:sz w:val="21"/>
                      <w:szCs w:val="21"/>
                      <w:highlight w:val="none"/>
                    </w:rPr>
                    <w:t>3</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EF7CF">
                  <w:pPr>
                    <w:keepNext/>
                    <w:widowControl/>
                    <w:snapToGrid w:val="0"/>
                    <w:spacing w:line="340" w:lineRule="exact"/>
                    <w:jc w:val="center"/>
                    <w:rPr>
                      <w:rFonts w:hint="default" w:hAnsi="宋体" w:eastAsia="宋体" w:cs="宋体"/>
                      <w:color w:val="auto"/>
                      <w:sz w:val="21"/>
                      <w:szCs w:val="21"/>
                      <w:highlight w:val="none"/>
                    </w:rPr>
                  </w:pPr>
                  <w:r>
                    <w:rPr>
                      <w:rFonts w:hAnsi="宋体" w:eastAsia="宋体" w:cs="宋体"/>
                      <w:color w:val="auto"/>
                      <w:sz w:val="21"/>
                      <w:szCs w:val="21"/>
                      <w:highlight w:val="none"/>
                    </w:rPr>
                    <w:t>4</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00DE3">
                  <w:pPr>
                    <w:keepNext/>
                    <w:widowControl/>
                    <w:snapToGrid w:val="0"/>
                    <w:spacing w:line="340" w:lineRule="exact"/>
                    <w:jc w:val="center"/>
                    <w:rPr>
                      <w:rFonts w:hint="default" w:hAnsi="宋体" w:eastAsia="宋体" w:cs="宋体"/>
                      <w:color w:val="auto"/>
                      <w:sz w:val="21"/>
                      <w:szCs w:val="21"/>
                      <w:highlight w:val="none"/>
                    </w:rPr>
                  </w:pPr>
                  <w:r>
                    <w:rPr>
                      <w:rFonts w:hAnsi="宋体" w:eastAsia="宋体" w:cs="宋体"/>
                      <w:color w:val="auto"/>
                      <w:sz w:val="21"/>
                      <w:szCs w:val="21"/>
                      <w:highlight w:val="none"/>
                    </w:rPr>
                    <w:t>5</w:t>
                  </w:r>
                </w:p>
              </w:tc>
              <w:tc>
                <w:tcPr>
                  <w:tcW w:w="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C4DF6">
                  <w:pPr>
                    <w:keepNext/>
                    <w:widowControl/>
                    <w:snapToGrid w:val="0"/>
                    <w:spacing w:line="340" w:lineRule="exact"/>
                    <w:jc w:val="center"/>
                    <w:rPr>
                      <w:rFonts w:hint="default" w:hAnsi="宋体" w:eastAsia="宋体" w:cs="宋体"/>
                      <w:color w:val="auto"/>
                      <w:sz w:val="21"/>
                      <w:szCs w:val="21"/>
                      <w:highlight w:val="none"/>
                    </w:rPr>
                  </w:pPr>
                  <w:r>
                    <w:rPr>
                      <w:rFonts w:hAnsi="宋体" w:eastAsia="宋体" w:cs="宋体"/>
                      <w:color w:val="auto"/>
                      <w:sz w:val="21"/>
                      <w:szCs w:val="21"/>
                      <w:highlight w:val="none"/>
                    </w:rPr>
                    <w:t>6</w:t>
                  </w:r>
                </w:p>
              </w:tc>
              <w:tc>
                <w:tcPr>
                  <w:tcW w:w="8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BBCA1">
                  <w:pPr>
                    <w:keepNext/>
                    <w:widowControl/>
                    <w:snapToGrid w:val="0"/>
                    <w:spacing w:line="340" w:lineRule="exact"/>
                    <w:jc w:val="center"/>
                    <w:rPr>
                      <w:rFonts w:hint="default" w:hAnsi="宋体" w:eastAsia="宋体" w:cs="宋体"/>
                      <w:color w:val="auto"/>
                      <w:sz w:val="21"/>
                      <w:szCs w:val="21"/>
                      <w:highlight w:val="none"/>
                    </w:rPr>
                  </w:pPr>
                  <w:r>
                    <w:rPr>
                      <w:rFonts w:hAnsi="宋体" w:eastAsia="宋体" w:cs="宋体"/>
                      <w:color w:val="auto"/>
                      <w:sz w:val="21"/>
                      <w:szCs w:val="21"/>
                      <w:highlight w:val="none"/>
                    </w:rPr>
                    <w:t>7</w:t>
                  </w:r>
                </w:p>
              </w:tc>
            </w:tr>
            <w:tr w14:paraId="52232D88">
              <w:tblPrEx>
                <w:tblCellMar>
                  <w:top w:w="0" w:type="dxa"/>
                  <w:left w:w="108" w:type="dxa"/>
                  <w:bottom w:w="0" w:type="dxa"/>
                  <w:right w:w="108" w:type="dxa"/>
                </w:tblCellMar>
              </w:tblPrEx>
              <w:trPr>
                <w:trHeight w:val="314" w:hRule="atLeast"/>
              </w:trPr>
              <w:tc>
                <w:tcPr>
                  <w:tcW w:w="15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2D11C">
                  <w:pPr>
                    <w:keepNext/>
                    <w:widowControl/>
                    <w:snapToGrid w:val="0"/>
                    <w:spacing w:line="340" w:lineRule="exact"/>
                    <w:rPr>
                      <w:rFonts w:hint="default" w:hAnsi="宋体" w:eastAsia="宋体" w:cs="宋体"/>
                      <w:color w:val="auto"/>
                      <w:sz w:val="21"/>
                      <w:szCs w:val="21"/>
                      <w:highlight w:val="none"/>
                    </w:rPr>
                  </w:pPr>
                  <w:r>
                    <w:rPr>
                      <w:rFonts w:hAnsi="宋体" w:eastAsia="宋体" w:cs="宋体"/>
                      <w:color w:val="auto"/>
                      <w:sz w:val="21"/>
                      <w:szCs w:val="21"/>
                      <w:highlight w:val="none"/>
                    </w:rPr>
                    <w:t>下浮系数（%）</w:t>
                  </w:r>
                </w:p>
              </w:tc>
              <w:tc>
                <w:tcPr>
                  <w:tcW w:w="9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E622F">
                  <w:pPr>
                    <w:keepNext/>
                    <w:widowControl/>
                    <w:spacing w:line="340" w:lineRule="exact"/>
                    <w:jc w:val="center"/>
                    <w:rPr>
                      <w:rFonts w:hint="default" w:hAnsi="宋体" w:eastAsia="宋体" w:cs="宋体"/>
                      <w:color w:val="auto"/>
                      <w:sz w:val="21"/>
                      <w:szCs w:val="21"/>
                      <w:highlight w:val="none"/>
                    </w:rPr>
                  </w:pPr>
                  <w:r>
                    <w:rPr>
                      <w:rFonts w:hAnsi="宋体" w:eastAsia="宋体" w:cs="宋体"/>
                      <w:b/>
                      <w:bCs/>
                      <w:color w:val="auto"/>
                      <w:sz w:val="21"/>
                      <w:szCs w:val="21"/>
                      <w:highlight w:val="none"/>
                    </w:rPr>
                    <w:t>1.0</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12C6A">
                  <w:pPr>
                    <w:keepNext/>
                    <w:widowControl/>
                    <w:spacing w:line="340" w:lineRule="exact"/>
                    <w:jc w:val="center"/>
                    <w:rPr>
                      <w:rFonts w:hint="default" w:hAnsi="宋体" w:eastAsia="宋体" w:cs="宋体"/>
                      <w:color w:val="auto"/>
                      <w:sz w:val="21"/>
                      <w:szCs w:val="21"/>
                      <w:highlight w:val="none"/>
                    </w:rPr>
                  </w:pPr>
                  <w:r>
                    <w:rPr>
                      <w:rFonts w:hAnsi="宋体" w:eastAsia="宋体" w:cs="宋体"/>
                      <w:b/>
                      <w:bCs/>
                      <w:color w:val="auto"/>
                      <w:sz w:val="21"/>
                      <w:szCs w:val="21"/>
                      <w:highlight w:val="none"/>
                    </w:rPr>
                    <w:t>1.1</w:t>
                  </w:r>
                </w:p>
              </w:tc>
              <w:tc>
                <w:tcPr>
                  <w:tcW w:w="9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0400C">
                  <w:pPr>
                    <w:keepNext/>
                    <w:widowControl/>
                    <w:spacing w:line="340" w:lineRule="exact"/>
                    <w:jc w:val="center"/>
                    <w:rPr>
                      <w:rFonts w:hint="default" w:hAnsi="宋体" w:eastAsia="宋体" w:cs="宋体"/>
                      <w:color w:val="auto"/>
                      <w:sz w:val="21"/>
                      <w:szCs w:val="21"/>
                      <w:highlight w:val="none"/>
                    </w:rPr>
                  </w:pPr>
                  <w:r>
                    <w:rPr>
                      <w:rFonts w:hAnsi="宋体" w:eastAsia="宋体" w:cs="宋体"/>
                      <w:b/>
                      <w:bCs/>
                      <w:color w:val="auto"/>
                      <w:sz w:val="21"/>
                      <w:szCs w:val="21"/>
                      <w:highlight w:val="none"/>
                    </w:rPr>
                    <w:t>1.2</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FAD3C">
                  <w:pPr>
                    <w:keepNext/>
                    <w:widowControl/>
                    <w:spacing w:line="340" w:lineRule="exact"/>
                    <w:jc w:val="center"/>
                    <w:rPr>
                      <w:rFonts w:hint="default" w:hAnsi="宋体" w:eastAsia="宋体" w:cs="宋体"/>
                      <w:color w:val="auto"/>
                      <w:sz w:val="21"/>
                      <w:szCs w:val="21"/>
                      <w:highlight w:val="none"/>
                    </w:rPr>
                  </w:pPr>
                  <w:r>
                    <w:rPr>
                      <w:rFonts w:hAnsi="宋体" w:eastAsia="宋体" w:cs="宋体"/>
                      <w:b/>
                      <w:bCs/>
                      <w:color w:val="auto"/>
                      <w:sz w:val="21"/>
                      <w:szCs w:val="21"/>
                      <w:highlight w:val="none"/>
                    </w:rPr>
                    <w:t>1.3</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5692F">
                  <w:pPr>
                    <w:keepNext/>
                    <w:widowControl/>
                    <w:spacing w:line="340" w:lineRule="exact"/>
                    <w:jc w:val="center"/>
                    <w:rPr>
                      <w:rFonts w:hint="default" w:hAnsi="宋体" w:eastAsia="宋体" w:cs="宋体"/>
                      <w:color w:val="auto"/>
                      <w:sz w:val="21"/>
                      <w:szCs w:val="21"/>
                      <w:highlight w:val="none"/>
                    </w:rPr>
                  </w:pPr>
                  <w:r>
                    <w:rPr>
                      <w:rFonts w:hAnsi="宋体" w:eastAsia="宋体" w:cs="宋体"/>
                      <w:b/>
                      <w:bCs/>
                      <w:color w:val="auto"/>
                      <w:sz w:val="21"/>
                      <w:szCs w:val="21"/>
                      <w:highlight w:val="none"/>
                    </w:rPr>
                    <w:t>1.4</w:t>
                  </w:r>
                </w:p>
              </w:tc>
              <w:tc>
                <w:tcPr>
                  <w:tcW w:w="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26573">
                  <w:pPr>
                    <w:keepNext/>
                    <w:widowControl/>
                    <w:spacing w:line="340" w:lineRule="exact"/>
                    <w:jc w:val="center"/>
                    <w:rPr>
                      <w:rFonts w:hint="default" w:hAnsi="宋体" w:eastAsia="宋体" w:cs="宋体"/>
                      <w:color w:val="auto"/>
                      <w:sz w:val="21"/>
                      <w:szCs w:val="21"/>
                      <w:highlight w:val="none"/>
                    </w:rPr>
                  </w:pPr>
                  <w:r>
                    <w:rPr>
                      <w:rFonts w:hAnsi="宋体" w:eastAsia="宋体" w:cs="宋体"/>
                      <w:b/>
                      <w:bCs/>
                      <w:color w:val="auto"/>
                      <w:sz w:val="21"/>
                      <w:szCs w:val="21"/>
                      <w:highlight w:val="none"/>
                    </w:rPr>
                    <w:t>1.5</w:t>
                  </w:r>
                </w:p>
              </w:tc>
              <w:tc>
                <w:tcPr>
                  <w:tcW w:w="8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3ACA4">
                  <w:pPr>
                    <w:keepNext/>
                    <w:widowControl/>
                    <w:spacing w:line="340" w:lineRule="exact"/>
                    <w:jc w:val="center"/>
                    <w:rPr>
                      <w:rFonts w:hint="default" w:hAnsi="宋体" w:eastAsia="宋体" w:cs="宋体"/>
                      <w:color w:val="auto"/>
                      <w:sz w:val="21"/>
                      <w:szCs w:val="21"/>
                      <w:highlight w:val="none"/>
                    </w:rPr>
                  </w:pPr>
                  <w:r>
                    <w:rPr>
                      <w:rFonts w:hAnsi="宋体" w:eastAsia="宋体" w:cs="宋体"/>
                      <w:b/>
                      <w:bCs/>
                      <w:color w:val="auto"/>
                      <w:sz w:val="21"/>
                      <w:szCs w:val="21"/>
                      <w:highlight w:val="none"/>
                    </w:rPr>
                    <w:t>1.6</w:t>
                  </w:r>
                </w:p>
              </w:tc>
            </w:tr>
            <w:tr w14:paraId="18945D7F">
              <w:tblPrEx>
                <w:tblCellMar>
                  <w:top w:w="0" w:type="dxa"/>
                  <w:left w:w="108" w:type="dxa"/>
                  <w:bottom w:w="0" w:type="dxa"/>
                  <w:right w:w="108" w:type="dxa"/>
                </w:tblCellMar>
              </w:tblPrEx>
              <w:trPr>
                <w:trHeight w:val="317" w:hRule="atLeast"/>
              </w:trPr>
              <w:tc>
                <w:tcPr>
                  <w:tcW w:w="15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3E51D">
                  <w:pPr>
                    <w:keepNext/>
                    <w:widowControl/>
                    <w:snapToGrid w:val="0"/>
                    <w:spacing w:line="340" w:lineRule="exact"/>
                    <w:rPr>
                      <w:rFonts w:hint="default" w:hAnsi="宋体" w:eastAsia="宋体" w:cs="宋体"/>
                      <w:color w:val="auto"/>
                      <w:sz w:val="21"/>
                      <w:szCs w:val="21"/>
                      <w:highlight w:val="none"/>
                    </w:rPr>
                  </w:pPr>
                  <w:r>
                    <w:rPr>
                      <w:rFonts w:hAnsi="宋体" w:eastAsia="宋体" w:cs="宋体"/>
                      <w:color w:val="auto"/>
                      <w:sz w:val="21"/>
                      <w:szCs w:val="21"/>
                      <w:highlight w:val="none"/>
                    </w:rPr>
                    <w:t>号球</w:t>
                  </w:r>
                </w:p>
              </w:tc>
              <w:tc>
                <w:tcPr>
                  <w:tcW w:w="9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79B6C">
                  <w:pPr>
                    <w:keepNext/>
                    <w:widowControl/>
                    <w:snapToGrid w:val="0"/>
                    <w:spacing w:line="340" w:lineRule="exact"/>
                    <w:jc w:val="center"/>
                    <w:rPr>
                      <w:rFonts w:hint="default" w:hAnsi="宋体" w:eastAsia="宋体" w:cs="宋体"/>
                      <w:color w:val="auto"/>
                      <w:sz w:val="21"/>
                      <w:szCs w:val="21"/>
                      <w:highlight w:val="none"/>
                    </w:rPr>
                  </w:pPr>
                  <w:r>
                    <w:rPr>
                      <w:rFonts w:hAnsi="宋体" w:eastAsia="宋体" w:cs="宋体"/>
                      <w:color w:val="auto"/>
                      <w:sz w:val="21"/>
                      <w:szCs w:val="21"/>
                      <w:highlight w:val="none"/>
                    </w:rPr>
                    <w:t>8</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D9835">
                  <w:pPr>
                    <w:keepNext/>
                    <w:widowControl/>
                    <w:snapToGrid w:val="0"/>
                    <w:spacing w:line="340" w:lineRule="exact"/>
                    <w:jc w:val="center"/>
                    <w:rPr>
                      <w:rFonts w:hint="default" w:hAnsi="宋体" w:eastAsia="宋体" w:cs="宋体"/>
                      <w:color w:val="auto"/>
                      <w:sz w:val="21"/>
                      <w:szCs w:val="21"/>
                      <w:highlight w:val="none"/>
                    </w:rPr>
                  </w:pPr>
                  <w:r>
                    <w:rPr>
                      <w:rFonts w:hAnsi="宋体" w:eastAsia="宋体" w:cs="宋体"/>
                      <w:color w:val="auto"/>
                      <w:sz w:val="21"/>
                      <w:szCs w:val="21"/>
                      <w:highlight w:val="none"/>
                    </w:rPr>
                    <w:t>9</w:t>
                  </w:r>
                </w:p>
              </w:tc>
              <w:tc>
                <w:tcPr>
                  <w:tcW w:w="9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AF2C5">
                  <w:pPr>
                    <w:keepNext/>
                    <w:widowControl/>
                    <w:snapToGrid w:val="0"/>
                    <w:spacing w:line="340" w:lineRule="exact"/>
                    <w:jc w:val="center"/>
                    <w:rPr>
                      <w:rFonts w:hint="default" w:hAnsi="宋体" w:eastAsia="宋体" w:cs="宋体"/>
                      <w:color w:val="auto"/>
                      <w:sz w:val="21"/>
                      <w:szCs w:val="21"/>
                      <w:highlight w:val="none"/>
                    </w:rPr>
                  </w:pPr>
                  <w:r>
                    <w:rPr>
                      <w:rFonts w:hAnsi="宋体" w:eastAsia="宋体" w:cs="宋体"/>
                      <w:color w:val="auto"/>
                      <w:sz w:val="21"/>
                      <w:szCs w:val="21"/>
                      <w:highlight w:val="none"/>
                    </w:rPr>
                    <w:t>10</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CC6FE">
                  <w:pPr>
                    <w:keepNext/>
                    <w:widowControl/>
                    <w:snapToGrid w:val="0"/>
                    <w:spacing w:line="340" w:lineRule="exact"/>
                    <w:jc w:val="center"/>
                    <w:rPr>
                      <w:rFonts w:hint="default" w:hAnsi="宋体" w:eastAsia="宋体" w:cs="宋体"/>
                      <w:color w:val="auto"/>
                      <w:sz w:val="21"/>
                      <w:szCs w:val="21"/>
                      <w:highlight w:val="none"/>
                    </w:rPr>
                  </w:pPr>
                  <w:r>
                    <w:rPr>
                      <w:rFonts w:hAnsi="宋体" w:eastAsia="宋体" w:cs="宋体"/>
                      <w:color w:val="auto"/>
                      <w:sz w:val="21"/>
                      <w:szCs w:val="21"/>
                      <w:highlight w:val="none"/>
                    </w:rPr>
                    <w:t>11</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731A2">
                  <w:pPr>
                    <w:keepNext/>
                    <w:widowControl/>
                    <w:snapToGrid w:val="0"/>
                    <w:spacing w:line="340" w:lineRule="exact"/>
                    <w:jc w:val="center"/>
                    <w:rPr>
                      <w:rFonts w:hint="default" w:hAnsi="宋体" w:eastAsia="宋体" w:cs="宋体"/>
                      <w:color w:val="auto"/>
                      <w:sz w:val="21"/>
                      <w:szCs w:val="21"/>
                      <w:highlight w:val="none"/>
                    </w:rPr>
                  </w:pPr>
                  <w:r>
                    <w:rPr>
                      <w:rFonts w:hAnsi="宋体" w:eastAsia="宋体" w:cs="宋体"/>
                      <w:color w:val="auto"/>
                      <w:sz w:val="21"/>
                      <w:szCs w:val="21"/>
                      <w:highlight w:val="none"/>
                    </w:rPr>
                    <w:t>12</w:t>
                  </w:r>
                </w:p>
              </w:tc>
              <w:tc>
                <w:tcPr>
                  <w:tcW w:w="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99C8C">
                  <w:pPr>
                    <w:keepNext/>
                    <w:widowControl/>
                    <w:snapToGrid w:val="0"/>
                    <w:spacing w:line="340" w:lineRule="exact"/>
                    <w:jc w:val="center"/>
                    <w:rPr>
                      <w:rFonts w:hint="default" w:hAnsi="宋体" w:eastAsia="宋体" w:cs="宋体"/>
                      <w:color w:val="auto"/>
                      <w:sz w:val="21"/>
                      <w:szCs w:val="21"/>
                      <w:highlight w:val="none"/>
                    </w:rPr>
                  </w:pPr>
                  <w:r>
                    <w:rPr>
                      <w:rFonts w:hAnsi="宋体" w:eastAsia="宋体" w:cs="宋体"/>
                      <w:color w:val="auto"/>
                      <w:sz w:val="21"/>
                      <w:szCs w:val="21"/>
                      <w:highlight w:val="none"/>
                    </w:rPr>
                    <w:t>13</w:t>
                  </w:r>
                </w:p>
              </w:tc>
              <w:tc>
                <w:tcPr>
                  <w:tcW w:w="8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B1AF7">
                  <w:pPr>
                    <w:keepNext/>
                    <w:widowControl/>
                    <w:snapToGrid w:val="0"/>
                    <w:spacing w:line="340" w:lineRule="exact"/>
                    <w:jc w:val="center"/>
                    <w:rPr>
                      <w:rFonts w:hint="default" w:hAnsi="宋体" w:eastAsia="宋体" w:cs="宋体"/>
                      <w:color w:val="auto"/>
                      <w:sz w:val="21"/>
                      <w:szCs w:val="21"/>
                      <w:highlight w:val="none"/>
                    </w:rPr>
                  </w:pPr>
                  <w:r>
                    <w:rPr>
                      <w:rFonts w:hAnsi="宋体" w:eastAsia="宋体" w:cs="宋体"/>
                      <w:color w:val="auto"/>
                      <w:sz w:val="21"/>
                      <w:szCs w:val="21"/>
                      <w:highlight w:val="none"/>
                    </w:rPr>
                    <w:t>14</w:t>
                  </w:r>
                </w:p>
              </w:tc>
            </w:tr>
            <w:tr w14:paraId="6A19D800">
              <w:tblPrEx>
                <w:shd w:val="clear" w:color="auto" w:fill="FFFFFF"/>
                <w:tblCellMar>
                  <w:top w:w="0" w:type="dxa"/>
                  <w:left w:w="108" w:type="dxa"/>
                  <w:bottom w:w="0" w:type="dxa"/>
                  <w:right w:w="108" w:type="dxa"/>
                </w:tblCellMar>
              </w:tblPrEx>
              <w:trPr>
                <w:trHeight w:val="314" w:hRule="atLeast"/>
              </w:trPr>
              <w:tc>
                <w:tcPr>
                  <w:tcW w:w="15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ECEB2">
                  <w:pPr>
                    <w:keepNext/>
                    <w:widowControl/>
                    <w:snapToGrid w:val="0"/>
                    <w:spacing w:line="340" w:lineRule="exact"/>
                    <w:rPr>
                      <w:rFonts w:hint="default" w:hAnsi="宋体" w:eastAsia="宋体" w:cs="宋体"/>
                      <w:color w:val="auto"/>
                      <w:sz w:val="21"/>
                      <w:szCs w:val="21"/>
                      <w:highlight w:val="none"/>
                    </w:rPr>
                  </w:pPr>
                  <w:r>
                    <w:rPr>
                      <w:rFonts w:hAnsi="宋体" w:eastAsia="宋体" w:cs="宋体"/>
                      <w:color w:val="auto"/>
                      <w:sz w:val="21"/>
                      <w:szCs w:val="21"/>
                      <w:highlight w:val="none"/>
                    </w:rPr>
                    <w:t>下浮系数（%）</w:t>
                  </w:r>
                </w:p>
              </w:tc>
              <w:tc>
                <w:tcPr>
                  <w:tcW w:w="9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F25DA">
                  <w:pPr>
                    <w:keepNext/>
                    <w:widowControl/>
                    <w:spacing w:line="340" w:lineRule="exact"/>
                    <w:jc w:val="center"/>
                    <w:rPr>
                      <w:rFonts w:hint="default" w:hAnsi="宋体" w:eastAsia="宋体" w:cs="宋体"/>
                      <w:color w:val="auto"/>
                      <w:sz w:val="21"/>
                      <w:szCs w:val="21"/>
                      <w:highlight w:val="none"/>
                    </w:rPr>
                  </w:pPr>
                  <w:r>
                    <w:rPr>
                      <w:rFonts w:hAnsi="宋体" w:eastAsia="宋体" w:cs="宋体"/>
                      <w:b/>
                      <w:bCs/>
                      <w:color w:val="auto"/>
                      <w:sz w:val="21"/>
                      <w:szCs w:val="21"/>
                      <w:highlight w:val="none"/>
                    </w:rPr>
                    <w:t>1.7</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B4DE3">
                  <w:pPr>
                    <w:keepNext/>
                    <w:widowControl/>
                    <w:spacing w:line="340" w:lineRule="exact"/>
                    <w:jc w:val="center"/>
                    <w:rPr>
                      <w:rFonts w:hint="default" w:hAnsi="宋体" w:eastAsia="宋体" w:cs="宋体"/>
                      <w:color w:val="auto"/>
                      <w:sz w:val="21"/>
                      <w:szCs w:val="21"/>
                      <w:highlight w:val="none"/>
                    </w:rPr>
                  </w:pPr>
                  <w:r>
                    <w:rPr>
                      <w:rFonts w:hAnsi="宋体" w:eastAsia="宋体" w:cs="宋体"/>
                      <w:b/>
                      <w:bCs/>
                      <w:color w:val="auto"/>
                      <w:sz w:val="21"/>
                      <w:szCs w:val="21"/>
                      <w:highlight w:val="none"/>
                    </w:rPr>
                    <w:t>1.8</w:t>
                  </w:r>
                </w:p>
              </w:tc>
              <w:tc>
                <w:tcPr>
                  <w:tcW w:w="9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6C1E1">
                  <w:pPr>
                    <w:keepNext/>
                    <w:widowControl/>
                    <w:spacing w:line="340" w:lineRule="exact"/>
                    <w:jc w:val="center"/>
                    <w:rPr>
                      <w:rFonts w:hint="default" w:hAnsi="宋体" w:eastAsia="宋体" w:cs="宋体"/>
                      <w:color w:val="auto"/>
                      <w:sz w:val="21"/>
                      <w:szCs w:val="21"/>
                      <w:highlight w:val="none"/>
                    </w:rPr>
                  </w:pPr>
                  <w:r>
                    <w:rPr>
                      <w:rFonts w:hAnsi="宋体" w:eastAsia="宋体" w:cs="宋体"/>
                      <w:b/>
                      <w:bCs/>
                      <w:color w:val="auto"/>
                      <w:sz w:val="21"/>
                      <w:szCs w:val="21"/>
                      <w:highlight w:val="none"/>
                    </w:rPr>
                    <w:t>1.9</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0446F">
                  <w:pPr>
                    <w:keepNext/>
                    <w:widowControl/>
                    <w:spacing w:line="340" w:lineRule="exact"/>
                    <w:jc w:val="center"/>
                    <w:rPr>
                      <w:rFonts w:hint="default" w:hAnsi="宋体" w:eastAsia="宋体" w:cs="宋体"/>
                      <w:color w:val="auto"/>
                      <w:sz w:val="21"/>
                      <w:szCs w:val="21"/>
                      <w:highlight w:val="none"/>
                    </w:rPr>
                  </w:pPr>
                  <w:r>
                    <w:rPr>
                      <w:rFonts w:hAnsi="宋体" w:eastAsia="宋体" w:cs="宋体"/>
                      <w:b/>
                      <w:bCs/>
                      <w:color w:val="auto"/>
                      <w:sz w:val="21"/>
                      <w:szCs w:val="21"/>
                      <w:highlight w:val="none"/>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BD390">
                  <w:pPr>
                    <w:keepNext/>
                    <w:widowControl/>
                    <w:spacing w:line="340" w:lineRule="exact"/>
                    <w:jc w:val="center"/>
                    <w:rPr>
                      <w:rFonts w:hint="default" w:hAnsi="宋体" w:eastAsia="宋体" w:cs="宋体"/>
                      <w:color w:val="auto"/>
                      <w:sz w:val="21"/>
                      <w:szCs w:val="21"/>
                      <w:highlight w:val="none"/>
                    </w:rPr>
                  </w:pPr>
                  <w:r>
                    <w:rPr>
                      <w:rFonts w:hAnsi="宋体" w:eastAsia="宋体" w:cs="宋体"/>
                      <w:b/>
                      <w:bCs/>
                      <w:color w:val="auto"/>
                      <w:sz w:val="21"/>
                      <w:szCs w:val="21"/>
                      <w:highlight w:val="none"/>
                    </w:rPr>
                    <w:t>2.1</w:t>
                  </w:r>
                </w:p>
              </w:tc>
              <w:tc>
                <w:tcPr>
                  <w:tcW w:w="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8857D">
                  <w:pPr>
                    <w:keepNext/>
                    <w:widowControl/>
                    <w:spacing w:line="340" w:lineRule="exact"/>
                    <w:jc w:val="center"/>
                    <w:rPr>
                      <w:rFonts w:hint="default" w:hAnsi="宋体" w:eastAsia="宋体" w:cs="宋体"/>
                      <w:color w:val="auto"/>
                      <w:sz w:val="21"/>
                      <w:szCs w:val="21"/>
                      <w:highlight w:val="none"/>
                    </w:rPr>
                  </w:pPr>
                  <w:r>
                    <w:rPr>
                      <w:rFonts w:hAnsi="宋体" w:eastAsia="宋体" w:cs="宋体"/>
                      <w:b/>
                      <w:bCs/>
                      <w:color w:val="auto"/>
                      <w:sz w:val="21"/>
                      <w:szCs w:val="21"/>
                      <w:highlight w:val="none"/>
                    </w:rPr>
                    <w:t>2.2</w:t>
                  </w:r>
                </w:p>
              </w:tc>
              <w:tc>
                <w:tcPr>
                  <w:tcW w:w="8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2CD24">
                  <w:pPr>
                    <w:keepNext/>
                    <w:widowControl/>
                    <w:spacing w:line="340" w:lineRule="exact"/>
                    <w:jc w:val="center"/>
                    <w:rPr>
                      <w:rFonts w:hint="default" w:hAnsi="宋体" w:eastAsia="宋体" w:cs="宋体"/>
                      <w:color w:val="auto"/>
                      <w:sz w:val="21"/>
                      <w:szCs w:val="21"/>
                      <w:highlight w:val="none"/>
                    </w:rPr>
                  </w:pPr>
                  <w:r>
                    <w:rPr>
                      <w:rFonts w:hAnsi="宋体" w:eastAsia="宋体" w:cs="宋体"/>
                      <w:b/>
                      <w:bCs/>
                      <w:color w:val="auto"/>
                      <w:sz w:val="21"/>
                      <w:szCs w:val="21"/>
                      <w:highlight w:val="none"/>
                    </w:rPr>
                    <w:t>2.3</w:t>
                  </w:r>
                </w:p>
              </w:tc>
            </w:tr>
            <w:tr w14:paraId="4CED2330">
              <w:tblPrEx>
                <w:tblCellMar>
                  <w:top w:w="0" w:type="dxa"/>
                  <w:left w:w="108" w:type="dxa"/>
                  <w:bottom w:w="0" w:type="dxa"/>
                  <w:right w:w="108" w:type="dxa"/>
                </w:tblCellMar>
              </w:tblPrEx>
              <w:trPr>
                <w:trHeight w:val="305" w:hRule="atLeast"/>
              </w:trPr>
              <w:tc>
                <w:tcPr>
                  <w:tcW w:w="15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BAC38">
                  <w:pPr>
                    <w:keepNext/>
                    <w:widowControl/>
                    <w:snapToGrid w:val="0"/>
                    <w:spacing w:line="340" w:lineRule="exact"/>
                    <w:rPr>
                      <w:rFonts w:hint="default" w:hAnsi="宋体" w:eastAsia="宋体" w:cs="宋体"/>
                      <w:color w:val="auto"/>
                      <w:sz w:val="21"/>
                      <w:szCs w:val="21"/>
                      <w:highlight w:val="none"/>
                    </w:rPr>
                  </w:pPr>
                  <w:r>
                    <w:rPr>
                      <w:rFonts w:hAnsi="宋体" w:eastAsia="宋体" w:cs="宋体"/>
                      <w:color w:val="auto"/>
                      <w:sz w:val="21"/>
                      <w:szCs w:val="21"/>
                      <w:highlight w:val="none"/>
                    </w:rPr>
                    <w:t>号球</w:t>
                  </w:r>
                </w:p>
              </w:tc>
              <w:tc>
                <w:tcPr>
                  <w:tcW w:w="9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35A06">
                  <w:pPr>
                    <w:keepNext/>
                    <w:widowControl/>
                    <w:snapToGrid w:val="0"/>
                    <w:spacing w:line="340" w:lineRule="exact"/>
                    <w:jc w:val="center"/>
                    <w:rPr>
                      <w:rFonts w:hint="default" w:hAnsi="宋体" w:eastAsia="宋体" w:cs="宋体"/>
                      <w:color w:val="auto"/>
                      <w:sz w:val="21"/>
                      <w:szCs w:val="21"/>
                      <w:highlight w:val="none"/>
                    </w:rPr>
                  </w:pPr>
                  <w:r>
                    <w:rPr>
                      <w:rFonts w:hAnsi="宋体" w:eastAsia="宋体" w:cs="宋体"/>
                      <w:color w:val="auto"/>
                      <w:sz w:val="21"/>
                      <w:szCs w:val="21"/>
                      <w:highlight w:val="none"/>
                    </w:rPr>
                    <w:t>15</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AA722">
                  <w:pPr>
                    <w:keepNext/>
                    <w:widowControl/>
                    <w:snapToGrid w:val="0"/>
                    <w:spacing w:line="340" w:lineRule="exact"/>
                    <w:jc w:val="center"/>
                    <w:rPr>
                      <w:rFonts w:hint="default" w:hAnsi="宋体" w:eastAsia="宋体" w:cs="宋体"/>
                      <w:color w:val="auto"/>
                      <w:sz w:val="21"/>
                      <w:szCs w:val="21"/>
                      <w:highlight w:val="none"/>
                    </w:rPr>
                  </w:pPr>
                  <w:r>
                    <w:rPr>
                      <w:rFonts w:hAnsi="宋体" w:eastAsia="宋体" w:cs="宋体"/>
                      <w:color w:val="auto"/>
                      <w:sz w:val="21"/>
                      <w:szCs w:val="21"/>
                      <w:highlight w:val="none"/>
                    </w:rPr>
                    <w:t>16</w:t>
                  </w:r>
                </w:p>
              </w:tc>
              <w:tc>
                <w:tcPr>
                  <w:tcW w:w="9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9B07E">
                  <w:pPr>
                    <w:keepNext/>
                    <w:widowControl/>
                    <w:snapToGrid w:val="0"/>
                    <w:spacing w:line="340" w:lineRule="exact"/>
                    <w:jc w:val="center"/>
                    <w:rPr>
                      <w:rFonts w:hint="default" w:hAnsi="宋体" w:eastAsia="宋体" w:cs="宋体"/>
                      <w:color w:val="auto"/>
                      <w:sz w:val="21"/>
                      <w:szCs w:val="21"/>
                      <w:highlight w:val="none"/>
                    </w:rPr>
                  </w:pPr>
                  <w:r>
                    <w:rPr>
                      <w:rFonts w:hAnsi="宋体" w:eastAsia="宋体" w:cs="宋体"/>
                      <w:color w:val="auto"/>
                      <w:sz w:val="21"/>
                      <w:szCs w:val="21"/>
                      <w:highlight w:val="none"/>
                    </w:rPr>
                    <w:t>17</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1F8E9">
                  <w:pPr>
                    <w:keepNext/>
                    <w:widowControl/>
                    <w:snapToGrid w:val="0"/>
                    <w:spacing w:line="340" w:lineRule="exact"/>
                    <w:jc w:val="center"/>
                    <w:rPr>
                      <w:rFonts w:hint="default" w:hAnsi="宋体" w:eastAsia="宋体" w:cs="宋体"/>
                      <w:color w:val="auto"/>
                      <w:sz w:val="21"/>
                      <w:szCs w:val="21"/>
                      <w:highlight w:val="none"/>
                    </w:rPr>
                  </w:pPr>
                  <w:r>
                    <w:rPr>
                      <w:rFonts w:hAnsi="宋体" w:eastAsia="宋体" w:cs="宋体"/>
                      <w:color w:val="auto"/>
                      <w:sz w:val="21"/>
                      <w:szCs w:val="21"/>
                      <w:highlight w:val="none"/>
                    </w:rPr>
                    <w:t>18</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5536B">
                  <w:pPr>
                    <w:keepNext/>
                    <w:widowControl/>
                    <w:snapToGrid w:val="0"/>
                    <w:spacing w:line="340" w:lineRule="exact"/>
                    <w:jc w:val="center"/>
                    <w:rPr>
                      <w:rFonts w:hint="default" w:hAnsi="宋体" w:eastAsia="宋体" w:cs="宋体"/>
                      <w:color w:val="auto"/>
                      <w:sz w:val="21"/>
                      <w:szCs w:val="21"/>
                      <w:highlight w:val="none"/>
                    </w:rPr>
                  </w:pPr>
                  <w:r>
                    <w:rPr>
                      <w:rFonts w:hAnsi="宋体" w:eastAsia="宋体" w:cs="宋体"/>
                      <w:color w:val="auto"/>
                      <w:sz w:val="21"/>
                      <w:szCs w:val="21"/>
                      <w:highlight w:val="none"/>
                    </w:rPr>
                    <w:t>19</w:t>
                  </w:r>
                </w:p>
              </w:tc>
              <w:tc>
                <w:tcPr>
                  <w:tcW w:w="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565BD">
                  <w:pPr>
                    <w:keepNext/>
                    <w:widowControl/>
                    <w:snapToGrid w:val="0"/>
                    <w:spacing w:line="340" w:lineRule="exact"/>
                    <w:jc w:val="center"/>
                    <w:rPr>
                      <w:rFonts w:hint="default" w:hAnsi="宋体" w:eastAsia="宋体" w:cs="宋体"/>
                      <w:color w:val="auto"/>
                      <w:sz w:val="21"/>
                      <w:szCs w:val="21"/>
                      <w:highlight w:val="none"/>
                    </w:rPr>
                  </w:pPr>
                  <w:r>
                    <w:rPr>
                      <w:rFonts w:hAnsi="宋体" w:eastAsia="宋体" w:cs="宋体"/>
                      <w:color w:val="auto"/>
                      <w:sz w:val="21"/>
                      <w:szCs w:val="21"/>
                      <w:highlight w:val="none"/>
                    </w:rPr>
                    <w:t>20</w:t>
                  </w:r>
                </w:p>
              </w:tc>
              <w:tc>
                <w:tcPr>
                  <w:tcW w:w="8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EEFC6">
                  <w:pPr>
                    <w:keepNext/>
                    <w:widowControl/>
                    <w:snapToGrid w:val="0"/>
                    <w:spacing w:line="340" w:lineRule="exact"/>
                    <w:jc w:val="center"/>
                    <w:rPr>
                      <w:rFonts w:hint="default" w:hAnsi="宋体" w:eastAsia="宋体" w:cs="宋体"/>
                      <w:color w:val="auto"/>
                      <w:sz w:val="21"/>
                      <w:szCs w:val="21"/>
                      <w:highlight w:val="none"/>
                    </w:rPr>
                  </w:pPr>
                  <w:r>
                    <w:rPr>
                      <w:rFonts w:hAnsi="宋体" w:eastAsia="宋体" w:cs="宋体"/>
                      <w:color w:val="auto"/>
                      <w:sz w:val="21"/>
                      <w:szCs w:val="21"/>
                      <w:highlight w:val="none"/>
                    </w:rPr>
                    <w:t>21</w:t>
                  </w:r>
                </w:p>
              </w:tc>
            </w:tr>
            <w:tr w14:paraId="19FEB468">
              <w:tblPrEx>
                <w:shd w:val="clear" w:color="auto" w:fill="FFFFFF"/>
                <w:tblCellMar>
                  <w:top w:w="0" w:type="dxa"/>
                  <w:left w:w="108" w:type="dxa"/>
                  <w:bottom w:w="0" w:type="dxa"/>
                  <w:right w:w="108" w:type="dxa"/>
                </w:tblCellMar>
              </w:tblPrEx>
              <w:trPr>
                <w:trHeight w:val="335" w:hRule="atLeast"/>
              </w:trPr>
              <w:tc>
                <w:tcPr>
                  <w:tcW w:w="15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15BD7">
                  <w:pPr>
                    <w:keepNext/>
                    <w:widowControl/>
                    <w:snapToGrid w:val="0"/>
                    <w:spacing w:line="340" w:lineRule="exact"/>
                    <w:rPr>
                      <w:rFonts w:hint="default" w:hAnsi="宋体" w:eastAsia="宋体" w:cs="宋体"/>
                      <w:color w:val="auto"/>
                      <w:sz w:val="21"/>
                      <w:szCs w:val="21"/>
                      <w:highlight w:val="none"/>
                    </w:rPr>
                  </w:pPr>
                  <w:r>
                    <w:rPr>
                      <w:rFonts w:hAnsi="宋体" w:eastAsia="宋体" w:cs="宋体"/>
                      <w:color w:val="auto"/>
                      <w:sz w:val="21"/>
                      <w:szCs w:val="21"/>
                      <w:highlight w:val="none"/>
                    </w:rPr>
                    <w:t>下浮系数（%）</w:t>
                  </w:r>
                </w:p>
              </w:tc>
              <w:tc>
                <w:tcPr>
                  <w:tcW w:w="9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7DBC6">
                  <w:pPr>
                    <w:keepNext/>
                    <w:widowControl/>
                    <w:spacing w:line="340" w:lineRule="exact"/>
                    <w:jc w:val="center"/>
                    <w:rPr>
                      <w:rFonts w:hint="default" w:hAnsi="宋体" w:eastAsia="宋体" w:cs="宋体"/>
                      <w:color w:val="auto"/>
                      <w:sz w:val="21"/>
                      <w:szCs w:val="21"/>
                      <w:highlight w:val="none"/>
                    </w:rPr>
                  </w:pPr>
                  <w:r>
                    <w:rPr>
                      <w:rFonts w:hAnsi="宋体" w:eastAsia="宋体" w:cs="宋体"/>
                      <w:b/>
                      <w:bCs/>
                      <w:color w:val="auto"/>
                      <w:sz w:val="21"/>
                      <w:szCs w:val="21"/>
                      <w:highlight w:val="none"/>
                    </w:rPr>
                    <w:t>2.4</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E6AE0">
                  <w:pPr>
                    <w:keepNext/>
                    <w:widowControl/>
                    <w:spacing w:line="340" w:lineRule="exact"/>
                    <w:jc w:val="center"/>
                    <w:rPr>
                      <w:rFonts w:hint="default" w:hAnsi="宋体" w:eastAsia="宋体" w:cs="宋体"/>
                      <w:color w:val="auto"/>
                      <w:sz w:val="21"/>
                      <w:szCs w:val="21"/>
                      <w:highlight w:val="none"/>
                    </w:rPr>
                  </w:pPr>
                  <w:r>
                    <w:rPr>
                      <w:rFonts w:hAnsi="宋体" w:eastAsia="宋体" w:cs="宋体"/>
                      <w:b/>
                      <w:bCs/>
                      <w:color w:val="auto"/>
                      <w:sz w:val="21"/>
                      <w:szCs w:val="21"/>
                      <w:highlight w:val="none"/>
                    </w:rPr>
                    <w:t>2.5</w:t>
                  </w:r>
                </w:p>
              </w:tc>
              <w:tc>
                <w:tcPr>
                  <w:tcW w:w="9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DE5E6">
                  <w:pPr>
                    <w:keepNext/>
                    <w:widowControl/>
                    <w:spacing w:line="340" w:lineRule="exact"/>
                    <w:jc w:val="center"/>
                    <w:rPr>
                      <w:rFonts w:hint="default" w:hAnsi="宋体" w:eastAsia="宋体" w:cs="宋体"/>
                      <w:color w:val="auto"/>
                      <w:sz w:val="21"/>
                      <w:szCs w:val="21"/>
                      <w:highlight w:val="none"/>
                    </w:rPr>
                  </w:pPr>
                  <w:r>
                    <w:rPr>
                      <w:rFonts w:hAnsi="宋体" w:eastAsia="宋体" w:cs="宋体"/>
                      <w:b/>
                      <w:bCs/>
                      <w:color w:val="auto"/>
                      <w:sz w:val="21"/>
                      <w:szCs w:val="21"/>
                      <w:highlight w:val="none"/>
                    </w:rPr>
                    <w:t>2.6</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B7466">
                  <w:pPr>
                    <w:keepNext/>
                    <w:widowControl/>
                    <w:spacing w:line="340" w:lineRule="exact"/>
                    <w:jc w:val="center"/>
                    <w:rPr>
                      <w:rFonts w:hint="default" w:hAnsi="宋体" w:eastAsia="宋体" w:cs="宋体"/>
                      <w:color w:val="auto"/>
                      <w:sz w:val="21"/>
                      <w:szCs w:val="21"/>
                      <w:highlight w:val="none"/>
                    </w:rPr>
                  </w:pPr>
                  <w:r>
                    <w:rPr>
                      <w:rFonts w:hAnsi="宋体" w:eastAsia="宋体" w:cs="宋体"/>
                      <w:b/>
                      <w:bCs/>
                      <w:color w:val="auto"/>
                      <w:sz w:val="21"/>
                      <w:szCs w:val="21"/>
                      <w:highlight w:val="none"/>
                    </w:rPr>
                    <w:t>2.7</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99902">
                  <w:pPr>
                    <w:keepNext/>
                    <w:widowControl/>
                    <w:spacing w:line="340" w:lineRule="exact"/>
                    <w:jc w:val="center"/>
                    <w:rPr>
                      <w:rFonts w:hint="default" w:hAnsi="宋体" w:eastAsia="宋体" w:cs="宋体"/>
                      <w:color w:val="auto"/>
                      <w:sz w:val="21"/>
                      <w:szCs w:val="21"/>
                      <w:highlight w:val="none"/>
                    </w:rPr>
                  </w:pPr>
                  <w:r>
                    <w:rPr>
                      <w:rFonts w:hAnsi="宋体" w:eastAsia="宋体" w:cs="宋体"/>
                      <w:b/>
                      <w:bCs/>
                      <w:color w:val="auto"/>
                      <w:sz w:val="21"/>
                      <w:szCs w:val="21"/>
                      <w:highlight w:val="none"/>
                    </w:rPr>
                    <w:t>2.8</w:t>
                  </w:r>
                </w:p>
              </w:tc>
              <w:tc>
                <w:tcPr>
                  <w:tcW w:w="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33DD2">
                  <w:pPr>
                    <w:keepNext/>
                    <w:widowControl/>
                    <w:spacing w:line="340" w:lineRule="exact"/>
                    <w:jc w:val="center"/>
                    <w:rPr>
                      <w:rFonts w:hint="default" w:hAnsi="宋体" w:eastAsia="宋体" w:cs="宋体"/>
                      <w:color w:val="auto"/>
                      <w:sz w:val="21"/>
                      <w:szCs w:val="21"/>
                      <w:highlight w:val="none"/>
                    </w:rPr>
                  </w:pPr>
                  <w:r>
                    <w:rPr>
                      <w:rFonts w:hAnsi="宋体" w:eastAsia="宋体" w:cs="宋体"/>
                      <w:b/>
                      <w:bCs/>
                      <w:color w:val="auto"/>
                      <w:sz w:val="21"/>
                      <w:szCs w:val="21"/>
                      <w:highlight w:val="none"/>
                    </w:rPr>
                    <w:t>2.9</w:t>
                  </w:r>
                </w:p>
              </w:tc>
              <w:tc>
                <w:tcPr>
                  <w:tcW w:w="8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3751D">
                  <w:pPr>
                    <w:keepNext/>
                    <w:widowControl/>
                    <w:spacing w:line="340" w:lineRule="exact"/>
                    <w:jc w:val="center"/>
                    <w:rPr>
                      <w:rFonts w:hint="default" w:hAnsi="宋体" w:eastAsia="宋体" w:cs="宋体"/>
                      <w:color w:val="auto"/>
                      <w:sz w:val="21"/>
                      <w:szCs w:val="21"/>
                      <w:highlight w:val="none"/>
                    </w:rPr>
                  </w:pPr>
                  <w:r>
                    <w:rPr>
                      <w:rFonts w:hAnsi="宋体" w:eastAsia="宋体" w:cs="宋体"/>
                      <w:b/>
                      <w:bCs/>
                      <w:color w:val="auto"/>
                      <w:sz w:val="21"/>
                      <w:szCs w:val="21"/>
                      <w:highlight w:val="none"/>
                    </w:rPr>
                    <w:t>3.0</w:t>
                  </w:r>
                </w:p>
              </w:tc>
            </w:tr>
          </w:tbl>
          <w:p w14:paraId="06FB5573">
            <w:pPr>
              <w:keepNext/>
              <w:widowControl/>
              <w:spacing w:line="340" w:lineRule="exact"/>
              <w:jc w:val="left"/>
              <w:rPr>
                <w:rFonts w:hint="default" w:hAnsi="宋体" w:eastAsia="宋体" w:cs="宋体"/>
                <w:color w:val="auto"/>
                <w:sz w:val="21"/>
                <w:szCs w:val="21"/>
                <w:highlight w:val="none"/>
              </w:rPr>
            </w:pPr>
            <w:r>
              <w:rPr>
                <w:rFonts w:hAnsi="宋体" w:eastAsia="宋体" w:cs="宋体"/>
                <w:color w:val="auto"/>
                <w:sz w:val="21"/>
                <w:szCs w:val="21"/>
                <w:highlight w:val="none"/>
              </w:rPr>
              <w:t>（2）评标基准价D＝招标控制价×（1－n）</w:t>
            </w:r>
          </w:p>
        </w:tc>
      </w:tr>
      <w:tr w14:paraId="00813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dxa"/>
            <w:vMerge w:val="continue"/>
            <w:vAlign w:val="center"/>
          </w:tcPr>
          <w:p w14:paraId="7D18ECA6">
            <w:pPr>
              <w:keepNext/>
              <w:widowControl/>
              <w:snapToGrid w:val="0"/>
              <w:spacing w:line="340" w:lineRule="exact"/>
              <w:jc w:val="center"/>
              <w:rPr>
                <w:rFonts w:hint="default" w:hAnsi="宋体" w:eastAsia="宋体" w:cs="宋体"/>
                <w:color w:val="auto"/>
                <w:sz w:val="21"/>
                <w:szCs w:val="21"/>
                <w:highlight w:val="none"/>
              </w:rPr>
            </w:pPr>
          </w:p>
        </w:tc>
        <w:tc>
          <w:tcPr>
            <w:tcW w:w="695" w:type="dxa"/>
            <w:vMerge w:val="continue"/>
            <w:vAlign w:val="center"/>
          </w:tcPr>
          <w:p w14:paraId="255EC6C4">
            <w:pPr>
              <w:keepNext/>
              <w:widowControl/>
              <w:snapToGrid w:val="0"/>
              <w:spacing w:line="340" w:lineRule="exact"/>
              <w:rPr>
                <w:rFonts w:hint="default" w:hAnsi="宋体" w:eastAsia="宋体" w:cs="宋体"/>
                <w:color w:val="auto"/>
                <w:sz w:val="21"/>
                <w:szCs w:val="21"/>
                <w:highlight w:val="none"/>
              </w:rPr>
            </w:pPr>
          </w:p>
        </w:tc>
        <w:tc>
          <w:tcPr>
            <w:tcW w:w="655" w:type="dxa"/>
            <w:vAlign w:val="center"/>
          </w:tcPr>
          <w:p w14:paraId="4C3E316A">
            <w:pPr>
              <w:keepNext/>
              <w:widowControl/>
              <w:snapToGrid w:val="0"/>
              <w:spacing w:line="340" w:lineRule="exact"/>
              <w:rPr>
                <w:rFonts w:hint="default" w:hAnsi="宋体" w:eastAsia="宋体" w:cs="宋体"/>
                <w:color w:val="auto"/>
                <w:sz w:val="21"/>
                <w:szCs w:val="21"/>
                <w:highlight w:val="none"/>
              </w:rPr>
            </w:pPr>
            <w:r>
              <w:rPr>
                <w:rFonts w:hAnsi="宋体" w:eastAsia="宋体" w:cs="宋体"/>
                <w:color w:val="auto"/>
                <w:sz w:val="21"/>
                <w:szCs w:val="21"/>
                <w:highlight w:val="none"/>
              </w:rPr>
              <w:t>投标报价得分N</w:t>
            </w:r>
          </w:p>
        </w:tc>
        <w:tc>
          <w:tcPr>
            <w:tcW w:w="8613" w:type="dxa"/>
            <w:gridSpan w:val="3"/>
            <w:vAlign w:val="center"/>
          </w:tcPr>
          <w:p w14:paraId="620AD49E">
            <w:pPr>
              <w:keepNext/>
              <w:widowControl/>
              <w:spacing w:line="340" w:lineRule="exact"/>
              <w:rPr>
                <w:rFonts w:hint="default" w:hAnsi="宋体" w:eastAsia="宋体" w:cs="宋体"/>
                <w:color w:val="auto"/>
                <w:sz w:val="21"/>
                <w:szCs w:val="21"/>
                <w:highlight w:val="none"/>
              </w:rPr>
            </w:pPr>
            <w:r>
              <w:rPr>
                <w:rFonts w:hAnsi="宋体" w:eastAsia="宋体" w:cs="宋体"/>
                <w:color w:val="auto"/>
                <w:sz w:val="21"/>
                <w:szCs w:val="21"/>
                <w:highlight w:val="none"/>
              </w:rPr>
              <w:t>采用内插法计算某投标人的投标报价得分N，即当投标人的投标总价等于评标基准价时得30分，每高于评标基准价一个百分点扣1分,每低于评标基准价一个百分点扣0.5分，扣完为止。公式如下：</w:t>
            </w:r>
          </w:p>
          <w:p w14:paraId="2BDBFF51">
            <w:pPr>
              <w:keepNext/>
              <w:widowControl/>
              <w:spacing w:line="340" w:lineRule="exact"/>
              <w:rPr>
                <w:rFonts w:hint="default" w:hAnsi="宋体" w:eastAsia="宋体" w:cs="宋体"/>
                <w:color w:val="auto"/>
                <w:sz w:val="21"/>
                <w:szCs w:val="21"/>
                <w:highlight w:val="none"/>
              </w:rPr>
            </w:pPr>
            <w:r>
              <w:rPr>
                <w:rFonts w:hAnsi="宋体" w:eastAsia="宋体" w:cs="宋体"/>
                <w:color w:val="auto"/>
                <w:sz w:val="21"/>
                <w:szCs w:val="21"/>
                <w:highlight w:val="none"/>
              </w:rPr>
              <w:t>N＝30－（|Di－D|÷D）×100×E</w:t>
            </w:r>
          </w:p>
          <w:p w14:paraId="32110E05">
            <w:pPr>
              <w:keepNext/>
              <w:widowControl/>
              <w:spacing w:line="340" w:lineRule="exact"/>
              <w:outlineLvl w:val="3"/>
              <w:rPr>
                <w:rFonts w:hint="default" w:hAnsi="宋体" w:eastAsia="宋体" w:cs="宋体"/>
                <w:color w:val="auto"/>
                <w:sz w:val="21"/>
                <w:szCs w:val="21"/>
                <w:highlight w:val="none"/>
              </w:rPr>
            </w:pPr>
            <w:r>
              <w:rPr>
                <w:rFonts w:hAnsi="宋体" w:eastAsia="宋体" w:cs="宋体"/>
                <w:color w:val="auto"/>
                <w:sz w:val="21"/>
                <w:szCs w:val="21"/>
                <w:highlight w:val="none"/>
              </w:rPr>
              <w:t>式中：D为评标基准价；Di为某投标人的投标总价；E为扣分因子，当Di＞D时，E＝1；当Di＜D时，E＝0.5。</w:t>
            </w:r>
          </w:p>
        </w:tc>
      </w:tr>
      <w:tr w14:paraId="7EAA0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728" w:type="dxa"/>
            <w:gridSpan w:val="3"/>
            <w:vAlign w:val="center"/>
          </w:tcPr>
          <w:p w14:paraId="33590C1F">
            <w:pPr>
              <w:keepNext/>
              <w:widowControl/>
              <w:snapToGrid w:val="0"/>
              <w:spacing w:line="340" w:lineRule="exact"/>
              <w:jc w:val="center"/>
              <w:rPr>
                <w:rFonts w:hint="default" w:hAnsi="宋体" w:eastAsia="宋体" w:cs="宋体"/>
                <w:color w:val="auto"/>
                <w:sz w:val="21"/>
                <w:szCs w:val="21"/>
                <w:highlight w:val="none"/>
              </w:rPr>
            </w:pPr>
            <w:r>
              <w:rPr>
                <w:rFonts w:hAnsi="宋体" w:eastAsia="宋体" w:cs="宋体"/>
                <w:color w:val="auto"/>
                <w:sz w:val="21"/>
                <w:szCs w:val="21"/>
                <w:highlight w:val="none"/>
              </w:rPr>
              <w:t>合计</w:t>
            </w:r>
          </w:p>
        </w:tc>
        <w:tc>
          <w:tcPr>
            <w:tcW w:w="8613" w:type="dxa"/>
            <w:gridSpan w:val="3"/>
            <w:vAlign w:val="center"/>
          </w:tcPr>
          <w:p w14:paraId="49014402">
            <w:pPr>
              <w:keepNext/>
              <w:widowControl/>
              <w:snapToGrid w:val="0"/>
              <w:spacing w:line="340" w:lineRule="exact"/>
              <w:rPr>
                <w:rFonts w:hint="default" w:hAnsi="宋体" w:eastAsia="宋体" w:cs="宋体"/>
                <w:color w:val="auto"/>
                <w:sz w:val="21"/>
                <w:szCs w:val="21"/>
                <w:highlight w:val="none"/>
              </w:rPr>
            </w:pPr>
            <w:r>
              <w:rPr>
                <w:rFonts w:hAnsi="宋体" w:eastAsia="宋体" w:cs="宋体"/>
                <w:color w:val="auto"/>
                <w:sz w:val="21"/>
                <w:szCs w:val="21"/>
                <w:highlight w:val="none"/>
              </w:rPr>
              <w:t>总得分=商务技术得分+投标报价得分</w:t>
            </w:r>
          </w:p>
        </w:tc>
      </w:tr>
    </w:tbl>
    <w:p w14:paraId="1C2BD813">
      <w:pPr>
        <w:spacing w:line="440" w:lineRule="exact"/>
        <w:rPr>
          <w:rFonts w:hint="eastAsia" w:ascii="宋体" w:hAnsi="宋体" w:eastAsia="宋体" w:cs="宋体"/>
          <w:color w:val="auto"/>
          <w:spacing w:val="10"/>
          <w:kern w:val="0"/>
          <w:sz w:val="21"/>
          <w:szCs w:val="21"/>
          <w:highlight w:val="none"/>
        </w:rPr>
      </w:pPr>
      <w:r>
        <w:rPr>
          <w:rFonts w:hint="eastAsia" w:ascii="宋体" w:hAnsi="宋体" w:eastAsia="宋体" w:cs="宋体"/>
          <w:color w:val="auto"/>
          <w:spacing w:val="10"/>
          <w:kern w:val="0"/>
          <w:sz w:val="21"/>
          <w:szCs w:val="21"/>
          <w:highlight w:val="none"/>
        </w:rPr>
        <w:t>备注：</w:t>
      </w:r>
    </w:p>
    <w:p w14:paraId="4A144756">
      <w:pPr>
        <w:spacing w:line="440" w:lineRule="exact"/>
        <w:ind w:firstLine="422" w:firstLineChars="200"/>
        <w:rPr>
          <w:rFonts w:hint="eastAsia" w:ascii="宋体" w:hAnsi="宋体" w:eastAsia="宋体" w:cs="宋体"/>
          <w:b/>
          <w:bCs/>
          <w:color w:val="auto"/>
          <w:sz w:val="21"/>
          <w:szCs w:val="21"/>
          <w:highlight w:val="none"/>
          <w:u w:val="doubl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u w:val="double"/>
        </w:rPr>
        <w:t>评分如出现小数点，则保留小数点后两位，第三位四舍五入。</w:t>
      </w:r>
    </w:p>
    <w:p w14:paraId="3A211BDC">
      <w:pPr>
        <w:spacing w:line="440" w:lineRule="exact"/>
        <w:ind w:firstLine="422" w:firstLineChars="200"/>
        <w:rPr>
          <w:rFonts w:hint="eastAsia" w:ascii="宋体" w:hAnsi="宋体" w:eastAsia="宋体" w:cs="宋体"/>
          <w:bCs/>
          <w:color w:val="auto"/>
          <w:spacing w:val="10"/>
          <w:kern w:val="0"/>
          <w:sz w:val="21"/>
          <w:szCs w:val="21"/>
          <w:highlight w:val="none"/>
        </w:rPr>
      </w:pPr>
      <w:r>
        <w:rPr>
          <w:rFonts w:hint="eastAsia"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u w:val="double"/>
        </w:rPr>
        <w:t>如果某投标人的建安工程费下浮率高于15%时，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p w14:paraId="087C14A6">
      <w:pPr>
        <w:wordWrap w:val="0"/>
        <w:adjustRightInd w:val="0"/>
        <w:snapToGrid w:val="0"/>
        <w:spacing w:line="440" w:lineRule="exact"/>
        <w:ind w:firstLine="46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bCs/>
          <w:color w:val="auto"/>
          <w:spacing w:val="10"/>
          <w:kern w:val="0"/>
          <w:sz w:val="21"/>
          <w:szCs w:val="21"/>
          <w:highlight w:val="none"/>
        </w:rPr>
        <w:t>14.5.2</w:t>
      </w:r>
      <w:r>
        <w:rPr>
          <w:rFonts w:hint="eastAsia" w:ascii="宋体" w:hAnsi="宋体" w:eastAsia="宋体" w:cs="宋体"/>
          <w:snapToGrid w:val="0"/>
          <w:color w:val="auto"/>
          <w:kern w:val="0"/>
          <w:sz w:val="21"/>
          <w:szCs w:val="21"/>
          <w:highlight w:val="none"/>
        </w:rPr>
        <w:t>否决投标说明</w:t>
      </w:r>
    </w:p>
    <w:p w14:paraId="7519381E">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详细评审阶段否决投标的全部条件，在本章第四节“否决投标条件”第1条至第4条中集中列示。投标人有其中所列任何一种情形的，由评标委员会否决其投标。经详细评审后，有效投标人数量不足3个时，招标人应依法重新组织招标。</w:t>
      </w:r>
    </w:p>
    <w:p w14:paraId="3F708D9D">
      <w:pPr>
        <w:pStyle w:val="42"/>
        <w:spacing w:line="400" w:lineRule="exact"/>
        <w:rPr>
          <w:rFonts w:hint="eastAsia" w:ascii="宋体" w:hAnsi="宋体" w:eastAsia="宋体" w:cs="宋体"/>
          <w:b/>
          <w:color w:val="auto"/>
          <w:sz w:val="21"/>
          <w:szCs w:val="21"/>
          <w:highlight w:val="none"/>
        </w:rPr>
      </w:pPr>
      <w:r>
        <w:rPr>
          <w:rFonts w:hint="eastAsia" w:ascii="宋体" w:hAnsi="宋体" w:eastAsia="宋体" w:cs="宋体"/>
          <w:b/>
          <w:bCs/>
          <w:snapToGrid w:val="0"/>
          <w:color w:val="auto"/>
          <w:kern w:val="0"/>
          <w:sz w:val="21"/>
          <w:szCs w:val="21"/>
          <w:highlight w:val="none"/>
        </w:rPr>
        <w:t>注：投标人在详细评审阶段根据评分方法提供的佐证材料，其合法性、有效性和准确性不符合要求的，有关量化因素（或评分因素）的折算、调整（或评分）按相应量化标准（或评分标准）处理，但不否决投标。</w:t>
      </w:r>
    </w:p>
    <w:p w14:paraId="06C3A461">
      <w:pPr>
        <w:pStyle w:val="51"/>
        <w:spacing w:line="360" w:lineRule="auto"/>
        <w:ind w:firstLine="422" w:firstLineChars="200"/>
        <w:jc w:val="both"/>
        <w:outlineLvl w:val="9"/>
        <w:rPr>
          <w:rFonts w:hint="eastAsia" w:ascii="宋体" w:hAnsi="宋体" w:eastAsia="宋体" w:cs="宋体"/>
          <w:b/>
          <w:color w:val="auto"/>
          <w:sz w:val="21"/>
          <w:szCs w:val="21"/>
          <w:highlight w:val="none"/>
        </w:rPr>
      </w:pPr>
    </w:p>
    <w:p w14:paraId="1C883C37">
      <w:pPr>
        <w:pStyle w:val="12"/>
        <w:shd w:val="clear" w:color="auto" w:fill="auto"/>
        <w:ind w:firstLine="422" w:firstLineChars="200"/>
        <w:rPr>
          <w:rFonts w:hint="eastAsia" w:ascii="宋体" w:hAnsi="宋体" w:eastAsia="宋体" w:cs="宋体"/>
          <w:b/>
          <w:bCs/>
          <w:snapToGrid w:val="0"/>
          <w:color w:val="auto"/>
          <w:kern w:val="0"/>
          <w:sz w:val="21"/>
          <w:szCs w:val="21"/>
          <w:highlight w:val="none"/>
          <w:lang w:val="en-US" w:eastAsia="zh-CN"/>
        </w:rPr>
      </w:pPr>
      <w:bookmarkStart w:id="302" w:name="_Toc32481"/>
      <w:r>
        <w:rPr>
          <w:rFonts w:hint="eastAsia" w:ascii="宋体" w:hAnsi="宋体" w:eastAsia="宋体" w:cs="宋体"/>
          <w:b/>
          <w:color w:val="auto"/>
          <w:kern w:val="2"/>
          <w:sz w:val="21"/>
          <w:szCs w:val="21"/>
          <w:highlight w:val="none"/>
        </w:rPr>
        <w:t>15、</w:t>
      </w:r>
      <w:bookmarkEnd w:id="302"/>
      <w:r>
        <w:rPr>
          <w:rFonts w:hint="eastAsia" w:hAnsi="宋体" w:eastAsia="宋体" w:cs="宋体"/>
          <w:b/>
          <w:snapToGrid w:val="0"/>
          <w:color w:val="auto"/>
          <w:sz w:val="21"/>
          <w:szCs w:val="21"/>
          <w:highlight w:val="none"/>
          <w:lang w:val="en-US" w:eastAsia="zh-CN"/>
        </w:rPr>
        <w:t>定标候选人</w:t>
      </w:r>
      <w:r>
        <w:rPr>
          <w:rFonts w:hint="eastAsia" w:ascii="宋体" w:hAnsi="宋体" w:eastAsia="宋体" w:cs="宋体"/>
          <w:b/>
          <w:snapToGrid w:val="0"/>
          <w:color w:val="auto"/>
          <w:sz w:val="21"/>
          <w:szCs w:val="21"/>
          <w:highlight w:val="none"/>
          <w:lang w:eastAsia="zh-CN"/>
        </w:rPr>
        <w:t>公示</w:t>
      </w:r>
    </w:p>
    <w:p w14:paraId="0E6AFB81">
      <w:pPr>
        <w:wordWrap w:val="0"/>
        <w:spacing w:line="440" w:lineRule="exact"/>
        <w:ind w:firstLine="420" w:firstLineChars="200"/>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评标委员会按照</w:t>
      </w:r>
      <w:r>
        <w:rPr>
          <w:rFonts w:hint="eastAsia" w:ascii="宋体" w:hAnsi="宋体" w:eastAsia="宋体" w:cs="宋体"/>
          <w:snapToGrid w:val="0"/>
          <w:color w:val="auto"/>
          <w:kern w:val="0"/>
          <w:sz w:val="21"/>
          <w:szCs w:val="21"/>
          <w:highlight w:val="none"/>
          <w:lang w:eastAsia="zh-CN"/>
        </w:rPr>
        <w:t>投标人</w:t>
      </w:r>
      <w:r>
        <w:rPr>
          <w:rFonts w:hint="eastAsia" w:ascii="宋体" w:hAnsi="宋体" w:eastAsia="宋体" w:cs="宋体"/>
          <w:snapToGrid w:val="0"/>
          <w:color w:val="auto"/>
          <w:kern w:val="0"/>
          <w:sz w:val="21"/>
          <w:szCs w:val="21"/>
          <w:highlight w:val="none"/>
        </w:rPr>
        <w:t>评审综合总得分</w:t>
      </w:r>
      <w:r>
        <w:rPr>
          <w:rFonts w:hint="eastAsia" w:ascii="宋体" w:hAnsi="宋体" w:eastAsia="宋体" w:cs="宋体"/>
          <w:snapToGrid w:val="0"/>
          <w:color w:val="auto"/>
          <w:kern w:val="0"/>
          <w:sz w:val="21"/>
          <w:szCs w:val="21"/>
          <w:highlight w:val="none"/>
          <w:lang w:eastAsia="zh-CN"/>
        </w:rPr>
        <w:t>由</w:t>
      </w:r>
      <w:r>
        <w:rPr>
          <w:rFonts w:hint="eastAsia" w:ascii="宋体" w:hAnsi="宋体" w:eastAsia="宋体" w:cs="宋体"/>
          <w:snapToGrid w:val="0"/>
          <w:color w:val="auto"/>
          <w:kern w:val="0"/>
          <w:sz w:val="21"/>
          <w:szCs w:val="21"/>
          <w:highlight w:val="none"/>
        </w:rPr>
        <w:t>高</w:t>
      </w:r>
      <w:r>
        <w:rPr>
          <w:rFonts w:hint="eastAsia" w:ascii="宋体" w:hAnsi="宋体" w:eastAsia="宋体" w:cs="宋体"/>
          <w:snapToGrid w:val="0"/>
          <w:color w:val="auto"/>
          <w:kern w:val="0"/>
          <w:sz w:val="21"/>
          <w:szCs w:val="21"/>
          <w:highlight w:val="none"/>
          <w:lang w:eastAsia="zh-CN"/>
        </w:rPr>
        <w:t>到</w:t>
      </w:r>
      <w:r>
        <w:rPr>
          <w:rFonts w:hint="eastAsia" w:ascii="宋体" w:hAnsi="宋体" w:eastAsia="宋体" w:cs="宋体"/>
          <w:snapToGrid w:val="0"/>
          <w:color w:val="auto"/>
          <w:kern w:val="0"/>
          <w:sz w:val="21"/>
          <w:szCs w:val="21"/>
          <w:highlight w:val="none"/>
        </w:rPr>
        <w:t>低的</w:t>
      </w:r>
      <w:r>
        <w:rPr>
          <w:rFonts w:hint="eastAsia" w:ascii="宋体" w:hAnsi="宋体" w:eastAsia="宋体" w:cs="宋体"/>
          <w:snapToGrid w:val="0"/>
          <w:color w:val="auto"/>
          <w:kern w:val="0"/>
          <w:sz w:val="21"/>
          <w:szCs w:val="21"/>
          <w:highlight w:val="none"/>
          <w:lang w:eastAsia="zh-CN"/>
        </w:rPr>
        <w:t>原则</w:t>
      </w:r>
      <w:r>
        <w:rPr>
          <w:rFonts w:hint="eastAsia" w:ascii="宋体" w:hAnsi="宋体" w:eastAsia="宋体" w:cs="宋体"/>
          <w:snapToGrid w:val="0"/>
          <w:color w:val="auto"/>
          <w:kern w:val="0"/>
          <w:sz w:val="21"/>
          <w:szCs w:val="21"/>
          <w:highlight w:val="none"/>
        </w:rPr>
        <w:t>,向招标人推荐</w:t>
      </w:r>
      <w:r>
        <w:rPr>
          <w:rFonts w:hint="eastAsia" w:ascii="宋体" w:hAnsi="宋体" w:eastAsia="宋体" w:cs="宋体"/>
          <w:snapToGrid w:val="0"/>
          <w:color w:val="auto"/>
          <w:kern w:val="0"/>
          <w:sz w:val="21"/>
          <w:szCs w:val="21"/>
          <w:highlight w:val="none"/>
          <w:lang w:val="en-US" w:eastAsia="zh-CN"/>
        </w:rPr>
        <w:t>已明确的</w:t>
      </w:r>
      <w:r>
        <w:rPr>
          <w:rFonts w:hint="eastAsia" w:ascii="宋体" w:hAnsi="宋体" w:eastAsia="宋体" w:cs="宋体"/>
          <w:snapToGrid w:val="0"/>
          <w:color w:val="auto"/>
          <w:kern w:val="0"/>
          <w:sz w:val="21"/>
          <w:szCs w:val="21"/>
          <w:highlight w:val="none"/>
        </w:rPr>
        <w:t>定标候选人</w:t>
      </w:r>
      <w:r>
        <w:rPr>
          <w:rFonts w:hint="eastAsia" w:ascii="宋体" w:hAnsi="宋体" w:eastAsia="宋体" w:cs="宋体"/>
          <w:snapToGrid w:val="0"/>
          <w:color w:val="auto"/>
          <w:kern w:val="0"/>
          <w:sz w:val="21"/>
          <w:szCs w:val="21"/>
          <w:highlight w:val="none"/>
          <w:lang w:eastAsia="zh-CN"/>
        </w:rPr>
        <w:t>数量</w:t>
      </w:r>
      <w:r>
        <w:rPr>
          <w:rFonts w:hint="eastAsia" w:ascii="宋体" w:hAnsi="宋体" w:eastAsia="宋体" w:cs="宋体"/>
          <w:snapToGrid w:val="0"/>
          <w:color w:val="auto"/>
          <w:kern w:val="0"/>
          <w:sz w:val="21"/>
          <w:szCs w:val="21"/>
          <w:highlight w:val="none"/>
        </w:rPr>
        <w:t>（不</w:t>
      </w:r>
      <w:r>
        <w:rPr>
          <w:rFonts w:hint="eastAsia" w:ascii="宋体" w:hAnsi="宋体" w:eastAsia="宋体" w:cs="宋体"/>
          <w:snapToGrid w:val="0"/>
          <w:color w:val="auto"/>
          <w:kern w:val="0"/>
          <w:sz w:val="21"/>
          <w:szCs w:val="21"/>
          <w:highlight w:val="none"/>
          <w:lang w:val="en-US" w:eastAsia="zh-CN"/>
        </w:rPr>
        <w:t>标明</w:t>
      </w:r>
      <w:r>
        <w:rPr>
          <w:rFonts w:hint="eastAsia" w:ascii="宋体" w:hAnsi="宋体" w:eastAsia="宋体" w:cs="宋体"/>
          <w:snapToGrid w:val="0"/>
          <w:color w:val="auto"/>
          <w:kern w:val="0"/>
          <w:sz w:val="21"/>
          <w:szCs w:val="21"/>
          <w:highlight w:val="none"/>
        </w:rPr>
        <w:t>排序）</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lang w:val="en-US" w:eastAsia="zh-CN"/>
        </w:rPr>
        <w:t>评标委员会推荐定标候选人后，</w:t>
      </w:r>
      <w:r>
        <w:rPr>
          <w:rFonts w:hint="eastAsia" w:ascii="宋体" w:hAnsi="宋体" w:eastAsia="宋体" w:cs="宋体"/>
          <w:snapToGrid w:val="0"/>
          <w:color w:val="auto"/>
          <w:kern w:val="0"/>
          <w:sz w:val="21"/>
          <w:szCs w:val="21"/>
          <w:highlight w:val="none"/>
        </w:rPr>
        <w:t>招标人应</w:t>
      </w:r>
      <w:r>
        <w:rPr>
          <w:rFonts w:hint="eastAsia" w:ascii="宋体" w:hAnsi="宋体" w:eastAsia="宋体" w:cs="宋体"/>
          <w:snapToGrid w:val="0"/>
          <w:color w:val="auto"/>
          <w:kern w:val="0"/>
          <w:sz w:val="21"/>
          <w:szCs w:val="21"/>
          <w:highlight w:val="none"/>
          <w:lang w:eastAsia="zh-CN"/>
        </w:rPr>
        <w:t>于评标会结束后</w:t>
      </w:r>
      <w:r>
        <w:rPr>
          <w:rFonts w:hint="eastAsia" w:ascii="宋体" w:hAnsi="宋体" w:eastAsia="宋体" w:cs="宋体"/>
          <w:snapToGrid w:val="0"/>
          <w:color w:val="auto"/>
          <w:kern w:val="0"/>
          <w:sz w:val="21"/>
          <w:szCs w:val="21"/>
          <w:highlight w:val="none"/>
          <w:lang w:val="en-US" w:eastAsia="zh-CN"/>
        </w:rPr>
        <w:t>3日内将</w:t>
      </w:r>
      <w:r>
        <w:rPr>
          <w:rFonts w:hint="eastAsia" w:ascii="宋体" w:hAnsi="宋体" w:eastAsia="宋体" w:cs="宋体"/>
          <w:snapToGrid w:val="0"/>
          <w:color w:val="auto"/>
          <w:kern w:val="0"/>
          <w:sz w:val="21"/>
          <w:szCs w:val="21"/>
          <w:highlight w:val="none"/>
          <w:lang w:eastAsia="zh-CN"/>
        </w:rPr>
        <w:t>定</w:t>
      </w:r>
      <w:r>
        <w:rPr>
          <w:rFonts w:hint="eastAsia" w:ascii="宋体" w:hAnsi="宋体" w:eastAsia="宋体" w:cs="宋体"/>
          <w:snapToGrid w:val="0"/>
          <w:color w:val="auto"/>
          <w:kern w:val="0"/>
          <w:sz w:val="21"/>
          <w:szCs w:val="21"/>
          <w:highlight w:val="none"/>
        </w:rPr>
        <w:t>标候选</w:t>
      </w:r>
      <w:r>
        <w:rPr>
          <w:rFonts w:hint="eastAsia" w:ascii="宋体" w:hAnsi="宋体" w:eastAsia="宋体" w:cs="宋体"/>
          <w:snapToGrid w:val="0"/>
          <w:color w:val="auto"/>
          <w:kern w:val="0"/>
          <w:sz w:val="21"/>
          <w:szCs w:val="21"/>
          <w:highlight w:val="none"/>
          <w:lang w:eastAsia="zh-CN"/>
        </w:rPr>
        <w:t>人和评标情况</w:t>
      </w:r>
      <w:r>
        <w:rPr>
          <w:rFonts w:hint="eastAsia" w:ascii="宋体" w:hAnsi="宋体" w:eastAsia="宋体" w:cs="宋体"/>
          <w:snapToGrid w:val="0"/>
          <w:color w:val="auto"/>
          <w:kern w:val="0"/>
          <w:sz w:val="21"/>
          <w:szCs w:val="21"/>
          <w:highlight w:val="none"/>
          <w:lang w:val="en-US" w:eastAsia="zh-CN"/>
        </w:rPr>
        <w:t>在广东省招标投标监管网和</w:t>
      </w:r>
      <w:r>
        <w:rPr>
          <w:rFonts w:hint="eastAsia" w:ascii="宋体" w:hAnsi="宋体" w:eastAsia="宋体" w:cs="宋体"/>
          <w:snapToGrid w:val="0"/>
          <w:color w:val="auto"/>
          <w:kern w:val="0"/>
          <w:sz w:val="21"/>
          <w:szCs w:val="21"/>
          <w:highlight w:val="none"/>
        </w:rPr>
        <w:t>韶关市公共资源交易中心</w:t>
      </w:r>
      <w:r>
        <w:rPr>
          <w:rFonts w:hint="eastAsia" w:ascii="宋体" w:hAnsi="宋体" w:eastAsia="宋体" w:cs="宋体"/>
          <w:snapToGrid w:val="0"/>
          <w:color w:val="auto"/>
          <w:kern w:val="0"/>
          <w:sz w:val="21"/>
          <w:szCs w:val="21"/>
          <w:highlight w:val="none"/>
          <w:lang w:eastAsia="zh-CN"/>
        </w:rPr>
        <w:t>建设工程交易系统</w:t>
      </w:r>
      <w:r>
        <w:rPr>
          <w:rFonts w:hint="eastAsia" w:ascii="宋体" w:hAnsi="宋体" w:eastAsia="宋体" w:cs="宋体"/>
          <w:snapToGrid w:val="0"/>
          <w:color w:val="auto"/>
          <w:kern w:val="0"/>
          <w:sz w:val="21"/>
          <w:szCs w:val="21"/>
          <w:highlight w:val="none"/>
          <w:lang w:val="en-US" w:eastAsia="zh-CN"/>
        </w:rPr>
        <w:t>上</w:t>
      </w:r>
      <w:r>
        <w:rPr>
          <w:rFonts w:hint="eastAsia" w:ascii="宋体" w:hAnsi="宋体" w:eastAsia="宋体" w:cs="宋体"/>
          <w:snapToGrid w:val="0"/>
          <w:color w:val="auto"/>
          <w:kern w:val="0"/>
          <w:sz w:val="21"/>
          <w:szCs w:val="21"/>
          <w:highlight w:val="none"/>
        </w:rPr>
        <w:t>公示</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lang w:val="en-US" w:eastAsia="zh-CN"/>
        </w:rPr>
        <w:t>公示时间不少于3日。</w:t>
      </w:r>
      <w:r>
        <w:rPr>
          <w:rFonts w:hint="eastAsia" w:ascii="宋体" w:hAnsi="宋体" w:eastAsia="宋体" w:cs="宋体"/>
          <w:snapToGrid w:val="0"/>
          <w:color w:val="auto"/>
          <w:kern w:val="0"/>
          <w:sz w:val="21"/>
          <w:szCs w:val="21"/>
          <w:highlight w:val="none"/>
          <w:lang w:eastAsia="zh-CN"/>
        </w:rPr>
        <w:t>公示主要内容包括：（</w:t>
      </w:r>
      <w:r>
        <w:rPr>
          <w:rFonts w:hint="eastAsia" w:ascii="宋体" w:hAnsi="宋体" w:eastAsia="宋体" w:cs="宋体"/>
          <w:snapToGrid w:val="0"/>
          <w:color w:val="auto"/>
          <w:kern w:val="0"/>
          <w:sz w:val="21"/>
          <w:szCs w:val="21"/>
          <w:highlight w:val="none"/>
          <w:lang w:val="en-US" w:eastAsia="zh-CN"/>
        </w:rPr>
        <w:t>1）定标候选人名称、投标报价、业绩奖项、质量、工期、拟派驻招标项目管理机构人员信息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p>
    <w:p w14:paraId="1C76AA86">
      <w:pPr>
        <w:rPr>
          <w:rFonts w:hint="eastAsia"/>
          <w:color w:val="auto"/>
          <w:highlight w:val="none"/>
        </w:rPr>
      </w:pPr>
      <w:r>
        <w:rPr>
          <w:rFonts w:hint="eastAsia"/>
          <w:color w:val="auto"/>
          <w:highlight w:val="none"/>
        </w:rPr>
        <w:br w:type="page"/>
      </w:r>
    </w:p>
    <w:p w14:paraId="328B56CC">
      <w:pPr>
        <w:pStyle w:val="22"/>
        <w:rPr>
          <w:rFonts w:hint="eastAsia"/>
          <w:color w:val="auto"/>
          <w:highlight w:val="none"/>
        </w:rPr>
      </w:pPr>
    </w:p>
    <w:p w14:paraId="5689CF23">
      <w:pPr>
        <w:pStyle w:val="3"/>
        <w:bidi w:val="0"/>
        <w:rPr>
          <w:rFonts w:hint="eastAsia" w:asciiTheme="minorEastAsia" w:hAnsiTheme="minorEastAsia" w:eastAsiaTheme="minorEastAsia" w:cstheme="minorEastAsia"/>
          <w:b/>
          <w:bCs/>
          <w:color w:val="auto"/>
          <w:sz w:val="28"/>
          <w:szCs w:val="21"/>
          <w:highlight w:val="none"/>
        </w:rPr>
      </w:pPr>
      <w:bookmarkStart w:id="303" w:name="_Hlt112206772"/>
      <w:bookmarkEnd w:id="303"/>
      <w:bookmarkStart w:id="304" w:name="_Hlt69669771"/>
      <w:bookmarkEnd w:id="304"/>
      <w:bookmarkStart w:id="305" w:name="_Toc8751"/>
      <w:bookmarkStart w:id="306" w:name="_Toc21045"/>
      <w:bookmarkStart w:id="307" w:name="_Toc13416"/>
      <w:bookmarkStart w:id="308" w:name="_Toc9083"/>
      <w:bookmarkStart w:id="309" w:name="_Toc11519"/>
      <w:bookmarkStart w:id="310" w:name="_Toc16649"/>
      <w:bookmarkStart w:id="311" w:name="_Toc16203"/>
      <w:bookmarkStart w:id="312" w:name="_Toc24184"/>
      <w:bookmarkStart w:id="313" w:name="_Toc16300"/>
      <w:bookmarkStart w:id="314" w:name="_Hlt69698765"/>
      <w:bookmarkStart w:id="315" w:name="_Hlt69698713"/>
      <w:r>
        <w:rPr>
          <w:rFonts w:hint="eastAsia" w:asciiTheme="minorEastAsia" w:hAnsiTheme="minorEastAsia" w:eastAsiaTheme="minorEastAsia" w:cstheme="minorEastAsia"/>
          <w:b/>
          <w:bCs/>
          <w:color w:val="auto"/>
          <w:sz w:val="28"/>
          <w:szCs w:val="21"/>
          <w:highlight w:val="none"/>
        </w:rPr>
        <w:t>第四节 否决投标条件</w:t>
      </w:r>
      <w:bookmarkEnd w:id="305"/>
    </w:p>
    <w:p w14:paraId="56C52D26">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本节所集中列示的否决投标条件，是本章第三节“投标人须知正文”的组成部分，是对本章第三节所规定的否决投标条件的总结和补充。投标人未有列入本节情形的，评标时一律不得否决其投标。本节所称“规定”均指招标文件的规定。</w:t>
      </w:r>
    </w:p>
    <w:p w14:paraId="727EBA43">
      <w:pPr>
        <w:wordWrap w:val="0"/>
        <w:adjustRightInd w:val="0"/>
        <w:snapToGrid w:val="0"/>
        <w:spacing w:line="440" w:lineRule="exact"/>
        <w:ind w:firstLine="422" w:firstLineChars="200"/>
        <w:outlineLvl w:val="1"/>
        <w:rPr>
          <w:rFonts w:hint="eastAsia" w:ascii="宋体" w:hAnsi="宋体" w:eastAsia="宋体" w:cs="宋体"/>
          <w:b/>
          <w:bCs/>
          <w:snapToGrid w:val="0"/>
          <w:color w:val="auto"/>
          <w:kern w:val="0"/>
          <w:sz w:val="21"/>
          <w:szCs w:val="21"/>
          <w:highlight w:val="none"/>
        </w:rPr>
      </w:pPr>
      <w:bookmarkStart w:id="316" w:name="_Toc25868"/>
      <w:r>
        <w:rPr>
          <w:rFonts w:hint="eastAsia" w:ascii="宋体" w:hAnsi="宋体" w:eastAsia="宋体" w:cs="宋体"/>
          <w:b/>
          <w:bCs/>
          <w:snapToGrid w:val="0"/>
          <w:color w:val="auto"/>
          <w:kern w:val="0"/>
          <w:sz w:val="21"/>
          <w:szCs w:val="21"/>
          <w:highlight w:val="none"/>
        </w:rPr>
        <w:t>1．资格评审环节</w:t>
      </w:r>
      <w:bookmarkEnd w:id="316"/>
    </w:p>
    <w:p w14:paraId="29C1D6A4">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投标人有下列情形之一的，评标委员会应否决其投标。被否决的投标人，不进入形式评审环节。</w:t>
      </w:r>
    </w:p>
    <w:p w14:paraId="0C893AA6">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（1）有本章第三节第4.4条“禁止投标条款”规定的任何一种情形；</w:t>
      </w:r>
    </w:p>
    <w:p w14:paraId="0790EE69">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（2）投标人资质不符合规定的；</w:t>
      </w:r>
    </w:p>
    <w:p w14:paraId="23129FA7">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投标人名称与营业执照、资质证书、安全生产许可证上的企业名称相互不一致的；其资质证书、安全生产许可证不是由住房城乡建设主管部门颁发的；营业执照、资质证书、安全生产许可证被吊销、暂扣或不在有效期内的；</w:t>
      </w:r>
    </w:p>
    <w:p w14:paraId="6E617D4D">
      <w:pPr>
        <w:wordWrap w:val="0"/>
        <w:adjustRightInd w:val="0"/>
        <w:snapToGrid w:val="0"/>
        <w:spacing w:line="440" w:lineRule="exact"/>
        <w:ind w:firstLine="422" w:firstLineChars="200"/>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6919C39B">
      <w:pPr>
        <w:wordWrap w:val="0"/>
        <w:adjustRightInd w:val="0"/>
        <w:snapToGrid w:val="0"/>
        <w:spacing w:line="440" w:lineRule="exact"/>
        <w:ind w:firstLine="422"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根据有关文件精神，投标人的企业相关证书到期的，均按该证书的发证机构相关行政主管部门最新文件执行（如自动顺延或推迟办理延期业务的通知等）投标人须提供相关证明材料附在该证书后面，证明在开标日继续有效的。</w:t>
      </w:r>
    </w:p>
    <w:p w14:paraId="2E32DD6C">
      <w:pPr>
        <w:wordWrap w:val="0"/>
        <w:adjustRightInd w:val="0"/>
        <w:snapToGrid w:val="0"/>
        <w:spacing w:line="440" w:lineRule="exac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（4）拟派项目经理、项目技术负责人、专职安全员、设计负责人的条件不符合规定的；拟派专职安全员数量不符合规定的；</w:t>
      </w:r>
    </w:p>
    <w:p w14:paraId="441DDAD8">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5）《项目经理简历表》中拟派项目经理与《开标一览表》不一致的；拟派的项目经理未在投标文件《项目经理简历表》中签字确认；一级建造师的注册证书不是国家住建部颁发的；二级建造师的电子注册证书不是省级住建厅颁发的；建造师的注册单位与投标人不一致的；项目管理班子组成人员的各类证书、证件、证明不在有效期内的（建造师注册证书不在使用有效期内的）；擅自修改、遗漏《项目经理任职声明》实质性内容的；</w:t>
      </w:r>
    </w:p>
    <w:p w14:paraId="675FF534">
      <w:pPr>
        <w:wordWrap w:val="0"/>
        <w:adjustRightInd w:val="0"/>
        <w:snapToGrid w:val="0"/>
        <w:spacing w:line="440" w:lineRule="exact"/>
        <w:ind w:firstLine="422" w:firstLineChars="200"/>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注：投标人已经工商变更，但其员工执业资格注册证书的注册单位名称未完成变更的，不得否决其投标。</w:t>
      </w:r>
    </w:p>
    <w:p w14:paraId="17534CB5">
      <w:pPr>
        <w:wordWrap w:val="0"/>
        <w:adjustRightInd w:val="0"/>
        <w:snapToGrid w:val="0"/>
        <w:spacing w:line="440" w:lineRule="exact"/>
        <w:ind w:firstLine="422" w:firstLineChars="200"/>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鉴于目前继续教育开展的实际情况，建筑和市政工程施工现场专业人员（例如：施工员、质量员、材料员、资料员）的岗位证书或培训证书不审查其证书的有效期。</w:t>
      </w:r>
    </w:p>
    <w:p w14:paraId="3FD7A388">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（6）联合体投标，未提交《联合体协议书》的；擅自修改、遗漏《联合体协议书》实质性内容的；联合体成员的数量、资质不符合规定的；联合体成员同时以自己名义单独投标或者参加其他联合体投标的；</w:t>
      </w:r>
    </w:p>
    <w:p w14:paraId="75D4B8E6">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（7）投标人为外省建筑企业，但未提供“进粤企业和人员诚信信息登记平台”企业和拟派人员信息情况打印页或网页截图的。</w:t>
      </w:r>
    </w:p>
    <w:p w14:paraId="1A9A59E8">
      <w:pPr>
        <w:wordWrap w:val="0"/>
        <w:adjustRightInd w:val="0"/>
        <w:snapToGrid w:val="0"/>
        <w:spacing w:line="440" w:lineRule="exact"/>
        <w:ind w:firstLine="422" w:firstLineChars="200"/>
        <w:outlineLvl w:val="1"/>
        <w:rPr>
          <w:rFonts w:hint="eastAsia" w:ascii="宋体" w:hAnsi="宋体" w:eastAsia="宋体" w:cs="宋体"/>
          <w:b/>
          <w:bCs/>
          <w:snapToGrid w:val="0"/>
          <w:color w:val="auto"/>
          <w:kern w:val="0"/>
          <w:sz w:val="21"/>
          <w:szCs w:val="21"/>
          <w:highlight w:val="none"/>
        </w:rPr>
      </w:pPr>
      <w:bookmarkStart w:id="317" w:name="_Toc16862"/>
      <w:r>
        <w:rPr>
          <w:rFonts w:hint="eastAsia" w:ascii="宋体" w:hAnsi="宋体" w:eastAsia="宋体" w:cs="宋体"/>
          <w:b/>
          <w:bCs/>
          <w:snapToGrid w:val="0"/>
          <w:color w:val="auto"/>
          <w:kern w:val="0"/>
          <w:sz w:val="21"/>
          <w:szCs w:val="21"/>
          <w:highlight w:val="none"/>
        </w:rPr>
        <w:t>2．形式评审环节</w:t>
      </w:r>
      <w:bookmarkEnd w:id="317"/>
    </w:p>
    <w:p w14:paraId="33EC2CF5">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投标人有下列情形之一的，评标委员会应否决其投标。被否决的投标人，不进入响应性评审环节。</w:t>
      </w:r>
    </w:p>
    <w:p w14:paraId="3DB5A116">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（8）本章第三节第11.2.2目中规定的“所有投标人均应提供”的组成内容（包括该组成内容的所附资料）中，任何一项有缺漏的；</w:t>
      </w:r>
    </w:p>
    <w:p w14:paraId="127D4713">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9）关键字迹模糊、无法辨认，且该种过错将导致评标委员会无法判断投标文件是否响应招标文件实质性要求的；出现手工涂改、行间插字或删除，但未加盖单位章或由投标人的法定代表人或其委托代理人签字确认的；</w:t>
      </w:r>
    </w:p>
    <w:p w14:paraId="4A5DDB21">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（10）投标文件未按规定签字、盖章的；</w:t>
      </w:r>
    </w:p>
    <w:p w14:paraId="654F6FE7">
      <w:pPr>
        <w:wordWrap w:val="0"/>
        <w:adjustRightInd w:val="0"/>
        <w:snapToGrid w:val="0"/>
        <w:spacing w:line="440" w:lineRule="exact"/>
        <w:ind w:firstLine="422" w:firstLineChars="200"/>
        <w:outlineLvl w:val="1"/>
        <w:rPr>
          <w:rFonts w:hint="eastAsia" w:ascii="宋体" w:hAnsi="宋体" w:eastAsia="宋体" w:cs="宋体"/>
          <w:b/>
          <w:bCs/>
          <w:snapToGrid w:val="0"/>
          <w:color w:val="auto"/>
          <w:kern w:val="0"/>
          <w:sz w:val="21"/>
          <w:szCs w:val="21"/>
          <w:highlight w:val="none"/>
        </w:rPr>
      </w:pPr>
      <w:bookmarkStart w:id="318" w:name="_Toc11607"/>
      <w:r>
        <w:rPr>
          <w:rFonts w:hint="eastAsia" w:ascii="宋体" w:hAnsi="宋体" w:eastAsia="宋体" w:cs="宋体"/>
          <w:b/>
          <w:bCs/>
          <w:snapToGrid w:val="0"/>
          <w:color w:val="auto"/>
          <w:kern w:val="0"/>
          <w:sz w:val="21"/>
          <w:szCs w:val="21"/>
          <w:highlight w:val="none"/>
        </w:rPr>
        <w:t>3．响应性评审环节</w:t>
      </w:r>
      <w:bookmarkEnd w:id="318"/>
    </w:p>
    <w:p w14:paraId="5D1681C9">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投标人有下列情形之一的，评标委员会应否决其投标。被否决的投标人，不进入详细评审阶段。</w:t>
      </w:r>
    </w:p>
    <w:p w14:paraId="66BEBFA6">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（11）承诺的投标有效期短于规定的；工期超出规定的；擅自修改、遗漏《投标函》《各项承诺一览表》实质性内容的；</w:t>
      </w:r>
    </w:p>
    <w:p w14:paraId="32ADFF78">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12）两个或两个以上投标总价的（同一个投标总价大、小写不一致的除外）；投标总价超出最高投标限价的；投标总价下浮率超过15%，又未提供相应书面说明和佐证材料或提供的书面说明和佐证材料不能令人信服，被评标委员会认定以低于成本报价竞标的；</w:t>
      </w:r>
    </w:p>
    <w:p w14:paraId="64B00152">
      <w:pPr>
        <w:wordWrap w:val="0"/>
        <w:adjustRightInd w:val="0"/>
        <w:snapToGrid w:val="0"/>
        <w:spacing w:line="440" w:lineRule="exact"/>
        <w:ind w:firstLine="422" w:firstLineChars="200"/>
        <w:outlineLvl w:val="1"/>
        <w:rPr>
          <w:rFonts w:hint="eastAsia" w:ascii="宋体" w:hAnsi="宋体" w:eastAsia="宋体" w:cs="宋体"/>
          <w:b/>
          <w:bCs/>
          <w:snapToGrid w:val="0"/>
          <w:color w:val="auto"/>
          <w:kern w:val="0"/>
          <w:sz w:val="21"/>
          <w:szCs w:val="21"/>
          <w:highlight w:val="none"/>
        </w:rPr>
      </w:pPr>
      <w:bookmarkStart w:id="319" w:name="_Toc29578"/>
      <w:r>
        <w:rPr>
          <w:rFonts w:hint="eastAsia" w:ascii="宋体" w:hAnsi="宋体" w:eastAsia="宋体" w:cs="宋体"/>
          <w:b/>
          <w:bCs/>
          <w:snapToGrid w:val="0"/>
          <w:color w:val="auto"/>
          <w:kern w:val="0"/>
          <w:sz w:val="21"/>
          <w:szCs w:val="21"/>
          <w:highlight w:val="none"/>
        </w:rPr>
        <w:t>4．其他</w:t>
      </w:r>
      <w:bookmarkEnd w:id="319"/>
    </w:p>
    <w:p w14:paraId="4E14938D">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在任何评标环节（或阶段），投标人有下列情形之一的，评标委员会应否决其投标。被否决的投标人，不进入下一环节（或阶段）。</w:t>
      </w:r>
    </w:p>
    <w:p w14:paraId="5AD966A7">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（14）不按评标委员会要求澄清、说明或补正的；</w:t>
      </w:r>
    </w:p>
    <w:p w14:paraId="31A71FB8">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（15）有下列情形之一，被评标委员会认定属于串通投标的：</w:t>
      </w:r>
    </w:p>
    <w:p w14:paraId="15E63799">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hAnsi="宋体" w:eastAsia="宋体" w:cs="宋体"/>
          <w:snapToGrid w:val="0"/>
          <w:color w:val="auto"/>
          <w:kern w:val="0"/>
          <w:sz w:val="21"/>
          <w:szCs w:val="21"/>
          <w:highlight w:val="none"/>
          <w:lang w:val="en-US" w:eastAsia="zh-CN"/>
        </w:rPr>
        <w:t xml:space="preserve"> </w:t>
      </w:r>
      <w:r>
        <w:rPr>
          <w:rFonts w:hint="eastAsia" w:ascii="宋体" w:hAnsi="宋体" w:eastAsia="宋体" w:cs="宋体"/>
          <w:snapToGrid w:val="0"/>
          <w:color w:val="auto"/>
          <w:kern w:val="0"/>
          <w:sz w:val="21"/>
          <w:szCs w:val="21"/>
          <w:highlight w:val="none"/>
        </w:rPr>
        <w:t>①不同投标人的投标文件两处以上（含两处）错、漏一致；</w:t>
      </w:r>
    </w:p>
    <w:p w14:paraId="7396F77A">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②不同投标人的投标总价相近且各分项报价、综合单价分析表内容混乱不能相互对应、乱调乱压或乱抬的，而在询标时没有合理的解释或者不能提供计算依据和报价依据；</w:t>
      </w:r>
    </w:p>
    <w:p w14:paraId="5836D4D6">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③不同投标人的投标各项报价存在异常一致或者呈规律性变化；</w:t>
      </w:r>
    </w:p>
    <w:p w14:paraId="5C528EB0">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④不同投标人的投标文件由同一单位或者同一个人编制；</w:t>
      </w:r>
    </w:p>
    <w:p w14:paraId="18A88A84">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⑤不同投标人的投标文件中投标资料（包括电子资料）相互混装或项目班子成员出现同一人；</w:t>
      </w:r>
    </w:p>
    <w:p w14:paraId="2D67CFCC">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⑥不同投标人的投标文件由同一电脑编制或同一台附属设备打印，或投标报价用同一个预算编制软件密码锁制作或出自同一电子文档；</w:t>
      </w:r>
    </w:p>
    <w:p w14:paraId="1EF53867">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⑦不同投标人的投标保证由同一企业或同一账户资金缴纳；</w:t>
      </w:r>
    </w:p>
    <w:p w14:paraId="00BD9B2B">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⑧不同投标人委托同一个人或注册在同一家企业的注册人员或同一家企业为其投标提供投标咨询、商务报价、技术咨询（招标工程本身要求采用专有技术的除外）等服务。</w:t>
      </w:r>
    </w:p>
    <w:p w14:paraId="6906B953">
      <w:pPr>
        <w:widowControl w:val="0"/>
        <w:wordWrap w:val="0"/>
        <w:adjustRightInd w:val="0"/>
        <w:snapToGrid w:val="0"/>
        <w:spacing w:line="440" w:lineRule="exact"/>
        <w:ind w:left="0" w:leftChars="0" w:firstLine="420" w:firstLineChars="200"/>
        <w:jc w:val="both"/>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⑨如若监督部门于韶关市公共交易一体化平台发现系统提示风险预警，如提示投标单位上传投标文件使用的电脑IP地址一致。</w:t>
      </w:r>
    </w:p>
    <w:p w14:paraId="1F5C041F">
      <w:pPr>
        <w:tabs>
          <w:tab w:val="left" w:pos="885"/>
        </w:tabs>
        <w:snapToGrid w:val="0"/>
        <w:outlineLvl w:val="1"/>
        <w:rPr>
          <w:rStyle w:val="56"/>
          <w:rFonts w:hint="eastAsia" w:ascii="Times New Roman" w:hAnsi="宋体" w:eastAsia="宋体" w:cs="Times New Roman"/>
          <w:b/>
          <w:bCs/>
          <w:color w:val="auto"/>
          <w:highlight w:val="none"/>
        </w:rPr>
      </w:pPr>
      <w:bookmarkStart w:id="320" w:name="_Toc19189"/>
    </w:p>
    <w:p w14:paraId="13D3D2A4">
      <w:pPr>
        <w:tabs>
          <w:tab w:val="left" w:pos="885"/>
        </w:tabs>
        <w:snapToGrid w:val="0"/>
        <w:spacing w:line="360" w:lineRule="auto"/>
        <w:outlineLvl w:val="1"/>
        <w:rPr>
          <w:rStyle w:val="56"/>
          <w:rFonts w:hint="default" w:ascii="Times New Roman" w:hAnsi="宋体" w:eastAsia="宋体" w:cs="Times New Roman"/>
          <w:b/>
          <w:bCs/>
          <w:color w:val="auto"/>
          <w:highlight w:val="none"/>
          <w:lang w:val="en-US"/>
        </w:rPr>
      </w:pPr>
      <w:bookmarkStart w:id="321" w:name="_Toc20490"/>
      <w:r>
        <w:rPr>
          <w:rStyle w:val="83"/>
          <w:rFonts w:hint="eastAsia" w:asciiTheme="minorEastAsia" w:hAnsiTheme="minorEastAsia" w:eastAsiaTheme="minorEastAsia" w:cstheme="minorEastAsia"/>
          <w:b/>
          <w:bCs/>
          <w:color w:val="auto"/>
          <w:sz w:val="28"/>
          <w:szCs w:val="21"/>
          <w:highlight w:val="none"/>
        </w:rPr>
        <w:t>第</w:t>
      </w:r>
      <w:r>
        <w:rPr>
          <w:rStyle w:val="83"/>
          <w:rFonts w:hint="eastAsia" w:asciiTheme="minorEastAsia" w:hAnsiTheme="minorEastAsia" w:eastAsiaTheme="minorEastAsia" w:cstheme="minorEastAsia"/>
          <w:b/>
          <w:bCs/>
          <w:color w:val="auto"/>
          <w:sz w:val="28"/>
          <w:szCs w:val="21"/>
          <w:highlight w:val="none"/>
          <w:lang w:val="en-US" w:eastAsia="zh-CN"/>
        </w:rPr>
        <w:t>五</w:t>
      </w:r>
      <w:r>
        <w:rPr>
          <w:rStyle w:val="83"/>
          <w:rFonts w:hint="eastAsia" w:asciiTheme="minorEastAsia" w:hAnsiTheme="minorEastAsia" w:eastAsiaTheme="minorEastAsia" w:cstheme="minorEastAsia"/>
          <w:b/>
          <w:bCs/>
          <w:color w:val="auto"/>
          <w:sz w:val="28"/>
          <w:szCs w:val="21"/>
          <w:highlight w:val="none"/>
        </w:rPr>
        <w:t>节 定标</w:t>
      </w:r>
      <w:r>
        <w:rPr>
          <w:rStyle w:val="83"/>
          <w:rFonts w:hint="eastAsia" w:asciiTheme="minorEastAsia" w:hAnsiTheme="minorEastAsia" w:eastAsiaTheme="minorEastAsia" w:cstheme="minorEastAsia"/>
          <w:b/>
          <w:bCs/>
          <w:color w:val="auto"/>
          <w:sz w:val="28"/>
          <w:szCs w:val="21"/>
          <w:highlight w:val="none"/>
          <w:lang w:eastAsia="zh-CN"/>
        </w:rPr>
        <w:t>规定</w:t>
      </w:r>
      <w:r>
        <w:rPr>
          <w:rStyle w:val="83"/>
          <w:rFonts w:hint="eastAsia" w:asciiTheme="minorEastAsia" w:hAnsiTheme="minorEastAsia" w:eastAsiaTheme="minorEastAsia" w:cstheme="minorEastAsia"/>
          <w:b/>
          <w:bCs/>
          <w:color w:val="auto"/>
          <w:sz w:val="28"/>
          <w:szCs w:val="21"/>
          <w:highlight w:val="none"/>
          <w:lang w:val="en-US" w:eastAsia="zh-CN"/>
        </w:rPr>
        <w:t>及细则</w:t>
      </w:r>
      <w:bookmarkEnd w:id="321"/>
      <w:r>
        <w:rPr>
          <w:rStyle w:val="56"/>
          <w:rFonts w:hint="eastAsia" w:ascii="Times New Roman" w:hAnsi="宋体" w:eastAsia="宋体" w:cs="Times New Roman"/>
          <w:b/>
          <w:bCs/>
          <w:color w:val="auto"/>
          <w:highlight w:val="none"/>
          <w:lang w:val="en-US" w:eastAsia="zh-CN"/>
        </w:rPr>
        <w:t>（本项目采用票决数量法定标）</w:t>
      </w:r>
      <w:bookmarkEnd w:id="320"/>
    </w:p>
    <w:p w14:paraId="5EBA8431">
      <w:pPr>
        <w:spacing w:line="360" w:lineRule="auto"/>
        <w:ind w:firstLine="422" w:firstLineChars="200"/>
        <w:rPr>
          <w:rStyle w:val="56"/>
          <w:rFonts w:hint="eastAsia" w:ascii="宋体" w:hAnsi="宋体" w:eastAsia="宋体" w:cs="宋体"/>
          <w:b/>
          <w:bCs/>
          <w:color w:val="auto"/>
          <w:kern w:val="0"/>
          <w:sz w:val="21"/>
          <w:szCs w:val="21"/>
          <w:highlight w:val="none"/>
        </w:rPr>
      </w:pPr>
      <w:r>
        <w:rPr>
          <w:rStyle w:val="56"/>
          <w:rFonts w:hint="eastAsia" w:hAnsi="宋体" w:eastAsia="宋体" w:cs="宋体"/>
          <w:b/>
          <w:bCs/>
          <w:color w:val="auto"/>
          <w:kern w:val="0"/>
          <w:sz w:val="21"/>
          <w:szCs w:val="21"/>
          <w:highlight w:val="none"/>
          <w:lang w:val="en-US" w:eastAsia="zh-CN"/>
        </w:rPr>
        <w:t>1.</w:t>
      </w:r>
      <w:r>
        <w:rPr>
          <w:rStyle w:val="56"/>
          <w:rFonts w:hint="eastAsia" w:ascii="宋体" w:hAnsi="宋体" w:eastAsia="宋体" w:cs="宋体"/>
          <w:b/>
          <w:bCs/>
          <w:color w:val="auto"/>
          <w:kern w:val="0"/>
          <w:sz w:val="21"/>
          <w:szCs w:val="21"/>
          <w:highlight w:val="none"/>
          <w:lang w:eastAsia="zh-CN"/>
        </w:rPr>
        <w:t>确定</w:t>
      </w:r>
      <w:r>
        <w:rPr>
          <w:rStyle w:val="56"/>
          <w:rFonts w:hint="eastAsia" w:ascii="宋体" w:hAnsi="宋体" w:eastAsia="宋体" w:cs="宋体"/>
          <w:b/>
          <w:bCs/>
          <w:color w:val="auto"/>
          <w:kern w:val="0"/>
          <w:sz w:val="21"/>
          <w:szCs w:val="21"/>
          <w:highlight w:val="none"/>
        </w:rPr>
        <w:t>定标时间</w:t>
      </w:r>
    </w:p>
    <w:p w14:paraId="46395A9C">
      <w:pPr>
        <w:spacing w:line="360" w:lineRule="auto"/>
        <w:ind w:firstLine="420" w:firstLineChars="200"/>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定标会由招标人组织，原则上应当在定标候选人公示期满后5个工作日内进入公共资源交易平台（与评标阶段公共资源交易平台相同）召开定标会议。定标会议全过程录音录像。招标人需要延期定标的，应通过公共资源交易平台公布延期原因和定标时间。若招标人需要对定标候选人或拟派项目负责人进行考察的，定标时间可以适当延迟，但延迟一般不超过3个工作日。</w:t>
      </w:r>
    </w:p>
    <w:p w14:paraId="40B9412D">
      <w:pPr>
        <w:spacing w:line="360" w:lineRule="auto"/>
        <w:ind w:firstLine="422" w:firstLineChars="200"/>
        <w:rPr>
          <w:rStyle w:val="56"/>
          <w:rFonts w:hint="eastAsia" w:ascii="宋体" w:hAnsi="宋体" w:eastAsia="宋体" w:cs="宋体"/>
          <w:b/>
          <w:bCs/>
          <w:color w:val="auto"/>
          <w:kern w:val="0"/>
          <w:sz w:val="21"/>
          <w:szCs w:val="21"/>
          <w:highlight w:val="none"/>
          <w:lang w:eastAsia="zh-CN"/>
        </w:rPr>
      </w:pPr>
      <w:r>
        <w:rPr>
          <w:rStyle w:val="56"/>
          <w:rFonts w:hint="eastAsia" w:hAnsi="宋体" w:eastAsia="宋体" w:cs="宋体"/>
          <w:b/>
          <w:bCs/>
          <w:color w:val="auto"/>
          <w:kern w:val="0"/>
          <w:sz w:val="21"/>
          <w:szCs w:val="21"/>
          <w:highlight w:val="none"/>
          <w:lang w:val="en-US" w:eastAsia="zh-CN"/>
        </w:rPr>
        <w:t>2</w:t>
      </w:r>
      <w:r>
        <w:rPr>
          <w:rStyle w:val="56"/>
          <w:rFonts w:hint="eastAsia" w:ascii="宋体" w:hAnsi="宋体" w:eastAsia="宋体" w:cs="宋体"/>
          <w:b/>
          <w:bCs/>
          <w:color w:val="auto"/>
          <w:kern w:val="0"/>
          <w:sz w:val="21"/>
          <w:szCs w:val="21"/>
          <w:highlight w:val="none"/>
        </w:rPr>
        <w:t>.</w:t>
      </w:r>
      <w:r>
        <w:rPr>
          <w:rStyle w:val="56"/>
          <w:rFonts w:hint="eastAsia" w:ascii="宋体" w:hAnsi="宋体" w:eastAsia="宋体" w:cs="宋体"/>
          <w:b/>
          <w:bCs/>
          <w:color w:val="auto"/>
          <w:kern w:val="0"/>
          <w:sz w:val="21"/>
          <w:szCs w:val="21"/>
          <w:highlight w:val="none"/>
          <w:lang w:eastAsia="zh-CN"/>
        </w:rPr>
        <w:t>定标委员会</w:t>
      </w:r>
    </w:p>
    <w:p w14:paraId="128EFDBE">
      <w:pPr>
        <w:spacing w:line="360" w:lineRule="auto"/>
        <w:ind w:firstLine="420" w:firstLineChars="200"/>
        <w:rPr>
          <w:rStyle w:val="56"/>
          <w:rFonts w:hint="eastAsia" w:asciiTheme="minorEastAsia" w:hAnsiTheme="minorEastAsia" w:eastAsiaTheme="minorEastAsia" w:cstheme="minorEastAsia"/>
          <w:color w:val="auto"/>
          <w:kern w:val="0"/>
          <w:sz w:val="21"/>
          <w:szCs w:val="21"/>
          <w:highlight w:val="none"/>
          <w:lang w:val="en-US" w:eastAsia="zh-CN"/>
        </w:rPr>
      </w:pPr>
      <w:r>
        <w:rPr>
          <w:rStyle w:val="56"/>
          <w:rFonts w:hint="eastAsia" w:hAnsi="宋体" w:eastAsia="宋体" w:cs="宋体"/>
          <w:color w:val="auto"/>
          <w:kern w:val="0"/>
          <w:sz w:val="21"/>
          <w:szCs w:val="21"/>
          <w:highlight w:val="none"/>
          <w:lang w:val="en-US" w:eastAsia="zh-CN"/>
        </w:rPr>
        <w:t>2.1</w:t>
      </w:r>
      <w:r>
        <w:rPr>
          <w:rFonts w:hint="eastAsia" w:asciiTheme="minorEastAsia" w:hAnsiTheme="minorEastAsia" w:eastAsiaTheme="minorEastAsia" w:cstheme="minorEastAsia"/>
          <w:color w:val="auto"/>
          <w:sz w:val="21"/>
          <w:szCs w:val="21"/>
          <w:highlight w:val="none"/>
          <w:lang w:val="en-US" w:eastAsia="zh-CN"/>
        </w:rPr>
        <w:t>定标委员会实行招标人负责制，由招标人的法定代表人或者主要负责人负责组建和管理。定标委员会的组成方式和人员由招标人自行确定，成员原则上从招标人、项目业主、代建管理机构或者使用单位的领导班子成员、经营管理人员，或具备中级及以上职称、具有注册职业资格证的工程技术（经济）人员中产生，以上人员难以满足时也可从广东省综合评标评审专家库抽取补足(专家人数原则上不超过2人)，成员数量为7人以上单数，成员数量应在招标文件中明确。定标委员会应当推荐定标组长，招标人（不含代理机构）的法定代表人或者主要负责人参加定标委员会的，由其直接担任定标委员会组长。定标委员会名单在中标结果公告前应当保密。</w:t>
      </w:r>
    </w:p>
    <w:p w14:paraId="21A5FAA7">
      <w:pPr>
        <w:spacing w:line="360" w:lineRule="auto"/>
        <w:ind w:firstLine="420" w:firstLineChars="200"/>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2.2定标委员会应当根据招标文件规定的定标方法和细则，对定标候选人进行系统地评审和比较。招标文件中没有规定的定标方法和细则不得作为定标的依据。定标委员会成员应依照招标文件规定的定标方法和细则，独立完成对定标候选人的评审，并对定标结果签字确认。定标委员会应依照招标文件规定的定标方法和细则，对各定标委员会成员的定标结果进行汇总。</w:t>
      </w:r>
    </w:p>
    <w:p w14:paraId="3D5A3350">
      <w:pPr>
        <w:spacing w:line="360" w:lineRule="auto"/>
        <w:ind w:firstLine="420" w:firstLineChars="200"/>
        <w:rPr>
          <w:rFonts w:hint="eastAsia" w:asciiTheme="minorEastAsia" w:hAnsiTheme="minorEastAsia" w:eastAsiaTheme="minorEastAsia" w:cstheme="minorEastAsia"/>
          <w:color w:val="auto"/>
          <w:sz w:val="21"/>
          <w:szCs w:val="21"/>
          <w:highlight w:val="none"/>
          <w:lang w:val="en-US" w:eastAsia="zh-CN"/>
        </w:rPr>
      </w:pPr>
      <w:r>
        <w:rPr>
          <w:rStyle w:val="56"/>
          <w:rFonts w:hint="eastAsia" w:asciiTheme="minorEastAsia" w:hAnsiTheme="minorEastAsia" w:eastAsiaTheme="minorEastAsia" w:cstheme="minorEastAsia"/>
          <w:color w:val="auto"/>
          <w:kern w:val="0"/>
          <w:sz w:val="21"/>
          <w:szCs w:val="21"/>
          <w:highlight w:val="none"/>
          <w:lang w:val="en-US" w:eastAsia="zh-CN"/>
        </w:rPr>
        <w:t>2</w:t>
      </w:r>
      <w:r>
        <w:rPr>
          <w:rStyle w:val="56"/>
          <w:rFonts w:hint="eastAsia" w:asciiTheme="minorEastAsia" w:hAnsiTheme="minorEastAsia" w:eastAsiaTheme="minorEastAsia" w:cstheme="minorEastAsia"/>
          <w:color w:val="auto"/>
          <w:kern w:val="0"/>
          <w:sz w:val="21"/>
          <w:szCs w:val="21"/>
          <w:highlight w:val="none"/>
        </w:rPr>
        <w:t>.</w:t>
      </w:r>
      <w:r>
        <w:rPr>
          <w:rStyle w:val="56"/>
          <w:rFonts w:hint="eastAsia" w:asciiTheme="minorEastAsia" w:hAnsiTheme="minorEastAsia" w:eastAsiaTheme="minorEastAsia" w:cstheme="minorEastAsia"/>
          <w:color w:val="auto"/>
          <w:kern w:val="0"/>
          <w:sz w:val="21"/>
          <w:szCs w:val="21"/>
          <w:highlight w:val="none"/>
          <w:lang w:val="en-US" w:eastAsia="zh-CN"/>
        </w:rPr>
        <w:t>3定标委员会成员应客观、公正履职，在未公示中标结果前，对定标过程和结果严格保密，对所提出的定标意见承担个人责任。定标委员会成员与定标候选人有利害关系的，应回避。定标委员会成员不得征询招标人确定中标人意向；不得私下与任何定标候选人或者其他利害关系人接触。</w:t>
      </w:r>
    </w:p>
    <w:p w14:paraId="79ACBD5F">
      <w:pPr>
        <w:spacing w:line="360" w:lineRule="auto"/>
        <w:ind w:firstLine="422" w:firstLineChars="200"/>
        <w:rPr>
          <w:rStyle w:val="56"/>
          <w:rFonts w:hint="eastAsia" w:ascii="宋体" w:hAnsi="宋体" w:eastAsia="宋体" w:cs="宋体"/>
          <w:b/>
          <w:bCs/>
          <w:color w:val="auto"/>
          <w:kern w:val="0"/>
          <w:sz w:val="21"/>
          <w:szCs w:val="21"/>
          <w:highlight w:val="none"/>
          <w:lang w:val="en-US" w:eastAsia="zh-CN"/>
        </w:rPr>
      </w:pPr>
      <w:r>
        <w:rPr>
          <w:rStyle w:val="56"/>
          <w:rFonts w:hint="eastAsia" w:hAnsi="宋体" w:eastAsia="宋体" w:cs="宋体"/>
          <w:b/>
          <w:bCs/>
          <w:color w:val="auto"/>
          <w:kern w:val="0"/>
          <w:sz w:val="21"/>
          <w:szCs w:val="21"/>
          <w:highlight w:val="none"/>
          <w:lang w:val="en-US" w:eastAsia="zh-CN"/>
        </w:rPr>
        <w:t>3</w:t>
      </w:r>
      <w:r>
        <w:rPr>
          <w:rStyle w:val="56"/>
          <w:rFonts w:hint="eastAsia" w:ascii="宋体" w:hAnsi="宋体" w:eastAsia="宋体" w:cs="宋体"/>
          <w:b/>
          <w:bCs/>
          <w:color w:val="auto"/>
          <w:kern w:val="0"/>
          <w:sz w:val="21"/>
          <w:szCs w:val="21"/>
          <w:highlight w:val="none"/>
        </w:rPr>
        <w:t>.</w:t>
      </w:r>
      <w:r>
        <w:rPr>
          <w:rStyle w:val="56"/>
          <w:rFonts w:hint="eastAsia" w:ascii="宋体" w:hAnsi="宋体" w:eastAsia="宋体" w:cs="宋体"/>
          <w:b/>
          <w:bCs/>
          <w:color w:val="auto"/>
          <w:kern w:val="0"/>
          <w:sz w:val="21"/>
          <w:szCs w:val="21"/>
          <w:highlight w:val="none"/>
          <w:lang w:val="en-US" w:eastAsia="zh-CN"/>
        </w:rPr>
        <w:t>组建招标监督小组</w:t>
      </w:r>
    </w:p>
    <w:p w14:paraId="55AC3B56">
      <w:pPr>
        <w:spacing w:line="360" w:lineRule="auto"/>
        <w:ind w:firstLine="420" w:firstLineChars="200"/>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招标人应及时组建招标监督小组，招标监督小组原则上由不少于3人组成，人员可由招标人直接委派，也可以从招标人的上级主管单位、项目业主单位、使用单位等补充委派，并确定一名组长负责统筹监督工作。同一人不得同时担任定标委员会成员和招标监督小组成员中的两个角色。招标监督小组的职责是对定标委员会的组建、定标过程及招标人在定标前的清标环节和对定标候选人的考察等进行全程监督，确保定标过程公正、公平。发现异常情况及时提醒、进行纠正，但不得就定标涉及的实质内容发表意见或者参与定标讨论。</w:t>
      </w:r>
    </w:p>
    <w:p w14:paraId="1C6076C1">
      <w:pPr>
        <w:spacing w:line="360" w:lineRule="auto"/>
        <w:ind w:firstLine="422" w:firstLineChars="200"/>
        <w:jc w:val="left"/>
        <w:rPr>
          <w:rStyle w:val="56"/>
          <w:rFonts w:hint="eastAsia" w:ascii="宋体" w:hAnsi="宋体" w:eastAsia="宋体" w:cs="宋体"/>
          <w:b/>
          <w:bCs/>
          <w:color w:val="auto"/>
          <w:kern w:val="0"/>
          <w:sz w:val="21"/>
          <w:szCs w:val="21"/>
          <w:highlight w:val="none"/>
          <w:lang w:eastAsia="zh-CN"/>
        </w:rPr>
      </w:pPr>
      <w:r>
        <w:rPr>
          <w:rStyle w:val="56"/>
          <w:rFonts w:hint="eastAsia" w:hAnsi="宋体" w:eastAsia="宋体" w:cs="宋体"/>
          <w:b/>
          <w:bCs/>
          <w:color w:val="auto"/>
          <w:kern w:val="0"/>
          <w:sz w:val="21"/>
          <w:szCs w:val="21"/>
          <w:highlight w:val="none"/>
          <w:lang w:val="en-US" w:eastAsia="zh-CN"/>
        </w:rPr>
        <w:t>4</w:t>
      </w:r>
      <w:r>
        <w:rPr>
          <w:rStyle w:val="56"/>
          <w:rFonts w:hint="eastAsia" w:ascii="宋体" w:hAnsi="宋体" w:eastAsia="宋体" w:cs="宋体"/>
          <w:b/>
          <w:bCs/>
          <w:color w:val="auto"/>
          <w:kern w:val="0"/>
          <w:sz w:val="21"/>
          <w:szCs w:val="21"/>
          <w:highlight w:val="none"/>
        </w:rPr>
        <w:t>.</w:t>
      </w:r>
      <w:r>
        <w:rPr>
          <w:rStyle w:val="56"/>
          <w:rFonts w:hint="eastAsia" w:ascii="宋体" w:hAnsi="宋体" w:eastAsia="宋体" w:cs="宋体"/>
          <w:b/>
          <w:bCs/>
          <w:color w:val="auto"/>
          <w:kern w:val="0"/>
          <w:sz w:val="21"/>
          <w:szCs w:val="21"/>
          <w:highlight w:val="none"/>
          <w:lang w:eastAsia="zh-CN"/>
        </w:rPr>
        <w:t>定标办法</w:t>
      </w:r>
    </w:p>
    <w:p w14:paraId="7F1178A2">
      <w:pPr>
        <w:spacing w:line="360" w:lineRule="auto"/>
        <w:ind w:firstLine="420" w:firstLineChars="200"/>
        <w:rPr>
          <w:rStyle w:val="56"/>
          <w:rFonts w:hint="eastAsia" w:ascii="宋体" w:hAnsi="宋体" w:eastAsia="宋体" w:cs="宋体"/>
          <w:color w:val="auto"/>
          <w:kern w:val="0"/>
          <w:sz w:val="21"/>
          <w:szCs w:val="21"/>
          <w:highlight w:val="none"/>
          <w:lang w:val="en-US" w:eastAsia="zh-CN"/>
        </w:rPr>
      </w:pPr>
      <w:r>
        <w:rPr>
          <w:rStyle w:val="56"/>
          <w:rFonts w:hint="eastAsia" w:ascii="宋体" w:hAnsi="宋体" w:eastAsia="宋体" w:cs="宋体"/>
          <w:color w:val="auto"/>
          <w:kern w:val="0"/>
          <w:sz w:val="21"/>
          <w:szCs w:val="21"/>
          <w:highlight w:val="none"/>
          <w:lang w:val="en-US" w:eastAsia="zh-CN"/>
        </w:rPr>
        <w:t>定标办法由招标人按本投标人须知前附表的规定确定（只能选定其中一种定标办法）。</w:t>
      </w:r>
    </w:p>
    <w:p w14:paraId="7A16CB3A">
      <w:pPr>
        <w:spacing w:line="360" w:lineRule="auto"/>
        <w:ind w:firstLine="422"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sz w:val="21"/>
          <w:szCs w:val="21"/>
          <w:highlight w:val="none"/>
          <w:lang w:val="en-US" w:eastAsia="zh-CN"/>
        </w:rPr>
        <w:t>本项目采用票决数量法定标。</w:t>
      </w:r>
    </w:p>
    <w:p w14:paraId="02798D01">
      <w:pPr>
        <w:spacing w:line="360" w:lineRule="auto"/>
        <w:ind w:firstLine="422" w:firstLineChars="200"/>
        <w:rPr>
          <w:rStyle w:val="56"/>
          <w:rFonts w:hint="eastAsia" w:hAnsi="宋体" w:eastAsia="宋体" w:cs="宋体"/>
          <w:b/>
          <w:bCs/>
          <w:color w:val="auto"/>
          <w:kern w:val="0"/>
          <w:sz w:val="21"/>
          <w:szCs w:val="21"/>
          <w:highlight w:val="none"/>
          <w:lang w:val="en-US" w:eastAsia="zh-CN"/>
        </w:rPr>
      </w:pPr>
      <w:r>
        <w:rPr>
          <w:rStyle w:val="56"/>
          <w:rFonts w:hint="eastAsia" w:hAnsi="宋体" w:eastAsia="宋体" w:cs="宋体"/>
          <w:b/>
          <w:bCs/>
          <w:color w:val="auto"/>
          <w:kern w:val="0"/>
          <w:sz w:val="21"/>
          <w:szCs w:val="21"/>
          <w:highlight w:val="none"/>
          <w:lang w:val="en-US" w:eastAsia="zh-CN"/>
        </w:rPr>
        <w:t>5.定标细则</w:t>
      </w:r>
    </w:p>
    <w:p w14:paraId="5563749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2" w:firstLineChars="200"/>
        <w:jc w:val="both"/>
        <w:textAlignment w:val="auto"/>
        <w:outlineLvl w:val="9"/>
        <w:rPr>
          <w:rFonts w:hint="eastAsia" w:ascii="宋体" w:hAnsi="宋体" w:eastAsia="宋体" w:cs="宋体"/>
          <w:b/>
          <w:bCs/>
          <w:color w:val="auto"/>
          <w:spacing w:val="0"/>
          <w:position w:val="0"/>
          <w:sz w:val="21"/>
          <w:szCs w:val="21"/>
          <w:highlight w:val="none"/>
          <w:u w:val="none" w:color="auto"/>
          <w:lang w:eastAsia="zh-CN"/>
        </w:rPr>
      </w:pPr>
      <w:r>
        <w:rPr>
          <w:rFonts w:hint="eastAsia" w:ascii="宋体" w:hAnsi="宋体" w:eastAsia="宋体" w:cs="宋体"/>
          <w:b/>
          <w:bCs/>
          <w:color w:val="auto"/>
          <w:spacing w:val="0"/>
          <w:position w:val="0"/>
          <w:sz w:val="21"/>
          <w:szCs w:val="21"/>
          <w:highlight w:val="none"/>
          <w:u w:val="none" w:color="auto"/>
          <w:lang w:val="en-US" w:eastAsia="zh-CN"/>
        </w:rPr>
        <w:t>5.1票决数量法程序</w:t>
      </w:r>
    </w:p>
    <w:p w14:paraId="3D220E4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宋体" w:hAnsi="宋体" w:eastAsia="宋体" w:cs="宋体"/>
          <w:b w:val="0"/>
          <w:bCs w:val="0"/>
          <w:color w:val="auto"/>
          <w:spacing w:val="0"/>
          <w:position w:val="0"/>
          <w:sz w:val="21"/>
          <w:szCs w:val="21"/>
          <w:highlight w:val="none"/>
          <w:u w:val="none" w:color="auto"/>
          <w:lang w:val="en-US" w:eastAsia="zh-CN"/>
        </w:rPr>
      </w:pPr>
      <w:r>
        <w:rPr>
          <w:rFonts w:hint="eastAsia" w:ascii="宋体" w:hAnsi="宋体" w:eastAsia="宋体" w:cs="宋体"/>
          <w:b w:val="0"/>
          <w:i w:val="0"/>
          <w:snapToGrid/>
          <w:color w:val="auto"/>
          <w:sz w:val="21"/>
          <w:szCs w:val="21"/>
          <w:highlight w:val="none"/>
          <w:u w:val="none"/>
          <w:shd w:val="clear" w:color="auto" w:fill="FFFFFF"/>
          <w:lang w:eastAsia="zh-CN"/>
        </w:rPr>
        <w:t>定标委员会根据定标因素对定标候选人进行评审比较后，每名定标委员会成员</w:t>
      </w:r>
      <w:r>
        <w:rPr>
          <w:rFonts w:hint="eastAsia" w:ascii="宋体" w:hAnsi="宋体" w:eastAsia="宋体" w:cs="宋体"/>
          <w:color w:val="auto"/>
          <w:sz w:val="21"/>
          <w:szCs w:val="21"/>
          <w:highlight w:val="none"/>
          <w:u w:val="none"/>
          <w:lang w:val="en-US" w:eastAsia="zh-CN"/>
        </w:rPr>
        <w:t>有且仅有投出1票的权利，1票只能投1名定标候选人，</w:t>
      </w:r>
      <w:r>
        <w:rPr>
          <w:rFonts w:hint="eastAsia" w:ascii="宋体" w:hAnsi="宋体" w:eastAsia="宋体" w:cs="宋体"/>
          <w:b w:val="0"/>
          <w:i w:val="0"/>
          <w:snapToGrid/>
          <w:color w:val="auto"/>
          <w:sz w:val="21"/>
          <w:szCs w:val="21"/>
          <w:highlight w:val="none"/>
          <w:u w:val="none"/>
          <w:shd w:val="clear" w:color="auto" w:fill="FFFFFF"/>
          <w:lang w:eastAsia="zh-CN"/>
        </w:rPr>
        <w:t>进行票决排名确定排序的中标候选人。即各定标委员会成员对定标候选人进行投票，按得票高低推荐排序的前三名中标候选人。</w:t>
      </w:r>
      <w:r>
        <w:rPr>
          <w:rFonts w:hint="eastAsia" w:ascii="宋体" w:hAnsi="宋体" w:eastAsia="宋体" w:cs="宋体"/>
          <w:color w:val="auto"/>
          <w:sz w:val="21"/>
          <w:szCs w:val="21"/>
          <w:highlight w:val="none"/>
          <w:u w:val="none"/>
          <w:lang w:val="en-US" w:eastAsia="zh-CN"/>
        </w:rPr>
        <w:t>若第一轮投票中前三名中标候选人有</w:t>
      </w:r>
      <w:r>
        <w:rPr>
          <w:rFonts w:hint="eastAsia" w:ascii="宋体" w:hAnsi="宋体" w:eastAsia="宋体" w:cs="宋体"/>
          <w:color w:val="auto"/>
          <w:sz w:val="21"/>
          <w:szCs w:val="21"/>
          <w:highlight w:val="none"/>
          <w:u w:val="none"/>
          <w:shd w:val="clear" w:color="auto" w:fill="FFFFFF"/>
          <w:lang w:val="en-US" w:eastAsia="zh-CN"/>
        </w:rPr>
        <w:t>得票相同且影响中标候选人排序确定的，由定标委员会对总票数相同的单位进行再次票决确定排序,</w:t>
      </w:r>
      <w:r>
        <w:rPr>
          <w:rFonts w:hint="eastAsia" w:ascii="宋体" w:hAnsi="宋体" w:eastAsia="宋体" w:cs="宋体"/>
          <w:color w:val="auto"/>
          <w:sz w:val="21"/>
          <w:szCs w:val="21"/>
          <w:highlight w:val="none"/>
          <w:u w:val="none"/>
          <w:lang w:val="en-US" w:eastAsia="zh-CN"/>
        </w:rPr>
        <w:t>直至决出排序的前三名中标候选人。若定标候选人中没有符合评审要求的三名中标候选人，则宣告本次招标失败。</w:t>
      </w:r>
      <w:r>
        <w:rPr>
          <w:rFonts w:hint="eastAsia" w:ascii="宋体" w:hAnsi="宋体" w:eastAsia="宋体" w:cs="宋体"/>
          <w:b w:val="0"/>
          <w:i w:val="0"/>
          <w:snapToGrid/>
          <w:color w:val="auto"/>
          <w:sz w:val="21"/>
          <w:szCs w:val="21"/>
          <w:highlight w:val="none"/>
          <w:u w:val="none"/>
          <w:shd w:val="clear" w:color="auto" w:fill="FFFFFF"/>
          <w:lang w:eastAsia="zh-CN"/>
        </w:rPr>
        <w:t>票决采用记名方式并注明投票理由。</w:t>
      </w:r>
    </w:p>
    <w:p w14:paraId="47BEDA8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2" w:firstLineChars="200"/>
        <w:jc w:val="both"/>
        <w:textAlignment w:val="auto"/>
        <w:outlineLvl w:val="9"/>
        <w:rPr>
          <w:rFonts w:hint="eastAsia" w:ascii="宋体" w:hAnsi="宋体" w:eastAsia="宋体" w:cs="宋体"/>
          <w:b/>
          <w:bCs/>
          <w:color w:val="auto"/>
          <w:sz w:val="21"/>
          <w:szCs w:val="21"/>
          <w:highlight w:val="none"/>
          <w:u w:val="none"/>
          <w:shd w:val="clear" w:color="auto" w:fill="FFFFFF"/>
        </w:rPr>
      </w:pPr>
      <w:r>
        <w:rPr>
          <w:rFonts w:hint="eastAsia" w:ascii="宋体" w:hAnsi="宋体" w:eastAsia="宋体" w:cs="宋体"/>
          <w:b/>
          <w:bCs/>
          <w:color w:val="auto"/>
          <w:spacing w:val="0"/>
          <w:position w:val="0"/>
          <w:sz w:val="21"/>
          <w:szCs w:val="21"/>
          <w:highlight w:val="none"/>
          <w:u w:val="none" w:color="auto"/>
          <w:lang w:val="en-US" w:eastAsia="zh-CN"/>
        </w:rPr>
        <w:t>5.1.1.</w:t>
      </w:r>
      <w:r>
        <w:rPr>
          <w:rFonts w:hint="eastAsia" w:ascii="宋体" w:hAnsi="宋体" w:eastAsia="宋体" w:cs="宋体"/>
          <w:b/>
          <w:bCs/>
          <w:color w:val="auto"/>
          <w:sz w:val="21"/>
          <w:szCs w:val="21"/>
          <w:highlight w:val="none"/>
          <w:u w:val="none"/>
          <w:shd w:val="clear" w:color="auto" w:fill="FFFFFF"/>
        </w:rPr>
        <w:t>项目情况介绍</w:t>
      </w:r>
    </w:p>
    <w:p w14:paraId="509976C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宋体" w:hAnsi="宋体" w:eastAsia="宋体" w:cs="宋体"/>
          <w:b w:val="0"/>
          <w:bCs w:val="0"/>
          <w:color w:val="auto"/>
          <w:spacing w:val="0"/>
          <w:position w:val="0"/>
          <w:sz w:val="21"/>
          <w:szCs w:val="21"/>
          <w:highlight w:val="none"/>
          <w:u w:val="none" w:color="auto"/>
          <w:lang w:eastAsia="zh-CN"/>
        </w:rPr>
      </w:pPr>
      <w:r>
        <w:rPr>
          <w:rFonts w:hint="eastAsia" w:ascii="宋体" w:hAnsi="宋体" w:eastAsia="宋体" w:cs="宋体"/>
          <w:b w:val="0"/>
          <w:bCs w:val="0"/>
          <w:color w:val="auto"/>
          <w:spacing w:val="0"/>
          <w:position w:val="0"/>
          <w:sz w:val="21"/>
          <w:szCs w:val="21"/>
          <w:highlight w:val="none"/>
          <w:u w:val="none" w:color="auto"/>
          <w:lang w:eastAsia="zh-CN"/>
        </w:rPr>
        <w:t>招标人代表介绍项目的概况及招标要求，以及定标方法与定标工作规则，不得发表具有倾向性的言论。</w:t>
      </w:r>
    </w:p>
    <w:p w14:paraId="2C4FCF2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2" w:firstLineChars="200"/>
        <w:jc w:val="both"/>
        <w:textAlignment w:val="auto"/>
        <w:outlineLvl w:val="9"/>
        <w:rPr>
          <w:rFonts w:hint="eastAsia" w:ascii="宋体" w:hAnsi="宋体" w:eastAsia="宋体" w:cs="宋体"/>
          <w:b/>
          <w:bCs/>
          <w:color w:val="auto"/>
          <w:spacing w:val="0"/>
          <w:position w:val="0"/>
          <w:sz w:val="21"/>
          <w:szCs w:val="21"/>
          <w:highlight w:val="none"/>
          <w:u w:val="none" w:color="auto"/>
          <w:lang w:val="en-US" w:eastAsia="zh-CN"/>
        </w:rPr>
      </w:pPr>
      <w:r>
        <w:rPr>
          <w:rFonts w:hint="eastAsia" w:ascii="宋体" w:hAnsi="宋体" w:eastAsia="宋体" w:cs="宋体"/>
          <w:b/>
          <w:bCs/>
          <w:color w:val="auto"/>
          <w:spacing w:val="0"/>
          <w:position w:val="0"/>
          <w:sz w:val="21"/>
          <w:szCs w:val="21"/>
          <w:highlight w:val="none"/>
          <w:u w:val="none" w:color="auto"/>
          <w:lang w:val="en-US" w:eastAsia="zh-CN"/>
        </w:rPr>
        <w:t>5.1.2.</w:t>
      </w:r>
      <w:r>
        <w:rPr>
          <w:rFonts w:hint="eastAsia" w:ascii="宋体" w:hAnsi="宋体" w:eastAsia="宋体" w:cs="宋体"/>
          <w:b/>
          <w:bCs/>
          <w:color w:val="auto"/>
          <w:sz w:val="21"/>
          <w:szCs w:val="21"/>
          <w:highlight w:val="none"/>
          <w:u w:val="none"/>
          <w:shd w:val="clear" w:color="auto" w:fill="FFFFFF"/>
        </w:rPr>
        <w:t>审阅定标资料</w:t>
      </w:r>
    </w:p>
    <w:p w14:paraId="385E916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宋体" w:hAnsi="宋体" w:eastAsia="宋体" w:cs="宋体"/>
          <w:b w:val="0"/>
          <w:bCs w:val="0"/>
          <w:color w:val="auto"/>
          <w:spacing w:val="0"/>
          <w:position w:val="0"/>
          <w:sz w:val="21"/>
          <w:szCs w:val="21"/>
          <w:highlight w:val="none"/>
          <w:u w:val="none" w:color="auto"/>
          <w:lang w:eastAsia="zh-CN"/>
        </w:rPr>
      </w:pPr>
      <w:r>
        <w:rPr>
          <w:rFonts w:hint="eastAsia" w:ascii="宋体" w:hAnsi="宋体" w:eastAsia="宋体" w:cs="宋体"/>
          <w:b w:val="0"/>
          <w:bCs w:val="0"/>
          <w:color w:val="auto"/>
          <w:spacing w:val="0"/>
          <w:position w:val="0"/>
          <w:sz w:val="21"/>
          <w:szCs w:val="21"/>
          <w:highlight w:val="none"/>
          <w:u w:val="none" w:color="auto"/>
          <w:lang w:eastAsia="zh-CN"/>
        </w:rPr>
        <w:t>定标委员会成员对各定标候选人的投标文件进行审阅，审阅内容主要是定标工作规则所规定的定标因素，</w:t>
      </w:r>
      <w:r>
        <w:rPr>
          <w:rFonts w:hint="eastAsia" w:ascii="宋体" w:hAnsi="宋体" w:eastAsia="宋体" w:cs="宋体"/>
          <w:b w:val="0"/>
          <w:bCs w:val="0"/>
          <w:color w:val="auto"/>
          <w:spacing w:val="0"/>
          <w:position w:val="0"/>
          <w:sz w:val="21"/>
          <w:szCs w:val="21"/>
          <w:highlight w:val="none"/>
          <w:u w:val="none" w:color="auto"/>
          <w:lang w:val="en-US" w:eastAsia="zh-CN"/>
        </w:rPr>
        <w:t>聚焦于项目需求与候选人能力的匹配度</w:t>
      </w:r>
      <w:r>
        <w:rPr>
          <w:rFonts w:hint="eastAsia" w:ascii="宋体" w:hAnsi="宋体" w:eastAsia="宋体" w:cs="宋体"/>
          <w:color w:val="auto"/>
          <w:sz w:val="21"/>
          <w:szCs w:val="21"/>
          <w:highlight w:val="none"/>
          <w:u w:val="none"/>
          <w:shd w:val="clear" w:color="auto" w:fill="FFFFFF"/>
          <w:lang w:eastAsia="zh-CN"/>
        </w:rPr>
        <w:t>。</w:t>
      </w:r>
    </w:p>
    <w:p w14:paraId="0B31FAD7">
      <w:pPr>
        <w:pStyle w:val="21"/>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auto"/>
        <w:ind w:firstLine="422" w:firstLineChars="200"/>
        <w:jc w:val="both"/>
        <w:textAlignment w:val="auto"/>
        <w:outlineLvl w:val="9"/>
        <w:rPr>
          <w:rFonts w:hint="eastAsia" w:ascii="宋体" w:hAnsi="宋体" w:eastAsia="宋体" w:cs="宋体"/>
          <w:b/>
          <w:bCs/>
          <w:color w:val="auto"/>
          <w:sz w:val="21"/>
          <w:szCs w:val="21"/>
          <w:highlight w:val="none"/>
          <w:u w:val="none"/>
          <w:shd w:val="clear" w:color="auto" w:fill="FFFFFF"/>
        </w:rPr>
      </w:pPr>
      <w:r>
        <w:rPr>
          <w:rFonts w:hint="eastAsia" w:ascii="宋体" w:hAnsi="宋体" w:eastAsia="宋体" w:cs="宋体"/>
          <w:b/>
          <w:bCs/>
          <w:color w:val="auto"/>
          <w:spacing w:val="0"/>
          <w:position w:val="0"/>
          <w:sz w:val="21"/>
          <w:szCs w:val="21"/>
          <w:highlight w:val="none"/>
          <w:u w:val="none" w:color="auto"/>
          <w:lang w:val="en-US" w:eastAsia="zh-CN"/>
        </w:rPr>
        <w:t>5.1.3.</w:t>
      </w:r>
      <w:r>
        <w:rPr>
          <w:rFonts w:hint="eastAsia" w:ascii="宋体" w:hAnsi="宋体" w:eastAsia="宋体" w:cs="宋体"/>
          <w:b/>
          <w:bCs/>
          <w:color w:val="auto"/>
          <w:sz w:val="21"/>
          <w:szCs w:val="21"/>
          <w:highlight w:val="none"/>
          <w:u w:val="none"/>
          <w:shd w:val="clear" w:color="auto" w:fill="FFFFFF"/>
        </w:rPr>
        <w:t>疑问澄清</w:t>
      </w:r>
    </w:p>
    <w:p w14:paraId="7373838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宋体" w:hAnsi="宋体" w:eastAsia="宋体" w:cs="宋体"/>
          <w:b w:val="0"/>
          <w:bCs w:val="0"/>
          <w:color w:val="auto"/>
          <w:spacing w:val="0"/>
          <w:position w:val="0"/>
          <w:sz w:val="21"/>
          <w:szCs w:val="21"/>
          <w:highlight w:val="none"/>
          <w:u w:val="none" w:color="auto"/>
          <w:lang w:val="en-US" w:eastAsia="zh-CN"/>
        </w:rPr>
      </w:pPr>
      <w:r>
        <w:rPr>
          <w:rFonts w:hint="eastAsia" w:ascii="宋体" w:hAnsi="宋体" w:eastAsia="宋体" w:cs="宋体"/>
          <w:color w:val="auto"/>
          <w:sz w:val="21"/>
          <w:szCs w:val="21"/>
          <w:highlight w:val="none"/>
          <w:u w:val="none"/>
          <w:shd w:val="clear" w:color="auto" w:fill="FFFFFF"/>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3978BC0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2" w:firstLineChars="200"/>
        <w:jc w:val="both"/>
        <w:textAlignment w:val="auto"/>
        <w:outlineLvl w:val="9"/>
        <w:rPr>
          <w:rFonts w:hint="eastAsia" w:ascii="宋体" w:hAnsi="宋体" w:eastAsia="宋体" w:cs="宋体"/>
          <w:b/>
          <w:bCs/>
          <w:color w:val="auto"/>
          <w:kern w:val="0"/>
          <w:sz w:val="21"/>
          <w:szCs w:val="21"/>
          <w:highlight w:val="none"/>
          <w:u w:val="none"/>
          <w:shd w:val="clear" w:color="auto" w:fill="FFFFFF"/>
          <w:lang w:val="en-US" w:eastAsia="zh-CN" w:bidi="ar-SA"/>
        </w:rPr>
      </w:pPr>
      <w:r>
        <w:rPr>
          <w:rFonts w:hint="eastAsia" w:ascii="宋体" w:hAnsi="宋体" w:eastAsia="宋体" w:cs="宋体"/>
          <w:b/>
          <w:bCs/>
          <w:color w:val="auto"/>
          <w:kern w:val="0"/>
          <w:sz w:val="21"/>
          <w:szCs w:val="21"/>
          <w:highlight w:val="none"/>
          <w:u w:val="none"/>
          <w:shd w:val="clear" w:color="auto" w:fill="FFFFFF"/>
          <w:lang w:val="en-US" w:eastAsia="zh-CN" w:bidi="ar-SA"/>
        </w:rPr>
        <w:t>5.1.4.投票，收票，点票和汇总</w:t>
      </w:r>
    </w:p>
    <w:p w14:paraId="7F785DE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宋体" w:hAnsi="宋体" w:eastAsia="宋体" w:cs="宋体"/>
          <w:b w:val="0"/>
          <w:bCs w:val="0"/>
          <w:color w:val="auto"/>
          <w:spacing w:val="0"/>
          <w:position w:val="0"/>
          <w:sz w:val="21"/>
          <w:szCs w:val="21"/>
          <w:highlight w:val="none"/>
          <w:u w:val="none" w:color="auto"/>
          <w:lang w:val="en-US" w:eastAsia="zh-CN"/>
        </w:rPr>
      </w:pPr>
      <w:r>
        <w:rPr>
          <w:rFonts w:hint="eastAsia" w:ascii="宋体" w:hAnsi="宋体" w:eastAsia="宋体" w:cs="宋体"/>
          <w:b w:val="0"/>
          <w:bCs w:val="0"/>
          <w:color w:val="auto"/>
          <w:spacing w:val="0"/>
          <w:position w:val="0"/>
          <w:sz w:val="21"/>
          <w:szCs w:val="21"/>
          <w:highlight w:val="none"/>
          <w:u w:val="none" w:color="auto"/>
          <w:lang w:eastAsia="zh-CN"/>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14:paraId="73A79B6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2" w:firstLineChars="200"/>
        <w:jc w:val="both"/>
        <w:textAlignment w:val="auto"/>
        <w:outlineLvl w:val="9"/>
        <w:rPr>
          <w:rFonts w:hint="eastAsia" w:ascii="宋体" w:hAnsi="宋体" w:eastAsia="宋体" w:cs="宋体"/>
          <w:b w:val="0"/>
          <w:bCs/>
          <w:color w:val="auto"/>
          <w:sz w:val="21"/>
          <w:szCs w:val="21"/>
          <w:highlight w:val="none"/>
          <w:lang w:eastAsia="zh-CN"/>
        </w:rPr>
      </w:pPr>
      <w:r>
        <w:rPr>
          <w:rFonts w:hint="eastAsia" w:ascii="宋体" w:hAnsi="宋体" w:eastAsia="宋体" w:cs="宋体"/>
          <w:b/>
          <w:bCs/>
          <w:color w:val="auto"/>
          <w:kern w:val="0"/>
          <w:sz w:val="21"/>
          <w:szCs w:val="21"/>
          <w:highlight w:val="none"/>
          <w:u w:val="none"/>
          <w:shd w:val="clear" w:color="auto" w:fill="FFFFFF"/>
          <w:lang w:val="en-US" w:eastAsia="zh-CN" w:bidi="ar-SA"/>
        </w:rPr>
        <w:t>5.1.5.公布结果和出具定标报告</w:t>
      </w:r>
    </w:p>
    <w:p w14:paraId="7538600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宋体" w:hAnsi="宋体" w:eastAsia="宋体" w:cs="宋体"/>
          <w:b w:val="0"/>
          <w:bCs w:val="0"/>
          <w:color w:val="auto"/>
          <w:spacing w:val="0"/>
          <w:position w:val="0"/>
          <w:sz w:val="21"/>
          <w:szCs w:val="21"/>
          <w:highlight w:val="none"/>
          <w:u w:val="none" w:color="auto"/>
          <w:lang w:val="en-US" w:eastAsia="zh-CN"/>
        </w:rPr>
      </w:pPr>
      <w:r>
        <w:rPr>
          <w:rFonts w:hint="eastAsia" w:ascii="宋体" w:hAnsi="宋体" w:eastAsia="宋体" w:cs="宋体"/>
          <w:b w:val="0"/>
          <w:bCs/>
          <w:color w:val="auto"/>
          <w:sz w:val="21"/>
          <w:szCs w:val="21"/>
          <w:highlight w:val="none"/>
          <w:lang w:eastAsia="zh-CN"/>
        </w:rPr>
        <w:t>点票工作完成后，定标委员会组长汇总定标结果，编制定标报告，确定中标候选人，全体成员签名。</w:t>
      </w:r>
    </w:p>
    <w:p w14:paraId="5129C7DA">
      <w:pPr>
        <w:pStyle w:val="21"/>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auto"/>
        <w:ind w:leftChars="200"/>
        <w:jc w:val="both"/>
        <w:textAlignment w:val="auto"/>
        <w:outlineLvl w:val="9"/>
        <w:rPr>
          <w:rFonts w:hint="eastAsia" w:ascii="宋体" w:hAnsi="宋体" w:eastAsia="宋体" w:cs="宋体"/>
          <w:b/>
          <w:bCs/>
          <w:color w:val="auto"/>
          <w:sz w:val="21"/>
          <w:szCs w:val="21"/>
          <w:highlight w:val="none"/>
          <w:u w:val="none"/>
          <w:shd w:val="clear" w:color="auto" w:fill="FFFFFF"/>
        </w:rPr>
      </w:pPr>
      <w:r>
        <w:rPr>
          <w:rFonts w:hint="eastAsia" w:ascii="宋体" w:hAnsi="宋体" w:eastAsia="宋体" w:cs="宋体"/>
          <w:b/>
          <w:bCs/>
          <w:color w:val="auto"/>
          <w:spacing w:val="0"/>
          <w:position w:val="0"/>
          <w:sz w:val="21"/>
          <w:szCs w:val="21"/>
          <w:highlight w:val="none"/>
          <w:u w:val="none" w:color="auto"/>
          <w:lang w:val="en-US" w:eastAsia="zh-CN"/>
        </w:rPr>
        <w:t>5.1.6.</w:t>
      </w:r>
      <w:r>
        <w:rPr>
          <w:rFonts w:hint="eastAsia" w:ascii="宋体" w:hAnsi="宋体" w:eastAsia="宋体" w:cs="宋体"/>
          <w:b/>
          <w:bCs/>
          <w:color w:val="auto"/>
          <w:sz w:val="21"/>
          <w:szCs w:val="21"/>
          <w:highlight w:val="none"/>
          <w:u w:val="none"/>
          <w:shd w:val="clear" w:color="auto" w:fill="FFFFFF"/>
        </w:rPr>
        <w:t>全程监督</w:t>
      </w:r>
    </w:p>
    <w:p w14:paraId="579C968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招标监督小组对集体议定的全过程进行监督，确保程序合规、讨论充分、记录完整，结论形成过程公正、透明。</w:t>
      </w:r>
    </w:p>
    <w:p w14:paraId="7A692E7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2" w:firstLineChars="200"/>
        <w:jc w:val="both"/>
        <w:textAlignment w:val="auto"/>
        <w:outlineLvl w:val="9"/>
        <w:rPr>
          <w:rFonts w:hint="eastAsia" w:ascii="宋体" w:hAnsi="宋体" w:eastAsia="宋体" w:cs="宋体"/>
          <w:b/>
          <w:bCs/>
          <w:color w:val="auto"/>
          <w:spacing w:val="0"/>
          <w:position w:val="0"/>
          <w:sz w:val="21"/>
          <w:szCs w:val="21"/>
          <w:highlight w:val="none"/>
          <w:u w:val="none" w:color="auto"/>
          <w:lang w:val="en-US" w:eastAsia="zh-CN"/>
        </w:rPr>
      </w:pPr>
      <w:r>
        <w:rPr>
          <w:rFonts w:hint="eastAsia" w:ascii="宋体" w:hAnsi="宋体" w:eastAsia="宋体" w:cs="宋体"/>
          <w:b/>
          <w:bCs/>
          <w:color w:val="auto"/>
          <w:spacing w:val="0"/>
          <w:position w:val="0"/>
          <w:sz w:val="21"/>
          <w:szCs w:val="21"/>
          <w:highlight w:val="none"/>
          <w:u w:val="none" w:color="auto"/>
          <w:lang w:val="en-US" w:eastAsia="zh-CN"/>
        </w:rPr>
        <w:t>5.2定标因素</w:t>
      </w:r>
    </w:p>
    <w:p w14:paraId="163D064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宋体" w:hAnsi="宋体" w:eastAsia="宋体" w:cs="宋体"/>
          <w:b w:val="0"/>
          <w:bCs w:val="0"/>
          <w:i/>
          <w:iCs/>
          <w:color w:val="auto"/>
          <w:spacing w:val="0"/>
          <w:position w:val="0"/>
          <w:sz w:val="21"/>
          <w:szCs w:val="21"/>
          <w:highlight w:val="none"/>
          <w:u w:val="none" w:color="auto"/>
          <w:lang w:val="en-US" w:eastAsia="zh-CN"/>
        </w:rPr>
      </w:pPr>
      <w:r>
        <w:rPr>
          <w:rFonts w:hint="eastAsia" w:ascii="宋体" w:hAnsi="宋体" w:eastAsia="宋体" w:cs="宋体"/>
          <w:b w:val="0"/>
          <w:bCs w:val="0"/>
          <w:color w:val="auto"/>
          <w:spacing w:val="0"/>
          <w:position w:val="0"/>
          <w:sz w:val="21"/>
          <w:szCs w:val="21"/>
          <w:highlight w:val="none"/>
          <w:u w:val="none" w:color="auto"/>
          <w:lang w:val="en-US" w:eastAsia="zh-CN"/>
        </w:rPr>
        <w:t>在同等条件下，择优的定标因素和相对标准有以下几个方面：</w:t>
      </w:r>
    </w:p>
    <w:p w14:paraId="730DCC3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spacing w:val="0"/>
          <w:position w:val="0"/>
          <w:sz w:val="21"/>
          <w:szCs w:val="21"/>
          <w:highlight w:val="none"/>
          <w:u w:val="none" w:color="auto"/>
          <w:lang w:val="en-US" w:eastAsia="zh-CN"/>
        </w:rPr>
      </w:pPr>
      <w:r>
        <w:rPr>
          <w:rFonts w:hint="eastAsia" w:ascii="宋体" w:hAnsi="宋体" w:eastAsia="宋体" w:cs="宋体"/>
          <w:b w:val="0"/>
          <w:bCs w:val="0"/>
          <w:color w:val="auto"/>
          <w:spacing w:val="0"/>
          <w:position w:val="0"/>
          <w:sz w:val="21"/>
          <w:szCs w:val="21"/>
          <w:highlight w:val="none"/>
          <w:u w:val="none" w:color="auto"/>
          <w:lang w:val="en-US" w:eastAsia="zh-CN"/>
        </w:rPr>
        <w:t>（1）拟派团队管理能力与水平（履约能力）</w:t>
      </w:r>
    </w:p>
    <w:p w14:paraId="6B38EEF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spacing w:val="0"/>
          <w:position w:val="0"/>
          <w:sz w:val="21"/>
          <w:szCs w:val="21"/>
          <w:highlight w:val="none"/>
          <w:u w:val="none" w:color="auto"/>
          <w:lang w:val="en-US" w:eastAsia="zh-CN"/>
        </w:rPr>
      </w:pPr>
      <w:r>
        <w:rPr>
          <w:rFonts w:hint="eastAsia" w:ascii="宋体" w:hAnsi="宋体" w:eastAsia="宋体" w:cs="宋体"/>
          <w:b w:val="0"/>
          <w:bCs w:val="0"/>
          <w:color w:val="auto"/>
          <w:spacing w:val="0"/>
          <w:position w:val="0"/>
          <w:sz w:val="21"/>
          <w:szCs w:val="21"/>
          <w:highlight w:val="none"/>
          <w:u w:val="none" w:color="auto"/>
          <w:lang w:val="en-US" w:eastAsia="zh-CN"/>
        </w:rPr>
        <w:t>相对标准：拟派团队管理能力与水平（履约能力）强的定标候选人优于拟派团队管理能力与水平（履约能力）一般的定标候选人。</w:t>
      </w:r>
    </w:p>
    <w:p w14:paraId="43C0842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spacing w:val="0"/>
          <w:position w:val="0"/>
          <w:sz w:val="21"/>
          <w:szCs w:val="21"/>
          <w:highlight w:val="none"/>
          <w:u w:val="none" w:color="auto"/>
          <w:lang w:val="en-US" w:eastAsia="zh-CN"/>
        </w:rPr>
      </w:pPr>
      <w:r>
        <w:rPr>
          <w:rFonts w:hint="eastAsia" w:ascii="宋体" w:hAnsi="宋体" w:eastAsia="宋体" w:cs="宋体"/>
          <w:b w:val="0"/>
          <w:bCs w:val="0"/>
          <w:color w:val="auto"/>
          <w:spacing w:val="0"/>
          <w:position w:val="0"/>
          <w:sz w:val="21"/>
          <w:szCs w:val="21"/>
          <w:highlight w:val="none"/>
          <w:u w:val="none" w:color="auto"/>
          <w:lang w:val="en-US" w:eastAsia="zh-CN"/>
        </w:rPr>
        <w:t>（2）企业信誉</w:t>
      </w:r>
    </w:p>
    <w:p w14:paraId="11EDE31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spacing w:val="0"/>
          <w:position w:val="0"/>
          <w:sz w:val="21"/>
          <w:szCs w:val="21"/>
          <w:highlight w:val="none"/>
          <w:u w:val="none" w:color="auto"/>
          <w:lang w:val="en-US" w:eastAsia="zh-CN"/>
        </w:rPr>
      </w:pPr>
      <w:r>
        <w:rPr>
          <w:rFonts w:hint="eastAsia" w:ascii="宋体" w:hAnsi="宋体" w:eastAsia="宋体" w:cs="宋体"/>
          <w:b w:val="0"/>
          <w:bCs w:val="0"/>
          <w:color w:val="auto"/>
          <w:spacing w:val="0"/>
          <w:position w:val="0"/>
          <w:sz w:val="21"/>
          <w:szCs w:val="21"/>
          <w:highlight w:val="none"/>
          <w:u w:val="none" w:color="auto"/>
          <w:lang w:val="en-US" w:eastAsia="zh-CN"/>
        </w:rPr>
        <w:t>相对标准：企业信誉评价好的定标候选人优于企业信誉评价一般的定标候选人。</w:t>
      </w:r>
    </w:p>
    <w:p w14:paraId="4E7B74A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spacing w:val="0"/>
          <w:position w:val="0"/>
          <w:sz w:val="21"/>
          <w:szCs w:val="21"/>
          <w:highlight w:val="none"/>
          <w:u w:val="none" w:color="auto"/>
          <w:lang w:val="en-US" w:eastAsia="zh-CN"/>
        </w:rPr>
      </w:pPr>
      <w:r>
        <w:rPr>
          <w:rFonts w:hint="eastAsia" w:ascii="宋体" w:hAnsi="宋体" w:eastAsia="宋体" w:cs="宋体"/>
          <w:b w:val="0"/>
          <w:bCs w:val="0"/>
          <w:color w:val="auto"/>
          <w:spacing w:val="0"/>
          <w:position w:val="0"/>
          <w:sz w:val="21"/>
          <w:szCs w:val="21"/>
          <w:highlight w:val="none"/>
          <w:u w:val="none" w:color="auto"/>
          <w:lang w:val="en-US" w:eastAsia="zh-CN"/>
        </w:rPr>
        <w:t>（</w:t>
      </w:r>
      <w:r>
        <w:rPr>
          <w:rFonts w:hint="eastAsia" w:hAnsi="宋体" w:eastAsia="宋体" w:cs="宋体"/>
          <w:b w:val="0"/>
          <w:bCs w:val="0"/>
          <w:color w:val="auto"/>
          <w:spacing w:val="0"/>
          <w:position w:val="0"/>
          <w:sz w:val="21"/>
          <w:szCs w:val="21"/>
          <w:highlight w:val="none"/>
          <w:u w:val="none" w:color="auto"/>
          <w:lang w:val="en-US" w:eastAsia="zh-CN"/>
        </w:rPr>
        <w:t>3</w:t>
      </w:r>
      <w:r>
        <w:rPr>
          <w:rFonts w:hint="eastAsia" w:ascii="宋体" w:hAnsi="宋体" w:eastAsia="宋体" w:cs="宋体"/>
          <w:b w:val="0"/>
          <w:bCs w:val="0"/>
          <w:color w:val="auto"/>
          <w:spacing w:val="0"/>
          <w:position w:val="0"/>
          <w:sz w:val="21"/>
          <w:szCs w:val="21"/>
          <w:highlight w:val="none"/>
          <w:u w:val="none" w:color="auto"/>
          <w:lang w:val="en-US" w:eastAsia="zh-CN"/>
        </w:rPr>
        <w:t>）设计方案</w:t>
      </w:r>
    </w:p>
    <w:p w14:paraId="4134973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spacing w:val="0"/>
          <w:position w:val="0"/>
          <w:sz w:val="21"/>
          <w:szCs w:val="21"/>
          <w:highlight w:val="none"/>
          <w:u w:val="none" w:color="auto"/>
          <w:lang w:val="en-US" w:eastAsia="zh-CN"/>
        </w:rPr>
      </w:pPr>
      <w:r>
        <w:rPr>
          <w:rFonts w:hint="eastAsia" w:ascii="宋体" w:hAnsi="宋体" w:eastAsia="宋体" w:cs="宋体"/>
          <w:b w:val="0"/>
          <w:bCs w:val="0"/>
          <w:color w:val="auto"/>
          <w:spacing w:val="0"/>
          <w:position w:val="0"/>
          <w:sz w:val="21"/>
          <w:szCs w:val="21"/>
          <w:highlight w:val="none"/>
          <w:u w:val="none" w:color="auto"/>
          <w:lang w:val="en-US" w:eastAsia="zh-CN"/>
        </w:rPr>
        <w:t>相对标准：设计方案详尽、透彻的定标候选人优于设计方案一般的定标候选人。</w:t>
      </w:r>
    </w:p>
    <w:p w14:paraId="71C219D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spacing w:val="0"/>
          <w:position w:val="0"/>
          <w:sz w:val="21"/>
          <w:szCs w:val="21"/>
          <w:highlight w:val="none"/>
          <w:u w:val="none" w:color="auto"/>
          <w:lang w:val="en-US" w:eastAsia="zh-CN"/>
        </w:rPr>
      </w:pPr>
      <w:r>
        <w:rPr>
          <w:rFonts w:hint="eastAsia" w:ascii="宋体" w:hAnsi="宋体" w:eastAsia="宋体" w:cs="宋体"/>
          <w:b w:val="0"/>
          <w:bCs w:val="0"/>
          <w:color w:val="auto"/>
          <w:spacing w:val="0"/>
          <w:position w:val="0"/>
          <w:sz w:val="21"/>
          <w:szCs w:val="21"/>
          <w:highlight w:val="none"/>
          <w:u w:val="none" w:color="auto"/>
          <w:lang w:val="en-US" w:eastAsia="zh-CN"/>
        </w:rPr>
        <w:t>（</w:t>
      </w:r>
      <w:r>
        <w:rPr>
          <w:rFonts w:hint="eastAsia" w:hAnsi="宋体" w:eastAsia="宋体" w:cs="宋体"/>
          <w:b w:val="0"/>
          <w:bCs w:val="0"/>
          <w:color w:val="auto"/>
          <w:spacing w:val="0"/>
          <w:position w:val="0"/>
          <w:sz w:val="21"/>
          <w:szCs w:val="21"/>
          <w:highlight w:val="none"/>
          <w:u w:val="none" w:color="auto"/>
          <w:lang w:val="en-US" w:eastAsia="zh-CN"/>
        </w:rPr>
        <w:t>4</w:t>
      </w:r>
      <w:r>
        <w:rPr>
          <w:rFonts w:hint="eastAsia" w:ascii="宋体" w:hAnsi="宋体" w:eastAsia="宋体" w:cs="宋体"/>
          <w:b w:val="0"/>
          <w:bCs w:val="0"/>
          <w:color w:val="auto"/>
          <w:spacing w:val="0"/>
          <w:position w:val="0"/>
          <w:sz w:val="21"/>
          <w:szCs w:val="21"/>
          <w:highlight w:val="none"/>
          <w:u w:val="none" w:color="auto"/>
          <w:lang w:val="en-US" w:eastAsia="zh-CN"/>
        </w:rPr>
        <w:t>）评标报告</w:t>
      </w:r>
    </w:p>
    <w:p w14:paraId="481F35C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bCs/>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spacing w:val="0"/>
          <w:position w:val="0"/>
          <w:sz w:val="21"/>
          <w:szCs w:val="21"/>
          <w:highlight w:val="none"/>
          <w:u w:val="none" w:color="auto"/>
          <w:lang w:val="en-US" w:eastAsia="zh-CN"/>
        </w:rPr>
        <w:t>相对标准：评标委员会评审意见为优势</w:t>
      </w:r>
      <w:r>
        <w:rPr>
          <w:rFonts w:hint="eastAsia" w:ascii="宋体" w:hAnsi="宋体" w:eastAsia="宋体" w:cs="宋体"/>
          <w:color w:val="auto"/>
          <w:sz w:val="21"/>
          <w:szCs w:val="21"/>
          <w:highlight w:val="none"/>
        </w:rPr>
        <w:t>风险</w:t>
      </w:r>
      <w:r>
        <w:rPr>
          <w:rFonts w:hint="eastAsia" w:ascii="宋体" w:hAnsi="宋体" w:eastAsia="宋体" w:cs="宋体"/>
          <w:color w:val="auto"/>
          <w:sz w:val="21"/>
          <w:szCs w:val="21"/>
          <w:highlight w:val="none"/>
          <w:lang w:val="en-US" w:eastAsia="zh-CN"/>
        </w:rPr>
        <w:t>低</w:t>
      </w:r>
      <w:r>
        <w:rPr>
          <w:rFonts w:hint="eastAsia" w:ascii="宋体" w:hAnsi="宋体" w:eastAsia="宋体" w:cs="宋体"/>
          <w:b w:val="0"/>
          <w:bCs w:val="0"/>
          <w:color w:val="auto"/>
          <w:spacing w:val="0"/>
          <w:position w:val="0"/>
          <w:sz w:val="21"/>
          <w:szCs w:val="21"/>
          <w:highlight w:val="none"/>
          <w:u w:val="none" w:color="auto"/>
          <w:lang w:val="en-US" w:eastAsia="zh-CN"/>
        </w:rPr>
        <w:t>的定标候选人优于优势</w:t>
      </w:r>
      <w:r>
        <w:rPr>
          <w:rFonts w:hint="eastAsia" w:ascii="宋体" w:hAnsi="宋体" w:eastAsia="宋体" w:cs="宋体"/>
          <w:color w:val="auto"/>
          <w:sz w:val="21"/>
          <w:szCs w:val="21"/>
          <w:highlight w:val="none"/>
        </w:rPr>
        <w:t>风险</w:t>
      </w:r>
      <w:r>
        <w:rPr>
          <w:rFonts w:hint="eastAsia" w:ascii="宋体" w:hAnsi="宋体" w:eastAsia="宋体" w:cs="宋体"/>
          <w:color w:val="auto"/>
          <w:sz w:val="21"/>
          <w:szCs w:val="21"/>
          <w:highlight w:val="none"/>
          <w:lang w:val="en-US" w:eastAsia="zh-CN"/>
        </w:rPr>
        <w:t>高</w:t>
      </w:r>
      <w:r>
        <w:rPr>
          <w:rFonts w:hint="eastAsia" w:ascii="宋体" w:hAnsi="宋体" w:eastAsia="宋体" w:cs="宋体"/>
          <w:b w:val="0"/>
          <w:bCs w:val="0"/>
          <w:color w:val="auto"/>
          <w:spacing w:val="0"/>
          <w:position w:val="0"/>
          <w:sz w:val="21"/>
          <w:szCs w:val="21"/>
          <w:highlight w:val="none"/>
          <w:u w:val="none" w:color="auto"/>
          <w:lang w:val="en-US" w:eastAsia="zh-CN"/>
        </w:rPr>
        <w:t>的</w:t>
      </w:r>
      <w:r>
        <w:rPr>
          <w:rFonts w:hint="eastAsia" w:ascii="宋体" w:hAnsi="宋体" w:eastAsia="宋体" w:cs="宋体"/>
          <w:color w:val="auto"/>
          <w:sz w:val="21"/>
          <w:szCs w:val="21"/>
          <w:highlight w:val="none"/>
        </w:rPr>
        <w:t>定标候选人</w:t>
      </w: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spacing w:val="0"/>
          <w:position w:val="0"/>
          <w:sz w:val="21"/>
          <w:szCs w:val="21"/>
          <w:highlight w:val="none"/>
          <w:u w:val="none" w:color="auto"/>
          <w:lang w:val="en-US" w:eastAsia="zh-CN"/>
        </w:rPr>
        <w:t>综合考虑评标委员会的评审意见，对各定标候选人</w:t>
      </w:r>
      <w:r>
        <w:rPr>
          <w:rFonts w:hint="eastAsia" w:ascii="宋体" w:hAnsi="宋体" w:eastAsia="宋体" w:cs="宋体"/>
          <w:color w:val="auto"/>
          <w:sz w:val="21"/>
          <w:szCs w:val="21"/>
          <w:highlight w:val="none"/>
        </w:rPr>
        <w:t>的优势、风险等评审情况</w:t>
      </w:r>
      <w:r>
        <w:rPr>
          <w:rFonts w:hint="eastAsia" w:ascii="宋体" w:hAnsi="宋体" w:eastAsia="宋体" w:cs="宋体"/>
          <w:b w:val="0"/>
          <w:bCs w:val="0"/>
          <w:color w:val="auto"/>
          <w:spacing w:val="0"/>
          <w:position w:val="0"/>
          <w:sz w:val="21"/>
          <w:szCs w:val="21"/>
          <w:highlight w:val="none"/>
          <w:u w:val="none" w:color="auto"/>
          <w:lang w:val="en-US" w:eastAsia="zh-CN"/>
        </w:rPr>
        <w:t>进行评审比较</w:t>
      </w: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spacing w:val="0"/>
          <w:position w:val="0"/>
          <w:sz w:val="21"/>
          <w:szCs w:val="21"/>
          <w:highlight w:val="none"/>
          <w:u w:val="none" w:color="auto"/>
          <w:lang w:val="en-US" w:eastAsia="zh-CN"/>
        </w:rPr>
        <w:t>。</w:t>
      </w:r>
    </w:p>
    <w:p w14:paraId="2FA3A8C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2" w:firstLineChars="200"/>
        <w:jc w:val="both"/>
        <w:textAlignment w:val="auto"/>
        <w:outlineLvl w:val="9"/>
        <w:rPr>
          <w:rFonts w:hint="eastAsia" w:ascii="宋体" w:hAnsi="宋体" w:eastAsia="宋体" w:cs="宋体"/>
          <w:b/>
          <w:bCs/>
          <w:color w:val="auto"/>
          <w:kern w:val="0"/>
          <w:sz w:val="21"/>
          <w:szCs w:val="21"/>
          <w:highlight w:val="none"/>
          <w:u w:val="none"/>
          <w:shd w:val="clear" w:color="auto" w:fill="FFFFFF"/>
          <w:lang w:val="en-US" w:eastAsia="zh-CN" w:bidi="ar-SA"/>
        </w:rPr>
      </w:pPr>
      <w:r>
        <w:rPr>
          <w:rFonts w:hint="eastAsia" w:ascii="宋体" w:hAnsi="宋体" w:eastAsia="宋体" w:cs="宋体"/>
          <w:b/>
          <w:bCs/>
          <w:color w:val="auto"/>
          <w:kern w:val="0"/>
          <w:sz w:val="21"/>
          <w:szCs w:val="21"/>
          <w:highlight w:val="none"/>
          <w:u w:val="none"/>
          <w:shd w:val="clear" w:color="auto" w:fill="FFFFFF"/>
          <w:lang w:val="en-US" w:eastAsia="zh-CN" w:bidi="ar-SA"/>
        </w:rPr>
        <w:t>6.定标结果公示</w:t>
      </w:r>
    </w:p>
    <w:p w14:paraId="6E428D6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Style w:val="56"/>
          <w:rFonts w:hint="eastAsia" w:ascii="宋体" w:hAnsi="宋体" w:eastAsia="宋体" w:cs="宋体"/>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定标委员会完成定标</w:t>
      </w:r>
      <w:r>
        <w:rPr>
          <w:rStyle w:val="56"/>
          <w:rFonts w:hint="eastAsia" w:ascii="宋体" w:hAnsi="宋体" w:eastAsia="宋体" w:cs="宋体"/>
          <w:b w:val="0"/>
          <w:bCs w:val="0"/>
          <w:color w:val="auto"/>
          <w:kern w:val="0"/>
          <w:sz w:val="21"/>
          <w:szCs w:val="21"/>
          <w:highlight w:val="none"/>
          <w:lang w:val="en-US" w:eastAsia="zh-CN"/>
        </w:rPr>
        <w:t>后</w:t>
      </w:r>
      <w:r>
        <w:rPr>
          <w:rStyle w:val="56"/>
          <w:rFonts w:hint="eastAsia" w:ascii="宋体" w:hAnsi="宋体" w:eastAsia="宋体" w:cs="宋体"/>
          <w:color w:val="auto"/>
          <w:kern w:val="0"/>
          <w:sz w:val="21"/>
          <w:szCs w:val="21"/>
          <w:highlight w:val="none"/>
          <w:lang w:val="en-US" w:eastAsia="zh-CN"/>
        </w:rPr>
        <w:t>，招标人应于定标会结束后3日内将中标候选人和定标情况在广东省招标投标监管网和韶关市公共资源交易中心工程交易系统上公示，公示时间不少于3日。公示主要内容包括：公示主要内容包括：定标报告（定标成员信息除外）、中标人名单、中标价和拟投入本项目的项目负责人、技术负责人及各专业负责人（如有）等内容。</w:t>
      </w:r>
    </w:p>
    <w:p w14:paraId="2A496E69">
      <w:pPr>
        <w:rPr>
          <w:rFonts w:hint="eastAsia"/>
          <w:color w:val="auto"/>
          <w:highlight w:val="none"/>
          <w:lang w:val="en-US" w:eastAsia="zh-CN"/>
        </w:rPr>
      </w:pPr>
    </w:p>
    <w:p w14:paraId="636BBA98">
      <w:pPr>
        <w:pStyle w:val="3"/>
        <w:bidi w:val="0"/>
        <w:rPr>
          <w:rFonts w:hint="eastAsia" w:asciiTheme="minorEastAsia" w:hAnsiTheme="minorEastAsia" w:eastAsiaTheme="minorEastAsia" w:cstheme="minorEastAsia"/>
          <w:b/>
          <w:bCs/>
          <w:color w:val="auto"/>
          <w:sz w:val="28"/>
          <w:szCs w:val="21"/>
          <w:highlight w:val="none"/>
          <w:lang w:val="en-US" w:eastAsia="zh-CN"/>
        </w:rPr>
      </w:pPr>
      <w:bookmarkStart w:id="322" w:name="_Toc27974"/>
      <w:bookmarkStart w:id="323" w:name="_Toc13256"/>
      <w:r>
        <w:rPr>
          <w:rFonts w:hint="eastAsia" w:asciiTheme="minorEastAsia" w:hAnsiTheme="minorEastAsia" w:eastAsiaTheme="minorEastAsia" w:cstheme="minorEastAsia"/>
          <w:b/>
          <w:bCs/>
          <w:color w:val="auto"/>
          <w:sz w:val="28"/>
          <w:szCs w:val="21"/>
          <w:highlight w:val="none"/>
        </w:rPr>
        <w:t>第</w:t>
      </w:r>
      <w:r>
        <w:rPr>
          <w:rFonts w:hint="eastAsia" w:asciiTheme="minorEastAsia" w:hAnsiTheme="minorEastAsia" w:eastAsiaTheme="minorEastAsia" w:cstheme="minorEastAsia"/>
          <w:b/>
          <w:bCs/>
          <w:color w:val="auto"/>
          <w:sz w:val="28"/>
          <w:szCs w:val="21"/>
          <w:highlight w:val="none"/>
          <w:lang w:val="en-US" w:eastAsia="zh-CN"/>
        </w:rPr>
        <w:t>六</w:t>
      </w:r>
      <w:r>
        <w:rPr>
          <w:rFonts w:hint="eastAsia" w:asciiTheme="minorEastAsia" w:hAnsiTheme="minorEastAsia" w:eastAsiaTheme="minorEastAsia" w:cstheme="minorEastAsia"/>
          <w:b/>
          <w:bCs/>
          <w:color w:val="auto"/>
          <w:sz w:val="28"/>
          <w:szCs w:val="21"/>
          <w:highlight w:val="none"/>
        </w:rPr>
        <w:t>节 中标确认</w:t>
      </w:r>
      <w:bookmarkEnd w:id="322"/>
      <w:bookmarkEnd w:id="323"/>
    </w:p>
    <w:p w14:paraId="73D6235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2" w:firstLineChars="200"/>
        <w:jc w:val="both"/>
        <w:textAlignment w:val="auto"/>
        <w:outlineLvl w:val="9"/>
        <w:rPr>
          <w:rFonts w:hint="eastAsia" w:ascii="宋体" w:hAnsi="宋体" w:eastAsia="宋体" w:cs="宋体"/>
          <w:b/>
          <w:bCs/>
          <w:color w:val="auto"/>
          <w:kern w:val="0"/>
          <w:sz w:val="21"/>
          <w:szCs w:val="21"/>
          <w:highlight w:val="none"/>
          <w:u w:val="none"/>
          <w:shd w:val="clear" w:color="auto" w:fill="FFFFFF"/>
          <w:lang w:val="en-US" w:eastAsia="zh-CN" w:bidi="ar-SA"/>
        </w:rPr>
      </w:pPr>
      <w:r>
        <w:rPr>
          <w:rFonts w:hint="eastAsia" w:ascii="宋体" w:hAnsi="宋体" w:eastAsia="宋体" w:cs="宋体"/>
          <w:b/>
          <w:bCs/>
          <w:color w:val="auto"/>
          <w:kern w:val="0"/>
          <w:sz w:val="21"/>
          <w:szCs w:val="21"/>
          <w:highlight w:val="none"/>
          <w:u w:val="none"/>
          <w:shd w:val="clear" w:color="auto" w:fill="FFFFFF"/>
          <w:lang w:val="en-US" w:eastAsia="zh-CN" w:bidi="ar-SA"/>
        </w:rPr>
        <w:t>1.中标人确定</w:t>
      </w:r>
    </w:p>
    <w:p w14:paraId="767123C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1.1 中标人确定。中标结果公示期满无异议的，招标人确认排名第一的中标候选人为中标人，中标人的投标报价即为中标价。</w:t>
      </w:r>
    </w:p>
    <w:p w14:paraId="0A7A612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1.2 中标人确定后，招标人应当于7日内在线完成加盖招标人单位电子签章的中标通知书并发放到中标人及各相关单位。招标人最迟应当在投标有效期届满30日前发出中标通知书，否则，应当按照本投标人须知投标有效期的规定延长投标有效期。</w:t>
      </w:r>
      <w:r>
        <w:rPr>
          <w:rFonts w:hint="eastAsia" w:ascii="宋体" w:hAnsi="宋体" w:eastAsia="宋体" w:cs="宋体"/>
          <w:snapToGrid w:val="0"/>
          <w:color w:val="auto"/>
          <w:kern w:val="0"/>
          <w:sz w:val="21"/>
          <w:szCs w:val="21"/>
          <w:highlight w:val="none"/>
        </w:rPr>
        <w:t>在中标通知书发出后5个工作日内，韶关市公共资源交易中心将投标保证金（或银行保函）退还给中标候选人以外的投标人。</w:t>
      </w:r>
    </w:p>
    <w:p w14:paraId="2EE685C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1.3 招标人应当自中标通知书发出之日起15日内，通过广东省招标投标监管网和公共资源交易平台发布中标结果公示。 招标人应当自确定中标人之日起15日内，在线向有关招标管理部门提交招标投标情况的书面报告。</w:t>
      </w:r>
    </w:p>
    <w:p w14:paraId="5DEAEBC1">
      <w:pPr>
        <w:keepNext w:val="0"/>
        <w:keepLines w:val="0"/>
        <w:pageBreakBefore w:val="0"/>
        <w:widowControl w:val="0"/>
        <w:shd w:val="clear" w:color="auto" w:fill="auto"/>
        <w:kinsoku/>
        <w:wordWrap/>
        <w:overflowPunct/>
        <w:topLinePunct w:val="0"/>
        <w:autoSpaceDE/>
        <w:autoSpaceDN/>
        <w:bidi w:val="0"/>
        <w:adjustRightInd/>
        <w:snapToGrid/>
        <w:spacing w:line="400" w:lineRule="exact"/>
        <w:ind w:left="0" w:leftChars="0" w:right="0" w:rightChars="0" w:firstLine="422" w:firstLineChars="200"/>
        <w:jc w:val="both"/>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eastAsia="zh-CN"/>
        </w:rPr>
        <w:t>异议和投诉</w:t>
      </w:r>
    </w:p>
    <w:p w14:paraId="5AC6CCE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2.1 投标人或者其他利害关系人对招标项目的评标和中标结果有异议的，应当在定标候选人和中标候选人公示期间按规定线上向招标人提出，逾期提出的不予受理。招标人自收到异议之日起3日内作出答复；作出答复前，应当暂停招标投标活动。经招标人书面答复，异议人仍不满意的，可在法律规定的时限内向行政监督部门提出书面投诉。异议（投诉）提出、处理的具体办法和要求，按照《韶关市工程建设项目招标投标活动异议和投诉处理办法》（韶发改〔2021〕44号）执行。</w:t>
      </w:r>
    </w:p>
    <w:p w14:paraId="0ACD73A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2.2在定标候选人和中标候选人公示期间有关评标结果的异议成立的，招标人原则上应当组织原评标委员会和原定标委员会对有关的问题予以纠正，问题纠正后再公示定标候选人和中标候选人。</w:t>
      </w:r>
    </w:p>
    <w:p w14:paraId="5209137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2.3投标人或其他利害关系人认为招标投标活动不符合法律、行政法规规定的，可以自知道或者应当知道之日起10日内按规定线上向有关招标管理部门投诉。投诉应当有明确的请求和必要的证明材料。招标管理部门应当自收到投诉之日起30个工作日内作出书面处理决定。</w:t>
      </w:r>
    </w:p>
    <w:p w14:paraId="05EAE560">
      <w:pPr>
        <w:pStyle w:val="21"/>
        <w:keepNext w:val="0"/>
        <w:keepLines w:val="0"/>
        <w:pageBreakBefore w:val="0"/>
        <w:widowControl w:val="0"/>
        <w:shd w:val="clear" w:color="auto" w:fill="auto"/>
        <w:kinsoku/>
        <w:wordWrap/>
        <w:overflowPunct/>
        <w:topLinePunct w:val="0"/>
        <w:bidi w:val="0"/>
        <w:adjustRightInd/>
        <w:snapToGrid/>
        <w:spacing w:before="0" w:beforeLines="0" w:after="0" w:afterLines="0" w:line="340" w:lineRule="exact"/>
        <w:ind w:left="0" w:leftChars="0" w:firstLine="422" w:firstLineChars="200"/>
        <w:jc w:val="both"/>
        <w:textAlignment w:val="auto"/>
        <w:outlineLvl w:val="9"/>
        <w:rPr>
          <w:rFonts w:hint="eastAsia" w:ascii="宋体" w:hAnsi="宋体" w:eastAsia="宋体" w:cs="宋体"/>
          <w:b/>
          <w:bCs/>
          <w:i/>
          <w:color w:val="auto"/>
          <w:sz w:val="21"/>
          <w:szCs w:val="21"/>
          <w:highlight w:val="none"/>
        </w:rPr>
      </w:pPr>
      <w:bookmarkStart w:id="324" w:name="_Toc236550039"/>
      <w:r>
        <w:rPr>
          <w:rStyle w:val="29"/>
          <w:rFonts w:hint="eastAsia" w:ascii="宋体" w:hAnsi="宋体" w:eastAsia="宋体" w:cs="宋体"/>
          <w:b/>
          <w:bCs/>
          <w:i w:val="0"/>
          <w:color w:val="auto"/>
          <w:sz w:val="21"/>
          <w:szCs w:val="21"/>
          <w:highlight w:val="none"/>
          <w:lang w:val="en-US" w:eastAsia="zh-CN"/>
        </w:rPr>
        <w:t>3</w:t>
      </w:r>
      <w:r>
        <w:rPr>
          <w:rStyle w:val="29"/>
          <w:rFonts w:hint="eastAsia" w:ascii="宋体" w:hAnsi="宋体" w:eastAsia="宋体" w:cs="宋体"/>
          <w:b/>
          <w:bCs/>
          <w:i w:val="0"/>
          <w:color w:val="auto"/>
          <w:sz w:val="21"/>
          <w:szCs w:val="21"/>
          <w:highlight w:val="none"/>
        </w:rPr>
        <w:t>．废除授标</w:t>
      </w:r>
      <w:bookmarkEnd w:id="324"/>
      <w:r>
        <w:rPr>
          <w:rStyle w:val="29"/>
          <w:rFonts w:hint="eastAsia" w:ascii="宋体" w:hAnsi="宋体" w:eastAsia="宋体" w:cs="宋体"/>
          <w:b/>
          <w:bCs/>
          <w:i w:val="0"/>
          <w:color w:val="auto"/>
          <w:sz w:val="21"/>
          <w:szCs w:val="21"/>
          <w:highlight w:val="none"/>
        </w:rPr>
        <w:t>及授标</w:t>
      </w:r>
    </w:p>
    <w:p w14:paraId="16C675E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3.1评定标完成后，中标候选人有下列情形之一的，招标人应按规定取消中标候选人资格或废除授标：</w:t>
      </w:r>
    </w:p>
    <w:p w14:paraId="7B2962E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（1）以他人名义投标或者以其他方式弄虚作假骗取中标的；</w:t>
      </w:r>
    </w:p>
    <w:p w14:paraId="06B7EFC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（2）与其他投标人串通投标或以行贿的手段谋取中标的；</w:t>
      </w:r>
    </w:p>
    <w:p w14:paraId="07A5CDD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（3）不是从本投标企业基本账户提交投标担保或以虚假方式提交投标保证金保函（保单）的；</w:t>
      </w:r>
    </w:p>
    <w:p w14:paraId="2000CEF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（4）中标人于投标有效期终止之前撤回投标文件，或者排名第一的中标候选人放弃中标资格的；</w:t>
      </w:r>
    </w:p>
    <w:p w14:paraId="40E4D65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（5）因中标人过错而未能按照规定与招标人签订工程总承包合同或中标人因不可抗力提出不能履行合同的；</w:t>
      </w:r>
    </w:p>
    <w:p w14:paraId="2D7EC68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（6）因中标人过错而未能按照招标文件要求向招标人提交履约担保的；</w:t>
      </w:r>
    </w:p>
    <w:p w14:paraId="5939E9A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（7）中标单位拟派的项目负责人从投标截止时间起在其他建设工程担任项目负责人；</w:t>
      </w:r>
    </w:p>
    <w:p w14:paraId="55B9EF1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（8）中标人被有关部门查实存在影响中标结果的违法行为，不符合中标条件的；</w:t>
      </w:r>
    </w:p>
    <w:p w14:paraId="01F50FE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（9）中标人在参加本项目投标时有本企业投标承诺书所列被依法限制或暂停承揽业务或停业的处罚的；</w:t>
      </w:r>
    </w:p>
    <w:p w14:paraId="31FDD37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（10）招标文件明确规定可以废除授标的其他情形。</w:t>
      </w:r>
    </w:p>
    <w:p w14:paraId="65E62F4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3.2 排名第一的中标候选人被取消中标候选人资格或废除授标，招标人可以按照定标委员会提出的中标候选人名单排序按规定依次确定其他中标候选人为中标人，并按规定实行中标结果公示；也可以按规定重新组织招标或报原项目审批、核准部门重新审批、核准招标方式。</w:t>
      </w:r>
    </w:p>
    <w:p w14:paraId="5F15687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3.3 招标人有下列情形之一的，应依法承担相应的责任：</w:t>
      </w:r>
    </w:p>
    <w:p w14:paraId="5C18934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（1）无正当理由不发出中标通知书的；</w:t>
      </w:r>
    </w:p>
    <w:p w14:paraId="02C6FED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（2）招标人不按照规定确定中标人的；</w:t>
      </w:r>
    </w:p>
    <w:p w14:paraId="4654102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（3）中标通知书发出后无正当理由改变中标结果的；</w:t>
      </w:r>
    </w:p>
    <w:p w14:paraId="7D7DDAB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（4）无正当理由不与中标人签订工程总承包合同的；</w:t>
      </w:r>
    </w:p>
    <w:p w14:paraId="75FF02D0">
      <w:pPr>
        <w:widowControl w:val="0"/>
        <w:wordWrap w:val="0"/>
        <w:adjustRightInd w:val="0"/>
        <w:snapToGrid w:val="0"/>
        <w:spacing w:line="440" w:lineRule="exact"/>
        <w:ind w:left="0" w:leftChars="0" w:firstLine="420" w:firstLineChars="200"/>
        <w:jc w:val="both"/>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（5）在签订工程总承包合同时向中标人提出附加条件或者更改合同实质性内容的。</w:t>
      </w:r>
    </w:p>
    <w:p w14:paraId="05051F75">
      <w:pPr>
        <w:widowControl w:val="0"/>
        <w:wordWrap w:val="0"/>
        <w:adjustRightInd w:val="0"/>
        <w:snapToGrid w:val="0"/>
        <w:spacing w:line="440" w:lineRule="exact"/>
        <w:ind w:left="0" w:leftChars="0" w:firstLine="0" w:firstLineChars="0"/>
        <w:jc w:val="both"/>
        <w:rPr>
          <w:rFonts w:hint="eastAsia" w:ascii="宋体" w:hAnsi="宋体" w:eastAsia="宋体" w:cs="宋体"/>
          <w:b w:val="0"/>
          <w:bCs w:val="0"/>
          <w:snapToGrid w:val="0"/>
          <w:color w:val="auto"/>
          <w:kern w:val="0"/>
          <w:sz w:val="21"/>
          <w:szCs w:val="21"/>
          <w:highlight w:val="none"/>
          <w:lang w:val="en-US" w:eastAsia="zh-CN" w:bidi="ar-SA"/>
        </w:rPr>
      </w:pPr>
    </w:p>
    <w:p w14:paraId="090E7596">
      <w:pPr>
        <w:widowControl w:val="0"/>
        <w:wordWrap w:val="0"/>
        <w:adjustRightInd w:val="0"/>
        <w:snapToGrid w:val="0"/>
        <w:spacing w:line="440" w:lineRule="exact"/>
        <w:ind w:left="0" w:leftChars="0" w:firstLine="0" w:firstLineChars="0"/>
        <w:jc w:val="both"/>
        <w:rPr>
          <w:rFonts w:hint="eastAsia" w:ascii="宋体" w:hAnsi="宋体" w:eastAsia="宋体" w:cs="宋体"/>
          <w:b w:val="0"/>
          <w:bCs w:val="0"/>
          <w:snapToGrid w:val="0"/>
          <w:color w:val="auto"/>
          <w:kern w:val="0"/>
          <w:sz w:val="21"/>
          <w:szCs w:val="21"/>
          <w:highlight w:val="none"/>
          <w:lang w:val="en-US" w:eastAsia="zh-CN" w:bidi="ar-SA"/>
        </w:rPr>
      </w:pPr>
    </w:p>
    <w:p w14:paraId="29DADD11">
      <w:pPr>
        <w:pStyle w:val="22"/>
        <w:ind w:left="0" w:leftChars="0" w:firstLine="0" w:firstLineChars="0"/>
        <w:rPr>
          <w:rFonts w:hint="default" w:ascii="宋体" w:hAnsi="宋体" w:eastAsia="宋体" w:cs="宋体"/>
          <w:snapToGrid w:val="0"/>
          <w:color w:val="auto"/>
          <w:kern w:val="0"/>
          <w:sz w:val="21"/>
          <w:szCs w:val="21"/>
          <w:highlight w:val="none"/>
        </w:rPr>
      </w:pPr>
    </w:p>
    <w:p w14:paraId="13373899">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sectPr>
          <w:footerReference r:id="rId4" w:type="default"/>
          <w:endnotePr>
            <w:numFmt w:val="decimal"/>
          </w:endnotePr>
          <w:pgSz w:w="11906" w:h="16838"/>
          <w:pgMar w:top="1440" w:right="1080" w:bottom="1440" w:left="1080" w:header="850" w:footer="992" w:gutter="0"/>
          <w:cols w:space="720" w:num="1"/>
          <w:docGrid w:linePitch="327" w:charSpace="0"/>
        </w:sectPr>
      </w:pPr>
    </w:p>
    <w:p w14:paraId="38047504">
      <w:pPr>
        <w:pStyle w:val="43"/>
        <w:keepNext/>
        <w:keepLines/>
        <w:tabs>
          <w:tab w:val="left" w:pos="885"/>
        </w:tabs>
        <w:spacing w:line="400" w:lineRule="exact"/>
        <w:jc w:val="center"/>
        <w:rPr>
          <w:rFonts w:asciiTheme="minorEastAsia" w:hAnsiTheme="minorEastAsia" w:eastAsiaTheme="minorEastAsia" w:cstheme="minorEastAsia"/>
          <w:b/>
          <w:color w:val="auto"/>
          <w:kern w:val="44"/>
          <w:sz w:val="36"/>
          <w:szCs w:val="36"/>
          <w:highlight w:val="none"/>
        </w:rPr>
      </w:pPr>
      <w:bookmarkStart w:id="325" w:name="_Toc2131"/>
      <w:r>
        <w:rPr>
          <w:rFonts w:hint="eastAsia" w:asciiTheme="minorEastAsia" w:hAnsiTheme="minorEastAsia" w:eastAsiaTheme="minorEastAsia" w:cstheme="minorEastAsia"/>
          <w:b/>
          <w:color w:val="auto"/>
          <w:kern w:val="44"/>
          <w:sz w:val="36"/>
          <w:szCs w:val="36"/>
          <w:highlight w:val="none"/>
        </w:rPr>
        <w:t>第二章</w:t>
      </w:r>
      <w:bookmarkStart w:id="326" w:name="_Hlt87793831"/>
      <w:bookmarkEnd w:id="326"/>
      <w:r>
        <w:rPr>
          <w:rFonts w:hint="eastAsia" w:asciiTheme="minorEastAsia" w:hAnsiTheme="minorEastAsia" w:eastAsiaTheme="minorEastAsia" w:cstheme="minorEastAsia"/>
          <w:b/>
          <w:color w:val="auto"/>
          <w:kern w:val="44"/>
          <w:sz w:val="36"/>
          <w:szCs w:val="36"/>
          <w:highlight w:val="none"/>
        </w:rPr>
        <w:t xml:space="preserve"> 拟签订合同的主要条款</w:t>
      </w:r>
      <w:bookmarkEnd w:id="306"/>
      <w:bookmarkEnd w:id="307"/>
      <w:bookmarkEnd w:id="308"/>
      <w:bookmarkEnd w:id="309"/>
      <w:bookmarkEnd w:id="310"/>
      <w:bookmarkEnd w:id="311"/>
      <w:bookmarkEnd w:id="312"/>
      <w:bookmarkEnd w:id="313"/>
      <w:bookmarkEnd w:id="325"/>
    </w:p>
    <w:p w14:paraId="28C2F3DC">
      <w:pPr>
        <w:pStyle w:val="42"/>
        <w:rPr>
          <w:rFonts w:asciiTheme="minorEastAsia" w:hAnsiTheme="minorEastAsia" w:eastAsiaTheme="minorEastAsia" w:cstheme="minorEastAsia"/>
          <w:color w:val="auto"/>
          <w:highlight w:val="none"/>
        </w:rPr>
      </w:pPr>
    </w:p>
    <w:bookmarkEnd w:id="314"/>
    <w:bookmarkEnd w:id="315"/>
    <w:p w14:paraId="4ABA3A58">
      <w:pPr>
        <w:pStyle w:val="44"/>
        <w:keepNext/>
        <w:keepLines/>
        <w:spacing w:line="420" w:lineRule="exact"/>
        <w:ind w:firstLine="480"/>
        <w:jc w:val="both"/>
        <w:rPr>
          <w:rFonts w:hAnsi="宋体" w:cs="宋体"/>
          <w:b/>
          <w:color w:val="auto"/>
          <w:kern w:val="2"/>
          <w:sz w:val="21"/>
          <w:szCs w:val="21"/>
          <w:highlight w:val="none"/>
        </w:rPr>
      </w:pPr>
      <w:bookmarkStart w:id="327" w:name="_Toc8407"/>
      <w:bookmarkStart w:id="328" w:name="_Toc28378"/>
      <w:bookmarkStart w:id="329" w:name="_Toc322793288"/>
      <w:bookmarkStart w:id="330" w:name="_Toc22879"/>
      <w:bookmarkStart w:id="331" w:name="_Toc26552"/>
      <w:bookmarkStart w:id="332" w:name="_Toc326916629"/>
      <w:bookmarkStart w:id="333" w:name="_Toc21667"/>
      <w:bookmarkStart w:id="334" w:name="_Toc18454"/>
      <w:bookmarkStart w:id="335" w:name="_Toc12651"/>
      <w:bookmarkStart w:id="336" w:name="_Toc29775"/>
      <w:bookmarkStart w:id="337" w:name="_Toc19931"/>
      <w:bookmarkStart w:id="338" w:name="_Toc7347"/>
      <w:bookmarkStart w:id="339" w:name="_Hlt69698741"/>
      <w:bookmarkStart w:id="340" w:name="_Hlt69698769"/>
      <w:bookmarkStart w:id="341" w:name="_Hlt69698722"/>
      <w:r>
        <w:rPr>
          <w:rFonts w:hint="eastAsia" w:hAnsi="宋体" w:cs="宋体"/>
          <w:b/>
          <w:color w:val="auto"/>
          <w:kern w:val="2"/>
          <w:sz w:val="21"/>
          <w:szCs w:val="21"/>
          <w:highlight w:val="none"/>
        </w:rPr>
        <w:t>1 工程承包方式</w:t>
      </w:r>
      <w:bookmarkEnd w:id="327"/>
      <w:bookmarkEnd w:id="328"/>
      <w:bookmarkEnd w:id="329"/>
      <w:bookmarkEnd w:id="330"/>
      <w:bookmarkEnd w:id="331"/>
      <w:bookmarkEnd w:id="332"/>
      <w:bookmarkEnd w:id="333"/>
      <w:bookmarkEnd w:id="334"/>
      <w:bookmarkEnd w:id="335"/>
      <w:bookmarkEnd w:id="336"/>
      <w:bookmarkEnd w:id="337"/>
      <w:bookmarkEnd w:id="338"/>
    </w:p>
    <w:p w14:paraId="090A6E01">
      <w:pPr>
        <w:pStyle w:val="42"/>
        <w:spacing w:line="420" w:lineRule="exact"/>
        <w:ind w:firstLine="420" w:firstLineChars="200"/>
        <w:rPr>
          <w:rFonts w:hAnsi="宋体" w:cs="宋体"/>
          <w:color w:val="auto"/>
          <w:sz w:val="21"/>
          <w:szCs w:val="21"/>
          <w:highlight w:val="none"/>
        </w:rPr>
      </w:pPr>
      <w:r>
        <w:rPr>
          <w:rFonts w:hint="eastAsia" w:hAnsi="宋体" w:cs="宋体"/>
          <w:color w:val="auto"/>
          <w:sz w:val="21"/>
          <w:szCs w:val="21"/>
          <w:highlight w:val="none"/>
        </w:rPr>
        <w:t>1.1承包人按中标价以总承包方式在规定的期限内对设计、施工（包工</w:t>
      </w:r>
      <w:bookmarkStart w:id="342" w:name="_Hlt87948212"/>
      <w:bookmarkEnd w:id="342"/>
      <w:r>
        <w:rPr>
          <w:rFonts w:hint="eastAsia" w:hAnsi="宋体" w:cs="宋体"/>
          <w:color w:val="auto"/>
          <w:sz w:val="21"/>
          <w:szCs w:val="21"/>
          <w:highlight w:val="none"/>
        </w:rPr>
        <w:t>包料、包质量、包机械、包绿色安全文明施工、包工期等）进行总承包，不允许转包和违法分包，如承包人无相应专业资质，确需分包须与发包人协商并得到发包人和监理人同意并报工程主管部门备案。</w:t>
      </w:r>
    </w:p>
    <w:p w14:paraId="0C21D1F3">
      <w:pPr>
        <w:pStyle w:val="42"/>
        <w:spacing w:line="420" w:lineRule="exact"/>
        <w:ind w:firstLine="420" w:firstLineChars="200"/>
        <w:rPr>
          <w:rFonts w:hAnsi="宋体" w:cs="宋体"/>
          <w:color w:val="auto"/>
          <w:sz w:val="21"/>
          <w:szCs w:val="21"/>
          <w:highlight w:val="none"/>
        </w:rPr>
      </w:pPr>
      <w:r>
        <w:rPr>
          <w:rFonts w:hint="eastAsia" w:hAnsi="宋体" w:cs="宋体"/>
          <w:color w:val="auto"/>
          <w:sz w:val="21"/>
          <w:szCs w:val="21"/>
          <w:highlight w:val="none"/>
        </w:rPr>
        <w:t>1.1.1 包工包料：材料符合招标文件要求</w:t>
      </w:r>
      <w:r>
        <w:rPr>
          <w:rFonts w:hint="eastAsia" w:hAnsi="宋体" w:cs="宋体"/>
          <w:snapToGrid w:val="0"/>
          <w:color w:val="auto"/>
          <w:kern w:val="0"/>
          <w:sz w:val="21"/>
          <w:szCs w:val="21"/>
          <w:highlight w:val="none"/>
        </w:rPr>
        <w:t>及合同的相关约定</w:t>
      </w:r>
      <w:r>
        <w:rPr>
          <w:rFonts w:hint="eastAsia" w:hAnsi="宋体" w:cs="宋体"/>
          <w:color w:val="auto"/>
          <w:sz w:val="21"/>
          <w:szCs w:val="21"/>
          <w:highlight w:val="none"/>
        </w:rPr>
        <w:t>，报验使用；办理用工保险。</w:t>
      </w:r>
    </w:p>
    <w:p w14:paraId="14524A85">
      <w:pPr>
        <w:pStyle w:val="42"/>
        <w:spacing w:line="420" w:lineRule="exact"/>
        <w:ind w:firstLine="420" w:firstLineChars="200"/>
        <w:rPr>
          <w:rFonts w:hAnsi="宋体" w:cs="宋体"/>
          <w:color w:val="auto"/>
          <w:sz w:val="21"/>
          <w:szCs w:val="21"/>
          <w:highlight w:val="none"/>
        </w:rPr>
      </w:pPr>
      <w:r>
        <w:rPr>
          <w:rFonts w:hint="eastAsia" w:hAnsi="宋体" w:cs="宋体"/>
          <w:color w:val="auto"/>
          <w:sz w:val="21"/>
          <w:szCs w:val="21"/>
          <w:highlight w:val="none"/>
        </w:rPr>
        <w:t>1.1.2 包质量：符合招标文件要求及合同有关质量的相关约定。</w:t>
      </w:r>
    </w:p>
    <w:p w14:paraId="6CD23618">
      <w:pPr>
        <w:wordWrap w:val="0"/>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1.1.3 包安全包文明施工：符合国家及省、市的相关规定及招标文件、合同的相关约定要求。</w:t>
      </w:r>
    </w:p>
    <w:p w14:paraId="4AD57E9A">
      <w:pPr>
        <w:pStyle w:val="42"/>
        <w:spacing w:line="420" w:lineRule="exact"/>
        <w:ind w:firstLine="420" w:firstLineChars="200"/>
        <w:rPr>
          <w:rFonts w:hAnsi="宋体" w:cs="宋体"/>
          <w:color w:val="auto"/>
          <w:sz w:val="21"/>
          <w:szCs w:val="21"/>
          <w:highlight w:val="none"/>
        </w:rPr>
      </w:pPr>
      <w:r>
        <w:rPr>
          <w:rFonts w:hint="eastAsia" w:hAnsi="宋体" w:cs="宋体"/>
          <w:color w:val="auto"/>
          <w:sz w:val="21"/>
          <w:szCs w:val="21"/>
          <w:highlight w:val="none"/>
        </w:rPr>
        <w:t>1.1.4 包工期：</w:t>
      </w:r>
      <w:r>
        <w:rPr>
          <w:rFonts w:hint="eastAsia" w:hAnsi="宋体" w:cs="宋体"/>
          <w:snapToGrid w:val="0"/>
          <w:color w:val="auto"/>
          <w:kern w:val="0"/>
          <w:sz w:val="21"/>
          <w:szCs w:val="21"/>
          <w:highlight w:val="none"/>
        </w:rPr>
        <w:t>本招标工程</w:t>
      </w:r>
      <w:r>
        <w:rPr>
          <w:rFonts w:hint="eastAsia" w:hAnsi="宋体" w:cs="宋体"/>
          <w:bCs/>
          <w:color w:val="auto"/>
          <w:sz w:val="21"/>
          <w:szCs w:val="21"/>
          <w:highlight w:val="none"/>
        </w:rPr>
        <w:t>设计、施工</w:t>
      </w:r>
      <w:r>
        <w:rPr>
          <w:rFonts w:hint="eastAsia" w:hAnsi="宋体" w:cs="宋体"/>
          <w:snapToGrid w:val="0"/>
          <w:color w:val="auto"/>
          <w:kern w:val="0"/>
          <w:sz w:val="21"/>
          <w:szCs w:val="21"/>
          <w:highlight w:val="none"/>
        </w:rPr>
        <w:t>必须在招标文件</w:t>
      </w:r>
      <w:r>
        <w:rPr>
          <w:rFonts w:hint="eastAsia" w:hAnsi="宋体" w:cs="宋体"/>
          <w:color w:val="auto"/>
          <w:sz w:val="21"/>
          <w:szCs w:val="21"/>
          <w:highlight w:val="none"/>
        </w:rPr>
        <w:t>规定的</w:t>
      </w:r>
      <w:r>
        <w:rPr>
          <w:rFonts w:hint="eastAsia" w:hAnsi="宋体" w:cs="宋体"/>
          <w:snapToGrid w:val="0"/>
          <w:color w:val="auto"/>
          <w:kern w:val="0"/>
          <w:sz w:val="21"/>
          <w:szCs w:val="21"/>
          <w:highlight w:val="none"/>
        </w:rPr>
        <w:t>工期内完成</w:t>
      </w:r>
      <w:r>
        <w:rPr>
          <w:rFonts w:hint="eastAsia" w:hAnsi="宋体" w:cs="宋体"/>
          <w:color w:val="auto"/>
          <w:sz w:val="21"/>
          <w:szCs w:val="21"/>
          <w:highlight w:val="none"/>
        </w:rPr>
        <w:t>。</w:t>
      </w:r>
    </w:p>
    <w:p w14:paraId="404CDFC9">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1.2 限额设计要求：</w:t>
      </w:r>
    </w:p>
    <w:p w14:paraId="561A3CC0">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1.2.1初步设计概算中的建安工程费不得超过招标文件明确的建安工程估算金额，施工图预算中的建安工程费不得超过初步设计概算中的建安工程费且不得超过建安工程费的中标价。</w:t>
      </w:r>
    </w:p>
    <w:p w14:paraId="528C9C69">
      <w:pPr>
        <w:pStyle w:val="57"/>
        <w:keepNext/>
        <w:keepLines/>
        <w:spacing w:line="420" w:lineRule="exact"/>
        <w:ind w:firstLine="480"/>
        <w:jc w:val="both"/>
        <w:rPr>
          <w:rFonts w:hAnsi="宋体" w:cs="宋体"/>
          <w:b/>
          <w:color w:val="auto"/>
          <w:sz w:val="21"/>
          <w:szCs w:val="21"/>
          <w:highlight w:val="none"/>
        </w:rPr>
      </w:pPr>
      <w:bookmarkStart w:id="343" w:name="_Toc16582"/>
      <w:bookmarkStart w:id="344" w:name="_Toc20951"/>
      <w:bookmarkStart w:id="345" w:name="_Toc27815"/>
      <w:bookmarkStart w:id="346" w:name="_Toc16000"/>
      <w:bookmarkStart w:id="347" w:name="_Toc13383"/>
      <w:bookmarkStart w:id="348" w:name="_Toc3936"/>
      <w:bookmarkStart w:id="349" w:name="_Toc467587699"/>
      <w:bookmarkStart w:id="350" w:name="_Toc469940920"/>
      <w:bookmarkStart w:id="351" w:name="_Toc1359"/>
      <w:bookmarkStart w:id="352" w:name="_Toc10533"/>
      <w:bookmarkStart w:id="353" w:name="_Toc4817"/>
      <w:bookmarkStart w:id="354" w:name="_Toc30893"/>
      <w:r>
        <w:rPr>
          <w:rFonts w:hint="eastAsia" w:hAnsi="宋体" w:cs="宋体"/>
          <w:b/>
          <w:color w:val="auto"/>
          <w:sz w:val="21"/>
          <w:szCs w:val="21"/>
          <w:highlight w:val="none"/>
        </w:rPr>
        <w:t>2 施工图工程量清单预算的编制原则</w:t>
      </w:r>
      <w:bookmarkEnd w:id="343"/>
      <w:bookmarkEnd w:id="344"/>
      <w:bookmarkEnd w:id="345"/>
      <w:bookmarkEnd w:id="346"/>
      <w:bookmarkEnd w:id="347"/>
      <w:bookmarkEnd w:id="348"/>
      <w:bookmarkEnd w:id="349"/>
      <w:bookmarkEnd w:id="350"/>
      <w:bookmarkEnd w:id="351"/>
      <w:bookmarkEnd w:id="352"/>
      <w:bookmarkEnd w:id="353"/>
      <w:bookmarkEnd w:id="354"/>
    </w:p>
    <w:p w14:paraId="2F808D88">
      <w:pPr>
        <w:pStyle w:val="58"/>
        <w:spacing w:line="420" w:lineRule="exact"/>
        <w:ind w:firstLine="420" w:firstLineChars="200"/>
        <w:jc w:val="left"/>
        <w:rPr>
          <w:rFonts w:hAnsi="宋体" w:cs="宋体"/>
          <w:color w:val="auto"/>
          <w:kern w:val="0"/>
          <w:sz w:val="21"/>
          <w:szCs w:val="21"/>
          <w:highlight w:val="none"/>
        </w:rPr>
      </w:pPr>
      <w:r>
        <w:rPr>
          <w:rFonts w:hint="eastAsia" w:hAnsi="宋体" w:cs="宋体"/>
          <w:color w:val="auto"/>
          <w:kern w:val="0"/>
          <w:sz w:val="21"/>
          <w:szCs w:val="21"/>
          <w:highlight w:val="none"/>
        </w:rPr>
        <w:t>2.1 施工图设计必须符合本项目限额设计要求。本项目的建安工程费预算价不得超过已批复概算中相应的建安工程费</w:t>
      </w:r>
      <w:r>
        <w:rPr>
          <w:rFonts w:hint="eastAsia" w:hAnsi="宋体" w:cs="宋体"/>
          <w:color w:val="auto"/>
          <w:sz w:val="21"/>
          <w:szCs w:val="21"/>
          <w:highlight w:val="none"/>
        </w:rPr>
        <w:t>且不得超过建安工程费的中标价</w:t>
      </w:r>
      <w:r>
        <w:rPr>
          <w:rFonts w:hint="eastAsia" w:hAnsi="宋体" w:cs="宋体"/>
          <w:color w:val="auto"/>
          <w:kern w:val="0"/>
          <w:sz w:val="21"/>
          <w:szCs w:val="21"/>
          <w:highlight w:val="none"/>
        </w:rPr>
        <w:t>。否则，承包人必须进行调整，直至符合限额设计要求为止。</w:t>
      </w:r>
    </w:p>
    <w:p w14:paraId="37F44553">
      <w:pPr>
        <w:spacing w:line="420" w:lineRule="exact"/>
        <w:ind w:firstLine="420" w:firstLineChars="200"/>
        <w:jc w:val="left"/>
        <w:rPr>
          <w:rFonts w:hint="default" w:hAnsi="宋体" w:eastAsia="宋体" w:cs="宋体"/>
          <w:i/>
          <w:strike/>
          <w:color w:val="auto"/>
          <w:sz w:val="21"/>
          <w:szCs w:val="21"/>
          <w:highlight w:val="none"/>
        </w:rPr>
      </w:pPr>
      <w:r>
        <w:rPr>
          <w:rFonts w:hAnsi="宋体" w:eastAsia="宋体" w:cs="宋体"/>
          <w:color w:val="auto"/>
          <w:kern w:val="0"/>
          <w:sz w:val="21"/>
          <w:szCs w:val="21"/>
          <w:highlight w:val="none"/>
        </w:rPr>
        <w:t>2.2</w:t>
      </w:r>
      <w:r>
        <w:rPr>
          <w:rFonts w:hAnsi="宋体" w:eastAsia="宋体" w:cs="宋体"/>
          <w:color w:val="auto"/>
          <w:sz w:val="21"/>
          <w:szCs w:val="21"/>
          <w:highlight w:val="none"/>
        </w:rPr>
        <w:t xml:space="preserve"> 施工图工程量清单</w:t>
      </w:r>
      <w:bookmarkStart w:id="355" w:name="OLE_LINK55"/>
      <w:bookmarkStart w:id="356" w:name="OLE_LINK56"/>
      <w:r>
        <w:rPr>
          <w:rFonts w:hAnsi="宋体" w:eastAsia="宋体" w:cs="宋体"/>
          <w:color w:val="auto"/>
          <w:sz w:val="21"/>
          <w:szCs w:val="21"/>
          <w:highlight w:val="none"/>
        </w:rPr>
        <w:t>预算</w:t>
      </w:r>
      <w:bookmarkEnd w:id="355"/>
      <w:bookmarkEnd w:id="356"/>
      <w:r>
        <w:rPr>
          <w:rFonts w:hAnsi="宋体" w:eastAsia="宋体" w:cs="宋体"/>
          <w:color w:val="auto"/>
          <w:sz w:val="21"/>
          <w:szCs w:val="21"/>
          <w:highlight w:val="none"/>
        </w:rPr>
        <w:t>价的编制：承包人根据招标文件及设计任务书等相关的文件完成本项目的设计工作，承包人设计的施工图经发包人确认后由发包人委托有资质的审图公司审查，施工图经审查合格后，由承包人编制的施工图工程量清单预算</w:t>
      </w:r>
      <w:r>
        <w:rPr>
          <w:rFonts w:hAnsi="宋体" w:eastAsia="宋体" w:cs="宋体"/>
          <w:color w:val="auto"/>
          <w:kern w:val="0"/>
          <w:sz w:val="21"/>
          <w:szCs w:val="21"/>
          <w:highlight w:val="none"/>
        </w:rPr>
        <w:t>需经过发包人委托的第三方</w:t>
      </w:r>
      <w:r>
        <w:rPr>
          <w:rFonts w:hAnsi="宋体" w:eastAsia="宋体" w:cs="宋体"/>
          <w:color w:val="auto"/>
          <w:sz w:val="21"/>
          <w:szCs w:val="21"/>
          <w:highlight w:val="none"/>
        </w:rPr>
        <w:t>造价咨询单位审核</w:t>
      </w:r>
      <w:r>
        <w:rPr>
          <w:rFonts w:hAnsi="宋体" w:eastAsia="宋体" w:cs="宋体"/>
          <w:color w:val="auto"/>
          <w:kern w:val="0"/>
          <w:sz w:val="21"/>
          <w:szCs w:val="21"/>
          <w:highlight w:val="none"/>
        </w:rPr>
        <w:t>通过后，并报</w:t>
      </w:r>
      <w:r>
        <w:rPr>
          <w:rFonts w:hAnsi="宋体" w:eastAsia="宋体" w:cs="宋体"/>
          <w:color w:val="auto"/>
          <w:sz w:val="21"/>
          <w:szCs w:val="21"/>
          <w:highlight w:val="none"/>
        </w:rPr>
        <w:t>南雄市财政局投资评审中心</w:t>
      </w:r>
      <w:r>
        <w:rPr>
          <w:rFonts w:hAnsi="宋体" w:eastAsia="宋体" w:cs="宋体"/>
          <w:color w:val="auto"/>
          <w:kern w:val="0"/>
          <w:sz w:val="21"/>
          <w:szCs w:val="21"/>
          <w:highlight w:val="none"/>
        </w:rPr>
        <w:t>审核</w:t>
      </w:r>
      <w:r>
        <w:rPr>
          <w:rFonts w:hAnsi="宋体" w:eastAsia="宋体" w:cs="宋体"/>
          <w:color w:val="auto"/>
          <w:sz w:val="21"/>
          <w:szCs w:val="21"/>
          <w:highlight w:val="none"/>
        </w:rPr>
        <w:t>。施工图工程量清单预算的编制依据为：（1）《建设工程工程量清单计价规范》（GB50500—20</w:t>
      </w:r>
      <w:r>
        <w:rPr>
          <w:rFonts w:hint="eastAsia" w:hAnsi="宋体" w:eastAsia="宋体" w:cs="宋体"/>
          <w:color w:val="auto"/>
          <w:sz w:val="21"/>
          <w:szCs w:val="21"/>
          <w:highlight w:val="none"/>
          <w:lang w:val="en-US" w:eastAsia="zh-CN"/>
        </w:rPr>
        <w:t>24</w:t>
      </w:r>
      <w:r>
        <w:rPr>
          <w:rFonts w:hAnsi="宋体" w:eastAsia="宋体" w:cs="宋体"/>
          <w:color w:val="auto"/>
          <w:sz w:val="21"/>
          <w:szCs w:val="21"/>
          <w:highlight w:val="none"/>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r>
        <w:rPr>
          <w:rFonts w:hAnsi="宋体" w:eastAsia="宋体" w:cs="宋体"/>
          <w:color w:val="auto"/>
          <w:kern w:val="0"/>
          <w:sz w:val="21"/>
          <w:szCs w:val="21"/>
          <w:highlight w:val="none"/>
        </w:rPr>
        <w:t>工程量按施工图计算，主要材料价格按预算编制时（招标文件所规定的设计预算编制工期内）当季南雄市工程造价管理机构发布的人工、材料、机械台班综合单价（若南雄市未发布信息则依次参照广东省韶关市、广东省清远市、广东省肇庆市、广东省佛山市、广东省东莞市、广东省广州市，若以上城市均没有信息价则按市场询价，市场询价方式优先从京东、国美、苏宁等大型电商平台查询）执行、经发包人确认的材料价格或暂定材料价格计算，规费、税金等其它费用则按有关规定计算（费率有上、下限的按平均值计算），预算包干费按2018年广东省计价办法的规定计算，赶工措施费不另行计算。</w:t>
      </w:r>
    </w:p>
    <w:p w14:paraId="445217EC">
      <w:pPr>
        <w:pStyle w:val="3"/>
        <w:keepNext/>
        <w:keepLines/>
        <w:spacing w:line="420" w:lineRule="exact"/>
        <w:ind w:firstLine="480"/>
        <w:jc w:val="both"/>
        <w:rPr>
          <w:rFonts w:hint="default" w:hAnsi="宋体" w:eastAsia="宋体" w:cs="宋体"/>
          <w:b/>
          <w:color w:val="auto"/>
          <w:kern w:val="2"/>
          <w:sz w:val="21"/>
          <w:szCs w:val="21"/>
          <w:highlight w:val="none"/>
        </w:rPr>
      </w:pPr>
      <w:bookmarkStart w:id="357" w:name="_Toc466640604"/>
      <w:bookmarkStart w:id="358" w:name="_Toc13437"/>
      <w:bookmarkStart w:id="359" w:name="_Toc28537"/>
      <w:bookmarkStart w:id="360" w:name="_Toc30405"/>
      <w:bookmarkStart w:id="361" w:name="_Toc2286"/>
      <w:bookmarkStart w:id="362" w:name="_Toc25565"/>
      <w:bookmarkStart w:id="363" w:name="_Toc17167"/>
      <w:bookmarkStart w:id="364" w:name="_Toc3958"/>
      <w:bookmarkStart w:id="365" w:name="_Toc755"/>
      <w:bookmarkStart w:id="366" w:name="_Toc6675"/>
      <w:bookmarkStart w:id="367" w:name="_Toc11307"/>
      <w:bookmarkStart w:id="368" w:name="_Hlt87948449"/>
      <w:bookmarkStart w:id="369" w:name="_Hlt87948447"/>
      <w:r>
        <w:rPr>
          <w:rFonts w:hAnsi="宋体" w:eastAsia="宋体" w:cs="宋体"/>
          <w:b/>
          <w:color w:val="auto"/>
          <w:kern w:val="2"/>
          <w:sz w:val="21"/>
          <w:szCs w:val="21"/>
          <w:highlight w:val="none"/>
        </w:rPr>
        <w:t>3 工程结算原则</w:t>
      </w:r>
      <w:bookmarkEnd w:id="357"/>
      <w:bookmarkEnd w:id="358"/>
      <w:bookmarkEnd w:id="359"/>
      <w:bookmarkEnd w:id="360"/>
      <w:bookmarkEnd w:id="361"/>
      <w:bookmarkEnd w:id="362"/>
      <w:bookmarkEnd w:id="363"/>
      <w:bookmarkEnd w:id="364"/>
      <w:bookmarkEnd w:id="365"/>
      <w:bookmarkEnd w:id="366"/>
      <w:bookmarkEnd w:id="367"/>
    </w:p>
    <w:p w14:paraId="7CE13D52">
      <w:pPr>
        <w:spacing w:line="420" w:lineRule="exact"/>
        <w:ind w:firstLine="420" w:firstLineChars="200"/>
        <w:jc w:val="left"/>
        <w:rPr>
          <w:rFonts w:hint="default" w:hAnsi="宋体" w:eastAsia="宋体" w:cs="宋体"/>
          <w:color w:val="auto"/>
          <w:sz w:val="21"/>
          <w:szCs w:val="21"/>
          <w:highlight w:val="none"/>
        </w:rPr>
      </w:pPr>
      <w:r>
        <w:rPr>
          <w:rFonts w:hAnsi="宋体" w:eastAsia="宋体" w:cs="宋体"/>
          <w:color w:val="auto"/>
          <w:sz w:val="21"/>
          <w:szCs w:val="21"/>
          <w:highlight w:val="none"/>
        </w:rPr>
        <w:t>3.1设计费结算原则</w:t>
      </w:r>
    </w:p>
    <w:p w14:paraId="42D08C3E">
      <w:pPr>
        <w:spacing w:line="420" w:lineRule="exact"/>
        <w:ind w:firstLine="420" w:firstLineChars="200"/>
        <w:jc w:val="left"/>
        <w:rPr>
          <w:rFonts w:hint="default" w:hAnsi="宋体" w:eastAsia="宋体" w:cs="宋体"/>
          <w:color w:val="auto"/>
          <w:sz w:val="21"/>
          <w:szCs w:val="21"/>
          <w:highlight w:val="none"/>
        </w:rPr>
      </w:pPr>
      <w:r>
        <w:rPr>
          <w:rFonts w:hAnsi="宋体" w:eastAsia="宋体" w:cs="宋体"/>
          <w:color w:val="auto"/>
          <w:sz w:val="21"/>
          <w:szCs w:val="21"/>
          <w:highlight w:val="none"/>
        </w:rPr>
        <w:t>3.1.1设计费结算价：按经审定的建安工程费招标控制价×设计费中标费率进行结算</w:t>
      </w:r>
      <w:r>
        <w:rPr>
          <w:rFonts w:hAnsi="宋体" w:eastAsia="宋体" w:cs="宋体"/>
          <w:color w:val="auto"/>
          <w:kern w:val="1"/>
          <w:sz w:val="21"/>
          <w:szCs w:val="21"/>
          <w:highlight w:val="none"/>
        </w:rPr>
        <w:t>。</w:t>
      </w:r>
    </w:p>
    <w:p w14:paraId="1056399E">
      <w:pPr>
        <w:spacing w:line="420" w:lineRule="exact"/>
        <w:ind w:firstLine="420" w:firstLineChars="200"/>
        <w:jc w:val="left"/>
        <w:rPr>
          <w:rFonts w:hint="default" w:hAnsi="宋体" w:eastAsia="宋体" w:cs="宋体"/>
          <w:color w:val="auto"/>
          <w:sz w:val="21"/>
          <w:szCs w:val="21"/>
          <w:highlight w:val="none"/>
        </w:rPr>
      </w:pPr>
      <w:r>
        <w:rPr>
          <w:rFonts w:hAnsi="宋体" w:eastAsia="宋体" w:cs="宋体"/>
          <w:color w:val="auto"/>
          <w:sz w:val="21"/>
          <w:szCs w:val="21"/>
          <w:highlight w:val="none"/>
        </w:rPr>
        <w:t>3.1.2设计费在中标价范围内按实结算，结算价超中标价时按中标价结算。</w:t>
      </w:r>
    </w:p>
    <w:p w14:paraId="1A17FFDE">
      <w:pPr>
        <w:spacing w:line="420" w:lineRule="exact"/>
        <w:ind w:firstLine="420" w:firstLineChars="200"/>
        <w:jc w:val="left"/>
        <w:rPr>
          <w:rFonts w:hint="default" w:hAnsi="宋体" w:eastAsia="宋体" w:cs="宋体"/>
          <w:strike/>
          <w:color w:val="auto"/>
          <w:sz w:val="21"/>
          <w:szCs w:val="21"/>
          <w:highlight w:val="none"/>
        </w:rPr>
      </w:pPr>
      <w:r>
        <w:rPr>
          <w:rFonts w:hAnsi="宋体" w:eastAsia="宋体" w:cs="宋体"/>
          <w:color w:val="auto"/>
          <w:sz w:val="21"/>
          <w:szCs w:val="21"/>
          <w:highlight w:val="none"/>
        </w:rPr>
        <w:t>3.2工程费用结算基准价的确定：以本章第2条工程预算价编制原则编制的经审核后的预算价乘以（1－承包人中标下浮率）作为此工程项目的建安工程结算基准价，其分部分项工程量清单对应的综合单价即为结算基准单价。</w:t>
      </w:r>
    </w:p>
    <w:p w14:paraId="094231F4">
      <w:pPr>
        <w:spacing w:line="420" w:lineRule="exact"/>
        <w:ind w:firstLine="420" w:firstLineChars="200"/>
        <w:jc w:val="left"/>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3.3</w:t>
      </w:r>
      <w:r>
        <w:rPr>
          <w:rFonts w:hAnsi="宋体" w:eastAsia="宋体" w:cs="宋体"/>
          <w:color w:val="auto"/>
          <w:sz w:val="21"/>
          <w:szCs w:val="21"/>
          <w:highlight w:val="none"/>
        </w:rPr>
        <w:t>工程</w:t>
      </w:r>
      <w:r>
        <w:rPr>
          <w:rFonts w:hAnsi="宋体" w:eastAsia="宋体" w:cs="宋体"/>
          <w:color w:val="auto"/>
          <w:kern w:val="0"/>
          <w:sz w:val="21"/>
          <w:szCs w:val="21"/>
          <w:highlight w:val="none"/>
        </w:rPr>
        <w:t>费用结算原则：发包人在不增减建设规模的情况下，结算价即为</w:t>
      </w:r>
      <w:r>
        <w:rPr>
          <w:rFonts w:hAnsi="宋体" w:eastAsia="宋体" w:cs="宋体"/>
          <w:color w:val="auto"/>
          <w:sz w:val="21"/>
          <w:szCs w:val="21"/>
          <w:highlight w:val="none"/>
        </w:rPr>
        <w:t>结算基准价</w:t>
      </w:r>
      <w:r>
        <w:rPr>
          <w:rFonts w:hAnsi="宋体" w:eastAsia="宋体" w:cs="宋体"/>
          <w:color w:val="auto"/>
          <w:kern w:val="0"/>
          <w:sz w:val="21"/>
          <w:szCs w:val="21"/>
          <w:highlight w:val="none"/>
        </w:rPr>
        <w:t>，但下列情形除外：</w:t>
      </w:r>
    </w:p>
    <w:p w14:paraId="20E7A091">
      <w:pPr>
        <w:spacing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3.3.1 国家政策性人工价差调整：</w:t>
      </w:r>
      <w:r>
        <w:rPr>
          <w:rFonts w:hAnsi="宋体" w:eastAsia="宋体" w:cs="宋体"/>
          <w:color w:val="auto"/>
          <w:kern w:val="0"/>
          <w:sz w:val="21"/>
          <w:szCs w:val="21"/>
          <w:highlight w:val="none"/>
        </w:rPr>
        <w:t>调整方式按省、市有关规定调整。</w:t>
      </w:r>
    </w:p>
    <w:p w14:paraId="1B36C44C">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3.3.2 当后继相关法律、法规、规章和政策引起安全文明施工费发生变化时，应当按照省建设行政主管部门或省、韶关市、南雄市工程造价管理机构据此发布的规定调整；</w:t>
      </w:r>
    </w:p>
    <w:p w14:paraId="216960A4">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3.3.3 当后继相关法律、法规、规章和政策引起规费、税金等发生变化时，应当按照省政府或省、韶关市、南雄市有关主管部门据此发布的规定调整；</w:t>
      </w:r>
    </w:p>
    <w:p w14:paraId="4682F9C9">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3.3.4 当施工期间市场物价发生涨落，引起工程所在地工程造价管理机构发布的价格信息中材料价格变化，主要建筑材料价格浮动超过±5%（指钢材、商品砼、商品砂浆、水泥、砂、石等主要材料），则双方同意调整5％以外部分价差；</w:t>
      </w:r>
      <w:r>
        <w:rPr>
          <w:rFonts w:hAnsi="宋体" w:eastAsia="宋体" w:cs="宋体"/>
          <w:color w:val="auto"/>
          <w:kern w:val="0"/>
          <w:sz w:val="21"/>
          <w:szCs w:val="21"/>
          <w:highlight w:val="none"/>
        </w:rPr>
        <w:t>人工费</w:t>
      </w:r>
      <w:r>
        <w:rPr>
          <w:rFonts w:hAnsi="宋体" w:eastAsia="宋体" w:cs="宋体"/>
          <w:color w:val="auto"/>
          <w:sz w:val="21"/>
          <w:szCs w:val="21"/>
          <w:highlight w:val="none"/>
        </w:rPr>
        <w:t>根据国家政策按实调整；机械费浮动超过±10%，双方同意调整10％以外部分价差。其工、料、机消耗量以发包人确认的</w:t>
      </w:r>
      <w:r>
        <w:rPr>
          <w:rFonts w:hAnsi="宋体" w:eastAsia="宋体" w:cs="宋体"/>
          <w:color w:val="auto"/>
          <w:kern w:val="0"/>
          <w:sz w:val="21"/>
          <w:szCs w:val="21"/>
          <w:highlight w:val="none"/>
        </w:rPr>
        <w:t>施工图工程量清单预算</w:t>
      </w:r>
      <w:r>
        <w:rPr>
          <w:rFonts w:hAnsi="宋体" w:eastAsia="宋体" w:cs="宋体"/>
          <w:color w:val="auto"/>
          <w:sz w:val="21"/>
          <w:szCs w:val="21"/>
          <w:highlight w:val="none"/>
        </w:rPr>
        <w:t>及进度中的消耗量为准。</w:t>
      </w:r>
    </w:p>
    <w:p w14:paraId="4B2EAE35">
      <w:pPr>
        <w:spacing w:line="420" w:lineRule="exact"/>
        <w:ind w:firstLine="422" w:firstLineChars="200"/>
        <w:rPr>
          <w:rFonts w:hint="default" w:hAnsi="宋体" w:eastAsia="宋体" w:cs="宋体"/>
          <w:b/>
          <w:bCs/>
          <w:color w:val="auto"/>
          <w:kern w:val="0"/>
          <w:sz w:val="21"/>
          <w:szCs w:val="21"/>
          <w:highlight w:val="none"/>
          <w:u w:val="single"/>
        </w:rPr>
      </w:pPr>
      <w:r>
        <w:rPr>
          <w:rFonts w:hAnsi="宋体" w:eastAsia="宋体" w:cs="宋体"/>
          <w:b/>
          <w:bCs/>
          <w:color w:val="auto"/>
          <w:kern w:val="0"/>
          <w:sz w:val="21"/>
          <w:szCs w:val="21"/>
          <w:highlight w:val="none"/>
          <w:u w:val="single"/>
        </w:rPr>
        <w:t>注：人工费、材料单价、机械台班的价差调整基数是以施工当季《南雄市建筑工程造价信息》</w:t>
      </w:r>
      <w:r>
        <w:rPr>
          <w:rFonts w:hAnsi="宋体" w:eastAsia="宋体" w:cs="宋体"/>
          <w:b/>
          <w:bCs/>
          <w:color w:val="auto"/>
          <w:sz w:val="21"/>
          <w:szCs w:val="21"/>
          <w:highlight w:val="none"/>
          <w:u w:val="single"/>
        </w:rPr>
        <w:t>（如信息价没有时参考施工当月&lt;韶关建筑工程造价信息&gt;）</w:t>
      </w:r>
      <w:r>
        <w:rPr>
          <w:rFonts w:hAnsi="宋体" w:eastAsia="宋体" w:cs="宋体"/>
          <w:b/>
          <w:bCs/>
          <w:color w:val="auto"/>
          <w:kern w:val="0"/>
          <w:sz w:val="21"/>
          <w:szCs w:val="21"/>
          <w:highlight w:val="none"/>
          <w:u w:val="single"/>
        </w:rPr>
        <w:t>公布的信息价（包括人工费、材料单价、机械台班）为F1与编制施工图工程量清单预算当季</w:t>
      </w:r>
      <w:r>
        <w:rPr>
          <w:rFonts w:hAnsi="宋体" w:eastAsia="宋体" w:cs="宋体"/>
          <w:b/>
          <w:color w:val="auto"/>
          <w:kern w:val="0"/>
          <w:sz w:val="21"/>
          <w:szCs w:val="21"/>
          <w:highlight w:val="none"/>
          <w:u w:val="single"/>
        </w:rPr>
        <w:t>（招标文件所规定的设计预算编制工期内）</w:t>
      </w:r>
      <w:r>
        <w:rPr>
          <w:rFonts w:hAnsi="宋体" w:eastAsia="宋体" w:cs="宋体"/>
          <w:b/>
          <w:bCs/>
          <w:color w:val="auto"/>
          <w:kern w:val="0"/>
          <w:sz w:val="21"/>
          <w:szCs w:val="21"/>
          <w:highlight w:val="none"/>
          <w:u w:val="single"/>
        </w:rPr>
        <w:t>《南雄市建筑工程造价信息》</w:t>
      </w:r>
      <w:r>
        <w:rPr>
          <w:rFonts w:hAnsi="宋体" w:eastAsia="宋体" w:cs="宋体"/>
          <w:b/>
          <w:bCs/>
          <w:color w:val="auto"/>
          <w:sz w:val="21"/>
          <w:szCs w:val="21"/>
          <w:highlight w:val="none"/>
          <w:u w:val="single"/>
        </w:rPr>
        <w:t>（如信息价没有时参考预算编制当月</w:t>
      </w:r>
      <w:r>
        <w:rPr>
          <w:rFonts w:hAnsi="宋体" w:eastAsia="宋体" w:cs="宋体"/>
          <w:b/>
          <w:color w:val="auto"/>
          <w:kern w:val="0"/>
          <w:sz w:val="21"/>
          <w:szCs w:val="21"/>
          <w:highlight w:val="none"/>
          <w:u w:val="single"/>
        </w:rPr>
        <w:t>（招标文件所规定的设计预算编制工期内）</w:t>
      </w:r>
      <w:r>
        <w:rPr>
          <w:rFonts w:hAnsi="宋体" w:eastAsia="宋体" w:cs="宋体"/>
          <w:b/>
          <w:bCs/>
          <w:color w:val="auto"/>
          <w:sz w:val="21"/>
          <w:szCs w:val="21"/>
          <w:highlight w:val="none"/>
          <w:u w:val="single"/>
        </w:rPr>
        <w:t>&lt;韶关建筑工程造价信息&gt;）</w:t>
      </w:r>
      <w:r>
        <w:rPr>
          <w:rFonts w:hAnsi="宋体" w:eastAsia="宋体" w:cs="宋体"/>
          <w:b/>
          <w:bCs/>
          <w:color w:val="auto"/>
          <w:kern w:val="0"/>
          <w:sz w:val="21"/>
          <w:szCs w:val="21"/>
          <w:highlight w:val="none"/>
          <w:u w:val="single"/>
        </w:rPr>
        <w:t>公布的信息价（包括人工费、材料单价、机械台班）F0比较。</w:t>
      </w:r>
    </w:p>
    <w:p w14:paraId="3361E954">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1）人工费调整方式：按省、市有关规定调整。</w:t>
      </w:r>
    </w:p>
    <w:p w14:paraId="4B7FA17D">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2）材料补差方式：</w:t>
      </w:r>
    </w:p>
    <w:p w14:paraId="5C04EB6F">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调价系数A=（F1-F0）÷F0×100%</w:t>
      </w:r>
    </w:p>
    <w:p w14:paraId="3713CB6F">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当材料涨价时，材料补差= F0×（A-5%），当材料跌价时，材料补差= F0×（A+5%），材料补差只计算相应的规费和税金。</w:t>
      </w:r>
    </w:p>
    <w:p w14:paraId="4A3E9111">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3）施工机械使用费补差方式：</w:t>
      </w:r>
    </w:p>
    <w:p w14:paraId="7EA89752">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调价系数A=（F1-F0）÷F0×100%</w:t>
      </w:r>
    </w:p>
    <w:p w14:paraId="0C7BFC43">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kern w:val="0"/>
          <w:sz w:val="21"/>
          <w:szCs w:val="21"/>
          <w:highlight w:val="none"/>
        </w:rPr>
        <w:t>当施工机械台班费涨价时，机械台班补差= F0×（A-10%），当施工机械台班费跌价时，机械台班补差= F0×（A+10%）， 施工机械使用费补差只计算相应的规费和税金。</w:t>
      </w:r>
    </w:p>
    <w:p w14:paraId="5F64E777">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4）若项目规模、建设标准等发生变化，因变化而发生的措施项目费结算时进行相应增减。</w:t>
      </w:r>
    </w:p>
    <w:p w14:paraId="64FA1FDF">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5）施工合同履行期间，由于非承包人原因导致工程变更的，发、承包双方应当按照GB50500-</w:t>
      </w:r>
      <w:r>
        <w:rPr>
          <w:rFonts w:hint="eastAsia" w:hAnsi="宋体" w:eastAsia="宋体" w:cs="宋体"/>
          <w:color w:val="auto"/>
          <w:sz w:val="21"/>
          <w:szCs w:val="21"/>
          <w:highlight w:val="none"/>
          <w:lang w:val="en-US" w:eastAsia="zh-CN"/>
        </w:rPr>
        <w:t>2024</w:t>
      </w:r>
      <w:r>
        <w:rPr>
          <w:rFonts w:hAnsi="宋体" w:eastAsia="宋体" w:cs="宋体"/>
          <w:color w:val="auto"/>
          <w:sz w:val="21"/>
          <w:szCs w:val="21"/>
          <w:highlight w:val="none"/>
        </w:rPr>
        <w:t>年《建设工程工程量清单计价规范》和省的有关规定，依据实际变更项目调整工程价款。工程变更引起工程量发生变化，出现本合同价款调整方式第3.3.5款情形的，应当按照其规定调整；其他情形的，按照以下规定调整：</w:t>
      </w:r>
    </w:p>
    <w:p w14:paraId="603B5414">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①结算基准价中有适用于变更工程项目的，按照该项目的单价或合价调整；</w:t>
      </w:r>
    </w:p>
    <w:p w14:paraId="4AD2A415">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②结算基准价中没有适用、只有类似于变更工程项目的，可在合理范围内参照类似项目的单价或合价调整；</w:t>
      </w:r>
    </w:p>
    <w:p w14:paraId="7C2D6DD1">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③结算基准价中没有适用也没有类似于变更工程项目的，根据变更工程资料、计量规则和计价办法、施工期间工程造价管理机构发布的价格信息，按本结算原则第3.3.5款重新确定综合单价后，相应调整工程价款；</w:t>
      </w:r>
    </w:p>
    <w:p w14:paraId="5B81AABD">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④结算基准价中没有适用也没有类似于变更工程项目，且施工期间工程造价管理机构发布的价格信息缺项的，根据变更工程资料、计量规则、计价办法和通过市场调查等的有合法依据的市场价格，按本原则第3.3.5条提出变更工程项目的单价或合价，经发、承包双方确认后调整；</w:t>
      </w:r>
    </w:p>
    <w:p w14:paraId="1C159048">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⑤如发包人只调整材料的等级、规格或品牌，则其综合单价按结算基准价中单价＋该项材料的价差（经发包人审定后的材料单价-结算基准价中的材料单价）进行调整，规费、税金按有关规定调整。</w:t>
      </w:r>
    </w:p>
    <w:p w14:paraId="17A9C1A0">
      <w:pPr>
        <w:spacing w:line="420" w:lineRule="exact"/>
        <w:rPr>
          <w:rFonts w:hint="default" w:hAnsi="宋体" w:eastAsia="宋体" w:cs="宋体"/>
          <w:color w:val="auto"/>
          <w:kern w:val="0"/>
          <w:sz w:val="21"/>
          <w:szCs w:val="21"/>
          <w:highlight w:val="none"/>
        </w:rPr>
      </w:pPr>
      <w:r>
        <w:rPr>
          <w:rFonts w:hAnsi="宋体" w:eastAsia="宋体" w:cs="宋体"/>
          <w:color w:val="auto"/>
          <w:sz w:val="21"/>
          <w:szCs w:val="21"/>
          <w:highlight w:val="none"/>
        </w:rPr>
        <w:t xml:space="preserve">    6）建设工程完工后，发、承包双方和受其委托具有相应资质的工程造价咨询企业必须按照GB50500-</w:t>
      </w:r>
      <w:r>
        <w:rPr>
          <w:rFonts w:hint="eastAsia" w:hAnsi="宋体" w:eastAsia="宋体" w:cs="宋体"/>
          <w:color w:val="auto"/>
          <w:sz w:val="21"/>
          <w:szCs w:val="21"/>
          <w:highlight w:val="none"/>
          <w:lang w:val="en-US" w:eastAsia="zh-CN"/>
        </w:rPr>
        <w:t>2024</w:t>
      </w:r>
      <w:r>
        <w:rPr>
          <w:rFonts w:hAnsi="宋体" w:eastAsia="宋体" w:cs="宋体"/>
          <w:color w:val="auto"/>
          <w:sz w:val="21"/>
          <w:szCs w:val="21"/>
          <w:highlight w:val="none"/>
        </w:rPr>
        <w:t>年《建设工程工程量清单计价规范》和省的有关规定办理竣工结算。</w:t>
      </w:r>
    </w:p>
    <w:p w14:paraId="41768C11">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3.3.5 工程造价调整项目若是结算基准价中没有的项目，其造价调整如下：</w:t>
      </w:r>
    </w:p>
    <w:p w14:paraId="212AC439">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按（1）GB50500-</w:t>
      </w:r>
      <w:r>
        <w:rPr>
          <w:rFonts w:hint="eastAsia" w:hAnsi="宋体" w:eastAsia="宋体" w:cs="宋体"/>
          <w:color w:val="auto"/>
          <w:sz w:val="21"/>
          <w:szCs w:val="21"/>
          <w:highlight w:val="none"/>
          <w:lang w:val="en-US" w:eastAsia="zh-CN"/>
        </w:rPr>
        <w:t>2024</w:t>
      </w:r>
      <w:r>
        <w:rPr>
          <w:rFonts w:hAnsi="宋体" w:eastAsia="宋体" w:cs="宋体"/>
          <w:color w:val="auto"/>
          <w:sz w:val="21"/>
          <w:szCs w:val="21"/>
          <w:highlight w:val="none"/>
        </w:rPr>
        <w:t>年《建设工程工程量清单计价规范》、（2）2018年广东省建设工程计价依据（包括2018年《广东省市政工程综合定额》、2018年《广东省房屋建筑与装饰工程综合定额》、2018年《广东省通用安装工程综合定额》、2018年《广东省园林绿化工程综合定额》、2018年《广东省建设工程施工机具台班费用编制规则》），工程量按发、承包双方签证确认的、应予计量的实际完成的工程量计算，主要材料价格按施工同期工程所在地工程造价管理机构发布的价格信息中的综合单价计算，工程所在地工程造价管理机构发布的价格信息中参考价没有的材料价由发、承包双方市场询价确定，规费、税金等其它费用则按有关规定计算（费率有上、下限的以下限计算），预算包干费及赶工措施费不予计算。经发包人或其指定的有关单位审核，经审核后的造价按承包人的建安工程费中标下浮率下浮后作为工程结算价。</w:t>
      </w:r>
    </w:p>
    <w:p w14:paraId="48B00D44">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清单项目如只单独调整人工、材料、机械台班价差的，其人工、材料、机械台班消耗量均以审定施工图预算中的该清单项目的人工、材料、机械台班消耗量为准。</w:t>
      </w:r>
    </w:p>
    <w:p w14:paraId="31B658F3">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承包人不得以不完全了解现场情况为理由，提出额外付款或延长工期等要求。对此类要求，发包人不作任何考虑及答复。</w:t>
      </w:r>
    </w:p>
    <w:p w14:paraId="1A24DDED">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合同履行期间，由于承包人原因导致发生设计变更或现场签证的，由此增加的工程造价费用，由承包人自行承担，发包人不予以考虑和补偿，同时按相关违约条款处罚。</w:t>
      </w:r>
    </w:p>
    <w:p w14:paraId="096D756D">
      <w:pPr>
        <w:spacing w:line="420" w:lineRule="exact"/>
        <w:rPr>
          <w:rFonts w:hint="default" w:hAnsi="宋体" w:eastAsia="宋体" w:cs="宋体"/>
          <w:color w:val="auto"/>
          <w:sz w:val="21"/>
          <w:szCs w:val="21"/>
          <w:highlight w:val="none"/>
        </w:rPr>
      </w:pPr>
      <w:r>
        <w:rPr>
          <w:rFonts w:hAnsi="宋体" w:eastAsia="宋体" w:cs="宋体"/>
          <w:color w:val="auto"/>
          <w:kern w:val="0"/>
          <w:sz w:val="21"/>
          <w:szCs w:val="21"/>
          <w:highlight w:val="none"/>
        </w:rPr>
        <w:t xml:space="preserve">    3.4 如发包人减少建设规模，则</w:t>
      </w:r>
      <w:r>
        <w:rPr>
          <w:rFonts w:hAnsi="宋体" w:eastAsia="宋体" w:cs="宋体"/>
          <w:color w:val="auto"/>
          <w:sz w:val="21"/>
          <w:szCs w:val="21"/>
          <w:highlight w:val="none"/>
        </w:rPr>
        <w:t>根据</w:t>
      </w:r>
      <w:r>
        <w:rPr>
          <w:rFonts w:hAnsi="宋体" w:eastAsia="宋体" w:cs="宋体"/>
          <w:color w:val="auto"/>
          <w:kern w:val="0"/>
          <w:sz w:val="21"/>
          <w:szCs w:val="21"/>
          <w:highlight w:val="none"/>
        </w:rPr>
        <w:t>经发包人确认的预算书</w:t>
      </w:r>
      <w:r>
        <w:rPr>
          <w:rFonts w:hAnsi="宋体" w:eastAsia="宋体" w:cs="宋体"/>
          <w:color w:val="auto"/>
          <w:sz w:val="21"/>
          <w:szCs w:val="21"/>
          <w:highlight w:val="none"/>
        </w:rPr>
        <w:t>扣减减少</w:t>
      </w:r>
      <w:r>
        <w:rPr>
          <w:rFonts w:hAnsi="宋体" w:eastAsia="宋体" w:cs="宋体"/>
          <w:color w:val="auto"/>
          <w:kern w:val="0"/>
          <w:sz w:val="21"/>
          <w:szCs w:val="21"/>
          <w:highlight w:val="none"/>
        </w:rPr>
        <w:t>部分工程造价。</w:t>
      </w:r>
      <w:r>
        <w:rPr>
          <w:rFonts w:hAnsi="宋体" w:eastAsia="宋体" w:cs="宋体"/>
          <w:color w:val="auto"/>
          <w:sz w:val="21"/>
          <w:szCs w:val="21"/>
          <w:highlight w:val="none"/>
        </w:rPr>
        <w:t>最终结算价由南雄市财政局投资评审中心审定为准</w:t>
      </w:r>
      <w:r>
        <w:rPr>
          <w:rFonts w:hAnsi="宋体" w:eastAsia="宋体" w:cs="宋体"/>
          <w:color w:val="auto"/>
          <w:kern w:val="0"/>
          <w:sz w:val="21"/>
          <w:szCs w:val="21"/>
          <w:highlight w:val="none"/>
        </w:rPr>
        <w:t xml:space="preserve">。 </w:t>
      </w:r>
    </w:p>
    <w:p w14:paraId="423B48B9">
      <w:pPr>
        <w:spacing w:line="420" w:lineRule="exact"/>
        <w:rPr>
          <w:rFonts w:hint="default" w:hAnsi="宋体" w:eastAsia="宋体" w:cs="宋体"/>
          <w:strike/>
          <w:color w:val="auto"/>
          <w:sz w:val="21"/>
          <w:szCs w:val="21"/>
          <w:highlight w:val="none"/>
        </w:rPr>
      </w:pPr>
      <w:r>
        <w:rPr>
          <w:rFonts w:hAnsi="宋体" w:eastAsia="宋体" w:cs="宋体"/>
          <w:color w:val="auto"/>
          <w:sz w:val="21"/>
          <w:szCs w:val="21"/>
          <w:highlight w:val="none"/>
        </w:rPr>
        <w:t xml:space="preserve">    3.5 预备费：</w:t>
      </w:r>
      <w:r>
        <w:rPr>
          <w:rFonts w:hAnsi="宋体" w:eastAsia="宋体" w:cs="宋体"/>
          <w:b/>
          <w:color w:val="auto"/>
          <w:sz w:val="21"/>
          <w:szCs w:val="21"/>
          <w:highlight w:val="none"/>
        </w:rPr>
        <w:t>由发包人掌握使用，不发生时不计入结算总价。使用范围用于以下情形：</w:t>
      </w:r>
    </w:p>
    <w:p w14:paraId="07416F87">
      <w:pPr>
        <w:spacing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（1）由于发包人的要求导致发生设计变更或合同约定调整因素出现时的工程价款调整以及发生的索赔、现场签证等，其工程量按实调整，结算时按实际施工工作量及招标文件、合同约定进行结算，</w:t>
      </w:r>
      <w:r>
        <w:rPr>
          <w:rFonts w:hAnsi="宋体" w:eastAsia="宋体" w:cs="宋体"/>
          <w:b/>
          <w:color w:val="auto"/>
          <w:sz w:val="21"/>
          <w:szCs w:val="21"/>
          <w:highlight w:val="none"/>
        </w:rPr>
        <w:t>不发生时不计入结算总价</w:t>
      </w:r>
      <w:r>
        <w:rPr>
          <w:rFonts w:hAnsi="宋体" w:eastAsia="宋体" w:cs="宋体"/>
          <w:color w:val="auto"/>
          <w:sz w:val="21"/>
          <w:szCs w:val="21"/>
          <w:highlight w:val="none"/>
        </w:rPr>
        <w:t>。</w:t>
      </w:r>
    </w:p>
    <w:p w14:paraId="6C8AD644">
      <w:pPr>
        <w:spacing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（2）国家政策变化导致的调整。</w:t>
      </w:r>
    </w:p>
    <w:p w14:paraId="74E2AA62">
      <w:pPr>
        <w:spacing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（3）施工期间市场物价涨落，引起工程所在地工程造价管理机构发布的价格信息中材料价格变化，主要建筑材料（具体参照第3.3.4条款）价格浮动超过+5%的。</w:t>
      </w:r>
    </w:p>
    <w:p w14:paraId="405F91BC">
      <w:pPr>
        <w:spacing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（4）施工合同签订时尚未确定或者不可预见的所需材料、设备、服务的采购。结算时按实际发生根据本招标文件的工程结算原则第3.3.5款进行结算。</w:t>
      </w:r>
    </w:p>
    <w:p w14:paraId="4028EBBF">
      <w:pPr>
        <w:spacing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（5）因不可预见的原因施工局部调整或施工技术工艺调整或应急工作需要发生的工程量。</w:t>
      </w:r>
    </w:p>
    <w:p w14:paraId="4C97078F">
      <w:pPr>
        <w:spacing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（6）土石方工程等相应的投资概算范围之外的及因地质情况引起的基础变更的工程价款调整：其工程量按实调整，结算时按实际施工工作量及招标文件、合同约定进行结算。</w:t>
      </w:r>
    </w:p>
    <w:p w14:paraId="401D769B">
      <w:pPr>
        <w:spacing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3.6 预算包干费：根据2018年《广东省市政工程综合定额》、2018年《广东省房屋建筑与装饰工程综合定额》、2018年《广东省通用安装工程综合定额》、2018年《广东省园林绿化工程综合定额》，以各专业分部分项的人工费与施工机具费之和为基础计算预算包干费。本工程的预算包干内容包括：按《广东省建设工程计价依据（2018）》相关规定。</w:t>
      </w:r>
    </w:p>
    <w:p w14:paraId="0F2CE7CF">
      <w:pPr>
        <w:spacing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3.7本工程结算不另行计取高温补贴费用、预算编制费、专业分包总包服务及配合费、设计优化及修改增加的费用。</w:t>
      </w:r>
    </w:p>
    <w:p w14:paraId="4DD7E08F">
      <w:pPr>
        <w:spacing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3.8 本工程暂估价（若有）为发包人用于支付必然发生但暂时不能确定价格的材料、工程设备的单价以及专业工程的金额，其结算原则按本章“2～3 工程结算原则”有关条款进行结算，结算时不得超过预算中所列相应的暂估价。</w:t>
      </w:r>
    </w:p>
    <w:p w14:paraId="065CA6FE">
      <w:pPr>
        <w:spacing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3.9 因本项目为设计、施工总承包，如果设计图纸由于设计深度原因导致的设计变更，不另行增加费用。</w:t>
      </w:r>
    </w:p>
    <w:p w14:paraId="2F056608">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3.10 项目工程费用最终结算价以南雄市财政局投资评审中心的审定意见为准：若最终结算价超过中标价，则按中标价结算；若最终结算价未超过中标价，则按南雄市财政局投资评审中心审定的结算价进行结算。</w:t>
      </w:r>
    </w:p>
    <w:bookmarkEnd w:id="368"/>
    <w:bookmarkEnd w:id="369"/>
    <w:p w14:paraId="6E0EDD15">
      <w:pPr>
        <w:pStyle w:val="44"/>
        <w:keepNext/>
        <w:keepLines/>
        <w:spacing w:line="420" w:lineRule="exact"/>
        <w:ind w:firstLine="480"/>
        <w:jc w:val="both"/>
        <w:rPr>
          <w:rFonts w:hAnsi="宋体" w:cs="宋体"/>
          <w:b/>
          <w:color w:val="auto"/>
          <w:kern w:val="2"/>
          <w:sz w:val="21"/>
          <w:szCs w:val="21"/>
          <w:highlight w:val="none"/>
        </w:rPr>
      </w:pPr>
      <w:bookmarkStart w:id="370" w:name="_Hlt112206782"/>
      <w:bookmarkEnd w:id="370"/>
      <w:bookmarkStart w:id="371" w:name="_Toc15300"/>
      <w:bookmarkStart w:id="372" w:name="_Toc3109"/>
      <w:bookmarkStart w:id="373" w:name="_Toc23408"/>
      <w:bookmarkStart w:id="374" w:name="_Toc24211"/>
      <w:bookmarkStart w:id="375" w:name="_Toc16793"/>
      <w:bookmarkStart w:id="376" w:name="_Toc11208"/>
      <w:bookmarkStart w:id="377" w:name="_Toc322793290"/>
      <w:bookmarkStart w:id="378" w:name="_Toc29998"/>
      <w:bookmarkStart w:id="379" w:name="_Toc326916631"/>
      <w:bookmarkStart w:id="380" w:name="_Toc2973"/>
      <w:bookmarkStart w:id="381" w:name="_Toc20983"/>
      <w:bookmarkStart w:id="382" w:name="_Toc30894"/>
      <w:bookmarkStart w:id="383" w:name="_Hlt87951777"/>
      <w:r>
        <w:rPr>
          <w:rFonts w:hint="eastAsia" w:hAnsi="宋体" w:cs="宋体"/>
          <w:b/>
          <w:color w:val="auto"/>
          <w:kern w:val="2"/>
          <w:sz w:val="21"/>
          <w:szCs w:val="21"/>
          <w:highlight w:val="none"/>
        </w:rPr>
        <w:t>4 工程付款办法</w:t>
      </w:r>
      <w:bookmarkEnd w:id="371"/>
      <w:bookmarkEnd w:id="372"/>
      <w:bookmarkEnd w:id="373"/>
      <w:bookmarkEnd w:id="374"/>
      <w:bookmarkEnd w:id="375"/>
      <w:bookmarkEnd w:id="376"/>
      <w:bookmarkEnd w:id="377"/>
      <w:bookmarkEnd w:id="378"/>
      <w:bookmarkEnd w:id="379"/>
      <w:bookmarkEnd w:id="380"/>
      <w:bookmarkEnd w:id="381"/>
      <w:bookmarkEnd w:id="382"/>
    </w:p>
    <w:bookmarkEnd w:id="383"/>
    <w:p w14:paraId="2A675306">
      <w:pPr>
        <w:pStyle w:val="42"/>
        <w:spacing w:line="420" w:lineRule="exact"/>
        <w:ind w:firstLine="480"/>
        <w:rPr>
          <w:rFonts w:hAnsi="宋体" w:cs="宋体"/>
          <w:color w:val="auto"/>
          <w:sz w:val="21"/>
          <w:szCs w:val="21"/>
          <w:highlight w:val="none"/>
        </w:rPr>
      </w:pPr>
      <w:bookmarkStart w:id="384" w:name="_Hlt69700007"/>
      <w:bookmarkEnd w:id="384"/>
      <w:bookmarkStart w:id="385" w:name="_Hlt69114106"/>
      <w:bookmarkEnd w:id="385"/>
      <w:bookmarkStart w:id="386" w:name="_Hlt69669774"/>
      <w:bookmarkEnd w:id="386"/>
      <w:bookmarkStart w:id="387" w:name="_Hlt70150985"/>
      <w:bookmarkEnd w:id="387"/>
      <w:bookmarkStart w:id="388" w:name="_Hlt88976467"/>
      <w:bookmarkEnd w:id="388"/>
      <w:bookmarkStart w:id="389" w:name="_Hlt66591689"/>
      <w:bookmarkEnd w:id="389"/>
      <w:bookmarkStart w:id="390" w:name="_Hlt66593437"/>
      <w:bookmarkEnd w:id="390"/>
      <w:bookmarkStart w:id="391" w:name="_Hlt66608388"/>
      <w:bookmarkEnd w:id="391"/>
      <w:r>
        <w:rPr>
          <w:rFonts w:hint="eastAsia" w:hAnsi="宋体" w:cs="宋体"/>
          <w:b/>
          <w:bCs/>
          <w:color w:val="auto"/>
          <w:sz w:val="21"/>
          <w:szCs w:val="21"/>
          <w:highlight w:val="none"/>
        </w:rPr>
        <w:t>4.1设计费的支付</w:t>
      </w:r>
      <w:r>
        <w:rPr>
          <w:rFonts w:hint="eastAsia" w:hAnsi="宋体" w:cs="宋体"/>
          <w:color w:val="auto"/>
          <w:sz w:val="21"/>
          <w:szCs w:val="21"/>
          <w:highlight w:val="none"/>
        </w:rPr>
        <w:t>：分四期支付工程设计费。</w:t>
      </w:r>
    </w:p>
    <w:p w14:paraId="18472AB4">
      <w:pPr>
        <w:pStyle w:val="42"/>
        <w:spacing w:line="440" w:lineRule="exact"/>
        <w:ind w:firstLine="480"/>
        <w:rPr>
          <w:rFonts w:hint="eastAsia" w:hAnsi="宋体" w:eastAsia="宋体" w:cs="宋体"/>
          <w:color w:val="auto"/>
          <w:sz w:val="21"/>
          <w:szCs w:val="21"/>
          <w:highlight w:val="none"/>
          <w:lang w:eastAsia="zh-CN"/>
        </w:rPr>
      </w:pPr>
      <w:r>
        <w:rPr>
          <w:rFonts w:hint="eastAsia" w:hAnsi="宋体" w:cs="宋体"/>
          <w:color w:val="auto"/>
          <w:sz w:val="21"/>
          <w:szCs w:val="21"/>
          <w:highlight w:val="none"/>
        </w:rPr>
        <w:t>4.1.1合同签定后发包人付设计费的30%</w:t>
      </w:r>
      <w:r>
        <w:rPr>
          <w:rFonts w:hint="eastAsia" w:hAnsi="宋体" w:cs="宋体"/>
          <w:color w:val="auto"/>
          <w:sz w:val="21"/>
          <w:szCs w:val="21"/>
          <w:highlight w:val="none"/>
          <w:lang w:eastAsia="zh-CN"/>
        </w:rPr>
        <w:t>。</w:t>
      </w:r>
    </w:p>
    <w:p w14:paraId="6E1A5A99">
      <w:pPr>
        <w:pStyle w:val="42"/>
        <w:spacing w:line="440" w:lineRule="exact"/>
        <w:ind w:firstLine="480"/>
        <w:rPr>
          <w:rFonts w:hAnsi="宋体" w:cs="宋体"/>
          <w:color w:val="auto"/>
          <w:sz w:val="21"/>
          <w:szCs w:val="21"/>
          <w:highlight w:val="none"/>
        </w:rPr>
      </w:pPr>
      <w:r>
        <w:rPr>
          <w:rFonts w:hint="eastAsia" w:hAnsi="宋体" w:cs="宋体"/>
          <w:color w:val="auto"/>
          <w:sz w:val="21"/>
          <w:szCs w:val="21"/>
          <w:highlight w:val="none"/>
        </w:rPr>
        <w:t>4.1.2完成施工图设计及交付施工图设计成果文件后发包人付设计费的30%。</w:t>
      </w:r>
    </w:p>
    <w:p w14:paraId="6D158517">
      <w:pPr>
        <w:pStyle w:val="42"/>
        <w:spacing w:line="440" w:lineRule="exact"/>
        <w:ind w:firstLine="480"/>
        <w:rPr>
          <w:rFonts w:hAnsi="宋体" w:cs="宋体"/>
          <w:color w:val="auto"/>
          <w:sz w:val="21"/>
          <w:szCs w:val="21"/>
          <w:highlight w:val="none"/>
        </w:rPr>
      </w:pPr>
      <w:r>
        <w:rPr>
          <w:rFonts w:hint="eastAsia" w:hAnsi="宋体" w:cs="宋体"/>
          <w:color w:val="auto"/>
          <w:sz w:val="21"/>
          <w:szCs w:val="21"/>
          <w:highlight w:val="none"/>
        </w:rPr>
        <w:t>4.1.3审查合格并按要求提交图纸后发包人付设计费的35%。</w:t>
      </w:r>
    </w:p>
    <w:p w14:paraId="40E783CF">
      <w:pPr>
        <w:pStyle w:val="42"/>
        <w:spacing w:line="440" w:lineRule="exact"/>
        <w:ind w:firstLine="480"/>
        <w:rPr>
          <w:rFonts w:hAnsi="宋体" w:cs="宋体"/>
          <w:color w:val="auto"/>
          <w:sz w:val="21"/>
          <w:szCs w:val="21"/>
          <w:highlight w:val="none"/>
        </w:rPr>
      </w:pPr>
      <w:r>
        <w:rPr>
          <w:rFonts w:hint="eastAsia" w:hAnsi="宋体" w:cs="宋体"/>
          <w:color w:val="auto"/>
          <w:sz w:val="21"/>
          <w:szCs w:val="21"/>
          <w:highlight w:val="none"/>
        </w:rPr>
        <w:t>4.1.4工程竣工验收合格后，发包人支付余下5%的设计费。</w:t>
      </w:r>
    </w:p>
    <w:p w14:paraId="30B2109B">
      <w:pPr>
        <w:pStyle w:val="42"/>
        <w:spacing w:line="360" w:lineRule="auto"/>
        <w:ind w:firstLine="422" w:firstLineChars="200"/>
        <w:rPr>
          <w:rFonts w:hAnsi="宋体" w:cs="宋体"/>
          <w:color w:val="auto"/>
          <w:sz w:val="21"/>
          <w:szCs w:val="21"/>
          <w:highlight w:val="none"/>
        </w:rPr>
      </w:pPr>
      <w:r>
        <w:rPr>
          <w:rFonts w:hint="eastAsia" w:hAnsi="宋体" w:cs="宋体"/>
          <w:b/>
          <w:bCs/>
          <w:color w:val="auto"/>
          <w:sz w:val="21"/>
          <w:szCs w:val="21"/>
          <w:highlight w:val="none"/>
        </w:rPr>
        <w:t>4.2 建安工程款的支付</w:t>
      </w:r>
      <w:r>
        <w:rPr>
          <w:rFonts w:hint="eastAsia" w:hAnsi="宋体" w:cs="宋体"/>
          <w:color w:val="auto"/>
          <w:sz w:val="21"/>
          <w:szCs w:val="21"/>
          <w:highlight w:val="none"/>
        </w:rPr>
        <w:t>：</w:t>
      </w:r>
    </w:p>
    <w:p w14:paraId="0C25331E">
      <w:pPr>
        <w:pStyle w:val="42"/>
        <w:spacing w:line="360" w:lineRule="auto"/>
        <w:ind w:firstLine="480"/>
        <w:rPr>
          <w:rFonts w:hAnsi="宋体" w:cs="宋体"/>
          <w:color w:val="auto"/>
          <w:sz w:val="21"/>
          <w:szCs w:val="21"/>
          <w:highlight w:val="none"/>
        </w:rPr>
      </w:pPr>
      <w:r>
        <w:rPr>
          <w:rFonts w:hint="eastAsia" w:hAnsi="宋体" w:cs="宋体"/>
          <w:color w:val="auto"/>
          <w:sz w:val="21"/>
          <w:szCs w:val="21"/>
          <w:highlight w:val="none"/>
        </w:rPr>
        <w:t>4.2.1 本工程</w:t>
      </w:r>
      <w:r>
        <w:rPr>
          <w:rFonts w:hint="eastAsia" w:hAnsi="宋体" w:cs="宋体"/>
          <w:color w:val="auto"/>
          <w:sz w:val="21"/>
          <w:szCs w:val="21"/>
          <w:highlight w:val="none"/>
          <w:u w:val="single"/>
        </w:rPr>
        <w:t>支付</w:t>
      </w:r>
      <w:r>
        <w:rPr>
          <w:rFonts w:hint="eastAsia" w:hAnsi="宋体" w:cs="宋体"/>
          <w:color w:val="auto"/>
          <w:sz w:val="21"/>
          <w:szCs w:val="21"/>
          <w:highlight w:val="none"/>
        </w:rPr>
        <w:t>施工预付款。</w:t>
      </w:r>
    </w:p>
    <w:p w14:paraId="343F63A5">
      <w:pPr>
        <w:pStyle w:val="42"/>
        <w:spacing w:line="360" w:lineRule="auto"/>
        <w:ind w:firstLine="480"/>
        <w:rPr>
          <w:rFonts w:hAnsi="宋体" w:cs="宋体"/>
          <w:i/>
          <w:snapToGrid w:val="0"/>
          <w:color w:val="auto"/>
          <w:kern w:val="0"/>
          <w:sz w:val="21"/>
          <w:szCs w:val="21"/>
          <w:highlight w:val="none"/>
        </w:rPr>
      </w:pPr>
      <w:r>
        <w:rPr>
          <w:rFonts w:hint="eastAsia" w:hAnsi="宋体" w:cs="宋体"/>
          <w:color w:val="auto"/>
          <w:sz w:val="21"/>
          <w:szCs w:val="21"/>
          <w:highlight w:val="none"/>
        </w:rPr>
        <w:t xml:space="preserve">4.2.2 </w:t>
      </w:r>
      <w:r>
        <w:rPr>
          <w:rFonts w:hint="eastAsia" w:hAnsi="宋体" w:cs="宋体"/>
          <w:snapToGrid w:val="0"/>
          <w:color w:val="auto"/>
          <w:kern w:val="0"/>
          <w:sz w:val="21"/>
          <w:szCs w:val="21"/>
          <w:highlight w:val="none"/>
        </w:rPr>
        <w:t>施工预付款必须专用于合同工程，并按以下原则支付和抵扣：</w:t>
      </w:r>
    </w:p>
    <w:p w14:paraId="74606F1C">
      <w:pPr>
        <w:adjustRightInd w:val="0"/>
        <w:snapToGrid w:val="0"/>
        <w:spacing w:line="360" w:lineRule="auto"/>
        <w:ind w:firstLine="560"/>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（1） 施工预付款支付比例为：按施工合同价（预备费除外）的</w:t>
      </w:r>
      <w:r>
        <w:rPr>
          <w:rFonts w:hAnsi="宋体" w:eastAsia="宋体" w:cs="宋体"/>
          <w:snapToGrid w:val="0"/>
          <w:color w:val="auto"/>
          <w:kern w:val="0"/>
          <w:sz w:val="21"/>
          <w:szCs w:val="21"/>
          <w:highlight w:val="none"/>
          <w:u w:val="single"/>
        </w:rPr>
        <w:t>30%</w:t>
      </w:r>
      <w:r>
        <w:rPr>
          <w:rFonts w:hAnsi="宋体" w:eastAsia="宋体" w:cs="宋体"/>
          <w:snapToGrid w:val="0"/>
          <w:color w:val="auto"/>
          <w:kern w:val="0"/>
          <w:sz w:val="21"/>
          <w:szCs w:val="21"/>
          <w:highlight w:val="none"/>
        </w:rPr>
        <w:t>支付，施工预付款中包含工人工资预付款，其中工人工资预付款比例为施工合同价（预备费除外）的1%。</w:t>
      </w:r>
    </w:p>
    <w:p w14:paraId="6E50E797">
      <w:pPr>
        <w:adjustRightInd w:val="0"/>
        <w:snapToGrid w:val="0"/>
        <w:spacing w:line="360" w:lineRule="auto"/>
        <w:ind w:firstLine="560"/>
        <w:rPr>
          <w:rFonts w:hint="default" w:hAnsi="宋体" w:eastAsia="宋体" w:cs="宋体"/>
          <w:b/>
          <w:snapToGrid w:val="0"/>
          <w:color w:val="auto"/>
          <w:kern w:val="0"/>
          <w:sz w:val="21"/>
          <w:szCs w:val="21"/>
          <w:highlight w:val="none"/>
        </w:rPr>
      </w:pPr>
      <w:r>
        <w:rPr>
          <w:rFonts w:hAnsi="宋体" w:eastAsia="宋体" w:cs="宋体"/>
          <w:snapToGrid w:val="0"/>
          <w:color w:val="auto"/>
          <w:kern w:val="0"/>
          <w:sz w:val="21"/>
          <w:szCs w:val="21"/>
          <w:highlight w:val="none"/>
        </w:rPr>
        <w:t>（2）本工程要求承包人提供与预付款等额的预付款银行保函（预付款银行保函按发包人提供的格式，详见招标文件第八章：预付款保函），</w:t>
      </w:r>
      <w:r>
        <w:rPr>
          <w:rFonts w:hAnsi="宋体" w:eastAsia="宋体" w:cs="宋体"/>
          <w:b/>
          <w:snapToGrid w:val="0"/>
          <w:color w:val="auto"/>
          <w:kern w:val="0"/>
          <w:sz w:val="21"/>
          <w:szCs w:val="21"/>
          <w:highlight w:val="none"/>
        </w:rPr>
        <w:t>且本工程预付款保函期限原则上不少于</w:t>
      </w:r>
      <w:r>
        <w:rPr>
          <w:rFonts w:hint="eastAsia" w:hAnsi="宋体" w:eastAsia="宋体" w:cs="宋体"/>
          <w:b/>
          <w:snapToGrid w:val="0"/>
          <w:color w:val="auto"/>
          <w:kern w:val="0"/>
          <w:sz w:val="21"/>
          <w:szCs w:val="21"/>
          <w:highlight w:val="none"/>
          <w:lang w:val="en-US" w:eastAsia="zh-CN"/>
        </w:rPr>
        <w:t>170日历天</w:t>
      </w:r>
      <w:r>
        <w:rPr>
          <w:rFonts w:hAnsi="宋体" w:eastAsia="宋体" w:cs="宋体"/>
          <w:b/>
          <w:snapToGrid w:val="0"/>
          <w:color w:val="auto"/>
          <w:kern w:val="0"/>
          <w:sz w:val="21"/>
          <w:szCs w:val="21"/>
          <w:highlight w:val="none"/>
        </w:rPr>
        <w:t>，承包人的预付款保函有效期应保证在扣回预付款前有效，未扣回预付款但保函过期的，承包人应重新开具预付款保函。</w:t>
      </w:r>
    </w:p>
    <w:p w14:paraId="7F52A2D5">
      <w:pPr>
        <w:pStyle w:val="42"/>
        <w:spacing w:line="360" w:lineRule="auto"/>
        <w:ind w:firstLine="480"/>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（3）承包人应在签订施工合同后，在提供等额的预付款保函及具备施工条件的前提下（如承包人主要人员及主要机械进场到位），向发包人提交预付款支付申请。</w:t>
      </w:r>
    </w:p>
    <w:p w14:paraId="49DD14E6">
      <w:pPr>
        <w:pStyle w:val="42"/>
        <w:spacing w:line="360" w:lineRule="auto"/>
        <w:ind w:firstLine="420" w:firstLineChars="200"/>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发包人在收到支付申请的7天内进行核实后，按程序向财政部门申请一次性支付预付款（工人工资预付款单独支付至工人工资专用账户）。</w:t>
      </w:r>
      <w:r>
        <w:rPr>
          <w:rFonts w:hint="eastAsia" w:hAnsi="宋体" w:cs="宋体"/>
          <w:b/>
          <w:snapToGrid w:val="0"/>
          <w:color w:val="auto"/>
          <w:kern w:val="0"/>
          <w:sz w:val="21"/>
          <w:szCs w:val="21"/>
          <w:highlight w:val="none"/>
        </w:rPr>
        <w:t>凡未签订合同、未提供预付款保函或不具备施工条件的工程，发包人不预付工程款。</w:t>
      </w:r>
    </w:p>
    <w:p w14:paraId="53422314">
      <w:pPr>
        <w:pStyle w:val="42"/>
        <w:ind w:firstLine="420" w:firstLineChars="200"/>
        <w:rPr>
          <w:rFonts w:hAnsi="宋体" w:cs="宋体"/>
          <w:bCs/>
          <w:snapToGrid w:val="0"/>
          <w:color w:val="auto"/>
          <w:kern w:val="0"/>
          <w:sz w:val="21"/>
          <w:szCs w:val="21"/>
          <w:highlight w:val="none"/>
        </w:rPr>
      </w:pPr>
      <w:r>
        <w:rPr>
          <w:rFonts w:hint="eastAsia" w:hAnsi="宋体" w:cs="宋体"/>
          <w:bCs/>
          <w:snapToGrid w:val="0"/>
          <w:color w:val="auto"/>
          <w:kern w:val="0"/>
          <w:sz w:val="21"/>
          <w:szCs w:val="21"/>
          <w:highlight w:val="none"/>
        </w:rPr>
        <w:t>（4）预付款应从每支付期应支付给承包人的工程进度款中扣回，扣回比例为每支付期的工程进度款的50%，直到扣回的金额达到合同约定的预付款金额为止。</w:t>
      </w:r>
    </w:p>
    <w:p w14:paraId="046850EC">
      <w:pPr>
        <w:pStyle w:val="42"/>
        <w:ind w:firstLine="420" w:firstLineChars="200"/>
        <w:rPr>
          <w:rFonts w:hAnsi="宋体" w:cs="宋体"/>
          <w:strike/>
          <w:color w:val="auto"/>
          <w:sz w:val="21"/>
          <w:szCs w:val="21"/>
          <w:highlight w:val="none"/>
        </w:rPr>
      </w:pPr>
      <w:r>
        <w:rPr>
          <w:rFonts w:hint="eastAsia" w:hAnsi="宋体" w:cs="宋体"/>
          <w:color w:val="auto"/>
          <w:sz w:val="21"/>
          <w:szCs w:val="21"/>
          <w:highlight w:val="none"/>
        </w:rPr>
        <w:t>4.2.3 施工过程中按月支付工程进度款：承包人每月按工程形象进度申报，截止日为当月26日，形象进度和</w:t>
      </w:r>
      <w:r>
        <w:rPr>
          <w:rFonts w:hint="eastAsia" w:hAnsi="宋体" w:cs="宋体"/>
          <w:snapToGrid w:val="0"/>
          <w:color w:val="auto"/>
          <w:kern w:val="0"/>
          <w:sz w:val="21"/>
          <w:szCs w:val="21"/>
          <w:highlight w:val="none"/>
        </w:rPr>
        <w:t>《工程付款申请书》</w:t>
      </w:r>
      <w:r>
        <w:rPr>
          <w:rFonts w:hint="eastAsia" w:hAnsi="宋体" w:cs="宋体"/>
          <w:color w:val="auto"/>
          <w:sz w:val="21"/>
          <w:szCs w:val="21"/>
          <w:highlight w:val="none"/>
        </w:rPr>
        <w:t>由监理单位核实确认，经</w:t>
      </w:r>
      <w:r>
        <w:rPr>
          <w:rFonts w:hint="eastAsia" w:hAnsi="宋体" w:cs="宋体"/>
          <w:snapToGrid w:val="0"/>
          <w:color w:val="auto"/>
          <w:kern w:val="0"/>
          <w:sz w:val="21"/>
          <w:szCs w:val="21"/>
          <w:highlight w:val="none"/>
        </w:rPr>
        <w:t>造价咨询单位（如有造价单位）审核，</w:t>
      </w:r>
      <w:r>
        <w:rPr>
          <w:rFonts w:hint="eastAsia" w:hAnsi="宋体" w:cs="宋体"/>
          <w:color w:val="auto"/>
          <w:sz w:val="21"/>
          <w:szCs w:val="21"/>
          <w:highlight w:val="none"/>
        </w:rPr>
        <w:t>再经发包人审核确认后于申报工程进度款的次月支付。</w:t>
      </w:r>
    </w:p>
    <w:p w14:paraId="69553F2B">
      <w:pPr>
        <w:spacing w:line="360" w:lineRule="auto"/>
        <w:rPr>
          <w:rFonts w:hint="default" w:hAnsi="宋体" w:eastAsia="宋体" w:cs="宋体"/>
          <w:snapToGrid w:val="0"/>
          <w:color w:val="auto"/>
          <w:kern w:val="0"/>
          <w:sz w:val="21"/>
          <w:szCs w:val="21"/>
          <w:highlight w:val="none"/>
        </w:rPr>
      </w:pPr>
      <w:r>
        <w:rPr>
          <w:rFonts w:hAnsi="宋体" w:eastAsia="宋体" w:cs="宋体"/>
          <w:color w:val="auto"/>
          <w:sz w:val="21"/>
          <w:szCs w:val="21"/>
          <w:highlight w:val="none"/>
        </w:rPr>
        <w:t xml:space="preserve">     4.2.4</w:t>
      </w:r>
      <w:r>
        <w:rPr>
          <w:rFonts w:hAnsi="宋体" w:eastAsia="宋体" w:cs="宋体"/>
          <w:snapToGrid w:val="0"/>
          <w:color w:val="auto"/>
          <w:kern w:val="0"/>
          <w:sz w:val="21"/>
          <w:szCs w:val="21"/>
          <w:highlight w:val="none"/>
        </w:rPr>
        <w:t>每月的工程进度款按应付金额的80％支付，工程进度款中的作业工人工资款项暂为该月工程进度款的30％，具体工人工资拨付金额以该月实际审核确认的为准，由发包人将该月审核确认后的作业工人工资款项单独足额拨付到承包人的工资专户。</w:t>
      </w:r>
    </w:p>
    <w:p w14:paraId="67470CFF">
      <w:pPr>
        <w:pStyle w:val="42"/>
        <w:ind w:firstLine="420" w:firstLineChars="200"/>
        <w:rPr>
          <w:rFonts w:hAnsi="宋体" w:cs="宋体"/>
          <w:strike/>
          <w:color w:val="auto"/>
          <w:sz w:val="21"/>
          <w:szCs w:val="21"/>
          <w:highlight w:val="none"/>
        </w:rPr>
      </w:pPr>
      <w:r>
        <w:rPr>
          <w:rFonts w:hint="eastAsia" w:hAnsi="宋体" w:cs="宋体"/>
          <w:color w:val="auto"/>
          <w:sz w:val="21"/>
          <w:szCs w:val="21"/>
          <w:highlight w:val="none"/>
        </w:rPr>
        <w:t>4.3</w:t>
      </w:r>
      <w:r>
        <w:rPr>
          <w:rFonts w:hint="eastAsia" w:hAnsi="宋体" w:cs="宋体"/>
          <w:snapToGrid w:val="0"/>
          <w:color w:val="auto"/>
          <w:kern w:val="0"/>
          <w:sz w:val="21"/>
          <w:szCs w:val="21"/>
          <w:highlight w:val="none"/>
        </w:rPr>
        <w:t>措施项目费中的“安全生产措施费”拨付按照《广东省建设工程计价依据（2018）》执行，按照</w:t>
      </w:r>
      <w:r>
        <w:rPr>
          <w:rFonts w:hint="eastAsia" w:hAnsi="宋体" w:cs="宋体"/>
          <w:color w:val="auto"/>
          <w:sz w:val="21"/>
          <w:szCs w:val="21"/>
          <w:highlight w:val="none"/>
        </w:rPr>
        <w:t>韶关市住房和城乡建设管理局《关于明确建筑工程安全防护、文明施工措施费用具体管理办法的通知》韶市建字〔2015〕26号文的</w:t>
      </w:r>
      <w:r>
        <w:rPr>
          <w:rFonts w:hint="eastAsia" w:hAnsi="宋体" w:cs="宋体"/>
          <w:snapToGrid w:val="0"/>
          <w:color w:val="auto"/>
          <w:kern w:val="0"/>
          <w:sz w:val="21"/>
          <w:szCs w:val="21"/>
          <w:highlight w:val="none"/>
        </w:rPr>
        <w:t>有关规定支付。发生一般事故及以上等级重大安全事故的，发包人可扣除承包人金额相当于所有“安全生产措施费”的工程管理费。</w:t>
      </w:r>
    </w:p>
    <w:p w14:paraId="1DB4231B">
      <w:pPr>
        <w:wordWrap w:val="0"/>
        <w:adjustRightInd w:val="0"/>
        <w:snapToGrid w:val="0"/>
        <w:spacing w:line="360" w:lineRule="auto"/>
        <w:ind w:firstLine="420" w:firstLineChars="200"/>
        <w:rPr>
          <w:rFonts w:hint="default" w:hAnsi="宋体" w:eastAsia="宋体" w:cs="宋体"/>
          <w:strike/>
          <w:color w:val="auto"/>
          <w:sz w:val="21"/>
          <w:szCs w:val="21"/>
          <w:highlight w:val="none"/>
        </w:rPr>
      </w:pPr>
      <w:r>
        <w:rPr>
          <w:rFonts w:hAnsi="宋体" w:eastAsia="宋体" w:cs="宋体"/>
          <w:color w:val="auto"/>
          <w:sz w:val="21"/>
          <w:szCs w:val="21"/>
          <w:highlight w:val="none"/>
        </w:rPr>
        <w:t>4.4</w:t>
      </w:r>
      <w:r>
        <w:rPr>
          <w:rFonts w:hAnsi="宋体" w:eastAsia="宋体" w:cs="宋体"/>
          <w:snapToGrid w:val="0"/>
          <w:color w:val="auto"/>
          <w:kern w:val="0"/>
          <w:sz w:val="21"/>
          <w:szCs w:val="21"/>
          <w:highlight w:val="none"/>
        </w:rPr>
        <w:t>变更工程造价必须经监理单位核实及造价咨询单位（如有造价单位）审核，并经发包人核定后方可支付。</w:t>
      </w:r>
    </w:p>
    <w:p w14:paraId="12C7070B">
      <w:pPr>
        <w:pStyle w:val="42"/>
        <w:rPr>
          <w:rFonts w:hAnsi="宋体" w:cs="宋体"/>
          <w:color w:val="auto"/>
          <w:sz w:val="21"/>
          <w:szCs w:val="21"/>
          <w:highlight w:val="none"/>
        </w:rPr>
      </w:pPr>
      <w:r>
        <w:rPr>
          <w:rFonts w:hint="eastAsia" w:hAnsi="宋体" w:cs="宋体"/>
          <w:color w:val="auto"/>
          <w:sz w:val="21"/>
          <w:szCs w:val="21"/>
          <w:highlight w:val="none"/>
        </w:rPr>
        <w:t xml:space="preserve">    4.5 结算审核完成后，于次月支付至审定总造价的97%。</w:t>
      </w:r>
    </w:p>
    <w:p w14:paraId="284E4DC5">
      <w:pPr>
        <w:pStyle w:val="42"/>
        <w:rPr>
          <w:rFonts w:hAnsi="宋体" w:cs="宋体"/>
          <w:strike/>
          <w:color w:val="auto"/>
          <w:sz w:val="21"/>
          <w:szCs w:val="21"/>
          <w:highlight w:val="none"/>
        </w:rPr>
      </w:pPr>
      <w:r>
        <w:rPr>
          <w:rFonts w:hint="eastAsia" w:hAnsi="宋体" w:cs="宋体"/>
          <w:color w:val="auto"/>
          <w:sz w:val="21"/>
          <w:szCs w:val="21"/>
          <w:highlight w:val="none"/>
        </w:rPr>
        <w:t xml:space="preserve">    4.6 剩余3%为工程质量保证金，从工程竣工验收合格之日起满</w:t>
      </w:r>
      <w:r>
        <w:rPr>
          <w:rFonts w:hint="eastAsia" w:hAnsi="宋体" w:cs="宋体"/>
          <w:color w:val="auto"/>
          <w:sz w:val="21"/>
          <w:szCs w:val="21"/>
          <w:highlight w:val="none"/>
          <w:u w:val="single"/>
        </w:rPr>
        <w:t>2</w:t>
      </w:r>
      <w:r>
        <w:rPr>
          <w:rFonts w:hint="eastAsia" w:hAnsi="宋体" w:cs="宋体"/>
          <w:color w:val="auto"/>
          <w:sz w:val="21"/>
          <w:szCs w:val="21"/>
          <w:highlight w:val="none"/>
        </w:rPr>
        <w:t>年，</w:t>
      </w:r>
      <w:r>
        <w:rPr>
          <w:rFonts w:hint="eastAsia" w:hAnsi="宋体" w:cs="宋体"/>
          <w:snapToGrid w:val="0"/>
          <w:color w:val="auto"/>
          <w:kern w:val="0"/>
          <w:sz w:val="21"/>
          <w:szCs w:val="21"/>
          <w:highlight w:val="none"/>
        </w:rPr>
        <w:t>若未发现质量问题，</w:t>
      </w:r>
      <w:r>
        <w:rPr>
          <w:rFonts w:hint="eastAsia" w:hAnsi="宋体" w:cs="宋体"/>
          <w:bCs/>
          <w:snapToGrid w:val="0"/>
          <w:color w:val="auto"/>
          <w:kern w:val="0"/>
          <w:sz w:val="21"/>
          <w:szCs w:val="21"/>
          <w:highlight w:val="none"/>
        </w:rPr>
        <w:t>承包人向发包人申请退还质量保证（或保证金），发包人按照《建设工程质量保证金管理办法》及合同的有关规定和约定将质量保证（或保证金）</w:t>
      </w:r>
      <w:r>
        <w:rPr>
          <w:rFonts w:hint="eastAsia" w:hAnsi="宋体" w:cs="宋体"/>
          <w:bCs/>
          <w:color w:val="auto"/>
          <w:kern w:val="0"/>
          <w:sz w:val="21"/>
          <w:szCs w:val="21"/>
          <w:highlight w:val="none"/>
        </w:rPr>
        <w:t>于次月</w:t>
      </w:r>
      <w:r>
        <w:rPr>
          <w:rFonts w:hint="eastAsia" w:hAnsi="宋体" w:cs="宋体"/>
          <w:bCs/>
          <w:snapToGrid w:val="0"/>
          <w:color w:val="auto"/>
          <w:kern w:val="0"/>
          <w:sz w:val="21"/>
          <w:szCs w:val="21"/>
          <w:highlight w:val="none"/>
        </w:rPr>
        <w:t>退还给承包人</w:t>
      </w:r>
      <w:r>
        <w:rPr>
          <w:rFonts w:hint="eastAsia" w:hAnsi="宋体" w:cs="宋体"/>
          <w:bCs/>
          <w:color w:val="auto"/>
          <w:kern w:val="0"/>
          <w:sz w:val="21"/>
          <w:szCs w:val="21"/>
          <w:highlight w:val="none"/>
        </w:rPr>
        <w:t>（不计息）。</w:t>
      </w:r>
    </w:p>
    <w:p w14:paraId="0B6738B2">
      <w:pPr>
        <w:wordWrap w:val="0"/>
        <w:adjustRightInd w:val="0"/>
        <w:snapToGrid w:val="0"/>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 4.7承包人提供的工程款发票必须按照发包人要求提供相应增值税发票给发包人，发包人收到符合要求的发票后方可支付工程款。</w:t>
      </w:r>
      <w:r>
        <w:rPr>
          <w:rFonts w:hAnsi="宋体" w:eastAsia="宋体" w:cs="宋体"/>
          <w:snapToGrid w:val="0"/>
          <w:color w:val="auto"/>
          <w:kern w:val="0"/>
          <w:sz w:val="21"/>
          <w:szCs w:val="21"/>
          <w:highlight w:val="none"/>
        </w:rPr>
        <w:t>如果承包人无法提供符合要求的发票，由此造成的相应损失由承包人承担。</w:t>
      </w:r>
    </w:p>
    <w:p w14:paraId="077683F5">
      <w:pPr>
        <w:pStyle w:val="42"/>
        <w:spacing w:line="360" w:lineRule="auto"/>
        <w:rPr>
          <w:rFonts w:hAnsi="宋体" w:cs="宋体"/>
          <w:color w:val="auto"/>
          <w:sz w:val="21"/>
          <w:szCs w:val="21"/>
          <w:highlight w:val="none"/>
        </w:rPr>
      </w:pPr>
      <w:r>
        <w:rPr>
          <w:rFonts w:hint="eastAsia" w:hAnsi="宋体" w:cs="宋体"/>
          <w:color w:val="auto"/>
          <w:sz w:val="21"/>
          <w:szCs w:val="21"/>
          <w:highlight w:val="none"/>
        </w:rPr>
        <w:t xml:space="preserve">    4.8本项目为政府全额投资，所有支付手续经发包人审批后，还须报政府财政部门审批完毕方可支付，如经发包人审批后已及时履行了向财政部门申报审批手续，则发包人不支付延期付款的利息，承包人也不得因政府财政部门履行审批程序所造成的延期付款而暂停施工和相关服务。</w:t>
      </w:r>
    </w:p>
    <w:p w14:paraId="4D3EE6BD">
      <w:pPr>
        <w:wordWrap w:val="0"/>
        <w:adjustRightInd w:val="0"/>
        <w:snapToGrid w:val="0"/>
        <w:spacing w:line="360" w:lineRule="auto"/>
        <w:ind w:firstLine="422" w:firstLineChars="200"/>
        <w:rPr>
          <w:rFonts w:hint="default" w:hAnsi="宋体" w:eastAsia="宋体" w:cs="宋体"/>
          <w:color w:val="auto"/>
          <w:sz w:val="21"/>
          <w:szCs w:val="21"/>
          <w:highlight w:val="none"/>
          <w:u w:val="single"/>
        </w:rPr>
      </w:pPr>
      <w:r>
        <w:rPr>
          <w:rFonts w:hAnsi="宋体" w:eastAsia="宋体" w:cs="宋体"/>
          <w:b/>
          <w:bCs/>
          <w:color w:val="auto"/>
          <w:sz w:val="21"/>
          <w:szCs w:val="21"/>
          <w:highlight w:val="none"/>
        </w:rPr>
        <w:t>4.9</w:t>
      </w:r>
      <w:r>
        <w:rPr>
          <w:rFonts w:hAnsi="宋体" w:eastAsia="宋体" w:cs="宋体"/>
          <w:color w:val="auto"/>
          <w:sz w:val="21"/>
          <w:szCs w:val="21"/>
          <w:highlight w:val="none"/>
        </w:rPr>
        <w:t>预备费支付方式：与每个月的工程进度款一并报送（若发生符合使用范围的情形需使用预备费时），在预备费的范围内由监理单位进行签认，造价咨询单位审核，发包人确认，进度款中需要列明涉及预备费的部分。在预备费的范围内由监理单位进行签证，造价咨询单位审核后，经发包人确认后按该进度款项的50％支付，其余部分待结算完成审核后支付。预备费如有余额归发包人，不发生时不计入结算总价。</w:t>
      </w:r>
    </w:p>
    <w:p w14:paraId="2EBB9500">
      <w:pPr>
        <w:wordWrap w:val="0"/>
        <w:adjustRightInd w:val="0"/>
        <w:snapToGrid w:val="0"/>
        <w:spacing w:line="360" w:lineRule="auto"/>
        <w:ind w:firstLine="422" w:firstLineChars="200"/>
        <w:rPr>
          <w:rFonts w:hint="default" w:hAnsi="宋体" w:eastAsia="宋体" w:cs="宋体"/>
          <w:color w:val="auto"/>
          <w:sz w:val="21"/>
          <w:szCs w:val="21"/>
          <w:highlight w:val="none"/>
          <w:u w:val="single"/>
        </w:rPr>
      </w:pPr>
      <w:r>
        <w:rPr>
          <w:rFonts w:hAnsi="宋体" w:eastAsia="宋体" w:cs="宋体"/>
          <w:b/>
          <w:color w:val="auto"/>
          <w:sz w:val="21"/>
          <w:szCs w:val="21"/>
          <w:highlight w:val="none"/>
        </w:rPr>
        <w:t>4.10</w:t>
      </w:r>
      <w:r>
        <w:rPr>
          <w:rFonts w:hAnsi="宋体" w:eastAsia="宋体" w:cs="宋体"/>
          <w:color w:val="auto"/>
          <w:sz w:val="21"/>
          <w:szCs w:val="21"/>
          <w:highlight w:val="none"/>
        </w:rPr>
        <w:t>本工程按政府有关要求或资金安排情况、合同有关约定，经双方协商可调整建安费支付办法。</w:t>
      </w:r>
    </w:p>
    <w:p w14:paraId="6AD7BD80">
      <w:pPr>
        <w:pStyle w:val="42"/>
        <w:numPr>
          <w:ilvl w:val="0"/>
          <w:numId w:val="3"/>
        </w:numPr>
        <w:spacing w:line="360" w:lineRule="auto"/>
        <w:ind w:firstLine="316" w:firstLineChars="150"/>
        <w:rPr>
          <w:rFonts w:hAnsi="宋体" w:cs="宋体"/>
          <w:b/>
          <w:bCs/>
          <w:color w:val="auto"/>
          <w:sz w:val="21"/>
          <w:szCs w:val="21"/>
          <w:highlight w:val="none"/>
        </w:rPr>
      </w:pPr>
      <w:r>
        <w:rPr>
          <w:rFonts w:hint="eastAsia" w:hAnsi="宋体" w:cs="宋体"/>
          <w:b/>
          <w:bCs/>
          <w:color w:val="auto"/>
          <w:sz w:val="21"/>
          <w:szCs w:val="21"/>
          <w:highlight w:val="none"/>
        </w:rPr>
        <w:t>施工部分</w:t>
      </w:r>
    </w:p>
    <w:p w14:paraId="5B02147F">
      <w:pPr>
        <w:pStyle w:val="59"/>
        <w:widowControl/>
        <w:spacing w:line="360" w:lineRule="auto"/>
        <w:ind w:firstLine="420"/>
        <w:jc w:val="left"/>
        <w:rPr>
          <w:rFonts w:ascii="宋体" w:hAnsi="宋体" w:cs="宋体"/>
          <w:b/>
          <w:bCs/>
          <w:color w:val="auto"/>
          <w:sz w:val="21"/>
          <w:szCs w:val="21"/>
          <w:highlight w:val="none"/>
          <w:lang w:val="zh-CN"/>
        </w:rPr>
      </w:pPr>
      <w:r>
        <w:rPr>
          <w:rFonts w:hint="eastAsia" w:ascii="宋体" w:hAnsi="宋体" w:cs="宋体"/>
          <w:b/>
          <w:bCs/>
          <w:color w:val="auto"/>
          <w:sz w:val="21"/>
          <w:szCs w:val="21"/>
          <w:highlight w:val="none"/>
        </w:rPr>
        <w:t>5.1</w:t>
      </w:r>
      <w:r>
        <w:rPr>
          <w:rFonts w:hint="eastAsia" w:ascii="宋体" w:hAnsi="宋体" w:cs="宋体"/>
          <w:b/>
          <w:bCs/>
          <w:color w:val="auto"/>
          <w:sz w:val="21"/>
          <w:szCs w:val="21"/>
          <w:highlight w:val="none"/>
          <w:lang w:val="zh-CN"/>
        </w:rPr>
        <w:t>项目管理</w:t>
      </w:r>
    </w:p>
    <w:p w14:paraId="5C548B7E">
      <w:pPr>
        <w:pStyle w:val="59"/>
        <w:widowControl/>
        <w:spacing w:line="360" w:lineRule="auto"/>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5.1.1项目经理要求：</w:t>
      </w:r>
    </w:p>
    <w:p w14:paraId="6FAEAAFE">
      <w:pPr>
        <w:pStyle w:val="59"/>
        <w:widowControl/>
        <w:spacing w:line="360" w:lineRule="auto"/>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 项目经理与投标文件承诺不一致或未及时到位，发包人将按照下列方式对承包人进行处罚：</w:t>
      </w:r>
    </w:p>
    <w:p w14:paraId="77E24D4F">
      <w:pPr>
        <w:pStyle w:val="59"/>
        <w:widowControl/>
        <w:numPr>
          <w:ilvl w:val="0"/>
          <w:numId w:val="4"/>
        </w:numPr>
        <w:spacing w:line="360" w:lineRule="auto"/>
        <w:ind w:firstLine="420"/>
        <w:jc w:val="left"/>
        <w:rPr>
          <w:rFonts w:ascii="宋体" w:hAnsi="宋体" w:cs="宋体"/>
          <w:color w:val="auto"/>
          <w:sz w:val="21"/>
          <w:szCs w:val="21"/>
          <w:highlight w:val="none"/>
          <w:u w:val="single"/>
        </w:rPr>
      </w:pPr>
      <w:r>
        <w:rPr>
          <w:rFonts w:hint="eastAsia" w:ascii="宋体" w:hAnsi="宋体" w:cs="宋体"/>
          <w:color w:val="auto"/>
          <w:sz w:val="21"/>
          <w:szCs w:val="21"/>
          <w:highlight w:val="none"/>
          <w:u w:val="single"/>
        </w:rPr>
        <w:t>担任项目经理的注册建造师与投标书承诺不一致，将视为承包人严重违约。除符合广东省住房和城乡建设厅《关于建设工程项目招标中标后监督检查的办法》〔2009〕8号文第九条规定的情形外，项目经理一律不得更换。承包人未经监理工程师和发包人书面同意，擅自更换投标书中确认的本工程项目经理的，监理工程师或发包人有权责令承包人三天内整改，且发包人有权提请建设行政主管部门对其作不良行为记录，有权给予承包人履约评价为不合格，同时发包人有权拒绝承包人3年内参加发包人其它工程的投标。</w:t>
      </w:r>
      <w:r>
        <w:rPr>
          <w:rFonts w:hint="eastAsia" w:ascii="宋体" w:hAnsi="宋体" w:cs="宋体"/>
          <w:snapToGrid w:val="0"/>
          <w:color w:val="auto"/>
          <w:kern w:val="0"/>
          <w:sz w:val="21"/>
          <w:szCs w:val="21"/>
          <w:highlight w:val="none"/>
          <w:u w:val="single"/>
        </w:rPr>
        <w:t>擅自更换本工程项目经理的，</w:t>
      </w:r>
      <w:r>
        <w:rPr>
          <w:rFonts w:hint="eastAsia" w:ascii="宋体" w:hAnsi="宋体" w:cs="宋体"/>
          <w:color w:val="auto"/>
          <w:sz w:val="21"/>
          <w:szCs w:val="21"/>
          <w:highlight w:val="none"/>
          <w:u w:val="single"/>
        </w:rPr>
        <w:t>即使发包人</w:t>
      </w:r>
      <w:r>
        <w:rPr>
          <w:rFonts w:hint="eastAsia" w:ascii="宋体" w:hAnsi="宋体" w:cs="宋体"/>
          <w:snapToGrid w:val="0"/>
          <w:color w:val="auto"/>
          <w:kern w:val="0"/>
          <w:sz w:val="21"/>
          <w:szCs w:val="21"/>
          <w:highlight w:val="none"/>
          <w:u w:val="single"/>
        </w:rPr>
        <w:t>事后</w:t>
      </w:r>
      <w:r>
        <w:rPr>
          <w:rFonts w:hint="eastAsia" w:ascii="宋体" w:hAnsi="宋体" w:cs="宋体"/>
          <w:color w:val="auto"/>
          <w:sz w:val="21"/>
          <w:szCs w:val="21"/>
          <w:highlight w:val="none"/>
          <w:u w:val="single"/>
        </w:rPr>
        <w:t>批准同意更换，承包人仍需支付每换一次15万元的违约金（仅被羁押或判处刑罚、身亡可免责）。</w:t>
      </w:r>
    </w:p>
    <w:p w14:paraId="0B742202">
      <w:pPr>
        <w:pStyle w:val="59"/>
        <w:widowControl/>
        <w:numPr>
          <w:ilvl w:val="0"/>
          <w:numId w:val="4"/>
        </w:numPr>
        <w:spacing w:line="420" w:lineRule="exact"/>
        <w:ind w:firstLine="420"/>
        <w:jc w:val="left"/>
        <w:rPr>
          <w:rFonts w:ascii="宋体" w:hAnsi="宋体" w:cs="宋体"/>
          <w:color w:val="auto"/>
          <w:sz w:val="21"/>
          <w:szCs w:val="21"/>
          <w:highlight w:val="none"/>
          <w:u w:val="single"/>
        </w:rPr>
      </w:pPr>
      <w:r>
        <w:rPr>
          <w:rFonts w:hint="eastAsia" w:ascii="宋体" w:hAnsi="宋体" w:cs="宋体"/>
          <w:color w:val="auto"/>
          <w:sz w:val="21"/>
          <w:szCs w:val="21"/>
          <w:highlight w:val="none"/>
          <w:u w:val="single"/>
        </w:rPr>
        <w:t>项目经理每延迟到位一天承包人应向发包人支付违约金5万元/天，超过10天（含10天）发包人有权单方解除合同，并要求承包人承担由此造成的一切损失。</w:t>
      </w:r>
    </w:p>
    <w:p w14:paraId="3626209C">
      <w:pPr>
        <w:pStyle w:val="59"/>
        <w:widowControl/>
        <w:numPr>
          <w:ilvl w:val="0"/>
          <w:numId w:val="4"/>
        </w:numPr>
        <w:spacing w:line="420" w:lineRule="exact"/>
        <w:ind w:firstLine="420"/>
        <w:jc w:val="left"/>
        <w:rPr>
          <w:rFonts w:ascii="宋体" w:hAnsi="宋体" w:cs="宋体"/>
          <w:color w:val="auto"/>
          <w:sz w:val="21"/>
          <w:szCs w:val="21"/>
          <w:highlight w:val="none"/>
          <w:u w:val="single"/>
        </w:rPr>
      </w:pPr>
      <w:r>
        <w:rPr>
          <w:rFonts w:hint="eastAsia" w:ascii="宋体" w:hAnsi="宋体" w:cs="宋体"/>
          <w:color w:val="auto"/>
          <w:sz w:val="21"/>
          <w:szCs w:val="21"/>
          <w:highlight w:val="none"/>
          <w:u w:val="single"/>
        </w:rPr>
        <w:t>项目经理必须按时参加工程例会、图纸会审和技术交底、现场协调会、方案论证会、专项工作碰头会，以及发包人要求其参加的会议。未经发包人同意不到会者，承包人每次向发包人支付1万元违约金，并承担一般违约责任1次。</w:t>
      </w:r>
    </w:p>
    <w:p w14:paraId="1F4AE417">
      <w:pPr>
        <w:pStyle w:val="59"/>
        <w:widowControl/>
        <w:numPr>
          <w:ilvl w:val="0"/>
          <w:numId w:val="4"/>
        </w:numPr>
        <w:spacing w:line="420" w:lineRule="exact"/>
        <w:ind w:firstLine="420"/>
        <w:jc w:val="left"/>
        <w:rPr>
          <w:rFonts w:ascii="宋体" w:hAnsi="宋体" w:cs="宋体"/>
          <w:color w:val="auto"/>
          <w:sz w:val="21"/>
          <w:szCs w:val="21"/>
          <w:highlight w:val="none"/>
          <w:u w:val="single"/>
        </w:rPr>
      </w:pPr>
      <w:r>
        <w:rPr>
          <w:rFonts w:hint="eastAsia" w:ascii="宋体" w:hAnsi="宋体" w:cs="宋体"/>
          <w:color w:val="auto"/>
          <w:sz w:val="21"/>
          <w:szCs w:val="21"/>
          <w:highlight w:val="none"/>
          <w:u w:val="single"/>
        </w:rPr>
        <w:t>项目经理若需离开施工现场1日以上（含1日）需经发包人批准。在其请假离开的时间段内应委托项目副经理或项目总工全权代表其行使职权，否则每违约一次，承包人应当承担一般违约责任1次。项目经理每月的出勤天数不得少于22天，如少于22天的，按每缺勤一天向发包人支付违约金人民币3仟元，并承担一般违约责任1次。</w:t>
      </w:r>
    </w:p>
    <w:p w14:paraId="68085283">
      <w:pPr>
        <w:pStyle w:val="59"/>
        <w:widowControl/>
        <w:spacing w:line="420" w:lineRule="exact"/>
        <w:ind w:firstLine="420" w:firstLineChars="200"/>
        <w:jc w:val="left"/>
        <w:rPr>
          <w:rFonts w:ascii="宋体" w:hAnsi="宋体" w:cs="宋体"/>
          <w:color w:val="auto"/>
          <w:sz w:val="21"/>
          <w:szCs w:val="21"/>
          <w:highlight w:val="none"/>
        </w:rPr>
      </w:pPr>
      <w:r>
        <w:rPr>
          <w:rFonts w:hint="eastAsia" w:ascii="宋体" w:hAnsi="宋体" w:cs="宋体"/>
          <w:color w:val="auto"/>
          <w:sz w:val="21"/>
          <w:szCs w:val="21"/>
          <w:highlight w:val="none"/>
          <w:u w:val="single"/>
        </w:rPr>
        <w:t>（5）对于难以胜任工作项目经理，发包人有权要求承包人进行更换，直至发包人满意为止，且更换人员应在接到书面通知后的3天内到位。更换项目经理期间延误的工期不予顺延，所有费用由承包人承担，给发包人造成的损失由承包人承担。</w:t>
      </w:r>
    </w:p>
    <w:p w14:paraId="78063284">
      <w:pPr>
        <w:pStyle w:val="59"/>
        <w:widowControl/>
        <w:spacing w:line="42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u w:val="single"/>
        </w:rPr>
        <w:t>上述违约金由承包人直接向发包人支付，未付清之前，发包人有权暂停支付工程款。</w:t>
      </w:r>
    </w:p>
    <w:p w14:paraId="082BC64D">
      <w:pPr>
        <w:pStyle w:val="59"/>
        <w:widowControl/>
        <w:spacing w:line="42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5.1.2承包人必须遵守国家相关法律法规、政府相关规定及</w:t>
      </w:r>
      <w:r>
        <w:rPr>
          <w:rFonts w:hint="eastAsia" w:ascii="宋体" w:hAnsi="宋体" w:cs="宋体"/>
          <w:color w:val="auto"/>
          <w:sz w:val="21"/>
          <w:szCs w:val="21"/>
          <w:highlight w:val="none"/>
        </w:rPr>
        <w:tab/>
      </w:r>
      <w:r>
        <w:rPr>
          <w:rFonts w:hint="eastAsia" w:ascii="宋体" w:hAnsi="宋体" w:cs="宋体"/>
          <w:color w:val="auto"/>
          <w:sz w:val="21"/>
          <w:szCs w:val="21"/>
          <w:highlight w:val="none"/>
        </w:rPr>
        <w:t>南雄市黄坑镇人民政府的工程管理制度。</w:t>
      </w:r>
    </w:p>
    <w:p w14:paraId="7F1C322E">
      <w:pPr>
        <w:pStyle w:val="59"/>
        <w:widowControl/>
        <w:spacing w:line="42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5.1.3承包人应根据工程实际需要，配备满足进度要求的施工机械，自备发电机保证供电稳定，所有费用已包含在合同价中。</w:t>
      </w:r>
    </w:p>
    <w:p w14:paraId="7244DF2F">
      <w:pPr>
        <w:pStyle w:val="59"/>
        <w:widowControl/>
        <w:spacing w:line="42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5.1.4如果承包人未能按照规定的工期完成合同工程（含材料、设备采购等），或者未能在相应的工期内完成某区段或某单项工程，经发包人书面发出通知要求承包人在规定时间内完成前述工程后，承包人仍未完成，则发包人有权直接雇用他人执行该项指令，并向其支付有关费用，所发生的费用从承包人合同总价中扣除，同时，在工程结算时发包人有权扣除承包人向发包人支付所发生费用10%的违约金，并由承包人承担影响工期的一切责任。</w:t>
      </w:r>
    </w:p>
    <w:p w14:paraId="633F0A54">
      <w:pPr>
        <w:pStyle w:val="59"/>
        <w:widowControl/>
        <w:spacing w:line="42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5.1.5在合同履行中如发包人、承包人双方发生争议，承包人不得以争议未解决为由擅自停工，否则将视为违约，由此产生工期的延误不予顺延。</w:t>
      </w:r>
    </w:p>
    <w:p w14:paraId="0977380F">
      <w:pPr>
        <w:pStyle w:val="59"/>
        <w:widowControl/>
        <w:spacing w:line="42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5.1.6对于隐蔽工程，若发现承包人在验收合格后到隐蔽施工前，对合格部分做任何改动，应重新进行验收；若承包人同一分项工程验收两次仍不合格，则以后每增加一次验收，承包人向发包人支付违约金5000元。如出现未经验收就进行隐蔽施工，承包人向发包人支付10万元/次的违约金，并且发包人有权暂停支付该部分进度款，直至发包人确认该部分工程合格为止，并通报相关部门，由此产生质量、工期延误等等均由承包人负责。</w:t>
      </w:r>
    </w:p>
    <w:p w14:paraId="53F21301">
      <w:pPr>
        <w:wordWrap w:val="0"/>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经承包人的自检确认隐蔽工程和工程的隐蔽部位具备覆盖条件后的24小时内，承包人应通知监理人进行检查，通知应按规定的格式说明检查地点、内容和检查时间，并附有承包人自检记录和必要的检查资料。监理人应按通知约定的时间派员到场进行检查，在监理人员确认质量符合要求，并在检查记录上签字后，承包人才能进行覆盖。</w:t>
      </w:r>
    </w:p>
    <w:p w14:paraId="1B7BEC12">
      <w:pPr>
        <w:pStyle w:val="59"/>
        <w:widowControl/>
        <w:spacing w:line="42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承包人未及时通知监理人到场检查，私自将隐蔽部位覆盖，监理人有权指示承包人采用钻孔探测揭开进行检查，由此增加的费用和工期延误责任由承包人承担。</w:t>
      </w:r>
    </w:p>
    <w:p w14:paraId="47484D68">
      <w:pPr>
        <w:pStyle w:val="59"/>
        <w:widowControl/>
        <w:spacing w:line="42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5.1.7承包人必须编制合理的交通维护方案并负责实施，保证施工期间的交通组织符合南雄市公安交通管理的有关规定，确保施工安全，其费用包含在合同价中。</w:t>
      </w:r>
    </w:p>
    <w:p w14:paraId="273C35DC">
      <w:pPr>
        <w:pStyle w:val="59"/>
        <w:widowControl/>
        <w:spacing w:line="42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5.1.8发生伤亡事故，承包人应在第一时间通知发包人，并按规定立即上报有关部门，同时按法律、法规及相关规定的要求及时处理，否则记承包人严重违约责任一次。</w:t>
      </w:r>
    </w:p>
    <w:p w14:paraId="70260391">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因承包人原因，承包人施工现场发生工伤或其他责任事故的，除按相关法律法规依法接受处理和赔偿所造成的损失外，承包人还须按下列标准向发包人支付惩罚性违约金：</w:t>
      </w:r>
    </w:p>
    <w:p w14:paraId="0C37CC77">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（1）一次事故或全年累计死亡3人及以上：安全第一责任人在韶关市地区建设范围内公开检查；承包人必须撤换项目经理、安全主管，同时支付合同价款15％的惩罚性违约金。</w:t>
      </w:r>
    </w:p>
    <w:p w14:paraId="1B0798E5">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（2）一次事故或全年累计死亡2人：安全第一责任人在韶关市地区建设范围内公开检查；承包人必须撤换项目经理、安全主管，同时支付合同价款10％的惩罚性违约金。</w:t>
      </w:r>
    </w:p>
    <w:p w14:paraId="465FF60C">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（3）全年死亡1人：安全第一责任人在韶关市地区建设范围内公开检查，并报其上级单位；承包人必须撤换项目经理、安全主管；同时支付合同价款5％的惩罚性违约金。</w:t>
      </w:r>
    </w:p>
    <w:p w14:paraId="3361FD74">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（4）重伤事故、造成10人及以上集体中毒住院、经济损失重大的火灾、设备及交通事故，依法由承包人承担责任，并支付惩罚性违约金3万元。</w:t>
      </w:r>
    </w:p>
    <w:p w14:paraId="031D8722">
      <w:pPr>
        <w:pStyle w:val="59"/>
        <w:widowControl/>
        <w:spacing w:line="42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（5）因施工造成的道路交通中断、通讯中断、管线漏水漏气等全部责任事故，依法由承包人承担责任，并支付惩罚性违约金2万元。</w:t>
      </w:r>
    </w:p>
    <w:p w14:paraId="432BD13A">
      <w:pPr>
        <w:pStyle w:val="59"/>
        <w:widowControl/>
        <w:spacing w:line="42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5.1.9 承包人必须遵守有关环境保护的法律法规，并采取有效措施控制施工现场的各种粉尘、废气、废弃物、噪声、振动等对身体健康和周边环境造成的危害和污染，有关费用已包含在合同价中。 </w:t>
      </w:r>
    </w:p>
    <w:p w14:paraId="64C774F4">
      <w:pPr>
        <w:autoSpaceDE w:val="0"/>
        <w:autoSpaceDN w:val="0"/>
        <w:adjustRightInd w:val="0"/>
        <w:snapToGrid w:val="0"/>
        <w:spacing w:beforeLines="50"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5.1.10 工程竣工验收合格后30天内，承包人必须及时</w:t>
      </w:r>
      <w:r>
        <w:rPr>
          <w:rFonts w:hAnsi="宋体" w:eastAsia="宋体" w:cs="宋体"/>
          <w:snapToGrid w:val="0"/>
          <w:color w:val="auto"/>
          <w:kern w:val="0"/>
          <w:sz w:val="21"/>
          <w:szCs w:val="21"/>
          <w:highlight w:val="none"/>
        </w:rPr>
        <w:t>按</w:t>
      </w:r>
      <w:r>
        <w:rPr>
          <w:rFonts w:hAnsi="宋体" w:eastAsia="宋体" w:cs="宋体"/>
          <w:color w:val="auto"/>
          <w:sz w:val="21"/>
          <w:szCs w:val="21"/>
          <w:highlight w:val="none"/>
        </w:rPr>
        <w:t xml:space="preserve">韶关市城市建设档案要求及发包人要求提交真实完整的竣工图纸等竣工资料，并由承包人负责汇总后，移交相关管理部门，且办理完成相关移交手续，否则每延迟１天，承包人向发包人支付2000元/天的违约金。同时，承包人向发包人提供完整的竣工图纸等竣工资料各8套（包括声像及电子文件），档案的制作费用由承包人承担。 </w:t>
      </w:r>
    </w:p>
    <w:p w14:paraId="468FEB18">
      <w:pPr>
        <w:autoSpaceDE w:val="0"/>
        <w:autoSpaceDN w:val="0"/>
        <w:adjustRightInd w:val="0"/>
        <w:snapToGrid w:val="0"/>
        <w:spacing w:beforeLines="50"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5.1.11 如承包人不按合同内容及条款施工，或违反正常施工程序、施工工艺进行施工，或施工质量、安全、环保等达不到有关要求，或施工用材料设备不符合规定，发包人有权勒令承包人暂停施工，承包人必须停工整改，一切责任由承包人负责。</w:t>
      </w:r>
    </w:p>
    <w:p w14:paraId="09937DFB">
      <w:pPr>
        <w:autoSpaceDE w:val="0"/>
        <w:autoSpaceDN w:val="0"/>
        <w:adjustRightInd w:val="0"/>
        <w:snapToGrid w:val="0"/>
        <w:spacing w:beforeLines="50"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5.1.12 承包人全体现场施工人员佩戴安全帽，全部施工人员佩戴工作牌。</w:t>
      </w:r>
    </w:p>
    <w:p w14:paraId="0A8AE2CF">
      <w:pPr>
        <w:autoSpaceDE w:val="0"/>
        <w:autoSpaceDN w:val="0"/>
        <w:adjustRightInd w:val="0"/>
        <w:snapToGrid w:val="0"/>
        <w:spacing w:beforeLines="50"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5.1.13 未经发包人书面许可，承包人不得在施工现场布置任何与本项目工程无关的商业广告，否则发包人有权要求承包人予以拆除，承包人并向发包人每次支付违约金10000元。</w:t>
      </w:r>
    </w:p>
    <w:p w14:paraId="1D1AA60B">
      <w:pPr>
        <w:autoSpaceDE w:val="0"/>
        <w:autoSpaceDN w:val="0"/>
        <w:adjustRightInd w:val="0"/>
        <w:snapToGrid w:val="0"/>
        <w:spacing w:beforeLines="50"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5.1.14 承包人下列人员有以下情形的，承包人必须在24小时内将其调离，并应在3天内补充经发包人批准的相关合格人员。若承包人不及时履行，发包人则有权要求承包人按每人每次支付违约金1000元/天，具体情形如下：</w:t>
      </w:r>
    </w:p>
    <w:p w14:paraId="321D6EE1">
      <w:pPr>
        <w:autoSpaceDE w:val="0"/>
        <w:autoSpaceDN w:val="0"/>
        <w:adjustRightInd w:val="0"/>
        <w:snapToGrid w:val="0"/>
        <w:spacing w:line="420" w:lineRule="exact"/>
        <w:ind w:firstLine="210" w:firstLineChars="100"/>
        <w:rPr>
          <w:rFonts w:hint="default" w:hAnsi="宋体" w:eastAsia="宋体" w:cs="宋体"/>
          <w:color w:val="auto"/>
          <w:sz w:val="21"/>
          <w:szCs w:val="21"/>
          <w:highlight w:val="none"/>
        </w:rPr>
      </w:pPr>
      <w:r>
        <w:rPr>
          <w:rFonts w:hAnsi="宋体" w:eastAsia="宋体" w:cs="宋体"/>
          <w:color w:val="auto"/>
          <w:sz w:val="21"/>
          <w:szCs w:val="21"/>
          <w:highlight w:val="none"/>
        </w:rPr>
        <w:t>（1）发包人确认无法胜任工作者，包括：对分部分项工程施工进度及施工质量达不到合同要求负有责任的施工人员、不熟悉本专业的施工人员、工作责任心不强的施工人员等；</w:t>
      </w:r>
    </w:p>
    <w:p w14:paraId="2BE6AC7D">
      <w:pPr>
        <w:autoSpaceDE w:val="0"/>
        <w:autoSpaceDN w:val="0"/>
        <w:adjustRightInd w:val="0"/>
        <w:snapToGrid w:val="0"/>
        <w:spacing w:line="420" w:lineRule="exact"/>
        <w:ind w:firstLine="210" w:firstLineChars="100"/>
        <w:rPr>
          <w:rFonts w:hint="default" w:hAnsi="宋体" w:eastAsia="宋体" w:cs="宋体"/>
          <w:color w:val="auto"/>
          <w:sz w:val="21"/>
          <w:szCs w:val="21"/>
          <w:highlight w:val="none"/>
        </w:rPr>
      </w:pPr>
      <w:r>
        <w:rPr>
          <w:rFonts w:hAnsi="宋体" w:eastAsia="宋体" w:cs="宋体"/>
          <w:color w:val="auto"/>
          <w:sz w:val="21"/>
          <w:szCs w:val="21"/>
          <w:highlight w:val="none"/>
        </w:rPr>
        <w:t>（2）不积极配合发包人、监理工程师正常工作人员；</w:t>
      </w:r>
    </w:p>
    <w:p w14:paraId="4BFF54A7">
      <w:pPr>
        <w:autoSpaceDE w:val="0"/>
        <w:autoSpaceDN w:val="0"/>
        <w:adjustRightInd w:val="0"/>
        <w:snapToGrid w:val="0"/>
        <w:spacing w:line="420" w:lineRule="exact"/>
        <w:ind w:firstLine="210" w:firstLineChars="100"/>
        <w:rPr>
          <w:rFonts w:hint="default" w:hAnsi="宋体" w:eastAsia="宋体" w:cs="宋体"/>
          <w:color w:val="auto"/>
          <w:sz w:val="21"/>
          <w:szCs w:val="21"/>
          <w:highlight w:val="none"/>
        </w:rPr>
      </w:pPr>
      <w:r>
        <w:rPr>
          <w:rFonts w:hAnsi="宋体" w:eastAsia="宋体" w:cs="宋体"/>
          <w:color w:val="auto"/>
          <w:sz w:val="21"/>
          <w:szCs w:val="21"/>
          <w:highlight w:val="none"/>
        </w:rPr>
        <w:t>（3）违反承包人或发包人工地现场管理规定的人员；</w:t>
      </w:r>
    </w:p>
    <w:p w14:paraId="63079B68">
      <w:pPr>
        <w:autoSpaceDE w:val="0"/>
        <w:autoSpaceDN w:val="0"/>
        <w:adjustRightInd w:val="0"/>
        <w:snapToGrid w:val="0"/>
        <w:spacing w:line="420" w:lineRule="exact"/>
        <w:ind w:firstLine="210" w:firstLineChars="100"/>
        <w:rPr>
          <w:rFonts w:hint="default" w:hAnsi="宋体" w:eastAsia="宋体" w:cs="宋体"/>
          <w:color w:val="auto"/>
          <w:sz w:val="21"/>
          <w:szCs w:val="21"/>
          <w:highlight w:val="none"/>
        </w:rPr>
      </w:pPr>
      <w:r>
        <w:rPr>
          <w:rFonts w:hAnsi="宋体" w:eastAsia="宋体" w:cs="宋体"/>
          <w:color w:val="auto"/>
          <w:sz w:val="21"/>
          <w:szCs w:val="21"/>
          <w:highlight w:val="none"/>
        </w:rPr>
        <w:t>（4）无证上岗人员（适用于按规定必须有上岗证的）；</w:t>
      </w:r>
    </w:p>
    <w:p w14:paraId="70DB8EB3">
      <w:pPr>
        <w:adjustRightInd w:val="0"/>
        <w:snapToGrid w:val="0"/>
        <w:spacing w:line="420" w:lineRule="exact"/>
        <w:ind w:firstLine="210" w:firstLineChars="100"/>
        <w:rPr>
          <w:rFonts w:hint="default" w:hAnsi="宋体" w:eastAsia="宋体" w:cs="宋体"/>
          <w:color w:val="auto"/>
          <w:sz w:val="21"/>
          <w:szCs w:val="21"/>
          <w:highlight w:val="none"/>
        </w:rPr>
      </w:pPr>
      <w:r>
        <w:rPr>
          <w:rFonts w:hAnsi="宋体" w:eastAsia="宋体" w:cs="宋体"/>
          <w:color w:val="auto"/>
          <w:sz w:val="21"/>
          <w:szCs w:val="21"/>
          <w:highlight w:val="none"/>
        </w:rPr>
        <w:t>（5）与本工程施工无关的人员。</w:t>
      </w:r>
    </w:p>
    <w:p w14:paraId="192ADFFF">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5.1.15 本工程禁止转包，若发包人和监理人认为承包人有转包行为，且经行政主管部门落实认定。发包人有权勒令承包人停工、驱逐其出现场，并提请建设行政主管部门对承包人按相关法律法规进行行政处罚；发包人还有权给予承包人履约评价为不合格，及有权拒绝承包人3年内参加发包人其它工程的投标；同时发包人有权单方面解除本合同。由此造成的损失均由承包人承担。 </w:t>
      </w:r>
    </w:p>
    <w:p w14:paraId="36D351F6">
      <w:pPr>
        <w:spacing w:line="420" w:lineRule="exact"/>
        <w:ind w:firstLine="422" w:firstLineChars="200"/>
        <w:rPr>
          <w:rFonts w:hint="default" w:hAnsi="宋体" w:eastAsia="宋体" w:cs="宋体"/>
          <w:b/>
          <w:bCs/>
          <w:color w:val="auto"/>
          <w:sz w:val="21"/>
          <w:szCs w:val="21"/>
          <w:highlight w:val="none"/>
        </w:rPr>
      </w:pPr>
      <w:r>
        <w:rPr>
          <w:rFonts w:hAnsi="宋体" w:eastAsia="宋体" w:cs="宋体"/>
          <w:b/>
          <w:bCs/>
          <w:color w:val="auto"/>
          <w:sz w:val="21"/>
          <w:szCs w:val="21"/>
          <w:highlight w:val="none"/>
        </w:rPr>
        <w:t>5.2 用工和劳务</w:t>
      </w:r>
    </w:p>
    <w:p w14:paraId="10901119">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5.2.1承包人不得从为发包人或工程师服务的人员中招雇任何人员。</w:t>
      </w:r>
    </w:p>
    <w:p w14:paraId="0AAF89FA">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5.2.2承包人不得以任何理由延期支付雇员的工资和劳务分包人的劳务费用。对发包人支付的工程款，承包人须优先用于支付工人劳动报酬，确保不发生因拖欠工人工资、劳务费而停工、上访，或因此在媒体曝光等事件。如果发生因拖欠工人工资、劳务费而停工上访，或因此在媒体曝光等事件，视为承包人违约，发包人有权要求承包人支付违约金20万元/次。</w:t>
      </w:r>
    </w:p>
    <w:p w14:paraId="03623E8B">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5.2.3承包人应避免发包人因施工工人追索劳务费或工程款而将发包人诉至法庭或仲裁庭，否则一切责任由承包人承担，所发生的所有费用（包括但不限于诉讼费、调查费、律师费、赔偿费、违约金等）全部由承包人承担，发包人有权将此等费用从任何应支付的工程款中扣除或没收履约保函中的相应金额。</w:t>
      </w:r>
    </w:p>
    <w:p w14:paraId="16895991">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5.2.4如果现场工程师需要了解承包人在现场的管理人员和各种劳务工种操作人员情况，以及工程师要求的有关承包人机械设备、主要施工机具、周转材料等的详细资料。承包人则应向工程师提交一份详细的统计表，其格式和提交的间隔时间应符合工程师的规定。</w:t>
      </w:r>
    </w:p>
    <w:p w14:paraId="27ADC443">
      <w:pPr>
        <w:spacing w:line="420" w:lineRule="exact"/>
        <w:ind w:firstLine="422" w:firstLineChars="200"/>
        <w:rPr>
          <w:rFonts w:hint="default" w:hAnsi="宋体" w:eastAsia="宋体" w:cs="宋体"/>
          <w:b/>
          <w:bCs/>
          <w:color w:val="auto"/>
          <w:sz w:val="21"/>
          <w:szCs w:val="21"/>
          <w:highlight w:val="none"/>
        </w:rPr>
      </w:pPr>
      <w:r>
        <w:rPr>
          <w:rFonts w:hAnsi="宋体" w:eastAsia="宋体" w:cs="宋体"/>
          <w:b/>
          <w:bCs/>
          <w:color w:val="auto"/>
          <w:sz w:val="21"/>
          <w:szCs w:val="21"/>
          <w:highlight w:val="none"/>
        </w:rPr>
        <w:t>5.3施工准备工作</w:t>
      </w:r>
    </w:p>
    <w:p w14:paraId="4272D862">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5.3.1承包人应充分认识到本工程的特殊性和复杂性，施工前应切实做好各项准备工作，包括但不限于以下（1）、（2）、（3）的内容：</w:t>
      </w:r>
    </w:p>
    <w:p w14:paraId="46329E3C">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（1）必须按要求完成临时设施建设和现场指挥部建设。</w:t>
      </w:r>
    </w:p>
    <w:p w14:paraId="19F2CF43">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（2）按照相关规定及发包人要求做好现场申报、宣传、走访、排查和解释工作。</w:t>
      </w:r>
    </w:p>
    <w:p w14:paraId="29D2933A">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（3）根据现场实际环境，做好防火、防盗、防坠落等各项措施，排除安全隐患，确保施工期间施工的安全。</w:t>
      </w:r>
    </w:p>
    <w:p w14:paraId="5B544E34">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5.3.2存在设计图纸疑问，必须在施工前30日提出，不得在施工时临时提出，也不得以此手段要求任何索赔，由此造成的一切损失由承包人承担。</w:t>
      </w:r>
    </w:p>
    <w:p w14:paraId="64197412">
      <w:pPr>
        <w:spacing w:line="420" w:lineRule="exact"/>
        <w:ind w:left="480" w:leftChars="200"/>
        <w:rPr>
          <w:rFonts w:hint="default" w:hAnsi="宋体" w:eastAsia="宋体" w:cs="宋体"/>
          <w:strike/>
          <w:color w:val="auto"/>
          <w:sz w:val="21"/>
          <w:szCs w:val="21"/>
          <w:highlight w:val="none"/>
        </w:rPr>
      </w:pPr>
      <w:r>
        <w:rPr>
          <w:rFonts w:hAnsi="宋体" w:eastAsia="宋体" w:cs="宋体"/>
          <w:b/>
          <w:bCs/>
          <w:color w:val="auto"/>
          <w:sz w:val="21"/>
          <w:szCs w:val="21"/>
          <w:highlight w:val="none"/>
        </w:rPr>
        <w:t>5.4工程变更</w:t>
      </w:r>
    </w:p>
    <w:p w14:paraId="0CE8AFA1">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5.4.1承包人报送的变更价款，应实事求是，不得虚报数量，增加或变更的工程内容按招标文件中约定计价办法进行计量。若其报送金额超出建设工程造价管理部门或政府审核部门审定金额15%以上的，每次承包人向发包人支付人民币伍仟（￥5000）元的违约金，并在结算中予以扣除。</w:t>
      </w:r>
    </w:p>
    <w:p w14:paraId="57CF1FC9">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5.4.2承包人应充分考虑工程设计变更带来的风险。工程变更须按政府及发包人的有关规定、审批权限和审批程序进行审批，凡未经发包人审批同意，承包人擅自实施的，一律视为无效变更，结算时发包人不予承认。</w:t>
      </w:r>
    </w:p>
    <w:p w14:paraId="158B1041">
      <w:pPr>
        <w:spacing w:line="420" w:lineRule="exact"/>
        <w:ind w:firstLine="422" w:firstLineChars="200"/>
        <w:rPr>
          <w:rFonts w:hint="default" w:hAnsi="宋体" w:eastAsia="宋体" w:cs="宋体"/>
          <w:b/>
          <w:bCs/>
          <w:color w:val="auto"/>
          <w:sz w:val="21"/>
          <w:szCs w:val="21"/>
          <w:highlight w:val="none"/>
        </w:rPr>
      </w:pPr>
      <w:r>
        <w:rPr>
          <w:rFonts w:hAnsi="宋体" w:eastAsia="宋体" w:cs="宋体"/>
          <w:b/>
          <w:bCs/>
          <w:color w:val="auto"/>
          <w:sz w:val="21"/>
          <w:szCs w:val="21"/>
          <w:highlight w:val="none"/>
        </w:rPr>
        <w:t>5.5工程量计量的约定：</w:t>
      </w:r>
    </w:p>
    <w:p w14:paraId="6EA77EF3">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①承包人不得自行取消施工图或清单中的任何项目，发包人根据需要取消的未施工项目，经监理工程师核实后予以扣减，相应的措施费用予以扣减。</w:t>
      </w:r>
    </w:p>
    <w:p w14:paraId="2C31B127">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②承包人自身原因造成的返工工程量，不予计量。</w:t>
      </w:r>
    </w:p>
    <w:p w14:paraId="3B44F5A9">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③凡超出图纸范围又未经变更审批的工程量，不予计量。</w:t>
      </w:r>
    </w:p>
    <w:p w14:paraId="047765B6">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④不符合工程质量标准的工程量，不予计量。</w:t>
      </w:r>
    </w:p>
    <w:p w14:paraId="065004D2">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⑤发包人书面通知承包人取消的工程量，不予计量。</w:t>
      </w:r>
    </w:p>
    <w:p w14:paraId="38038587">
      <w:pPr>
        <w:pStyle w:val="36"/>
        <w:spacing w:line="420" w:lineRule="exact"/>
        <w:jc w:val="left"/>
        <w:rPr>
          <w:rFonts w:ascii="宋体" w:hAnsi="宋体" w:cs="宋体"/>
          <w:b w:val="0"/>
          <w:bCs/>
          <w:color w:val="auto"/>
          <w:sz w:val="21"/>
          <w:szCs w:val="21"/>
          <w:highlight w:val="none"/>
        </w:rPr>
      </w:pPr>
      <w:r>
        <w:rPr>
          <w:rFonts w:hint="eastAsia" w:ascii="宋体" w:hAnsi="宋体" w:cs="宋体"/>
          <w:b w:val="0"/>
          <w:bCs/>
          <w:snapToGrid w:val="0"/>
          <w:color w:val="auto"/>
          <w:kern w:val="0"/>
          <w:sz w:val="21"/>
          <w:szCs w:val="21"/>
          <w:highlight w:val="none"/>
        </w:rPr>
        <w:t>承包人编制的工程量预算清单中的综合单价为按技术规范与技术要求完成一个规定计量单位的工程所需的人工费、材料费、机械使用费、管理费、利润并考虑风险因素。按技术规范、招标文件、设计图纸、国标《建设工程工程量清单计价规范》、省市现行计价规程等要求为完成一个规定计量单位的工程量所需的其他一切费用，承包人不得以综合单价和措施费所含工作内容缺漏项为由，向发包人提出任何变更工程价款的要求。</w:t>
      </w:r>
    </w:p>
    <w:p w14:paraId="7BD84B8D">
      <w:pPr>
        <w:spacing w:line="420" w:lineRule="exact"/>
        <w:ind w:firstLine="422" w:firstLineChars="200"/>
        <w:rPr>
          <w:rFonts w:hint="default" w:hAnsi="宋体" w:eastAsia="宋体" w:cs="宋体"/>
          <w:b/>
          <w:bCs/>
          <w:color w:val="auto"/>
          <w:sz w:val="21"/>
          <w:szCs w:val="21"/>
          <w:highlight w:val="none"/>
          <w:u w:val="single"/>
        </w:rPr>
      </w:pPr>
      <w:r>
        <w:rPr>
          <w:rFonts w:hAnsi="宋体" w:eastAsia="宋体" w:cs="宋体"/>
          <w:b/>
          <w:bCs/>
          <w:color w:val="auto"/>
          <w:sz w:val="21"/>
          <w:szCs w:val="21"/>
          <w:highlight w:val="none"/>
        </w:rPr>
        <w:t>5.6承包人对专业分包的总要求</w:t>
      </w:r>
    </w:p>
    <w:p w14:paraId="1107EE82">
      <w:pPr>
        <w:adjustRightInd w:val="0"/>
        <w:snapToGrid w:val="0"/>
        <w:spacing w:beforeLines="50"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5.6.1承包人对本工程所有分包人的管理费和相互间的配合费用由承包人与分包人自行商定，已含在承包人的投标报价中，发包人不予任何补偿。承包人承担全部管理、组织、协调和配合工作。</w:t>
      </w:r>
    </w:p>
    <w:p w14:paraId="5B9324EE">
      <w:pPr>
        <w:spacing w:line="420" w:lineRule="exact"/>
        <w:ind w:firstLine="495"/>
        <w:rPr>
          <w:rFonts w:hint="default" w:hAnsi="宋体" w:eastAsia="宋体" w:cs="宋体"/>
          <w:color w:val="auto"/>
          <w:sz w:val="21"/>
          <w:szCs w:val="21"/>
          <w:highlight w:val="none"/>
        </w:rPr>
      </w:pPr>
      <w:r>
        <w:rPr>
          <w:rFonts w:hAnsi="宋体" w:eastAsia="宋体" w:cs="宋体"/>
          <w:color w:val="auto"/>
          <w:sz w:val="21"/>
          <w:szCs w:val="21"/>
          <w:highlight w:val="none"/>
        </w:rPr>
        <w:t>5.6.2若承包人的施工承包资质缺少本工程的专业承包资质，应按照有关规定事先报发包人和监理工程师审查并取得发包人批准后分包给具有相应资质的专业承包人（如果分包工程按规定需要进行招标的，由承包人在建设交易中心自行组织），由此产生的一切分包费用、配合费、招标费用以及其他可能存在风险所产生的费用都含在合同价中。承包人因上述情况提出的任何索赔或工期延长申请将不获批准。若承包人在施工过程中由于自身缺少本工程要求的专业承包资质，而又不能按规定时间发包给具有资质的专业承包企业或者分包企业不能按照设计要求实施专业工程的，由此造成工期延误，每延误1天承包人向发包人支付违约金3万元；给发包人造成质量损失的，承包人负责赔偿，同时发包人有权从合同价中按分包工程的审定预算价扣除，并委托其他施工单位实施，承包人须无条件与分包人签订合同。</w:t>
      </w:r>
    </w:p>
    <w:p w14:paraId="6EEAC58D">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5.6.3若同一分包工程的分包申请被否定二次，发包人有权就该分包工程采用单独招标形式确定分包人或直接指定分包人，承包人须无条件与分包人签订合同，并不得收取任何费用。同时发包人有权从合同价中按分包工程的审定预算价扣除，并委托其他施工单位实施，承包人须无条件与分包人签订合同。同时由此造成工期延误，每延误1天承包人向发包人支付违约金3万元；给发包人造成质量损失的，承包人负责赔偿。</w:t>
      </w:r>
    </w:p>
    <w:p w14:paraId="20D58B7A">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5.6.4经工程师、发包人认可，承包人与分包人签订分包合同后的5天内，承包人必须将分包合同等相关资料按规定送建设行政主管部门及其他相关管理部门备案，分包合同与本施工合同发生抵触，以本施工合同为准。承包人对分包合同承担连带责任。分包合同不解除承包人任何义务与责任，承包人在分包现场应派驻监督管理人员，保证合同的履行。分包人的任何违约或疏忽，均视为承包人违约或疏忽。</w:t>
      </w:r>
    </w:p>
    <w:p w14:paraId="58F96745">
      <w:pPr>
        <w:adjustRightInd w:val="0"/>
        <w:snapToGrid w:val="0"/>
        <w:spacing w:line="420" w:lineRule="exact"/>
        <w:ind w:firstLine="525" w:firstLineChars="250"/>
        <w:rPr>
          <w:rFonts w:hint="default" w:hAnsi="宋体" w:eastAsia="宋体" w:cs="宋体"/>
          <w:color w:val="auto"/>
          <w:sz w:val="21"/>
          <w:szCs w:val="21"/>
          <w:highlight w:val="none"/>
        </w:rPr>
      </w:pPr>
      <w:r>
        <w:rPr>
          <w:rFonts w:hAnsi="宋体" w:eastAsia="宋体" w:cs="宋体"/>
          <w:color w:val="auto"/>
          <w:sz w:val="21"/>
          <w:szCs w:val="21"/>
          <w:highlight w:val="none"/>
        </w:rPr>
        <w:t xml:space="preserve">5.6.5若发包人和监理均认定承包人有未经发包人同意的分包行为（无须承包人认可，除非承包人在发包人发出通知后3天内提出有效举证），发包人有权勒令其停工、驱逐出现场等，由此造成的损失均由承包人承担，同时承包人向发包人支付违约金30万元/每次。发包人有权提请建设行政主管部门对其作不良行为记录，有权给予承包人履约评价为不合格，同时发包人有权拒绝承包人3年内参加发包人其它工程的投标。 </w:t>
      </w:r>
    </w:p>
    <w:p w14:paraId="08794774">
      <w:pPr>
        <w:adjustRightInd w:val="0"/>
        <w:snapToGrid w:val="0"/>
        <w:spacing w:line="420" w:lineRule="exact"/>
        <w:ind w:firstLine="422" w:firstLineChars="200"/>
        <w:rPr>
          <w:rFonts w:hint="default" w:hAnsi="宋体" w:eastAsia="宋体" w:cs="宋体"/>
          <w:b/>
          <w:bCs/>
          <w:color w:val="auto"/>
          <w:sz w:val="21"/>
          <w:szCs w:val="21"/>
          <w:highlight w:val="none"/>
        </w:rPr>
      </w:pPr>
      <w:r>
        <w:rPr>
          <w:rFonts w:hAnsi="宋体" w:eastAsia="宋体" w:cs="宋体"/>
          <w:b/>
          <w:bCs/>
          <w:color w:val="auto"/>
          <w:sz w:val="21"/>
          <w:szCs w:val="21"/>
          <w:highlight w:val="none"/>
        </w:rPr>
        <w:t>5.7 措施项目</w:t>
      </w:r>
    </w:p>
    <w:p w14:paraId="14B9FB7F">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5.7.1现场安全文明设计必须满足国家、省市相关的要求，除此之外，尚应满足如下要求：</w:t>
      </w:r>
    </w:p>
    <w:p w14:paraId="382F9EF4">
      <w:pPr>
        <w:numPr>
          <w:ilvl w:val="0"/>
          <w:numId w:val="5"/>
        </w:num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安全、文明、临时设施要求：①主要管理人员与投标文件内填写的应一致；</w:t>
      </w:r>
    </w:p>
    <w:p w14:paraId="15AD1C5C">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②施工现场应封闭施工。进出口要设大门、门卫和门卫制度。主进出口门头设企业标志，两侧要挂“七牌一图”，标牌应规范、整齐；</w:t>
      </w:r>
    </w:p>
    <w:p w14:paraId="003349C4">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③施工场地及生活区的所有临时道路，无污水、积水，地面要平整，路面满足施工及生活需要；排水要通畅，要有防止泥浆、污物堵塞排水管道的措施；按要求张挂各种安全标志牌和标语，设宣传栏，读报栏和黑板报并设有吸烟处；有绿化布置；</w:t>
      </w:r>
    </w:p>
    <w:p w14:paraId="05152887">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④施工期间，承包人应随时根据现场情况对围挡进行维修和保护，确保施工界面达到韶关市、南雄市和建设部有关规定的标准。为确保施工安全，防止无关人员进入现场，承包人必须对施工范围（特殊情况除外）进行全封闭围挡，并设置车辆进出口，若确因条件限制或环境要求无法实施封闭围挡，承包人应切实做好安全防护及安全通道，设置合理科学的安全警示标志。如果承包人开工后经监理工程师下达整改通知后3天内仍未按规定实施，发包人有权安排其他施工队伍进场作好封闭围挡，相应费用从本合同总价中的现场安全文明措施费中扣除。承包人承诺按发包人制定的此条款执行，不得有任何异议；</w:t>
      </w:r>
    </w:p>
    <w:p w14:paraId="3BB84BF6">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⑤施工场内，建筑材料、构件和料具要按施工现场平面图的布置要求堆放整齐，并挂物料名称，品种，规格等标牌，施工现场渣土和垃圾清运应当采取喷淋压尘装载；</w:t>
      </w:r>
    </w:p>
    <w:p w14:paraId="390524DD">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⑥承包人必须按照粤建安字〔2009〕20号文件要求，在开工前按有关规定要求，编制施工组织设计和施工现场消防设施平面布置图，按规定配备合格的消防器材等，满足施工现场所需的消防措施、制度和灭火器材，灭火器材配置、消防水源所有器材和设备应合理、合格，使用明火应有动火审批手续和动火监护，所发生的费用已含合同中；</w:t>
      </w:r>
    </w:p>
    <w:p w14:paraId="289A9505">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⑦施工现场的施工区、 办公区、生活区应当分开设置，实行区划管理，临时办公和生活用房应采用轻钢板房，并要具有抗强台风的措施，确保安全；</w:t>
      </w:r>
    </w:p>
    <w:p w14:paraId="6A5EAFE5">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⑧工地内要配备经培训的急救人员、保健医药箱、安全急救措施和急救器材，要开展卫生、防病自救、互救宣传教育；</w:t>
      </w:r>
    </w:p>
    <w:p w14:paraId="128243DE">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⑨要建立治安保卫制度，责任要分解到人。承包人在施工过程中的施工人员应配备必要的劳动、安全保护用品并佩戴工作证，以及满足招标文件中其他相关规定。</w:t>
      </w:r>
    </w:p>
    <w:p w14:paraId="13FB6951">
      <w:pPr>
        <w:numPr>
          <w:ilvl w:val="0"/>
          <w:numId w:val="5"/>
        </w:num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环保要求：承包人在施工过程中必须根据环保部门和城管部门的要求采取一切可能的措施做好环境保护和水土保持工作，有效控制施工现场的各种粉尘、废气、废弃物、噪音、振动、雨污水等对周边环境造成的污染和危害，避免对周围的管线、道路、构筑物、建筑物造成损坏，环境保护所采用的措施包括但不局限于：</w:t>
      </w:r>
    </w:p>
    <w:p w14:paraId="559B222A">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①环境污染防治措施：禁止向周边和雨水口、河道倾倒一切废物，包括生产和生活污水、生产和生活垃圾等；生活废水要自建生活污水处理装置；生活垃圾要收集在有防雨棚和防地表径流冲刷的临时垃圾池内，及时集中、清运；堆土区表面进行覆盖；</w:t>
      </w:r>
    </w:p>
    <w:p w14:paraId="2CC79AB7">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②大气污染防治措施：采用洒水湿法抑尘；重点时段防护如：对</w:t>
      </w:r>
      <w:r>
        <w:rPr>
          <w:rFonts w:hAnsi="宋体" w:eastAsia="宋体" w:cs="宋体"/>
          <w:snapToGrid w:val="0"/>
          <w:color w:val="auto"/>
          <w:kern w:val="0"/>
          <w:sz w:val="21"/>
          <w:szCs w:val="21"/>
          <w:highlight w:val="none"/>
        </w:rPr>
        <w:t>工地进出运输</w:t>
      </w:r>
      <w:r>
        <w:rPr>
          <w:rFonts w:hAnsi="宋体" w:eastAsia="宋体" w:cs="宋体"/>
          <w:color w:val="auto"/>
          <w:sz w:val="21"/>
          <w:szCs w:val="21"/>
          <w:highlight w:val="none"/>
        </w:rPr>
        <w:t>车辆进行冲洗；运送散装物料的机动车、存放散装物料的堆放场地必须用棚布遮盖，拌和设备尽量封闭；</w:t>
      </w:r>
    </w:p>
    <w:p w14:paraId="50173512">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③施工噪音防护措施：施工噪音执行《建筑施工噪音标准限值》（GB12523-90）规定的有关标准，未经环保部门批准中午和夜间不得施工作业；对高噪音的施工机械或加工环节尽量安排在远离民居的地方；</w:t>
      </w:r>
    </w:p>
    <w:p w14:paraId="2739DD8C">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fldChar w:fldCharType="begin"/>
      </w:r>
      <w:r>
        <w:rPr>
          <w:rFonts w:hAnsi="宋体" w:eastAsia="宋体" w:cs="宋体"/>
          <w:color w:val="auto"/>
          <w:sz w:val="21"/>
          <w:szCs w:val="21"/>
          <w:highlight w:val="none"/>
        </w:rPr>
        <w:instrText xml:space="preserve"> = 4 \* GB3 </w:instrText>
      </w:r>
      <w:r>
        <w:rPr>
          <w:rFonts w:hAnsi="宋体" w:eastAsia="宋体" w:cs="宋体"/>
          <w:color w:val="auto"/>
          <w:sz w:val="21"/>
          <w:szCs w:val="21"/>
          <w:highlight w:val="none"/>
        </w:rPr>
        <w:fldChar w:fldCharType="separate"/>
      </w:r>
      <w:r>
        <w:rPr>
          <w:rFonts w:hAnsi="宋体" w:eastAsia="宋体" w:cs="宋体"/>
          <w:color w:val="auto"/>
          <w:sz w:val="21"/>
          <w:szCs w:val="21"/>
          <w:highlight w:val="none"/>
          <w:lang w:val="zh-CN"/>
        </w:rPr>
        <w:t>④</w:t>
      </w:r>
      <w:r>
        <w:rPr>
          <w:rFonts w:hAnsi="宋体" w:eastAsia="宋体" w:cs="宋体"/>
          <w:color w:val="auto"/>
          <w:sz w:val="21"/>
          <w:szCs w:val="21"/>
          <w:highlight w:val="none"/>
        </w:rPr>
        <w:fldChar w:fldCharType="end"/>
      </w:r>
      <w:r>
        <w:rPr>
          <w:rFonts w:hAnsi="宋体" w:eastAsia="宋体" w:cs="宋体"/>
          <w:color w:val="auto"/>
          <w:sz w:val="21"/>
          <w:szCs w:val="21"/>
          <w:highlight w:val="none"/>
        </w:rPr>
        <w:t>针对固体废物可能产生的多种环境影响，须采取必要的措施分类收集，运至指定地点和按规定进行处理；</w:t>
      </w:r>
    </w:p>
    <w:p w14:paraId="167222B0">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fldChar w:fldCharType="begin"/>
      </w:r>
      <w:r>
        <w:rPr>
          <w:rFonts w:hAnsi="宋体" w:eastAsia="宋体" w:cs="宋体"/>
          <w:color w:val="auto"/>
          <w:sz w:val="21"/>
          <w:szCs w:val="21"/>
          <w:highlight w:val="none"/>
        </w:rPr>
        <w:instrText xml:space="preserve"> = 5 \* GB3 </w:instrText>
      </w:r>
      <w:r>
        <w:rPr>
          <w:rFonts w:hAnsi="宋体" w:eastAsia="宋体" w:cs="宋体"/>
          <w:color w:val="auto"/>
          <w:sz w:val="21"/>
          <w:szCs w:val="21"/>
          <w:highlight w:val="none"/>
        </w:rPr>
        <w:fldChar w:fldCharType="separate"/>
      </w:r>
      <w:r>
        <w:rPr>
          <w:rFonts w:hAnsi="宋体" w:eastAsia="宋体" w:cs="宋体"/>
          <w:color w:val="auto"/>
          <w:sz w:val="21"/>
          <w:szCs w:val="21"/>
          <w:highlight w:val="none"/>
          <w:lang w:val="zh-CN"/>
        </w:rPr>
        <w:t>⑤</w:t>
      </w:r>
      <w:r>
        <w:rPr>
          <w:rFonts w:hAnsi="宋体" w:eastAsia="宋体" w:cs="宋体"/>
          <w:color w:val="auto"/>
          <w:sz w:val="21"/>
          <w:szCs w:val="21"/>
          <w:highlight w:val="none"/>
        </w:rPr>
        <w:fldChar w:fldCharType="end"/>
      </w:r>
      <w:r>
        <w:rPr>
          <w:rFonts w:hAnsi="宋体" w:eastAsia="宋体" w:cs="宋体"/>
          <w:color w:val="auto"/>
          <w:sz w:val="21"/>
          <w:szCs w:val="21"/>
          <w:highlight w:val="none"/>
        </w:rPr>
        <w:t>制定建筑废弃物管理计划，达到绿色安全文明施工的要求；</w:t>
      </w:r>
    </w:p>
    <w:p w14:paraId="35D53E50">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fldChar w:fldCharType="begin"/>
      </w:r>
      <w:r>
        <w:rPr>
          <w:rFonts w:hAnsi="宋体" w:eastAsia="宋体" w:cs="宋体"/>
          <w:color w:val="auto"/>
          <w:sz w:val="21"/>
          <w:szCs w:val="21"/>
          <w:highlight w:val="none"/>
        </w:rPr>
        <w:instrText xml:space="preserve"> = 6 \* GB3 </w:instrText>
      </w:r>
      <w:r>
        <w:rPr>
          <w:rFonts w:hAnsi="宋体" w:eastAsia="宋体" w:cs="宋体"/>
          <w:color w:val="auto"/>
          <w:sz w:val="21"/>
          <w:szCs w:val="21"/>
          <w:highlight w:val="none"/>
        </w:rPr>
        <w:fldChar w:fldCharType="separate"/>
      </w:r>
      <w:r>
        <w:rPr>
          <w:rFonts w:hAnsi="宋体" w:eastAsia="宋体" w:cs="宋体"/>
          <w:color w:val="auto"/>
          <w:sz w:val="21"/>
          <w:szCs w:val="21"/>
          <w:highlight w:val="none"/>
          <w:lang w:val="zh-CN"/>
        </w:rPr>
        <w:t>⑥</w:t>
      </w:r>
      <w:r>
        <w:rPr>
          <w:rFonts w:hAnsi="宋体" w:eastAsia="宋体" w:cs="宋体"/>
          <w:color w:val="auto"/>
          <w:sz w:val="21"/>
          <w:szCs w:val="21"/>
          <w:highlight w:val="none"/>
        </w:rPr>
        <w:fldChar w:fldCharType="end"/>
      </w:r>
      <w:r>
        <w:rPr>
          <w:rFonts w:hAnsi="宋体" w:eastAsia="宋体" w:cs="宋体"/>
          <w:color w:val="auto"/>
          <w:sz w:val="21"/>
          <w:szCs w:val="21"/>
          <w:highlight w:val="none"/>
        </w:rPr>
        <w:t>红线范围内必须落实雨污分流，生活污水须经过化粪池处理后接入市政管网排放。</w:t>
      </w:r>
    </w:p>
    <w:p w14:paraId="27E2D274">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由于承包人原因导致的投诉、索赔、指控，由承包人承担全部责任，同时造成工期延误的，发包人将按照合同条款相关约定进行索赔。</w:t>
      </w:r>
    </w:p>
    <w:p w14:paraId="2749F825">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以上须采取的所有措施费用及相关的费用已含在合同价中。</w:t>
      </w:r>
    </w:p>
    <w:p w14:paraId="6D8BD989">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第三、承包人须按建设主管部门的相关规定，在工地安装视频监控系统，覆盖全场，保证正常使用。采取相应保卫措施防止出现财、物被盗行为，相关费用已包括在安全文明施工措施费中，发包人不再另行支付此类费用。</w:t>
      </w:r>
    </w:p>
    <w:p w14:paraId="642878CB">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5.7.2已完工程及设备保护费</w:t>
      </w:r>
    </w:p>
    <w:p w14:paraId="07AC783C">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sz w:val="21"/>
          <w:szCs w:val="21"/>
          <w:highlight w:val="none"/>
        </w:rPr>
        <w:t>①承包人应充分考虑本工程的</w:t>
      </w:r>
      <w:r>
        <w:rPr>
          <w:rFonts w:hAnsi="宋体" w:eastAsia="宋体" w:cs="宋体"/>
          <w:color w:val="auto"/>
          <w:kern w:val="0"/>
          <w:sz w:val="21"/>
          <w:szCs w:val="21"/>
          <w:highlight w:val="none"/>
        </w:rPr>
        <w:t>已完工程及设备保护，其费用已包含在合同价内，结算不再调整；</w:t>
      </w:r>
    </w:p>
    <w:p w14:paraId="74211953">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②承包人应充分考虑施工影响范围内的地上、地下设施，建筑物的临时保护等措施，</w:t>
      </w:r>
      <w:r>
        <w:rPr>
          <w:rFonts w:hAnsi="宋体" w:eastAsia="宋体" w:cs="宋体"/>
          <w:color w:val="auto"/>
          <w:kern w:val="0"/>
          <w:sz w:val="21"/>
          <w:szCs w:val="21"/>
          <w:highlight w:val="none"/>
        </w:rPr>
        <w:t>以及</w:t>
      </w:r>
      <w:r>
        <w:rPr>
          <w:rFonts w:hAnsi="宋体" w:eastAsia="宋体" w:cs="宋体"/>
          <w:color w:val="auto"/>
          <w:sz w:val="21"/>
          <w:szCs w:val="21"/>
          <w:highlight w:val="none"/>
        </w:rPr>
        <w:t>对周围建筑物、周围道路管线的沉降和位移按照施工规范进行质量、安全性检查，对于现场及周边临近的可能发生的危险情况及时向监理工程师或主管部门报告，在施工现场根据相关要求准备应急物资并及时采取有效措施，保护费用已包含在合同价中，结算时不再调整。</w:t>
      </w:r>
    </w:p>
    <w:p w14:paraId="4EF75037">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5.7.3施工降排水</w:t>
      </w:r>
    </w:p>
    <w:p w14:paraId="65AD3886">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sz w:val="21"/>
          <w:szCs w:val="21"/>
          <w:highlight w:val="none"/>
        </w:rPr>
        <w:t>承包人应按照地质报告、设计图纸要求、降水水位要求、现场实际和工程经验等对降排水进行深化设计、维护和加固，其深化应经过设计单位的审批、监理工程师和发包人的同意，施工降排水应包括设计、施工、加固、维护直至竣工的全部施工和抽排水工作，同时</w:t>
      </w:r>
      <w:r>
        <w:rPr>
          <w:rFonts w:hAnsi="宋体" w:eastAsia="宋体" w:cs="宋体"/>
          <w:color w:val="auto"/>
          <w:kern w:val="0"/>
          <w:sz w:val="21"/>
          <w:szCs w:val="21"/>
          <w:highlight w:val="none"/>
        </w:rPr>
        <w:t>保证护栏的安全性。</w:t>
      </w:r>
    </w:p>
    <w:p w14:paraId="4AC34C9D">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 xml:space="preserve">本工程施工期间地表及地下水采用有组织的排放，尤其是主体结构工程施工期间，应确保满足低于设计抗浮水位要求并满足防水工程需要，采取的施工排水、降水应确保周边建（构）筑物的安全等有效措施。 </w:t>
      </w:r>
    </w:p>
    <w:p w14:paraId="6F0B7D66">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承包人应综合考虑施工期间除不可抗力原因外的气候条件造成的现场工程量的增加及其它风险（如发包人提供的地质报告等相关资料可能存在与实际不符）。</w:t>
      </w:r>
    </w:p>
    <w:p w14:paraId="2C4DA16A">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雨季施工随时与气象部门保持联系，在大雨、台风到来之前按有关主管部门规定的防洪防汛应急措施等。</w:t>
      </w:r>
    </w:p>
    <w:p w14:paraId="33179C53">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以上有关费用已含在合同价中，结算不作调整。</w:t>
      </w:r>
    </w:p>
    <w:p w14:paraId="4FE77799">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5.7.4水土保持</w:t>
      </w:r>
    </w:p>
    <w:p w14:paraId="06F57E96">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承包人必须按照水土保持方案以及监理和检测单位的要求，采取设置排水沟、排洪沟、沉砂池、砂袋、植草等水土保持和防洪排涝措施，优化挖方填方，对土石方合理利用；对已完工土石方工程裸露表面，及时采取防护措施、严格控制水土流失，实现水土流失防治目标；及时做好排水导流工作，使地表径流和工程用水经沉砂池沉降后方可排放，沉砂池要定期清理，减轻水流对裸露地表的冲刷，防止泥砂流出对周边区域造成危害；临时堆土要全面覆盖，减少粉尘及雨水冲刷，堆土清理后或其他裸露地要采取恢复植被或其他防止水土流失措施。</w:t>
      </w:r>
    </w:p>
    <w:p w14:paraId="78C1EAA5">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5.7.5施工用水、用电等</w:t>
      </w:r>
    </w:p>
    <w:p w14:paraId="2D670E20">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（1）承包人根据现场条件和工程情况，接通生活和生产区场内外的给水、排水、施工用电、通讯等工作，</w:t>
      </w:r>
      <w:r>
        <w:rPr>
          <w:rFonts w:hAnsi="宋体" w:eastAsia="宋体" w:cs="宋体"/>
          <w:snapToGrid w:val="0"/>
          <w:color w:val="auto"/>
          <w:kern w:val="0"/>
          <w:sz w:val="21"/>
          <w:szCs w:val="21"/>
          <w:highlight w:val="none"/>
        </w:rPr>
        <w:t>同时承包人应自备充足的发电机，确保施工过程中的水、电安全稳定供应，结算费用不作调整。</w:t>
      </w:r>
    </w:p>
    <w:p w14:paraId="531B24C1">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（2）所有施工范围内涉及的清理、外运全部拆除物与垃圾，以及场地平整。</w:t>
      </w:r>
    </w:p>
    <w:p w14:paraId="060B02EC">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（3）为建设单位、监理单位提供施工现场临时办公用房和办公必须品，并开通通讯线路。</w:t>
      </w:r>
    </w:p>
    <w:p w14:paraId="20B4EA4F">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（4）合同工期和顺延工期内临时用地（含占道）、房屋租赁的手续费和租金。</w:t>
      </w:r>
    </w:p>
    <w:p w14:paraId="09F3030A">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承包人在投标报价时应充分考虑施工场地现状与地形图不符的风险，谨慎报价，该部分报价为包干费用，承包人不得以任何理由提出增加费用。</w:t>
      </w:r>
    </w:p>
    <w:p w14:paraId="1D67CC88">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5.7.6与其他工程的衔接、管理与配合费</w:t>
      </w:r>
    </w:p>
    <w:p w14:paraId="2B13E685">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由承包人负责工程衔接各专业工程进度安排、施工现场管理协调等工作。对安全、文明、施工、运输、仓储、住宿统筹管理；确定合理的工序和进度计划、安排作业面与通道、提供场地；工程完工后的整体调试、验收和竣工资料整理；按专业设计图纸要求配合做好埋件、预留洞、预埋管等工作；提供脚手架供专业承包人使用；提供照明、临时水电等设施。其费用在对其他工程的衔接、管理和配合费用中报价，结算不做调整。</w:t>
      </w:r>
    </w:p>
    <w:p w14:paraId="5AB8601B">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5.7.7因承包人原因而引起的罚款、索赔和指控等责任由承包人自行承担。</w:t>
      </w:r>
    </w:p>
    <w:p w14:paraId="6B9AA74D">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5.7.8工程完工后需要恢复的建筑物、构筑物，承包人必须及时恢复，并使监理工程师和发包人满意，满足政府管理部门的规定和要求。</w:t>
      </w:r>
    </w:p>
    <w:p w14:paraId="39536084">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5.7.9承包人必须按有关法规、标准、规定或发包人的合理要求实施有关措施项目，若以上设施或措施达不到要求，工程师发出指令后，承包人应按照要求予以整改，其费用由承包人承担。承包人拒绝整改的，发包人有权要求承包人支付违约金50万元，并将其列入履约考评不良记录，同时发包人有权委托第三方实施，所有费用由承包人承担。由于承包人原因导致的投诉、索赔、指控，由承包人承担全部责任，同时造成工期延误的，发包人将按照合同条款相关约定进行索赔。</w:t>
      </w:r>
    </w:p>
    <w:p w14:paraId="4ABFB435">
      <w:pPr>
        <w:spacing w:line="420" w:lineRule="exact"/>
        <w:ind w:firstLine="422" w:firstLineChars="200"/>
        <w:rPr>
          <w:rFonts w:hint="default" w:hAnsi="宋体" w:eastAsia="宋体" w:cs="宋体"/>
          <w:b/>
          <w:color w:val="auto"/>
          <w:sz w:val="21"/>
          <w:szCs w:val="21"/>
          <w:highlight w:val="none"/>
        </w:rPr>
      </w:pPr>
      <w:r>
        <w:rPr>
          <w:rFonts w:hAnsi="宋体" w:eastAsia="宋体" w:cs="宋体"/>
          <w:b/>
          <w:color w:val="auto"/>
          <w:sz w:val="21"/>
          <w:szCs w:val="21"/>
          <w:highlight w:val="none"/>
        </w:rPr>
        <w:t>5.7.10承包人必须按照《建设工程安全生产管理条例》和《危险性较大的分部分项工程安全管理办法》进行施工，应按有关规定提供相应的防护措施且在施工前编制危险性较大分部分项工程的专项施工方案，有关费用已含在合同价中。因承包人原因，导致的安全事故，由承包人承担相应责任及发生的费用。</w:t>
      </w:r>
    </w:p>
    <w:p w14:paraId="0815A580">
      <w:pPr>
        <w:spacing w:line="420" w:lineRule="exact"/>
        <w:ind w:firstLine="420" w:firstLineChars="200"/>
        <w:rPr>
          <w:rFonts w:hint="default" w:hAnsi="宋体" w:eastAsia="宋体" w:cs="宋体"/>
          <w:b/>
          <w:bCs/>
          <w:color w:val="auto"/>
          <w:sz w:val="21"/>
          <w:szCs w:val="21"/>
          <w:highlight w:val="none"/>
        </w:rPr>
      </w:pPr>
      <w:r>
        <w:rPr>
          <w:rFonts w:hAnsi="宋体" w:eastAsia="宋体" w:cs="宋体"/>
          <w:color w:val="auto"/>
          <w:sz w:val="21"/>
          <w:szCs w:val="21"/>
          <w:highlight w:val="none"/>
        </w:rPr>
        <w:t>5.7.11承包人必须严格按照相关规定和安全规范等，以及设计图纸，结合实际情况对施工作业面进行处理，以保证各施工机械有效支撑，确保其施工安全和正常使用。任何对支护的修改必须经设计单位、发包人和监理工程师同意，方可实施，同时承包人必须对周边建筑物、周边道路管线的沉降和位移进行巡查和跟踪，如因承包人的措施无法满足施工安全、正常施工的要求，有关的责任、损失、补救费用全部由承包人自行承担。</w:t>
      </w:r>
    </w:p>
    <w:p w14:paraId="54422EE3">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5.7.12根据广东省、韶关市、南雄市建设主管部门的相关文件规定，承包人须在工程施工现场安装使用视频监控系统、工人实名制系统并接入至南雄市住建主管部门建筑工地视频监控专网及发包人视频监控系统。</w:t>
      </w:r>
    </w:p>
    <w:p w14:paraId="49BDDDB7">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以上措施项目有关费用已含在合同价中，结算不作调整。</w:t>
      </w:r>
    </w:p>
    <w:p w14:paraId="20B6569B">
      <w:pPr>
        <w:adjustRightInd w:val="0"/>
        <w:snapToGrid w:val="0"/>
        <w:spacing w:line="420" w:lineRule="exact"/>
        <w:ind w:firstLine="422" w:firstLineChars="200"/>
        <w:rPr>
          <w:rFonts w:hint="default" w:hAnsi="宋体" w:eastAsia="宋体" w:cs="宋体"/>
          <w:b/>
          <w:bCs/>
          <w:color w:val="auto"/>
          <w:sz w:val="21"/>
          <w:szCs w:val="21"/>
          <w:highlight w:val="none"/>
        </w:rPr>
      </w:pPr>
      <w:r>
        <w:rPr>
          <w:rFonts w:hAnsi="宋体" w:eastAsia="宋体" w:cs="宋体"/>
          <w:b/>
          <w:bCs/>
          <w:color w:val="auto"/>
          <w:sz w:val="21"/>
          <w:szCs w:val="21"/>
          <w:highlight w:val="none"/>
        </w:rPr>
        <w:t>5.8 解除合同后续工程的补充约定</w:t>
      </w:r>
    </w:p>
    <w:p w14:paraId="436A38EE">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5.8.1发包人向承包人发出解除或部分解除合同通知到达后，本合同即解除或部分解除，承包人必须在3日内停止施工，5日内将现场施工材料设备、工程用机具设备和人员等撤出施工场地，完成现场和有关资料的移交，并于完成交接工作当日内离场。承包人应保护好已完工程、已购设备材料，保证所移交的资料齐全完整。承包人无特殊原因未在规定期限内移交、离场或移交完整资料，发包人有权处理其留在现场的材料、设备和其他物件，处理费用由承包人承担。</w:t>
      </w:r>
    </w:p>
    <w:p w14:paraId="11C8C8DA">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对于部分解除合同的情形，承包人拒不履行配合，发包人有权全部解除合同，如果引致发包人工期延误和其他方面的损失，发包人将要求承包人赔偿有关损失。发包人在发出解除合同的通知后，发包人即可清理现场、委托重新招标或委托新的承包人承接该工程。同时，承包人不得影响或阻碍新的承包人办理进场手续和相关工作。</w:t>
      </w:r>
    </w:p>
    <w:p w14:paraId="3AF7C99A">
      <w:pPr>
        <w:spacing w:line="420" w:lineRule="exact"/>
        <w:ind w:left="-2" w:leftChars="-1" w:firstLine="371" w:firstLineChars="177"/>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5.8.2由于承包人原因导致的合同解除或部分合同解除，承包人已经订货的材料、设备，以及已进场尚未安装的材料设备均由承包人负责退货或解除订货合同，不能退还的货款、定金、订金，因退货和解除订货合同发生的费用以及因无法退货造成的损失均由承包人承担，发包人不予补偿。</w:t>
      </w:r>
    </w:p>
    <w:p w14:paraId="6B7B6D24">
      <w:pPr>
        <w:spacing w:line="420" w:lineRule="exact"/>
        <w:ind w:left="-2" w:leftChars="-1" w:firstLine="371" w:firstLineChars="177"/>
        <w:rPr>
          <w:rFonts w:hint="default" w:hAnsi="宋体" w:eastAsia="宋体" w:cs="宋体"/>
          <w:color w:val="auto"/>
          <w:kern w:val="0"/>
          <w:sz w:val="21"/>
          <w:szCs w:val="21"/>
          <w:highlight w:val="none"/>
        </w:rPr>
      </w:pPr>
      <w:r>
        <w:rPr>
          <w:rFonts w:hAnsi="宋体" w:eastAsia="宋体" w:cs="宋体"/>
          <w:color w:val="auto"/>
          <w:sz w:val="21"/>
          <w:szCs w:val="21"/>
          <w:highlight w:val="none"/>
        </w:rPr>
        <w:t>承包人没有正当合理的理由中途退场，除扣除合同价款20％作为履约违约金外，承包人还须承当因其无故中途退场所造成的全部损失责任。</w:t>
      </w:r>
    </w:p>
    <w:p w14:paraId="141BD352">
      <w:pPr>
        <w:spacing w:line="420" w:lineRule="exact"/>
        <w:ind w:left="-2" w:leftChars="-1" w:firstLine="371" w:firstLineChars="177"/>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5.8.3非承包人原因导致的合同解除或部分合同解除，承包人已经签订订货合同，但尚未进场的材料、设备；或虽已进场但发包人或监理工程师验货不合格的，解除订货合同或退货发生的费用以及因无法退货造成的损失均由承包人承担，发包人不予补偿。</w:t>
      </w:r>
    </w:p>
    <w:p w14:paraId="59A67266">
      <w:pPr>
        <w:spacing w:line="420" w:lineRule="exact"/>
        <w:ind w:left="-2" w:leftChars="-1" w:firstLine="371" w:firstLineChars="177"/>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经发包人或监理工程验货、签收，且已进场的材料设备但尚未安装的材料设备，费用由发包人承担。数量按发包人、监理工程师审核确认的数量；原投标设备材料表中已列明单价，单价按投标报价计算，原投标设备材料表中未列明单价的，按预算审定价中的材料设备价*（1－下浮率）计算。</w:t>
      </w:r>
    </w:p>
    <w:p w14:paraId="74E05F4A">
      <w:pPr>
        <w:spacing w:line="420" w:lineRule="exact"/>
        <w:ind w:left="-2" w:leftChars="-1" w:firstLine="371" w:firstLineChars="177"/>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5.8.4承包人的已完工程结算时间由发包人确定。按本合同结算条款约定办理结算，同时必须按合同约定扣除违约金、赔偿金。</w:t>
      </w:r>
    </w:p>
    <w:p w14:paraId="5A836CE4">
      <w:pPr>
        <w:spacing w:line="420" w:lineRule="exact"/>
        <w:ind w:left="-2" w:leftChars="-1" w:firstLine="371" w:firstLineChars="177"/>
        <w:rPr>
          <w:rFonts w:hint="default" w:hAnsi="宋体" w:eastAsia="宋体" w:cs="宋体"/>
          <w:color w:val="auto"/>
          <w:sz w:val="21"/>
          <w:szCs w:val="21"/>
          <w:highlight w:val="none"/>
        </w:rPr>
      </w:pPr>
      <w:r>
        <w:rPr>
          <w:rFonts w:hAnsi="宋体" w:eastAsia="宋体" w:cs="宋体"/>
          <w:color w:val="auto"/>
          <w:kern w:val="0"/>
          <w:sz w:val="21"/>
          <w:szCs w:val="21"/>
          <w:highlight w:val="none"/>
        </w:rPr>
        <w:t>5.8.5因承包人原因导致解除合同，发包人所遭受的一切损失，由承包人承担全部赔偿责任。</w:t>
      </w:r>
    </w:p>
    <w:p w14:paraId="273043AB">
      <w:pPr>
        <w:adjustRightInd w:val="0"/>
        <w:snapToGrid w:val="0"/>
        <w:spacing w:line="420" w:lineRule="exact"/>
        <w:ind w:firstLine="422" w:firstLineChars="200"/>
        <w:rPr>
          <w:rFonts w:hint="default" w:hAnsi="宋体" w:eastAsia="宋体" w:cs="宋体"/>
          <w:b/>
          <w:bCs/>
          <w:color w:val="auto"/>
          <w:sz w:val="21"/>
          <w:szCs w:val="21"/>
          <w:highlight w:val="none"/>
        </w:rPr>
      </w:pPr>
      <w:r>
        <w:rPr>
          <w:rFonts w:hAnsi="宋体" w:eastAsia="宋体" w:cs="宋体"/>
          <w:b/>
          <w:bCs/>
          <w:color w:val="auto"/>
          <w:sz w:val="21"/>
          <w:szCs w:val="21"/>
          <w:highlight w:val="none"/>
        </w:rPr>
        <w:t>5.9承包人违约责任追究补充细则</w:t>
      </w:r>
    </w:p>
    <w:p w14:paraId="2D49BF8F">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5.9.1工程质量达不到合同约定的质量标准承包人违约责任：如未达到合格标准，除则按合同价款的</w:t>
      </w:r>
      <w:r>
        <w:rPr>
          <w:rFonts w:hAnsi="宋体" w:eastAsia="宋体" w:cs="宋体"/>
          <w:color w:val="auto"/>
          <w:sz w:val="21"/>
          <w:szCs w:val="21"/>
          <w:highlight w:val="none"/>
          <w:u w:val="single"/>
        </w:rPr>
        <w:t xml:space="preserve"> 1 </w:t>
      </w:r>
      <w:r>
        <w:rPr>
          <w:rFonts w:hAnsi="宋体" w:eastAsia="宋体" w:cs="宋体"/>
          <w:color w:val="auto"/>
          <w:sz w:val="21"/>
          <w:szCs w:val="21"/>
          <w:highlight w:val="none"/>
        </w:rPr>
        <w:t>%向发包人返纳质量违约金外，发包人有权利选择以下方式返工或修复，承包人不得异议：</w:t>
      </w:r>
    </w:p>
    <w:p w14:paraId="06689350">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（1）发包人要求承包人在监理工程师和发包人要求的合理时间内，完成质量不合格工程的返工或修复工作，直至合同约定的质量标准，由此造成的工期延误和所有费用，全部由承包人承担；</w:t>
      </w:r>
    </w:p>
    <w:p w14:paraId="4EE893FC">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（2）发包人直接委托其它承包人完成质量不合格部分工程的返工或修复工作，由此造成的工期延误和所有费用，全部由承包人承担。</w:t>
      </w:r>
    </w:p>
    <w:p w14:paraId="632DE57B">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（3）无论采取以上何种方式返工或修复，发包人均有权提请建设行政主管部门对其作不良行为记录，有权给予承包人履约评价为不合格，同时发包人有权拒绝承包人3年内参加发包人其它工程的投标。</w:t>
      </w:r>
    </w:p>
    <w:p w14:paraId="49CCCB90">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5.9.2承包人违反本合同的约定，应当按约定向发包人承担相应的违约责任。本合同违约责任形式按以下情况分类：</w:t>
      </w:r>
    </w:p>
    <w:p w14:paraId="7343493E">
      <w:pPr>
        <w:adjustRightInd w:val="0"/>
        <w:snapToGrid w:val="0"/>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（1） 限期改正。承包人未履行或未按时履行或未按质履行义务时，发包人有权提出书面警告，承包人必须在发包人限定的时间内履行义务。每一次书面警告扣除违约金人民币壹仟元（￥1000）。</w:t>
      </w:r>
    </w:p>
    <w:p w14:paraId="24A8AB1E">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（2）一般违约责任。承包人按本合同约定应当承担一般违约责任时，在发包人提出书面警告或通知后扣除违约金人民币伍仟元（￥5000）/次。合同另有约定的除外。</w:t>
      </w:r>
    </w:p>
    <w:p w14:paraId="64A4D160">
      <w:pPr>
        <w:adjustRightInd w:val="0"/>
        <w:snapToGrid w:val="0"/>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（3）严重违约责任。承包人按本合同约定应当承担严重违约责任时，在发包人提出书面警告或通知后扣除违约金伍万元（￥50000）/次。合同另有约定的除外。</w:t>
      </w:r>
    </w:p>
    <w:p w14:paraId="2F943B02">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（4）部分解除合同。三次受到发包人书面警告，发包人有权直接解除合同或部分解除合同，按承包人违约解除合同的条款执行。</w:t>
      </w:r>
    </w:p>
    <w:p w14:paraId="038A1BBB">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5.9.3三次限期改正责任相当于一次一般违约责任，三次一般违约责任相当于一次严重违约责任；累计三次严重违约责任，发包人有权单方部分解除合同；累计五次严重违约责任，发包人有权全部解除合同。合同另有约定的除外。</w:t>
      </w:r>
    </w:p>
    <w:p w14:paraId="3374C538">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5.9.4承包人未按合同要求建立组织架构、派驻项目管理人员和投入设备，承包人必须按发包人要求限期整改，并承担相应违约责任。具体约定为：</w:t>
      </w:r>
    </w:p>
    <w:p w14:paraId="0AAFEFFC">
      <w:pPr>
        <w:adjustRightInd w:val="0"/>
        <w:snapToGrid w:val="0"/>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1）在中标通知书发出后3日内，承包人承诺的项目技术负责人（总工）不到位，或到位后又离开，造成该岗位空缺。发包人一旦发现，将要求承包人做出书面解释并保证限期到位，同时将承担一般违约责任1次；若承包人拒不配合，未在发包人提出限期改正的期限内进行整改的，应承担严重违约责任1次，发包人有权单方提出解除合同，并要求承包人承担由此造成的一切损失。</w:t>
      </w:r>
    </w:p>
    <w:p w14:paraId="31B7786E">
      <w:pPr>
        <w:adjustRightInd w:val="0"/>
        <w:snapToGrid w:val="0"/>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2）在规定的时间内施工人员和设备进场后3日内，承包人在投标文件中承诺的其他主要管理人员未能足额到位，或到位后又离开，造成该岗位空缺，以及未按承诺依时、足额投入有关设备，发包人一旦发现将要求承包人做出书面解释并保证人员、设备限期到位。上述情况每发生1次，承包人应承担限期改正责任1次。如果承包人拒不配合，未在发包人提出限期改正的期限内进行整改的，承包人应承担一般违约责任1次，连续二次书面通知整改拒不配合的，承包人应承担严重违约责任1次。</w:t>
      </w:r>
    </w:p>
    <w:p w14:paraId="30FFF75A">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5.9.5承包人如需要调换除项目经理外的其他主要管理人员，必须事先征得发包人书面同意。如承包人未经发包人书面同意，擅自调换项目主要管理人员，除必须限期改正外，承包人必须承担严重违约责任，发包人有权暂停支付工程款，并保留索赔的权利。</w:t>
      </w:r>
    </w:p>
    <w:p w14:paraId="67736077">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5.9.6除项目经理外的其他主要管理人员需离开施工现场3日以上（含3日）需报发包人批准。在其请假离开的时间段内应书面委托其他驻场管理人员全权代表其行使相应职权。否则，每违约一次，承包人应当承担限期整改责任1次。在国家法定节假日期间，承包人应做好管理人员的轮休，并保证现场管理人员不少于3名。在工程实施期间，承包人应对现场主要管理人员进行考勤，并在每月1日前将前一月考勤表报送甲方审核。现场主要管理人员出勤天数均不得少于22天，若少于22天将按每缺勤一天扣减工程费用叁仟元（￥3000）/每人次处理。</w:t>
      </w:r>
    </w:p>
    <w:p w14:paraId="78B4E5BF">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5.9.7承包人项目经理和主要管理人员的考勤实行实名制打卡，承包人项目经理和主要管理人员的考勤若发现有弄虚作假行为，发现一次，承包人应承担一般违约责任1次。</w:t>
      </w:r>
    </w:p>
    <w:p w14:paraId="3B089707">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5.9.8对于难以胜任工作的承包人管理人员和主要操作技术人员，发包人有权要求承包人进行更换，直至发包人满意为止，且更换人员应在接到书面通知后的3天内到位。</w:t>
      </w:r>
    </w:p>
    <w:p w14:paraId="622CA11D">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5.9.9承包人未按招标文件及合同要求按期提交发包人工程指挥部所需要的各项设施，应承担限期整改责任1次，若限期整改仍不提交，应承担一般违约责任1次，发包人有权自行安排临时设施的建设，所有费用由承包人工程费用中扣减。</w:t>
      </w:r>
    </w:p>
    <w:p w14:paraId="7F176A7E">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5.9.10承包人未按合同及投标书所作的承诺投入机械、设备、材料等，被监理工程师或发包人发现后，承包人除必须限期改正外，应承担限期改正责任1次。</w:t>
      </w:r>
    </w:p>
    <w:p w14:paraId="6C664F62">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5.9.11工程承包人每次的进场材料，若出现不合格材料使用于工程上并造成质量缺陷，承包人必须承担一般违约责任1次。若出现质量事故或经济损失一次人民币壹拾万元（￥100,000）以上的，必须承担严重违约责任1次。造成重大质量安全事故（按国家安监部门规定界定），发包人视情况部分或全部解除合同。同时，发包人有权追究当事人和承包人的法律责任。</w:t>
      </w:r>
    </w:p>
    <w:p w14:paraId="57F96BBB">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5.9.12承包人的工程质量，经监理工程师、发包人或工程质量监督机构抽查，发现质量有不合格、或未按设计要求和有关规范进行施工的，每发现一处承包人应承担一般违约责任1次；出现大面积质量不合格（占比达30％及以上），每发现一处承包人应承担严重违约责任1次，发包人将情况通报纪检监察和建设行政主管部门，必要时申请调查责任相关人员，且承包人应赔偿发包人的经济损失。</w:t>
      </w:r>
    </w:p>
    <w:p w14:paraId="7EBAEA4B">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5.9.13承包人没有按投标承诺和有关规定做好文明施工措施及安全生产，当发生包括但不限于以下情况：工人不统一着装、施工临时材料如脚手架、泥网等过于陈旧、现场垃圾未安排专人清理、现场排水不畅污水横流、交通组织不力现场交通严重拥挤、材料设备堆放混乱、安全防护不符合要求、既有管线被破坏、野蛮施工造成周边环境破坏及警示安全标志不齐等，被监理工程师、发包人发现后，承包人除必须限期改正外， 每发生一次（或一处），承包人必须承担限期改正责任1次。由此而被上级主管部门通报批评、被新闻媒体曝光的，承包人应承担一般违约责任1次；若由此发生安全生产事故，承包人应承担严重违约责任1次；造成严重安全事故等情节严重的，发包人有权部分或全部解除合同。</w:t>
      </w:r>
    </w:p>
    <w:p w14:paraId="274268F7">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5.9.14因承包人原因造成工程投资增加的，承包人应赔偿发包人由此遭受的实际损失，情况严重时发包人有权单方解除本施工合同。</w:t>
      </w:r>
    </w:p>
    <w:p w14:paraId="22E24563">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若因承包人未按设计规定和施工技术规程要求认真做好施工现场的临时降水、排水（尤其是雨季施工期间）工作导致需要进行地基处理、边坡加固等情况时，每发生一处承包人应负严重违约责任1次，由此造成的工程投资增加由承包人承担。</w:t>
      </w:r>
    </w:p>
    <w:p w14:paraId="138FF31D">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（2）若承包人未严格按施工进度计划要求组织施工造成工期拖延，导致一些工程项目被迫进入雨季施工而引起投资增加的，承包人应承担严重违约责任1次，由此造成的投资增加由承包人负责。</w:t>
      </w:r>
    </w:p>
    <w:p w14:paraId="28C33F24">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（3）承包人未经监理工程师、发包人同意擅自改变施工技术方案和工艺，造成投资增加的，应承担严重违约责任1次，由此造成的投资增加由承包人负责。</w:t>
      </w:r>
    </w:p>
    <w:p w14:paraId="30033B92">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4）承包人未拟定临时设施方案并经监理工程师、发包人审批同意擅自实施临时设施建设，若此临时设施建设经核实无法达到合同规定的要求，承包人应承担限期整改责任1次，若承包人拒绝限期整改应当承担一般违约责任1次，同时发包人有权按实际发生重新核定安全文明施工措施费。</w:t>
      </w:r>
    </w:p>
    <w:p w14:paraId="66ABFB3B">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（5）承包人提供虚假情况或制造现场假象造成设计变更及投资增加时，经监理公司、发包人发现，承包人应承担严重违约责任1次，造成的投资增加由承包人承担。 </w:t>
      </w:r>
    </w:p>
    <w:p w14:paraId="2E9DC0EC">
      <w:pPr>
        <w:adjustRightInd w:val="0"/>
        <w:snapToGrid w:val="0"/>
        <w:spacing w:line="420" w:lineRule="exact"/>
        <w:ind w:firstLine="422" w:firstLineChars="200"/>
        <w:rPr>
          <w:rFonts w:hint="default" w:hAnsi="宋体" w:eastAsia="宋体" w:cs="宋体"/>
          <w:color w:val="auto"/>
          <w:sz w:val="21"/>
          <w:szCs w:val="21"/>
          <w:highlight w:val="none"/>
        </w:rPr>
      </w:pPr>
      <w:r>
        <w:rPr>
          <w:rFonts w:hAnsi="宋体" w:eastAsia="宋体" w:cs="宋体"/>
          <w:b/>
          <w:bCs/>
          <w:color w:val="auto"/>
          <w:sz w:val="21"/>
          <w:szCs w:val="21"/>
          <w:highlight w:val="none"/>
        </w:rPr>
        <w:t>5.10、</w:t>
      </w:r>
      <w:r>
        <w:rPr>
          <w:rFonts w:hAnsi="宋体" w:eastAsia="宋体" w:cs="宋体"/>
          <w:color w:val="auto"/>
          <w:sz w:val="21"/>
          <w:szCs w:val="21"/>
          <w:highlight w:val="none"/>
        </w:rPr>
        <w:t>发包人将根据承包人的投标文件，严格考核施工项目管理人员的日常到位情况，并定期按照发包人的合同履约评价管理办法、质量安全评估管理办法对承包人的合同履行情况进行评价和评估，评价和评估内容包含人员到位情况、服务配合程度、工程质量、安全、项目后期服务及信用评价结果、评估结果的运用等。履约评价为不合格的，发包人有权拒绝承包人3年内参加发包人任何其它工程的投标，有权报请建设行政主管部门对其作不良行为记录。</w:t>
      </w:r>
    </w:p>
    <w:p w14:paraId="1C4D3D0F">
      <w:pPr>
        <w:spacing w:line="420" w:lineRule="exact"/>
        <w:rPr>
          <w:rFonts w:hint="default" w:hAnsi="宋体" w:eastAsia="宋体" w:cs="宋体"/>
          <w:color w:val="auto"/>
          <w:sz w:val="21"/>
          <w:szCs w:val="21"/>
          <w:highlight w:val="none"/>
        </w:rPr>
      </w:pPr>
      <w:r>
        <w:rPr>
          <w:rFonts w:hAnsi="宋体" w:eastAsia="宋体" w:cs="宋体"/>
          <w:b/>
          <w:bCs/>
          <w:color w:val="auto"/>
          <w:sz w:val="21"/>
          <w:szCs w:val="21"/>
          <w:highlight w:val="none"/>
        </w:rPr>
        <w:t xml:space="preserve"> 5.11 承包人提供竣工资料的约定：</w:t>
      </w:r>
    </w:p>
    <w:p w14:paraId="39042D8B">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本工程具备竣工验收条件后14天内，承包人按国家建设部、广东省及南雄市的有关规定和发包人的要求编制工程竣工资料（包括施工原始记录、照片等资料），向工程师提供完整竣工验收资料8套、竣工验收报告和相应的声像、电子文件，并由承包人及时向主管部门和监督部门备案。工程师收到竣工验收资料后，应在10天内审核，若不符合要求，工程师可提出整改意见。承包人按要求整改合格后报工程师，工程师在整改验收合格后10天内应组织有关单位进行初步验收，并在10天内对工程质量予以认可或提出再次整改意见。承包人按要求再次整改，并承担由其自身原因造成的整改费用。编制竣工图、竣工资料的费用已含在合同价中。</w:t>
      </w:r>
    </w:p>
    <w:p w14:paraId="17ED2CF5">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竣工验收资料包括全部工程（包括项目单位发包项目及其他分包工程）的竣工图纸和竣工资料，以及经确认的深化设计图纸和技术资料。各类分包工程的竣工资料均由承包人负责编制、指导、审阅、汇总、整理、归档，费用由本合同承包人自行承担。    </w:t>
      </w:r>
    </w:p>
    <w:p w14:paraId="7DF98CC3">
      <w:pPr>
        <w:spacing w:line="420" w:lineRule="exact"/>
        <w:ind w:firstLine="422" w:firstLineChars="200"/>
        <w:rPr>
          <w:rFonts w:hint="default" w:hAnsi="宋体" w:eastAsia="宋体" w:cs="宋体"/>
          <w:b/>
          <w:bCs/>
          <w:color w:val="auto"/>
          <w:sz w:val="21"/>
          <w:szCs w:val="21"/>
          <w:highlight w:val="none"/>
        </w:rPr>
      </w:pPr>
      <w:r>
        <w:rPr>
          <w:rFonts w:hAnsi="宋体" w:eastAsia="宋体" w:cs="宋体"/>
          <w:b/>
          <w:bCs/>
          <w:color w:val="auto"/>
          <w:sz w:val="21"/>
          <w:szCs w:val="21"/>
          <w:highlight w:val="none"/>
        </w:rPr>
        <w:t>5.12工程移交及档案管理</w:t>
      </w:r>
    </w:p>
    <w:p w14:paraId="0D0FF1FF">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5.12.1工程完工后，承包人必须及时按城建相关档案管理规定整理及移交竣工档案，承包人办理工程结算需提交相关工程档案移交签字单，否则结算不予办理。</w:t>
      </w:r>
    </w:p>
    <w:p w14:paraId="30AEE4BD">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5.12.2工程竣工验收合格后承包人必须将成品移交给发包人指定的接管单位。在移交工作完成前，现场所有安全及成品保护责任和费用由承包人承担。</w:t>
      </w:r>
    </w:p>
    <w:p w14:paraId="1BBB1710">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5.12.3在向发包人指定的接管单位移交钥匙的同时提供下列清单：</w:t>
      </w:r>
    </w:p>
    <w:p w14:paraId="65F10DD8">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①办理钥匙移交清单（如有）；</w:t>
      </w:r>
    </w:p>
    <w:p w14:paraId="4C4916B3">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②双方抄好水表电表底数；</w:t>
      </w:r>
    </w:p>
    <w:p w14:paraId="79CF14FA">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③列出详细的设备、物件移交清单，标明名称、数量、外观、状态等基本资料</w:t>
      </w:r>
    </w:p>
    <w:p w14:paraId="440C727A">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5.12.4按国家、省市和建设主管部门的相关规定应当移交的其他资料。</w:t>
      </w:r>
    </w:p>
    <w:p w14:paraId="30CBE110">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5.13在质量缺陷保修期内，承包人必须在接到保修通知之日起7天内无条件派人先行保修，发生涉及结构安全、严重影响使用功能的质量缺陷或给排水、供电、燃气、通信及路灯等特殊工程的紧急抢修事故的，承包人接到保修通知后，必须立即到达现场实施保修。质量保修完成后，由发包人组织承包人和监理人，配合项目使用（管养）单位验收。涉及结构安全的，发包人将报当地相关行政主管部门备案，同时承包人应将其产生的原因、补救措施、完成保修情况以书面形式提交发包人。</w:t>
      </w:r>
    </w:p>
    <w:p w14:paraId="424D2512">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5.14在工程质量缺陷保修期内，承包人的违约责任。</w:t>
      </w:r>
    </w:p>
    <w:p w14:paraId="7BF7A11E">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5.14.1在保修期内发生质量缺陷或紧急抢修事故的时，如发包人无法联系到承包人，或联系到承包人但承包人不能及时履行保修义务时，无论缺陷责任是否属于承包人，承包人必须承担由此产生的一切保修费用、相关损失及违约责任。</w:t>
      </w:r>
    </w:p>
    <w:p w14:paraId="12DF9096">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5.14.2若承包人未及时到达现场实施保修，发包人有权直接委托其他单位或管养单位代承包人组织实施保修，承包人必须承担由此发生的一切保修费用及相关损失。发包人将在缺陷质量保修金中扣除保修费，并处承包人保修费用30%的违约金，如缺陷质量保修金余额不足，发包人将向承包人索赔。发包人还将承包人不履行保修义务的不良行为报送相关行政主管部门。</w:t>
      </w:r>
    </w:p>
    <w:p w14:paraId="757898F7">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5.14.3若承包人及时到达现场，但认为自行无法按时完成保修义务，可与发包人协商，直接委托管养单位或发包人确认的其他单位实施保修。若承包人未及时与发包人完成协商事宜，又未能在规定时限内完成保修的，发包人有权通知管养单位或其他单位进行保修，承包人必须承担由此发生的一切保修费用及相关损失。发包人将在缺陷质量保修金中扣除保修费，并处承包人保修费用30%的违约金，如缺陷质量保修金余额不足，发包人将向承包人索赔。发包人还将承包人不履行保修义务的不良行为报送相关行政主管部门。</w:t>
      </w:r>
    </w:p>
    <w:p w14:paraId="3922FD51">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5.14.4若承包人及时到达现场，并与发包人完成协商，同意直接委托管养单位或发包人确认的其他单位实施保修。承包人在收到支付工程保修费用的通知7天内，应将保修费用支付给代其实施保修的单位。如在规定时间内未支付有关费用的，发包人可直接从工程质量缺陷保修金中扣除该保修费用，并支付给保修单位，并处承包人保修费用30%的违约金，如缺陷质量保修金余额不足，发包人将向承包人索赔。发包人还将承包人不履行保修义务的不良行为报送相关行政主管部门。</w:t>
      </w:r>
    </w:p>
    <w:p w14:paraId="7C2A23FC">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5.14.5若承包人按照发包人的要求及时履行了保修义务，并能提供证据说明质量缺陷非承包人的责任，保修费用及相关损失由缺陷责任方承担。</w:t>
      </w:r>
    </w:p>
    <w:p w14:paraId="231B06F0">
      <w:pPr>
        <w:pStyle w:val="61"/>
        <w:adjustRightInd w:val="0"/>
        <w:snapToGrid w:val="0"/>
        <w:spacing w:line="420" w:lineRule="exact"/>
        <w:ind w:firstLine="420" w:firstLineChars="200"/>
        <w:rPr>
          <w:rFonts w:hAnsi="宋体" w:cs="宋体"/>
          <w:color w:val="auto"/>
          <w:sz w:val="21"/>
          <w:szCs w:val="21"/>
          <w:highlight w:val="none"/>
        </w:rPr>
      </w:pPr>
      <w:r>
        <w:rPr>
          <w:rFonts w:hint="eastAsia" w:hAnsi="宋体" w:cs="宋体"/>
          <w:color w:val="auto"/>
          <w:sz w:val="21"/>
          <w:szCs w:val="21"/>
          <w:highlight w:val="none"/>
        </w:rPr>
        <w:t>5.14.6对于涉及结构安全的工程质量问题，无论何时，在所有人、使用人或者第三方向当地建设行政主管部门报告并通知承包人后，承包人应立即采取安全防范措施，同时发包人将委托原设计单位或者具有相应资质等级的设计单位提出保修方案后，承包人应立即实施保修。承包人立即实施了有效的防范措施和保修的，保修费用、人身和财产损害赔偿，由经过法定程序确认的缺陷责任方承担。承包人拖延安全防范措施或者拖延保修，所造成的一切人身、财产损害责任和赔偿均由承包人承担，同时发包人将提请相关行政主管部门按相关法律、法规对承包人予以处罚。</w:t>
      </w:r>
    </w:p>
    <w:p w14:paraId="07DDE0F1">
      <w:pPr>
        <w:spacing w:line="420" w:lineRule="exact"/>
        <w:ind w:firstLine="422" w:firstLineChars="200"/>
        <w:rPr>
          <w:rFonts w:hint="default" w:hAnsi="宋体" w:eastAsia="宋体" w:cs="宋体"/>
          <w:b/>
          <w:bCs/>
          <w:color w:val="auto"/>
          <w:sz w:val="21"/>
          <w:szCs w:val="21"/>
          <w:highlight w:val="none"/>
        </w:rPr>
      </w:pPr>
      <w:r>
        <w:rPr>
          <w:rFonts w:hAnsi="宋体" w:eastAsia="宋体" w:cs="宋体"/>
          <w:b/>
          <w:bCs/>
          <w:color w:val="auto"/>
          <w:sz w:val="21"/>
          <w:szCs w:val="21"/>
          <w:highlight w:val="none"/>
        </w:rPr>
        <w:t>5.15发包人有权根据有关管理制度对承包人的履约情况纳入履约信用评价和</w:t>
      </w:r>
      <w:r>
        <w:rPr>
          <w:rFonts w:hAnsi="宋体" w:eastAsia="宋体" w:cs="宋体"/>
          <w:b/>
          <w:color w:val="auto"/>
          <w:sz w:val="21"/>
          <w:szCs w:val="21"/>
          <w:highlight w:val="none"/>
        </w:rPr>
        <w:t>第三方质量安全评估</w:t>
      </w:r>
      <w:r>
        <w:rPr>
          <w:rFonts w:hAnsi="宋体" w:eastAsia="宋体" w:cs="宋体"/>
          <w:b/>
          <w:bCs/>
          <w:color w:val="auto"/>
          <w:sz w:val="21"/>
          <w:szCs w:val="21"/>
          <w:highlight w:val="none"/>
        </w:rPr>
        <w:t>体系进行履约信用评价和</w:t>
      </w:r>
      <w:r>
        <w:rPr>
          <w:rFonts w:hAnsi="宋体" w:eastAsia="宋体" w:cs="宋体"/>
          <w:b/>
          <w:color w:val="auto"/>
          <w:sz w:val="21"/>
          <w:szCs w:val="21"/>
          <w:highlight w:val="none"/>
        </w:rPr>
        <w:t>质量安全</w:t>
      </w:r>
      <w:r>
        <w:rPr>
          <w:rFonts w:hAnsi="宋体" w:eastAsia="宋体" w:cs="宋体"/>
          <w:b/>
          <w:bCs/>
          <w:color w:val="auto"/>
          <w:sz w:val="21"/>
          <w:szCs w:val="21"/>
          <w:highlight w:val="none"/>
        </w:rPr>
        <w:t>评估，并将评价结果和评估结果报送给有关监管部门。</w:t>
      </w:r>
    </w:p>
    <w:p w14:paraId="645F4F17">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履约信用评价</w:t>
      </w:r>
      <w:r>
        <w:rPr>
          <w:rFonts w:hAnsi="宋体" w:eastAsia="宋体" w:cs="宋体"/>
          <w:bCs/>
          <w:color w:val="auto"/>
          <w:sz w:val="21"/>
          <w:szCs w:val="21"/>
          <w:highlight w:val="none"/>
        </w:rPr>
        <w:t>和</w:t>
      </w:r>
      <w:r>
        <w:rPr>
          <w:rFonts w:hAnsi="宋体" w:eastAsia="宋体" w:cs="宋体"/>
          <w:color w:val="auto"/>
          <w:sz w:val="21"/>
          <w:szCs w:val="21"/>
          <w:highlight w:val="none"/>
        </w:rPr>
        <w:t>第三方质量安全评估按发包人履约信用评价</w:t>
      </w:r>
      <w:r>
        <w:rPr>
          <w:rFonts w:hAnsi="宋体" w:eastAsia="宋体" w:cs="宋体"/>
          <w:bCs/>
          <w:color w:val="auto"/>
          <w:sz w:val="21"/>
          <w:szCs w:val="21"/>
          <w:highlight w:val="none"/>
        </w:rPr>
        <w:t>、</w:t>
      </w:r>
      <w:r>
        <w:rPr>
          <w:rFonts w:hAnsi="宋体" w:eastAsia="宋体" w:cs="宋体"/>
          <w:color w:val="auto"/>
          <w:sz w:val="21"/>
          <w:szCs w:val="21"/>
          <w:highlight w:val="none"/>
        </w:rPr>
        <w:t>质量安全</w:t>
      </w:r>
      <w:r>
        <w:rPr>
          <w:rFonts w:hAnsi="宋体" w:eastAsia="宋体" w:cs="宋体"/>
          <w:bCs/>
          <w:color w:val="auto"/>
          <w:sz w:val="21"/>
          <w:szCs w:val="21"/>
          <w:highlight w:val="none"/>
        </w:rPr>
        <w:t>评估</w:t>
      </w:r>
      <w:r>
        <w:rPr>
          <w:rFonts w:hAnsi="宋体" w:eastAsia="宋体" w:cs="宋体"/>
          <w:color w:val="auto"/>
          <w:sz w:val="21"/>
          <w:szCs w:val="21"/>
          <w:highlight w:val="none"/>
        </w:rPr>
        <w:t>管理规定执行，评价内容包含人员到位情况、服务配合程度、工程质量、安全、项目后期服务及信用评价结果、评估结果的运用等。</w:t>
      </w:r>
    </w:p>
    <w:p w14:paraId="406909A4">
      <w:pPr>
        <w:tabs>
          <w:tab w:val="left" w:pos="1260"/>
        </w:tabs>
        <w:snapToGrid w:val="0"/>
        <w:spacing w:line="420" w:lineRule="exact"/>
        <w:ind w:firstLine="382" w:firstLineChars="200"/>
        <w:rPr>
          <w:rFonts w:hint="default" w:hAnsi="宋体" w:eastAsia="宋体" w:cs="宋体"/>
          <w:b/>
          <w:bCs/>
          <w:color w:val="auto"/>
          <w:spacing w:val="-10"/>
          <w:sz w:val="21"/>
          <w:szCs w:val="21"/>
          <w:highlight w:val="none"/>
        </w:rPr>
      </w:pPr>
      <w:r>
        <w:rPr>
          <w:rFonts w:hAnsi="宋体" w:eastAsia="宋体" w:cs="宋体"/>
          <w:b/>
          <w:bCs/>
          <w:color w:val="auto"/>
          <w:spacing w:val="-10"/>
          <w:sz w:val="21"/>
          <w:szCs w:val="21"/>
          <w:highlight w:val="none"/>
        </w:rPr>
        <w:t>6.设计部分：</w:t>
      </w:r>
    </w:p>
    <w:p w14:paraId="32E920F9">
      <w:pPr>
        <w:tabs>
          <w:tab w:val="left" w:pos="1260"/>
        </w:tabs>
        <w:snapToGrid w:val="0"/>
        <w:spacing w:line="420" w:lineRule="exact"/>
        <w:ind w:firstLine="380" w:firstLineChars="200"/>
        <w:rPr>
          <w:rFonts w:hint="default" w:hAnsi="宋体" w:eastAsia="宋体" w:cs="宋体"/>
          <w:color w:val="auto"/>
          <w:spacing w:val="-10"/>
          <w:sz w:val="21"/>
          <w:szCs w:val="21"/>
          <w:highlight w:val="none"/>
        </w:rPr>
      </w:pPr>
      <w:r>
        <w:rPr>
          <w:rFonts w:hAnsi="宋体" w:eastAsia="宋体" w:cs="宋体"/>
          <w:color w:val="auto"/>
          <w:spacing w:val="-10"/>
          <w:sz w:val="21"/>
          <w:szCs w:val="21"/>
          <w:highlight w:val="none"/>
        </w:rPr>
        <w:t>6.1 本合同设计总价包括所有设计事务工作收费、技术工作收费、税金和完成合同约定的所有与工程设计有关的全部费用。</w:t>
      </w:r>
    </w:p>
    <w:p w14:paraId="3E727B5B">
      <w:pPr>
        <w:tabs>
          <w:tab w:val="left" w:pos="1260"/>
        </w:tabs>
        <w:snapToGrid w:val="0"/>
        <w:spacing w:line="420" w:lineRule="exact"/>
        <w:ind w:firstLine="380" w:firstLineChars="200"/>
        <w:rPr>
          <w:rFonts w:hint="default" w:hAnsi="宋体" w:eastAsia="宋体" w:cs="宋体"/>
          <w:color w:val="auto"/>
          <w:sz w:val="21"/>
          <w:szCs w:val="21"/>
          <w:highlight w:val="none"/>
        </w:rPr>
      </w:pPr>
      <w:r>
        <w:rPr>
          <w:rFonts w:hAnsi="宋体" w:eastAsia="宋体" w:cs="宋体"/>
          <w:color w:val="auto"/>
          <w:spacing w:val="-10"/>
          <w:sz w:val="21"/>
          <w:szCs w:val="21"/>
          <w:highlight w:val="none"/>
        </w:rPr>
        <w:t>6.2 承包人必须严格按有关设计规范设</w:t>
      </w:r>
      <w:r>
        <w:rPr>
          <w:rFonts w:hAnsi="宋体" w:eastAsia="宋体" w:cs="宋体"/>
          <w:color w:val="auto"/>
          <w:sz w:val="21"/>
          <w:szCs w:val="21"/>
          <w:highlight w:val="none"/>
        </w:rPr>
        <w:t>计图纸，承包人必须秉承合理、经济、环保、适用等原则进行施工图设计，发包人有权委托第三方对承包人每阶段的设计成果（含节能、结构计算模型等）进行精细化审图、各专业优化工作，承包人需无条件根据经发包人确认的精细化审图、结构优化报告进行设计文件修改，费用不另计。</w:t>
      </w:r>
    </w:p>
    <w:p w14:paraId="48F7F3A2">
      <w:pPr>
        <w:tabs>
          <w:tab w:val="left" w:pos="1260"/>
        </w:tabs>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kern w:val="0"/>
          <w:sz w:val="21"/>
          <w:szCs w:val="21"/>
          <w:highlight w:val="none"/>
        </w:rPr>
        <w:t xml:space="preserve">6.3 </w:t>
      </w:r>
      <w:r>
        <w:rPr>
          <w:rFonts w:hAnsi="宋体" w:eastAsia="宋体" w:cs="宋体"/>
          <w:color w:val="auto"/>
          <w:sz w:val="21"/>
          <w:szCs w:val="21"/>
          <w:highlight w:val="none"/>
        </w:rPr>
        <w:t>承包人未经发包人同意擅自对工程设计进行分包的，发包人有权收回未经发包人同意的设计分包内容，已支付该部分分包内容设计费用的在下次支付设计费时扣除，未支付的将不予支付该部分分包内容设计费 。如需其他专业分包，需提前向发包人报备，并提供相应专业资质文件，发包人同意后方可进行分包。</w:t>
      </w:r>
    </w:p>
    <w:p w14:paraId="143F6C01">
      <w:pPr>
        <w:tabs>
          <w:tab w:val="left" w:pos="1260"/>
        </w:tabs>
        <w:snapToGrid w:val="0"/>
        <w:spacing w:line="420" w:lineRule="exact"/>
        <w:ind w:firstLine="420" w:firstLineChars="200"/>
        <w:rPr>
          <w:rFonts w:hint="default" w:hAnsi="宋体" w:eastAsia="宋体" w:cs="宋体"/>
          <w:color w:val="auto"/>
          <w:sz w:val="21"/>
          <w:szCs w:val="21"/>
          <w:highlight w:val="none"/>
        </w:rPr>
      </w:pPr>
      <w:bookmarkStart w:id="392" w:name="_Toc390613831"/>
      <w:r>
        <w:rPr>
          <w:rFonts w:hAnsi="宋体" w:eastAsia="宋体" w:cs="宋体"/>
          <w:color w:val="auto"/>
          <w:sz w:val="21"/>
          <w:szCs w:val="21"/>
          <w:highlight w:val="none"/>
        </w:rPr>
        <w:t>6.4.知识产权和专利权</w:t>
      </w:r>
      <w:bookmarkEnd w:id="392"/>
    </w:p>
    <w:p w14:paraId="3EF68243">
      <w:pPr>
        <w:tabs>
          <w:tab w:val="left" w:pos="1260"/>
        </w:tabs>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6.4.1承包人保证投标文件及资料均未侵犯他人的知识产权，否则必须承担全部责任。若承包人使用了他人的专利、专有技术，涉及的费用由承包人负责。合同价包括所有应支付的对专利权和版权、设计和其他知识产权而需要向其他方支付的版税。</w:t>
      </w:r>
    </w:p>
    <w:p w14:paraId="0C3C90C8">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6.4.2承包人应保护发包人的知识产权，不得向第三人泄露、转让发包人提交的产品图纸等技术经济资料。未经发包人同意，承包人不得将设计成果转让给第三方。如发生以上情况并给发包人造成经济损失，发包人有权向承包人索赔。</w:t>
      </w:r>
    </w:p>
    <w:p w14:paraId="2DA629DC">
      <w:pPr>
        <w:spacing w:beforeLines="50" w:line="420" w:lineRule="exact"/>
        <w:ind w:firstLine="413" w:firstLineChars="197"/>
        <w:rPr>
          <w:rFonts w:hint="default" w:hAnsi="宋体" w:eastAsia="宋体" w:cs="宋体"/>
          <w:color w:val="auto"/>
          <w:sz w:val="21"/>
          <w:szCs w:val="21"/>
          <w:highlight w:val="none"/>
        </w:rPr>
      </w:pPr>
      <w:r>
        <w:rPr>
          <w:rFonts w:hAnsi="宋体" w:eastAsia="宋体" w:cs="宋体"/>
          <w:color w:val="auto"/>
          <w:sz w:val="21"/>
          <w:szCs w:val="21"/>
          <w:highlight w:val="none"/>
        </w:rPr>
        <w:t>6.4.3承包人应保证发包人在本项目建设过程中使用其设计文件和设计文件的任何一部分时，发包人免受第三方提出侵犯其专利权、商标权或其他知识产权的起诉。</w:t>
      </w:r>
    </w:p>
    <w:p w14:paraId="308D4DE4">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承包人保证发包人使用承包人设计成果将不会对任何第三方构成侵权，如因此引起任何第三方向发包人提出侵权之诉讼或索赔，均由承包人承担处理、应诉和赔偿责任。</w:t>
      </w:r>
    </w:p>
    <w:p w14:paraId="56347F47">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6.4.4承包人提交给发包人的设计文件，其著作权、版权、专利权和使用权归发包人所有（署名权除外）。   </w:t>
      </w:r>
    </w:p>
    <w:p w14:paraId="546B3C64">
      <w:pPr>
        <w:spacing w:line="420" w:lineRule="exact"/>
        <w:ind w:firstLine="422" w:firstLineChars="200"/>
        <w:rPr>
          <w:rFonts w:hint="default" w:hAnsi="宋体" w:eastAsia="宋体" w:cs="宋体"/>
          <w:color w:val="auto"/>
          <w:sz w:val="21"/>
          <w:szCs w:val="21"/>
          <w:highlight w:val="none"/>
        </w:rPr>
      </w:pPr>
      <w:r>
        <w:rPr>
          <w:rFonts w:hAnsi="宋体" w:eastAsia="宋体" w:cs="宋体"/>
          <w:b/>
          <w:bCs/>
          <w:color w:val="auto"/>
          <w:sz w:val="21"/>
          <w:szCs w:val="21"/>
          <w:highlight w:val="none"/>
        </w:rPr>
        <w:t>6.5.</w:t>
      </w:r>
      <w:r>
        <w:rPr>
          <w:rFonts w:hAnsi="宋体" w:eastAsia="宋体" w:cs="宋体"/>
          <w:color w:val="auto"/>
          <w:sz w:val="21"/>
          <w:szCs w:val="21"/>
          <w:highlight w:val="none"/>
        </w:rPr>
        <w:t xml:space="preserve"> 承包人在合同有效期内，应当履行合同约定的义务，如因承包人的原因产生设计质量事故、工期延误或设计缺陷，造成损失的应承担赔偿责任。</w:t>
      </w:r>
    </w:p>
    <w:p w14:paraId="4D2CCA6D">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（1）因设计错误而造成一般质量事故的，承包人除应免收受损失部分的设计费外，还应无偿修改和完善设计，并承担给发包人造成的直接损失。</w:t>
      </w:r>
    </w:p>
    <w:p w14:paraId="7F4205B0">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（2）因设计错误而造成重大质量事故的，承包人承担给发包人造成的直接损失，发包人有权解除设计合同，并报请有关主管部门视事故造成的损失情况给予其他处罚。</w:t>
      </w:r>
    </w:p>
    <w:p w14:paraId="4C204E34">
      <w:pPr>
        <w:spacing w:line="420" w:lineRule="exact"/>
        <w:ind w:firstLine="422" w:firstLineChars="200"/>
        <w:rPr>
          <w:rFonts w:hint="default" w:hAnsi="宋体" w:eastAsia="宋体" w:cs="宋体"/>
          <w:color w:val="auto"/>
          <w:sz w:val="21"/>
          <w:szCs w:val="21"/>
          <w:highlight w:val="none"/>
        </w:rPr>
      </w:pPr>
      <w:r>
        <w:rPr>
          <w:rFonts w:hAnsi="宋体" w:eastAsia="宋体" w:cs="宋体"/>
          <w:b/>
          <w:bCs/>
          <w:color w:val="auto"/>
          <w:sz w:val="21"/>
          <w:szCs w:val="21"/>
          <w:highlight w:val="none"/>
        </w:rPr>
        <w:t>6.6.</w:t>
      </w:r>
      <w:r>
        <w:rPr>
          <w:rFonts w:hAnsi="宋体" w:eastAsia="宋体" w:cs="宋体"/>
          <w:color w:val="auto"/>
          <w:sz w:val="21"/>
          <w:szCs w:val="21"/>
          <w:highlight w:val="none"/>
        </w:rPr>
        <w:t xml:space="preserve"> 若因承包人原因导致提交的设计成果文件无法通过发包人组织的设计审查，发包人有权发出如下任何指令，承包人必须遵照执行。</w:t>
      </w:r>
    </w:p>
    <w:p w14:paraId="196189DF">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对不合格部分进行重新设计或修改，由此引起的费用增加和工期延误由承包人负全部责任，发包人还可视造成的时间延误和费用损失，承包人按合同价的5%～10%向甲方支付违约金；同时发包人有权解除设计合同。</w:t>
      </w:r>
    </w:p>
    <w:p w14:paraId="673311B1">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2）如果重新设计或修改后的设计成果仍不能通过设计审查，或承包人没有能力完成该部分设计，发包人解除该不合格部分的合同，发包人将该不合格部分指定分包给其他设计单位，并扣除设计单位合同总价中此部分的设计费用；</w:t>
      </w:r>
    </w:p>
    <w:p w14:paraId="2C873F58">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（3）承包人须在发包人书面同意后，将该部分内容另行委托给其他具有相应资质等级的单位设计，直至通过设计审查，该部分设计费用已包含在合同价中，不另行计算，造成损失的依法承担赔偿责任。</w:t>
      </w:r>
    </w:p>
    <w:p w14:paraId="519BE057">
      <w:pPr>
        <w:spacing w:line="420" w:lineRule="exact"/>
        <w:ind w:firstLine="422" w:firstLineChars="200"/>
        <w:rPr>
          <w:rFonts w:hint="default" w:hAnsi="宋体" w:eastAsia="宋体" w:cs="宋体"/>
          <w:color w:val="auto"/>
          <w:sz w:val="21"/>
          <w:szCs w:val="21"/>
          <w:highlight w:val="none"/>
        </w:rPr>
      </w:pPr>
      <w:r>
        <w:rPr>
          <w:rFonts w:hAnsi="宋体" w:eastAsia="宋体" w:cs="宋体"/>
          <w:b/>
          <w:bCs/>
          <w:color w:val="auto"/>
          <w:sz w:val="21"/>
          <w:szCs w:val="21"/>
          <w:highlight w:val="none"/>
        </w:rPr>
        <w:t xml:space="preserve">6.7. </w:t>
      </w:r>
      <w:r>
        <w:rPr>
          <w:rFonts w:hAnsi="宋体" w:eastAsia="宋体" w:cs="宋体"/>
          <w:color w:val="auto"/>
          <w:sz w:val="21"/>
          <w:szCs w:val="21"/>
          <w:highlight w:val="none"/>
        </w:rPr>
        <w:t>承包人应赔偿因设计质量或设计图纸不完善带来的设计变更所引发的工程费增加、施工返工费、误工费等，处理原则如下：</w:t>
      </w:r>
    </w:p>
    <w:p w14:paraId="468E7807">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（1）由于设计质量或设计图纸不完善引起的施工返工，承包人应及时处理，并每次扣减设计合同价的2%作为违约金。</w:t>
      </w:r>
    </w:p>
    <w:p w14:paraId="76E82433">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2）由于设计质量或设计图纸不完善引起的施工返工、停工，承包人未能及时处理，每次扣减设计合同价的2%作为违约金，对施工工期造成较大影响，还须按设计合同价的15%赔偿，经监理单位和发包人确认后，承包人在申请当期设计费之前支付给发包人。</w:t>
      </w:r>
    </w:p>
    <w:p w14:paraId="6B6034E6">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3）由于设计质量或设计图纸不完善导致的设计变更引起工程造价增加，以至超出审批的概算投资额，如设计变更未对施工工期造成影响，承包人按超额部分的5%赔偿发包人；如设计变更对施工工期造成影响，承包人按超额部分的10%赔偿发包人。承包人还应对设计进行修改或调整，以保证工程总费用控制在总投资计划内或限额设计指标内。</w:t>
      </w:r>
    </w:p>
    <w:p w14:paraId="0FD39536">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4）由于设计质量设计图纸不完善所引起的工程费增加，超出审批的概算投资额，承包人无法调整到限额内，发包人有权不支付设计费，已支付的设计费承包人应返还发包人，发包人有权拒绝承包人参加发包人的任何设计项目的投标，并将承包人的不良行为上报行业主管部门。</w:t>
      </w:r>
    </w:p>
    <w:p w14:paraId="6265A79A">
      <w:pPr>
        <w:pStyle w:val="74"/>
        <w:spacing w:line="420" w:lineRule="exact"/>
        <w:ind w:firstLine="527" w:firstLineChars="250"/>
        <w:rPr>
          <w:rFonts w:hAnsi="宋体" w:cs="宋体"/>
          <w:color w:val="auto"/>
          <w:sz w:val="21"/>
          <w:szCs w:val="21"/>
          <w:highlight w:val="none"/>
        </w:rPr>
      </w:pPr>
      <w:r>
        <w:rPr>
          <w:rFonts w:hint="eastAsia" w:hAnsi="宋体" w:cs="宋体"/>
          <w:b/>
          <w:bCs/>
          <w:color w:val="auto"/>
          <w:sz w:val="21"/>
          <w:szCs w:val="21"/>
          <w:highlight w:val="none"/>
        </w:rPr>
        <w:t>6.7.1</w:t>
      </w:r>
      <w:r>
        <w:rPr>
          <w:rFonts w:hint="eastAsia" w:hAnsi="宋体" w:cs="宋体"/>
          <w:color w:val="auto"/>
          <w:sz w:val="21"/>
          <w:szCs w:val="21"/>
          <w:highlight w:val="none"/>
        </w:rPr>
        <w:t>工程变更的程序和管理按项目所在地的政府投资项目财政投资评审相关文件执行。如因设计人的责任引起变更造成投资规模增加，按如下规定追究设计人的违约责任：</w:t>
      </w:r>
    </w:p>
    <w:p w14:paraId="6C225DFE">
      <w:pPr>
        <w:pStyle w:val="74"/>
        <w:spacing w:line="420" w:lineRule="exact"/>
        <w:ind w:firstLine="525" w:firstLineChars="250"/>
        <w:rPr>
          <w:rFonts w:hAnsi="宋体" w:cs="宋体"/>
          <w:color w:val="auto"/>
          <w:sz w:val="21"/>
          <w:szCs w:val="21"/>
          <w:highlight w:val="none"/>
        </w:rPr>
      </w:pPr>
      <w:r>
        <w:rPr>
          <w:rFonts w:hint="eastAsia" w:hAnsi="宋体" w:cs="宋体"/>
          <w:color w:val="auto"/>
          <w:sz w:val="21"/>
          <w:szCs w:val="21"/>
          <w:highlight w:val="none"/>
        </w:rPr>
        <w:t>（1）因设计人责任引起变更造成投资规模增加10%以上的，扣减设计人设计合同价20%的违约金；</w:t>
      </w:r>
    </w:p>
    <w:p w14:paraId="79BFA599">
      <w:pPr>
        <w:pStyle w:val="74"/>
        <w:spacing w:line="420" w:lineRule="exact"/>
        <w:ind w:firstLine="525" w:firstLineChars="250"/>
        <w:rPr>
          <w:rFonts w:hAnsi="宋体" w:cs="宋体"/>
          <w:color w:val="auto"/>
          <w:sz w:val="21"/>
          <w:szCs w:val="21"/>
          <w:highlight w:val="none"/>
        </w:rPr>
      </w:pPr>
      <w:r>
        <w:rPr>
          <w:rFonts w:hint="eastAsia" w:hAnsi="宋体" w:cs="宋体"/>
          <w:color w:val="auto"/>
          <w:sz w:val="21"/>
          <w:szCs w:val="21"/>
          <w:highlight w:val="none"/>
        </w:rPr>
        <w:t>（2）因设计人责任引起变更造成投资规模增加15%以上的，扣减设计人设计合同价30%的违约金；</w:t>
      </w:r>
    </w:p>
    <w:p w14:paraId="42A8D714">
      <w:pPr>
        <w:spacing w:line="420" w:lineRule="exact"/>
        <w:ind w:firstLine="420" w:firstLineChars="200"/>
        <w:rPr>
          <w:rFonts w:hint="default" w:hAnsi="宋体" w:eastAsia="宋体" w:cs="宋体"/>
          <w:b/>
          <w:bCs/>
          <w:color w:val="auto"/>
          <w:sz w:val="21"/>
          <w:szCs w:val="21"/>
          <w:highlight w:val="none"/>
        </w:rPr>
      </w:pPr>
      <w:r>
        <w:rPr>
          <w:rFonts w:hAnsi="宋体" w:eastAsia="宋体" w:cs="宋体"/>
          <w:color w:val="auto"/>
          <w:sz w:val="21"/>
          <w:szCs w:val="21"/>
          <w:highlight w:val="none"/>
        </w:rPr>
        <w:t>（3）因设计人责任引起变更造成投资规模增加20%以上的，扣减设计人设计合同价40%的违约金。</w:t>
      </w:r>
    </w:p>
    <w:p w14:paraId="71573314">
      <w:pPr>
        <w:spacing w:line="420" w:lineRule="exact"/>
        <w:ind w:firstLine="422" w:firstLineChars="200"/>
        <w:rPr>
          <w:rFonts w:hint="default" w:hAnsi="宋体" w:eastAsia="宋体" w:cs="宋体"/>
          <w:color w:val="auto"/>
          <w:sz w:val="21"/>
          <w:szCs w:val="21"/>
          <w:highlight w:val="none"/>
        </w:rPr>
      </w:pPr>
      <w:r>
        <w:rPr>
          <w:rFonts w:hAnsi="宋体" w:eastAsia="宋体" w:cs="宋体"/>
          <w:b/>
          <w:bCs/>
          <w:color w:val="auto"/>
          <w:sz w:val="21"/>
          <w:szCs w:val="21"/>
          <w:highlight w:val="none"/>
        </w:rPr>
        <w:t>6.8</w:t>
      </w:r>
      <w:r>
        <w:rPr>
          <w:rFonts w:hAnsi="宋体" w:eastAsia="宋体" w:cs="宋体"/>
          <w:color w:val="auto"/>
          <w:sz w:val="21"/>
          <w:szCs w:val="21"/>
          <w:highlight w:val="none"/>
        </w:rPr>
        <w:t xml:space="preserve"> 承包人未按照国家及建设部现行的强制性技术标准、规范和规程进行设计，或承包人在设计成果中未经发包人认可擅自指定或变相指定材料或设备生产厂商、供应商的，承包人按合同价的5%～10%向发包人支付违约金。</w:t>
      </w:r>
    </w:p>
    <w:p w14:paraId="50561222">
      <w:pPr>
        <w:spacing w:line="420" w:lineRule="exact"/>
        <w:ind w:firstLine="422" w:firstLineChars="200"/>
        <w:rPr>
          <w:rFonts w:hint="default" w:hAnsi="宋体" w:eastAsia="宋体" w:cs="宋体"/>
          <w:color w:val="auto"/>
          <w:sz w:val="21"/>
          <w:szCs w:val="21"/>
          <w:highlight w:val="none"/>
        </w:rPr>
      </w:pPr>
      <w:r>
        <w:rPr>
          <w:rFonts w:hAnsi="宋体" w:eastAsia="宋体" w:cs="宋体"/>
          <w:b/>
          <w:bCs/>
          <w:color w:val="auto"/>
          <w:sz w:val="21"/>
          <w:szCs w:val="21"/>
          <w:highlight w:val="none"/>
        </w:rPr>
        <w:t>6.9</w:t>
      </w:r>
      <w:r>
        <w:rPr>
          <w:rFonts w:hAnsi="宋体" w:eastAsia="宋体" w:cs="宋体"/>
          <w:color w:val="auto"/>
          <w:sz w:val="21"/>
          <w:szCs w:val="21"/>
          <w:highlight w:val="none"/>
        </w:rPr>
        <w:t xml:space="preserve"> 承包人保证，未经发包人书面同意，不得将本合同项下的任何工作任务委托第三人履行，对于工程设计内容中超出承包人资质条件的分部、分项工程，承包人不得超越自身资质条件进行设计或自行将设计任务转包、分包，否则，发包人可以立即解除本合同，并且不需要向承包人支付任何费用。发包人将有权终止合同，承包人按合同价的5%～10%向发包人支付违约金。</w:t>
      </w:r>
    </w:p>
    <w:p w14:paraId="12F5AE71">
      <w:pPr>
        <w:pStyle w:val="8"/>
        <w:snapToGrid w:val="0"/>
        <w:spacing w:line="420" w:lineRule="exact"/>
        <w:ind w:left="63" w:right="63" w:firstLine="422" w:firstLineChars="200"/>
        <w:jc w:val="left"/>
        <w:rPr>
          <w:rFonts w:hint="default" w:hAnsi="宋体" w:eastAsia="宋体" w:cs="宋体"/>
          <w:b/>
          <w:color w:val="auto"/>
          <w:kern w:val="0"/>
          <w:sz w:val="21"/>
          <w:szCs w:val="21"/>
          <w:highlight w:val="none"/>
        </w:rPr>
      </w:pPr>
      <w:r>
        <w:rPr>
          <w:rFonts w:hAnsi="宋体" w:eastAsia="宋体" w:cs="宋体"/>
          <w:b/>
          <w:color w:val="auto"/>
          <w:kern w:val="0"/>
          <w:sz w:val="21"/>
          <w:szCs w:val="21"/>
          <w:highlight w:val="none"/>
        </w:rPr>
        <w:t>6.10 除招标文件规定的服务内容外，承包人还须完成以下各阶段服务内容：</w:t>
      </w:r>
    </w:p>
    <w:p w14:paraId="6F2F8708">
      <w:pPr>
        <w:spacing w:line="420" w:lineRule="exact"/>
        <w:ind w:firstLine="422" w:firstLineChars="200"/>
        <w:rPr>
          <w:rFonts w:hint="default" w:hAnsi="宋体" w:eastAsia="宋体" w:cs="宋体"/>
          <w:b/>
          <w:color w:val="auto"/>
          <w:sz w:val="21"/>
          <w:szCs w:val="21"/>
          <w:highlight w:val="none"/>
        </w:rPr>
      </w:pPr>
      <w:r>
        <w:rPr>
          <w:rFonts w:hAnsi="宋体" w:eastAsia="宋体" w:cs="宋体"/>
          <w:b/>
          <w:color w:val="auto"/>
          <w:sz w:val="21"/>
          <w:szCs w:val="21"/>
          <w:highlight w:val="none"/>
        </w:rPr>
        <w:t>6.10.1 施工图设计阶段</w:t>
      </w:r>
    </w:p>
    <w:p w14:paraId="4583FA97">
      <w:pPr>
        <w:pStyle w:val="42"/>
        <w:spacing w:line="420" w:lineRule="exact"/>
        <w:ind w:firstLine="210" w:firstLineChars="100"/>
        <w:jc w:val="left"/>
        <w:rPr>
          <w:rFonts w:hAnsi="宋体" w:cs="宋体"/>
          <w:snapToGrid w:val="0"/>
          <w:color w:val="auto"/>
          <w:kern w:val="0"/>
          <w:sz w:val="21"/>
          <w:szCs w:val="21"/>
          <w:highlight w:val="none"/>
        </w:rPr>
      </w:pPr>
      <w:r>
        <w:rPr>
          <w:rFonts w:hint="eastAsia" w:hAnsi="宋体" w:cs="宋体"/>
          <w:color w:val="auto"/>
          <w:sz w:val="21"/>
          <w:szCs w:val="21"/>
          <w:highlight w:val="none"/>
        </w:rPr>
        <w:t>（1）负责完成并制作总图、建筑、结构、</w:t>
      </w:r>
      <w:r>
        <w:rPr>
          <w:rFonts w:hint="eastAsia" w:hAnsi="宋体" w:cs="宋体"/>
          <w:snapToGrid w:val="0"/>
          <w:color w:val="auto"/>
          <w:kern w:val="0"/>
          <w:sz w:val="21"/>
          <w:szCs w:val="21"/>
          <w:highlight w:val="none"/>
        </w:rPr>
        <w:t>建筑装饰装修、给排水、电气、照明、消防、节能、无障碍设计、安防及智能系统、充电桩、海绵城市、雨污分流、道路、综合管网等所有专项设计及红线范围内的所有工程及相关配套工程、设施等本项目涉及的全部专业的施工图设计文件；</w:t>
      </w:r>
    </w:p>
    <w:p w14:paraId="27873F52">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（2）对发包人的审核修改意见进行修改、完善，保证其设计意图的最终实现； </w:t>
      </w:r>
    </w:p>
    <w:p w14:paraId="0D1BC7E4">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（3）根据项目开发进度要求及时提供各阶段报审图纸，协助发包人进行报审工作，根据审查结果在本合同约定的范围内进行修改调整，直至审查通过，并最终向发包人提交正式的施工图设计文件； </w:t>
      </w:r>
    </w:p>
    <w:p w14:paraId="61F7EEEB">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（4）协助发包人进行工程招标答疑。</w:t>
      </w:r>
    </w:p>
    <w:p w14:paraId="42558862">
      <w:pPr>
        <w:spacing w:line="420" w:lineRule="exact"/>
        <w:ind w:firstLine="422" w:firstLineChars="200"/>
        <w:rPr>
          <w:rFonts w:hint="default" w:hAnsi="宋体" w:eastAsia="宋体" w:cs="宋体"/>
          <w:b/>
          <w:color w:val="auto"/>
          <w:sz w:val="21"/>
          <w:szCs w:val="21"/>
          <w:highlight w:val="none"/>
        </w:rPr>
      </w:pPr>
      <w:r>
        <w:rPr>
          <w:rFonts w:hAnsi="宋体" w:eastAsia="宋体" w:cs="宋体"/>
          <w:b/>
          <w:color w:val="auto"/>
          <w:sz w:val="21"/>
          <w:szCs w:val="21"/>
          <w:highlight w:val="none"/>
        </w:rPr>
        <w:t>6.10.2 施工配合阶段</w:t>
      </w:r>
    </w:p>
    <w:p w14:paraId="6D0457B6">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（1）负责工程设计交底，解答施工过程中施工承包人有关施工图的问题，项目负责人及各专业设计负责人，及时对施工中与设计有关的问题做出回应，保证设计满足施工要求； </w:t>
      </w:r>
    </w:p>
    <w:p w14:paraId="1DBA0447">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（2）根据发包人要求，及时参加与设计有关的专题会，现场解决技术问题； </w:t>
      </w:r>
    </w:p>
    <w:p w14:paraId="52B4E668">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（3）协助发包人处理工程洽商和设计变更，负责有关设计修改，及时办理相关手续； </w:t>
      </w:r>
    </w:p>
    <w:p w14:paraId="5AD44FFD">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（4）参与与承包人相关的必要的验收以及项目竣工验收工作，并及时办理相关手续； </w:t>
      </w:r>
    </w:p>
    <w:p w14:paraId="279685D7">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（5）提供产品选型、设备加工订货、建筑材料选择以及分包商考察等技术咨询工作； </w:t>
      </w:r>
    </w:p>
    <w:p w14:paraId="5A570C94">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（6）应发包人要求协助审核各分包商的设计文件是否满足接口条件并签署意见，以保证其与总体设计协调一致，并满足工程要求。</w:t>
      </w:r>
    </w:p>
    <w:p w14:paraId="1C6D629F">
      <w:pPr>
        <w:spacing w:line="420" w:lineRule="exact"/>
        <w:ind w:firstLine="422" w:firstLineChars="200"/>
        <w:rPr>
          <w:rFonts w:hint="default" w:hAnsi="宋体" w:eastAsia="宋体" w:cs="宋体"/>
          <w:b/>
          <w:color w:val="auto"/>
          <w:sz w:val="21"/>
          <w:szCs w:val="21"/>
          <w:highlight w:val="none"/>
        </w:rPr>
      </w:pPr>
      <w:r>
        <w:rPr>
          <w:rFonts w:hAnsi="宋体" w:eastAsia="宋体" w:cs="宋体"/>
          <w:b/>
          <w:bCs/>
          <w:color w:val="auto"/>
          <w:sz w:val="21"/>
          <w:szCs w:val="21"/>
          <w:highlight w:val="none"/>
        </w:rPr>
        <w:t xml:space="preserve">6.11 </w:t>
      </w:r>
      <w:r>
        <w:rPr>
          <w:rFonts w:hAnsi="宋体" w:eastAsia="宋体" w:cs="宋体"/>
          <w:b/>
          <w:color w:val="auto"/>
          <w:sz w:val="21"/>
          <w:szCs w:val="21"/>
          <w:highlight w:val="none"/>
        </w:rPr>
        <w:t>承包人义务及违约责任</w:t>
      </w:r>
    </w:p>
    <w:p w14:paraId="78D60FEB">
      <w:pPr>
        <w:spacing w:line="420" w:lineRule="exact"/>
        <w:ind w:firstLine="422" w:firstLineChars="200"/>
        <w:rPr>
          <w:rFonts w:hint="default" w:hAnsi="宋体" w:eastAsia="宋体" w:cs="宋体"/>
          <w:b/>
          <w:bCs/>
          <w:color w:val="auto"/>
          <w:sz w:val="21"/>
          <w:szCs w:val="21"/>
          <w:highlight w:val="none"/>
        </w:rPr>
      </w:pPr>
      <w:r>
        <w:rPr>
          <w:rFonts w:hAnsi="宋体" w:eastAsia="宋体" w:cs="宋体"/>
          <w:b/>
          <w:bCs/>
          <w:color w:val="auto"/>
          <w:sz w:val="21"/>
          <w:szCs w:val="21"/>
          <w:highlight w:val="none"/>
        </w:rPr>
        <w:t>6.11.1 承包人义务</w:t>
      </w:r>
    </w:p>
    <w:p w14:paraId="1673FB2F">
      <w:pPr>
        <w:adjustRightInd w:val="0"/>
        <w:snapToGrid w:val="0"/>
        <w:spacing w:line="420" w:lineRule="exact"/>
        <w:ind w:firstLine="315" w:firstLineChars="150"/>
        <w:rPr>
          <w:rFonts w:hint="default" w:hAnsi="宋体" w:eastAsia="宋体" w:cs="宋体"/>
          <w:b/>
          <w:bCs/>
          <w:snapToGrid w:val="0"/>
          <w:color w:val="auto"/>
          <w:kern w:val="0"/>
          <w:sz w:val="21"/>
          <w:szCs w:val="21"/>
          <w:highlight w:val="none"/>
        </w:rPr>
      </w:pPr>
      <w:r>
        <w:rPr>
          <w:rFonts w:hAnsi="宋体" w:eastAsia="宋体" w:cs="宋体"/>
          <w:snapToGrid w:val="0"/>
          <w:color w:val="auto"/>
          <w:kern w:val="0"/>
          <w:sz w:val="21"/>
          <w:szCs w:val="21"/>
          <w:highlight w:val="none"/>
        </w:rPr>
        <w:t>（1）中标通知书发出后30天内第一中标候选人不按招标文件约定条款签订设计合同的，视为自动放弃中标资格，没收投标保证金，并确定第二中标候选人为承包人，以此类推。并上报建设行政主管部门。</w:t>
      </w:r>
    </w:p>
    <w:p w14:paraId="18851BBD">
      <w:pPr>
        <w:adjustRightInd w:val="0"/>
        <w:snapToGrid w:val="0"/>
        <w:spacing w:line="420" w:lineRule="exact"/>
        <w:ind w:firstLine="315" w:firstLineChars="150"/>
        <w:rPr>
          <w:rFonts w:hint="default" w:hAnsi="宋体" w:eastAsia="宋体" w:cs="宋体"/>
          <w:b/>
          <w:bCs/>
          <w:snapToGrid w:val="0"/>
          <w:color w:val="auto"/>
          <w:kern w:val="0"/>
          <w:sz w:val="21"/>
          <w:szCs w:val="21"/>
          <w:highlight w:val="none"/>
        </w:rPr>
      </w:pPr>
      <w:r>
        <w:rPr>
          <w:rFonts w:hAnsi="宋体" w:eastAsia="宋体" w:cs="宋体"/>
          <w:snapToGrid w:val="0"/>
          <w:color w:val="auto"/>
          <w:kern w:val="0"/>
          <w:sz w:val="21"/>
          <w:szCs w:val="21"/>
          <w:highlight w:val="none"/>
        </w:rPr>
        <w:t>（2）合同生效后，承包人要求终止或解除合同视为承包人违约，扣除履约保证金。</w:t>
      </w:r>
    </w:p>
    <w:p w14:paraId="5ABCED9A">
      <w:pPr>
        <w:adjustRightInd w:val="0"/>
        <w:snapToGrid w:val="0"/>
        <w:spacing w:line="420" w:lineRule="exact"/>
        <w:ind w:firstLine="315" w:firstLineChars="150"/>
        <w:rPr>
          <w:rFonts w:hint="default" w:hAnsi="宋体" w:eastAsia="宋体" w:cs="宋体"/>
          <w:b/>
          <w:bCs/>
          <w:snapToGrid w:val="0"/>
          <w:color w:val="auto"/>
          <w:kern w:val="0"/>
          <w:sz w:val="21"/>
          <w:szCs w:val="21"/>
          <w:highlight w:val="none"/>
        </w:rPr>
      </w:pPr>
      <w:r>
        <w:rPr>
          <w:rFonts w:hAnsi="宋体" w:eastAsia="宋体" w:cs="宋体"/>
          <w:snapToGrid w:val="0"/>
          <w:color w:val="auto"/>
          <w:kern w:val="0"/>
          <w:sz w:val="21"/>
          <w:szCs w:val="21"/>
          <w:highlight w:val="none"/>
        </w:rPr>
        <w:t>（3）承包人负责按照合同规定承包范围、内容和方式，在规定时间内提交满足规定质量要求的设计成果，并完成约定的服务内容。承包人交付设计文件后，按规定参加有关的设计审查，并根据审查结论负责不超出原定范围的内容做必要调整补充。承包人按合同规定时限交付设计文件，负责向发包人及施工单位进行设计交底、处理有关设计问题和参加竣工验收。施工过程中负责有关工程变更的变更设计和变更预算编制。</w:t>
      </w:r>
    </w:p>
    <w:p w14:paraId="1536739E">
      <w:pPr>
        <w:adjustRightInd w:val="0"/>
        <w:snapToGrid w:val="0"/>
        <w:spacing w:line="420" w:lineRule="exact"/>
        <w:ind w:firstLine="315" w:firstLineChars="150"/>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（4）承包人应对发包人提供的文件、资料进行认真研究，对本项目的特点和不确定因素进行认真考虑，并提出合理建议和评价，对影响设计稳定的重大问题要进行多方案比较选择。</w:t>
      </w:r>
    </w:p>
    <w:p w14:paraId="6F326322">
      <w:pPr>
        <w:adjustRightInd w:val="0"/>
        <w:snapToGrid w:val="0"/>
        <w:spacing w:line="420" w:lineRule="exact"/>
        <w:ind w:firstLine="315" w:firstLineChars="150"/>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（5）设计应尽可能减少施工难度，为施工创造方便合理的施工条件；应尽量减少施工对城市交通、市民生活以及水利、通航的干扰，并尽可能减少对施工期的影响。</w:t>
      </w:r>
    </w:p>
    <w:p w14:paraId="28021766">
      <w:pPr>
        <w:adjustRightInd w:val="0"/>
        <w:snapToGrid w:val="0"/>
        <w:spacing w:line="420" w:lineRule="exact"/>
        <w:ind w:firstLine="210" w:firstLineChars="100"/>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 xml:space="preserve"> （6）未经发包人书面同意，承包人不得对已批准的设计和勘探点布置方案作重大修改、增减或删除。</w:t>
      </w:r>
    </w:p>
    <w:p w14:paraId="4B7FF138">
      <w:pPr>
        <w:adjustRightInd w:val="0"/>
        <w:snapToGrid w:val="0"/>
        <w:spacing w:line="420" w:lineRule="exact"/>
        <w:ind w:firstLine="210" w:firstLineChars="100"/>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 xml:space="preserve"> （7）承包人提交的全部设计文件应考虑地质因素、正常施工中可能出现的各种因素，对设计文件出现的遗漏或错误负责修改或补充。</w:t>
      </w:r>
    </w:p>
    <w:p w14:paraId="17C7E111">
      <w:pPr>
        <w:adjustRightInd w:val="0"/>
        <w:snapToGrid w:val="0"/>
        <w:spacing w:line="420" w:lineRule="exact"/>
        <w:ind w:firstLine="210" w:firstLineChars="100"/>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 xml:space="preserve"> （8）承包人承诺在交付项目的部分或全部设计文件后，如有更好的新工艺、新技术、新材料、新设备等适用于本项目，应及时向发包人推荐并提供科学的评估和来源证明。</w:t>
      </w:r>
    </w:p>
    <w:p w14:paraId="5B6D2521">
      <w:pPr>
        <w:adjustRightInd w:val="0"/>
        <w:snapToGrid w:val="0"/>
        <w:spacing w:line="420" w:lineRule="exact"/>
        <w:ind w:firstLine="210" w:firstLineChars="100"/>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 xml:space="preserve"> （9）承包人驻南雄市办公的项目负责人（即投标文件所拟派的项目负责人）必须负责本项目设计全过程（包括施工图设计审查、施工图设计修编、图纸会审和技术交底）。</w:t>
      </w:r>
    </w:p>
    <w:p w14:paraId="47BE2E5F">
      <w:pPr>
        <w:adjustRightInd w:val="0"/>
        <w:snapToGrid w:val="0"/>
        <w:spacing w:line="420" w:lineRule="exact"/>
        <w:ind w:firstLine="210" w:firstLineChars="100"/>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 xml:space="preserve"> （10）承包人应委派1名参与并熟悉本项目设计任务，有现场处理经验的设计代表常驻项目现场。承包人应为派驻现场的设计工作人员提供工作、生活及交通等方面的便利条件及准备必要的劳动保护装备。在正常施工阶段，每月应保证最少20天在现场。</w:t>
      </w:r>
    </w:p>
    <w:p w14:paraId="3289605B">
      <w:pPr>
        <w:adjustRightInd w:val="0"/>
        <w:snapToGrid w:val="0"/>
        <w:spacing w:line="420" w:lineRule="exact"/>
        <w:ind w:firstLine="210" w:firstLineChars="100"/>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 xml:space="preserve"> （11）承包人要按照批准的设计任务书，按照批准的总概算控制施工图设计，即限额设计。承包人要无条件对设计文件出现的遗漏或错误负责修改或补充，直到满足要求。</w:t>
      </w:r>
    </w:p>
    <w:p w14:paraId="38EE0E7A">
      <w:pPr>
        <w:adjustRightInd w:val="0"/>
        <w:snapToGrid w:val="0"/>
        <w:spacing w:line="420" w:lineRule="exact"/>
        <w:ind w:firstLine="214" w:firstLineChars="100"/>
        <w:rPr>
          <w:rFonts w:hint="default" w:hAnsi="宋体" w:eastAsia="宋体" w:cs="宋体"/>
          <w:color w:val="auto"/>
          <w:sz w:val="21"/>
          <w:szCs w:val="21"/>
          <w:highlight w:val="none"/>
        </w:rPr>
      </w:pPr>
      <w:r>
        <w:rPr>
          <w:rFonts w:hAnsi="宋体" w:eastAsia="宋体" w:cs="宋体"/>
          <w:color w:val="auto"/>
          <w:spacing w:val="2"/>
          <w:sz w:val="21"/>
          <w:szCs w:val="21"/>
          <w:highlight w:val="none"/>
        </w:rPr>
        <w:t xml:space="preserve"> （12）发包人及咨询</w:t>
      </w:r>
      <w:r>
        <w:rPr>
          <w:rFonts w:hAnsi="宋体" w:eastAsia="宋体" w:cs="宋体"/>
          <w:color w:val="auto"/>
          <w:spacing w:val="1"/>
          <w:sz w:val="21"/>
          <w:szCs w:val="21"/>
          <w:highlight w:val="none"/>
        </w:rPr>
        <w:t>单</w:t>
      </w:r>
      <w:r>
        <w:rPr>
          <w:rFonts w:hAnsi="宋体" w:eastAsia="宋体" w:cs="宋体"/>
          <w:color w:val="auto"/>
          <w:spacing w:val="2"/>
          <w:sz w:val="21"/>
          <w:szCs w:val="21"/>
          <w:highlight w:val="none"/>
        </w:rPr>
        <w:t>位、上级</w:t>
      </w:r>
      <w:r>
        <w:rPr>
          <w:rFonts w:hAnsi="宋体" w:eastAsia="宋体" w:cs="宋体"/>
          <w:color w:val="auto"/>
          <w:spacing w:val="1"/>
          <w:sz w:val="21"/>
          <w:szCs w:val="21"/>
          <w:highlight w:val="none"/>
        </w:rPr>
        <w:t>主</w:t>
      </w:r>
      <w:r>
        <w:rPr>
          <w:rFonts w:hAnsi="宋体" w:eastAsia="宋体" w:cs="宋体"/>
          <w:color w:val="auto"/>
          <w:spacing w:val="2"/>
          <w:sz w:val="21"/>
          <w:szCs w:val="21"/>
          <w:highlight w:val="none"/>
        </w:rPr>
        <w:t>管部门对设计</w:t>
      </w:r>
      <w:r>
        <w:rPr>
          <w:rFonts w:hAnsi="宋体" w:eastAsia="宋体" w:cs="宋体"/>
          <w:color w:val="auto"/>
          <w:sz w:val="21"/>
          <w:szCs w:val="21"/>
          <w:highlight w:val="none"/>
        </w:rPr>
        <w:t>文件的审查并不免除承包人的责任。</w:t>
      </w:r>
    </w:p>
    <w:p w14:paraId="02B3BEBC">
      <w:pPr>
        <w:adjustRightInd w:val="0"/>
        <w:snapToGrid w:val="0"/>
        <w:spacing w:line="420" w:lineRule="exact"/>
        <w:ind w:firstLine="315" w:firstLineChars="150"/>
        <w:rPr>
          <w:rFonts w:hint="default" w:hAnsi="宋体" w:eastAsia="宋体" w:cs="宋体"/>
          <w:snapToGrid w:val="0"/>
          <w:color w:val="auto"/>
          <w:kern w:val="0"/>
          <w:sz w:val="21"/>
          <w:szCs w:val="21"/>
          <w:highlight w:val="none"/>
        </w:rPr>
      </w:pPr>
      <w:r>
        <w:rPr>
          <w:rFonts w:hAnsi="宋体" w:eastAsia="宋体" w:cs="宋体"/>
          <w:color w:val="auto"/>
          <w:sz w:val="21"/>
          <w:szCs w:val="21"/>
          <w:highlight w:val="none"/>
        </w:rPr>
        <w:t>（13）中标通知书发出后三天内，中标单位法定代表人及主要负责人、项目经理、设计负责人应积极主动与发包人接洽工作，迅速有效推动工程前期工作顺利开展，逾期未履行，作违约处理。</w:t>
      </w:r>
    </w:p>
    <w:p w14:paraId="24E04A28">
      <w:pPr>
        <w:adjustRightInd w:val="0"/>
        <w:snapToGrid w:val="0"/>
        <w:spacing w:line="420" w:lineRule="exact"/>
        <w:ind w:firstLine="105" w:firstLineChars="50"/>
        <w:rPr>
          <w:rFonts w:hint="default" w:hAnsi="宋体" w:eastAsia="宋体" w:cs="宋体"/>
          <w:b/>
          <w:snapToGrid w:val="0"/>
          <w:color w:val="auto"/>
          <w:kern w:val="0"/>
          <w:sz w:val="21"/>
          <w:szCs w:val="21"/>
          <w:highlight w:val="none"/>
        </w:rPr>
      </w:pPr>
      <w:r>
        <w:rPr>
          <w:rFonts w:hAnsi="宋体" w:eastAsia="宋体" w:cs="宋体"/>
          <w:b/>
          <w:bCs/>
          <w:color w:val="auto"/>
          <w:sz w:val="21"/>
          <w:szCs w:val="21"/>
          <w:highlight w:val="none"/>
        </w:rPr>
        <w:t xml:space="preserve">   6.11.2 </w:t>
      </w:r>
      <w:r>
        <w:rPr>
          <w:rFonts w:hAnsi="宋体" w:eastAsia="宋体" w:cs="宋体"/>
          <w:b/>
          <w:snapToGrid w:val="0"/>
          <w:color w:val="auto"/>
          <w:kern w:val="0"/>
          <w:sz w:val="21"/>
          <w:szCs w:val="21"/>
          <w:highlight w:val="none"/>
        </w:rPr>
        <w:t>承包人违约的处理</w:t>
      </w:r>
    </w:p>
    <w:p w14:paraId="12E2A810">
      <w:pPr>
        <w:spacing w:line="420" w:lineRule="exact"/>
        <w:ind w:firstLine="315" w:firstLineChars="150"/>
        <w:rPr>
          <w:rFonts w:hint="default" w:hAnsi="宋体" w:eastAsia="宋体" w:cs="宋体"/>
          <w:color w:val="auto"/>
          <w:sz w:val="21"/>
          <w:szCs w:val="21"/>
          <w:highlight w:val="none"/>
        </w:rPr>
      </w:pPr>
      <w:r>
        <w:rPr>
          <w:rFonts w:hAnsi="宋体" w:eastAsia="宋体" w:cs="宋体"/>
          <w:color w:val="auto"/>
          <w:sz w:val="21"/>
          <w:szCs w:val="21"/>
          <w:highlight w:val="none"/>
        </w:rPr>
        <w:t>（1）承包人发生合同约定的违约情况时，无论发包人是否解除合同，发包人均有权按相关规定扣除</w:t>
      </w:r>
      <w:r>
        <w:rPr>
          <w:rFonts w:hAnsi="宋体" w:eastAsia="宋体" w:cs="宋体"/>
          <w:snapToGrid w:val="0"/>
          <w:color w:val="auto"/>
          <w:kern w:val="0"/>
          <w:sz w:val="21"/>
          <w:szCs w:val="21"/>
          <w:highlight w:val="none"/>
        </w:rPr>
        <w:t>承包人</w:t>
      </w:r>
      <w:r>
        <w:rPr>
          <w:rFonts w:hAnsi="宋体" w:eastAsia="宋体" w:cs="宋体"/>
          <w:color w:val="auto"/>
          <w:sz w:val="21"/>
          <w:szCs w:val="21"/>
          <w:highlight w:val="none"/>
        </w:rPr>
        <w:t>违约金，并由发包人将其违约行为记录在合同履约评价报告中，作为合同履约综合评价的依据。同时，发包人将</w:t>
      </w:r>
      <w:r>
        <w:rPr>
          <w:rFonts w:hAnsi="宋体" w:eastAsia="宋体" w:cs="宋体"/>
          <w:snapToGrid w:val="0"/>
          <w:color w:val="auto"/>
          <w:kern w:val="0"/>
          <w:sz w:val="21"/>
          <w:szCs w:val="21"/>
          <w:highlight w:val="none"/>
        </w:rPr>
        <w:t>承包人</w:t>
      </w:r>
      <w:r>
        <w:rPr>
          <w:rFonts w:hAnsi="宋体" w:eastAsia="宋体" w:cs="宋体"/>
          <w:color w:val="auto"/>
          <w:sz w:val="21"/>
          <w:szCs w:val="21"/>
          <w:highlight w:val="none"/>
        </w:rPr>
        <w:t>的违约行为</w:t>
      </w:r>
      <w:r>
        <w:rPr>
          <w:rFonts w:hAnsi="宋体" w:eastAsia="宋体" w:cs="宋体"/>
          <w:snapToGrid w:val="0"/>
          <w:color w:val="auto"/>
          <w:kern w:val="0"/>
          <w:sz w:val="21"/>
          <w:szCs w:val="21"/>
          <w:highlight w:val="none"/>
        </w:rPr>
        <w:t>上报建设行政主管部门。</w:t>
      </w:r>
    </w:p>
    <w:p w14:paraId="55B61FEB">
      <w:pPr>
        <w:spacing w:line="420" w:lineRule="exact"/>
        <w:ind w:firstLine="315" w:firstLineChars="150"/>
        <w:rPr>
          <w:rFonts w:hint="default" w:hAnsi="宋体" w:eastAsia="宋体" w:cs="宋体"/>
          <w:color w:val="auto"/>
          <w:sz w:val="21"/>
          <w:szCs w:val="21"/>
          <w:highlight w:val="none"/>
        </w:rPr>
      </w:pPr>
      <w:r>
        <w:rPr>
          <w:rFonts w:hAnsi="宋体" w:eastAsia="宋体" w:cs="宋体"/>
          <w:color w:val="auto"/>
          <w:sz w:val="21"/>
          <w:szCs w:val="21"/>
          <w:highlight w:val="none"/>
        </w:rPr>
        <w:t>（2）发包人按合同规定向</w:t>
      </w:r>
      <w:r>
        <w:rPr>
          <w:rFonts w:hAnsi="宋体" w:eastAsia="宋体" w:cs="宋体"/>
          <w:snapToGrid w:val="0"/>
          <w:color w:val="auto"/>
          <w:kern w:val="0"/>
          <w:sz w:val="21"/>
          <w:szCs w:val="21"/>
          <w:highlight w:val="none"/>
        </w:rPr>
        <w:t>承包人</w:t>
      </w:r>
      <w:r>
        <w:rPr>
          <w:rFonts w:hAnsi="宋体" w:eastAsia="宋体" w:cs="宋体"/>
          <w:color w:val="auto"/>
          <w:sz w:val="21"/>
          <w:szCs w:val="21"/>
          <w:highlight w:val="none"/>
        </w:rPr>
        <w:t>开出的任何违约金，除合同另有规定外，均从发包人应向</w:t>
      </w:r>
      <w:r>
        <w:rPr>
          <w:rFonts w:hAnsi="宋体" w:eastAsia="宋体" w:cs="宋体"/>
          <w:snapToGrid w:val="0"/>
          <w:color w:val="auto"/>
          <w:kern w:val="0"/>
          <w:sz w:val="21"/>
          <w:szCs w:val="21"/>
          <w:highlight w:val="none"/>
        </w:rPr>
        <w:t>承包人</w:t>
      </w:r>
      <w:r>
        <w:rPr>
          <w:rFonts w:hAnsi="宋体" w:eastAsia="宋体" w:cs="宋体"/>
          <w:color w:val="auto"/>
          <w:sz w:val="21"/>
          <w:szCs w:val="21"/>
          <w:highlight w:val="none"/>
        </w:rPr>
        <w:t>支付的服务费中直接扣除。除非合同另有规定，发包人向</w:t>
      </w:r>
      <w:r>
        <w:rPr>
          <w:rFonts w:hAnsi="宋体" w:eastAsia="宋体" w:cs="宋体"/>
          <w:snapToGrid w:val="0"/>
          <w:color w:val="auto"/>
          <w:kern w:val="0"/>
          <w:sz w:val="21"/>
          <w:szCs w:val="21"/>
          <w:highlight w:val="none"/>
        </w:rPr>
        <w:t>承包人</w:t>
      </w:r>
      <w:r>
        <w:rPr>
          <w:rFonts w:hAnsi="宋体" w:eastAsia="宋体" w:cs="宋体"/>
          <w:color w:val="auto"/>
          <w:sz w:val="21"/>
          <w:szCs w:val="21"/>
          <w:highlight w:val="none"/>
        </w:rPr>
        <w:t>开出的任何违约金将导致承包人最终的应得结算价款相应地减少。</w:t>
      </w:r>
      <w:r>
        <w:rPr>
          <w:rFonts w:hAnsi="宋体" w:eastAsia="宋体" w:cs="宋体"/>
          <w:snapToGrid w:val="0"/>
          <w:color w:val="auto"/>
          <w:kern w:val="0"/>
          <w:sz w:val="21"/>
          <w:szCs w:val="21"/>
          <w:highlight w:val="none"/>
        </w:rPr>
        <w:t>承包人</w:t>
      </w:r>
      <w:r>
        <w:rPr>
          <w:rFonts w:hAnsi="宋体" w:eastAsia="宋体" w:cs="宋体"/>
          <w:color w:val="auto"/>
          <w:sz w:val="21"/>
          <w:szCs w:val="21"/>
          <w:highlight w:val="none"/>
        </w:rPr>
        <w:t>必须完全接受上述条款。</w:t>
      </w:r>
    </w:p>
    <w:p w14:paraId="50C3C3DB">
      <w:pPr>
        <w:spacing w:line="420" w:lineRule="exact"/>
        <w:ind w:firstLine="315" w:firstLineChars="150"/>
        <w:rPr>
          <w:rFonts w:hint="default" w:hAnsi="宋体" w:eastAsia="宋体" w:cs="宋体"/>
          <w:color w:val="auto"/>
          <w:sz w:val="21"/>
          <w:szCs w:val="21"/>
          <w:highlight w:val="none"/>
        </w:rPr>
      </w:pPr>
      <w:r>
        <w:rPr>
          <w:rFonts w:hAnsi="宋体" w:eastAsia="宋体" w:cs="宋体"/>
          <w:color w:val="auto"/>
          <w:sz w:val="21"/>
          <w:szCs w:val="21"/>
          <w:highlight w:val="none"/>
        </w:rPr>
        <w:t>（3）发包人按合同规定向</w:t>
      </w:r>
      <w:r>
        <w:rPr>
          <w:rFonts w:hAnsi="宋体" w:eastAsia="宋体" w:cs="宋体"/>
          <w:snapToGrid w:val="0"/>
          <w:color w:val="auto"/>
          <w:kern w:val="0"/>
          <w:sz w:val="21"/>
          <w:szCs w:val="21"/>
          <w:highlight w:val="none"/>
        </w:rPr>
        <w:t>承包人</w:t>
      </w:r>
      <w:r>
        <w:rPr>
          <w:rFonts w:hAnsi="宋体" w:eastAsia="宋体" w:cs="宋体"/>
          <w:color w:val="auto"/>
          <w:sz w:val="21"/>
          <w:szCs w:val="21"/>
          <w:highlight w:val="none"/>
        </w:rPr>
        <w:t>开出的任何违约金的扣除时间，可以在发包人认为合适的任何一个期中支付月份中扣除。发包人扣除违约金时间的延迟或滞后并不代表对</w:t>
      </w:r>
      <w:r>
        <w:rPr>
          <w:rFonts w:hAnsi="宋体" w:eastAsia="宋体" w:cs="宋体"/>
          <w:snapToGrid w:val="0"/>
          <w:color w:val="auto"/>
          <w:kern w:val="0"/>
          <w:sz w:val="21"/>
          <w:szCs w:val="21"/>
          <w:highlight w:val="none"/>
        </w:rPr>
        <w:t>承包人</w:t>
      </w:r>
      <w:r>
        <w:rPr>
          <w:rFonts w:hAnsi="宋体" w:eastAsia="宋体" w:cs="宋体"/>
          <w:color w:val="auto"/>
          <w:sz w:val="21"/>
          <w:szCs w:val="21"/>
          <w:highlight w:val="none"/>
        </w:rPr>
        <w:t>当时各种行为的认可或默认。</w:t>
      </w:r>
    </w:p>
    <w:p w14:paraId="260F3B69">
      <w:pPr>
        <w:spacing w:line="420" w:lineRule="exact"/>
        <w:ind w:firstLine="315" w:firstLineChars="150"/>
        <w:rPr>
          <w:rFonts w:hint="default" w:hAnsi="宋体" w:eastAsia="宋体" w:cs="宋体"/>
          <w:color w:val="auto"/>
          <w:sz w:val="21"/>
          <w:szCs w:val="21"/>
          <w:highlight w:val="none"/>
        </w:rPr>
      </w:pPr>
      <w:r>
        <w:rPr>
          <w:rFonts w:hAnsi="宋体" w:eastAsia="宋体" w:cs="宋体"/>
          <w:color w:val="auto"/>
          <w:sz w:val="21"/>
          <w:szCs w:val="21"/>
          <w:highlight w:val="none"/>
        </w:rPr>
        <w:t>（4）</w:t>
      </w:r>
      <w:r>
        <w:rPr>
          <w:rFonts w:hAnsi="宋体" w:eastAsia="宋体" w:cs="宋体"/>
          <w:snapToGrid w:val="0"/>
          <w:color w:val="auto"/>
          <w:kern w:val="0"/>
          <w:sz w:val="21"/>
          <w:szCs w:val="21"/>
          <w:highlight w:val="none"/>
        </w:rPr>
        <w:t>承包人</w:t>
      </w:r>
      <w:r>
        <w:rPr>
          <w:rFonts w:hAnsi="宋体" w:eastAsia="宋体" w:cs="宋体"/>
          <w:color w:val="auto"/>
          <w:sz w:val="21"/>
          <w:szCs w:val="21"/>
          <w:highlight w:val="none"/>
        </w:rPr>
        <w:t>的违约金由发包人掌握使用。</w:t>
      </w:r>
    </w:p>
    <w:p w14:paraId="01FCFADC">
      <w:pPr>
        <w:spacing w:line="420" w:lineRule="exact"/>
        <w:ind w:firstLine="422" w:firstLineChars="200"/>
        <w:rPr>
          <w:rFonts w:hint="default" w:hAnsi="宋体" w:eastAsia="宋体" w:cs="宋体"/>
          <w:b/>
          <w:bCs/>
          <w:color w:val="auto"/>
          <w:sz w:val="21"/>
          <w:szCs w:val="21"/>
          <w:highlight w:val="none"/>
        </w:rPr>
      </w:pPr>
      <w:r>
        <w:rPr>
          <w:rFonts w:hAnsi="宋体" w:eastAsia="宋体" w:cs="宋体"/>
          <w:b/>
          <w:bCs/>
          <w:color w:val="auto"/>
          <w:sz w:val="21"/>
          <w:szCs w:val="21"/>
          <w:highlight w:val="none"/>
        </w:rPr>
        <w:t>6.12发包人有权根据有关管理制度对承包人的履约情况纳入履约信用评价体系进行履约信用评价，并将评价结果报送给有关监管部门。</w:t>
      </w:r>
    </w:p>
    <w:p w14:paraId="59D2F34E">
      <w:pPr>
        <w:pStyle w:val="7"/>
        <w:spacing w:line="42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履约信用评价按发包人履约信用评价管理规定执行，评价内容包含人员到位情况、服务配合程度、服务成果质量、项目后期服务及履约信用评价结果的运用等。</w:t>
      </w:r>
    </w:p>
    <w:p w14:paraId="6C86E820">
      <w:pPr>
        <w:rPr>
          <w:rFonts w:hint="default" w:asciiTheme="minorEastAsia" w:hAnsiTheme="minorEastAsia" w:eastAsiaTheme="minorEastAsia" w:cstheme="minorEastAsia"/>
          <w:b/>
          <w:color w:val="auto"/>
          <w:kern w:val="44"/>
          <w:sz w:val="21"/>
          <w:szCs w:val="21"/>
          <w:highlight w:val="none"/>
        </w:rPr>
      </w:pPr>
      <w:bookmarkStart w:id="393" w:name="_Toc10003"/>
      <w:bookmarkStart w:id="394" w:name="_Toc16036"/>
      <w:bookmarkStart w:id="395" w:name="_Toc15865"/>
      <w:bookmarkStart w:id="396" w:name="_Toc5081"/>
      <w:bookmarkStart w:id="397" w:name="_Toc28950"/>
      <w:bookmarkStart w:id="398" w:name="_Toc11306"/>
      <w:bookmarkStart w:id="399" w:name="_Toc31905"/>
      <w:bookmarkStart w:id="400" w:name="_Toc18208"/>
      <w:r>
        <w:rPr>
          <w:rFonts w:asciiTheme="minorEastAsia" w:hAnsiTheme="minorEastAsia" w:eastAsiaTheme="minorEastAsia" w:cstheme="minorEastAsia"/>
          <w:b/>
          <w:color w:val="auto"/>
          <w:kern w:val="44"/>
          <w:sz w:val="21"/>
          <w:szCs w:val="21"/>
          <w:highlight w:val="none"/>
        </w:rPr>
        <w:br w:type="page"/>
      </w:r>
    </w:p>
    <w:p w14:paraId="66841E5F">
      <w:pPr>
        <w:pStyle w:val="43"/>
        <w:keepNext/>
        <w:keepLines/>
        <w:tabs>
          <w:tab w:val="left" w:pos="885"/>
        </w:tabs>
        <w:spacing w:line="400" w:lineRule="exact"/>
        <w:jc w:val="center"/>
        <w:rPr>
          <w:rFonts w:asciiTheme="minorEastAsia" w:hAnsiTheme="minorEastAsia" w:eastAsiaTheme="minorEastAsia" w:cstheme="minorEastAsia"/>
          <w:b/>
          <w:color w:val="auto"/>
          <w:kern w:val="44"/>
          <w:sz w:val="36"/>
          <w:szCs w:val="36"/>
          <w:highlight w:val="none"/>
        </w:rPr>
      </w:pPr>
      <w:bookmarkStart w:id="401" w:name="_Toc27678"/>
      <w:r>
        <w:rPr>
          <w:rFonts w:hint="eastAsia" w:asciiTheme="minorEastAsia" w:hAnsiTheme="minorEastAsia" w:eastAsiaTheme="minorEastAsia" w:cstheme="minorEastAsia"/>
          <w:b/>
          <w:color w:val="auto"/>
          <w:kern w:val="44"/>
          <w:sz w:val="36"/>
          <w:szCs w:val="36"/>
          <w:highlight w:val="none"/>
        </w:rPr>
        <w:t>第三</w:t>
      </w:r>
      <w:bookmarkStart w:id="402" w:name="_Hlt69669171"/>
      <w:bookmarkEnd w:id="402"/>
      <w:r>
        <w:rPr>
          <w:rFonts w:hint="eastAsia" w:asciiTheme="minorEastAsia" w:hAnsiTheme="minorEastAsia" w:eastAsiaTheme="minorEastAsia" w:cstheme="minorEastAsia"/>
          <w:b/>
          <w:color w:val="auto"/>
          <w:kern w:val="44"/>
          <w:sz w:val="36"/>
          <w:szCs w:val="36"/>
          <w:highlight w:val="none"/>
        </w:rPr>
        <w:t>章</w:t>
      </w:r>
      <w:bookmarkStart w:id="403" w:name="_Hlt87793839"/>
      <w:bookmarkEnd w:id="403"/>
      <w:r>
        <w:rPr>
          <w:rFonts w:hint="eastAsia" w:asciiTheme="minorEastAsia" w:hAnsiTheme="minorEastAsia" w:eastAsiaTheme="minorEastAsia" w:cstheme="minorEastAsia"/>
          <w:b/>
          <w:color w:val="auto"/>
          <w:kern w:val="44"/>
          <w:sz w:val="36"/>
          <w:szCs w:val="36"/>
          <w:highlight w:val="none"/>
        </w:rPr>
        <w:t xml:space="preserve"> 中标人须知</w:t>
      </w:r>
      <w:bookmarkEnd w:id="393"/>
      <w:bookmarkEnd w:id="394"/>
      <w:bookmarkEnd w:id="395"/>
      <w:bookmarkEnd w:id="396"/>
      <w:bookmarkEnd w:id="397"/>
      <w:bookmarkEnd w:id="398"/>
      <w:bookmarkEnd w:id="399"/>
      <w:bookmarkEnd w:id="400"/>
      <w:bookmarkEnd w:id="401"/>
    </w:p>
    <w:p w14:paraId="225561F3">
      <w:pPr>
        <w:pStyle w:val="42"/>
        <w:spacing w:line="440" w:lineRule="exact"/>
        <w:rPr>
          <w:rFonts w:hAnsi="宋体" w:cs="宋体"/>
          <w:color w:val="auto"/>
          <w:sz w:val="21"/>
          <w:szCs w:val="21"/>
          <w:highlight w:val="none"/>
        </w:rPr>
      </w:pPr>
    </w:p>
    <w:bookmarkEnd w:id="339"/>
    <w:bookmarkEnd w:id="340"/>
    <w:bookmarkEnd w:id="341"/>
    <w:p w14:paraId="2DDDBF1A">
      <w:pPr>
        <w:spacing w:line="440" w:lineRule="exact"/>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3.1  </w:t>
      </w:r>
      <w:r>
        <w:rPr>
          <w:rFonts w:hAnsi="宋体" w:eastAsia="宋体" w:cs="宋体"/>
          <w:color w:val="auto"/>
          <w:sz w:val="21"/>
          <w:szCs w:val="21"/>
          <w:highlight w:val="none"/>
        </w:rPr>
        <w:t>招标人向中标人发出的《中标通知书》对招标人和中标人均具有法律约束力。中标通知书发出后，招标人改变中标结果和中标人放弃中标的，应当承担法律责任。</w:t>
      </w:r>
    </w:p>
    <w:p w14:paraId="3D7A5819">
      <w:pPr>
        <w:spacing w:line="440" w:lineRule="exact"/>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3.2  </w:t>
      </w:r>
      <w:r>
        <w:rPr>
          <w:rFonts w:hAnsi="宋体" w:eastAsia="宋体" w:cs="宋体"/>
          <w:color w:val="auto"/>
          <w:sz w:val="21"/>
          <w:szCs w:val="21"/>
          <w:highlight w:val="none"/>
        </w:rPr>
        <w:t>中标人不与招标人签订合同，招标人可以取消其中标人资格。给招标人造成经济损失的，招标人可以向中标人索赔。</w:t>
      </w:r>
    </w:p>
    <w:p w14:paraId="246D17E8">
      <w:pPr>
        <w:spacing w:line="440" w:lineRule="exact"/>
        <w:ind w:firstLine="480"/>
        <w:rPr>
          <w:rFonts w:hint="default" w:hAnsi="宋体" w:eastAsia="宋体" w:cs="宋体"/>
          <w:color w:val="auto"/>
          <w:sz w:val="21"/>
          <w:szCs w:val="21"/>
          <w:highlight w:val="none"/>
        </w:rPr>
      </w:pPr>
      <w:r>
        <w:rPr>
          <w:rFonts w:hAnsi="宋体" w:eastAsia="宋体" w:cs="宋体"/>
          <w:b/>
          <w:color w:val="auto"/>
          <w:sz w:val="21"/>
          <w:szCs w:val="21"/>
          <w:highlight w:val="none"/>
        </w:rPr>
        <w:t xml:space="preserve">3.3  </w:t>
      </w:r>
      <w:r>
        <w:rPr>
          <w:rFonts w:hAnsi="宋体" w:eastAsia="宋体" w:cs="宋体"/>
          <w:color w:val="auto"/>
          <w:sz w:val="21"/>
          <w:szCs w:val="21"/>
          <w:highlight w:val="none"/>
        </w:rPr>
        <w:t>中标人在施工期间应严格遵守国家、省、市有关防火、爆破和施工安全以及文明施工、深夜施工、环卫城管等规定，建立规章制度和防护措施。否则，由此造成的经济损失和法律责任，均由中标人负责。</w:t>
      </w:r>
    </w:p>
    <w:p w14:paraId="55E6D44B">
      <w:pPr>
        <w:spacing w:line="44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中标人必须做好施工场地地下地上管线和邻近建筑物、构筑物（包括文物保护建筑）、名树名木（如有）的保护工作。</w:t>
      </w:r>
    </w:p>
    <w:p w14:paraId="3DC88058">
      <w:pPr>
        <w:spacing w:line="440" w:lineRule="exact"/>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3.4  </w:t>
      </w:r>
      <w:r>
        <w:rPr>
          <w:rFonts w:hAnsi="宋体" w:eastAsia="宋体" w:cs="宋体"/>
          <w:color w:val="auto"/>
          <w:sz w:val="21"/>
          <w:szCs w:val="21"/>
          <w:highlight w:val="none"/>
        </w:rPr>
        <w:t>中标人应按安全施工的要求，采取严格科学的安全措施，确保施工安全和第三者的安全，承担由于自身安全措施不力所造成的事故责任和发生的费用。</w:t>
      </w:r>
    </w:p>
    <w:p w14:paraId="4E76383F">
      <w:pPr>
        <w:spacing w:line="440" w:lineRule="exact"/>
        <w:rPr>
          <w:rFonts w:hint="default" w:hAnsi="宋体" w:eastAsia="宋体" w:cs="宋体"/>
          <w:color w:val="auto"/>
          <w:sz w:val="21"/>
          <w:szCs w:val="21"/>
          <w:highlight w:val="none"/>
        </w:rPr>
      </w:pPr>
      <w:bookmarkStart w:id="404" w:name="_Hlt93117969"/>
      <w:r>
        <w:rPr>
          <w:rFonts w:hAnsi="宋体" w:eastAsia="宋体" w:cs="宋体"/>
          <w:b/>
          <w:color w:val="auto"/>
          <w:sz w:val="21"/>
          <w:szCs w:val="21"/>
          <w:highlight w:val="none"/>
        </w:rPr>
        <w:t xml:space="preserve">    3.5  </w:t>
      </w:r>
      <w:r>
        <w:rPr>
          <w:rFonts w:hAnsi="宋体" w:eastAsia="宋体" w:cs="宋体"/>
          <w:color w:val="auto"/>
          <w:sz w:val="21"/>
          <w:szCs w:val="21"/>
          <w:highlight w:val="none"/>
        </w:rPr>
        <w:t>为保证施工现场的环境卫生，中标人在本项目施工过程中，所有的车辆必须按招标人规定的行车路线行驶。</w:t>
      </w:r>
    </w:p>
    <w:bookmarkEnd w:id="404"/>
    <w:p w14:paraId="5EC8758E">
      <w:pPr>
        <w:spacing w:line="440" w:lineRule="exact"/>
        <w:ind w:firstLine="480"/>
        <w:rPr>
          <w:rFonts w:hint="default" w:hAnsi="宋体" w:eastAsia="宋体" w:cs="宋体"/>
          <w:color w:val="auto"/>
          <w:sz w:val="21"/>
          <w:szCs w:val="21"/>
          <w:highlight w:val="none"/>
        </w:rPr>
      </w:pPr>
      <w:r>
        <w:rPr>
          <w:rFonts w:hAnsi="宋体" w:eastAsia="宋体" w:cs="宋体"/>
          <w:b/>
          <w:color w:val="auto"/>
          <w:sz w:val="21"/>
          <w:szCs w:val="21"/>
          <w:highlight w:val="none"/>
        </w:rPr>
        <w:t xml:space="preserve">3.6  </w:t>
      </w:r>
      <w:r>
        <w:rPr>
          <w:rFonts w:hAnsi="宋体" w:eastAsia="宋体" w:cs="宋体"/>
          <w:color w:val="auto"/>
          <w:sz w:val="21"/>
          <w:szCs w:val="21"/>
          <w:highlight w:val="none"/>
        </w:rPr>
        <w:t>中标人的投标书所报的项目管理班子人员（项目经理、技术负责人、施工员、质量员、安全员等）必须是</w:t>
      </w:r>
      <w:bookmarkStart w:id="405" w:name="_Hlt66261069"/>
      <w:bookmarkEnd w:id="405"/>
      <w:r>
        <w:rPr>
          <w:rFonts w:hAnsi="宋体" w:eastAsia="宋体" w:cs="宋体"/>
          <w:color w:val="auto"/>
          <w:sz w:val="21"/>
          <w:szCs w:val="21"/>
          <w:highlight w:val="none"/>
        </w:rPr>
        <w:t>中标后实际的项目管理班子人员，否则招标人有权终止合同。</w:t>
      </w:r>
    </w:p>
    <w:p w14:paraId="6D660D6C">
      <w:pPr>
        <w:pStyle w:val="7"/>
        <w:spacing w:line="440" w:lineRule="exact"/>
        <w:ind w:firstLine="480"/>
        <w:rPr>
          <w:rFonts w:ascii="宋体" w:hAnsi="宋体" w:cs="宋体"/>
          <w:color w:val="auto"/>
          <w:sz w:val="21"/>
          <w:szCs w:val="21"/>
          <w:highlight w:val="none"/>
        </w:rPr>
      </w:pPr>
      <w:r>
        <w:rPr>
          <w:rFonts w:hint="eastAsia" w:ascii="宋体" w:hAnsi="宋体" w:cs="宋体"/>
          <w:b/>
          <w:bCs/>
          <w:snapToGrid w:val="0"/>
          <w:color w:val="auto"/>
          <w:kern w:val="0"/>
          <w:sz w:val="21"/>
          <w:szCs w:val="21"/>
          <w:highlight w:val="none"/>
        </w:rPr>
        <w:t>根据项目实施进度情况，招标人有权要求中标人增派项目管理人员，以满足项目的现场管理工作要求。</w:t>
      </w:r>
    </w:p>
    <w:p w14:paraId="0EDBA6D5">
      <w:pPr>
        <w:spacing w:line="440" w:lineRule="exact"/>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3.7  </w:t>
      </w:r>
      <w:r>
        <w:rPr>
          <w:rFonts w:hAnsi="宋体" w:eastAsia="宋体" w:cs="宋体"/>
          <w:color w:val="auto"/>
          <w:sz w:val="21"/>
          <w:szCs w:val="21"/>
          <w:highlight w:val="none"/>
        </w:rPr>
        <w:t>项目竣工验收合格后三十个工作日内必须向招标人提供一式八份符合韶关市及南雄市城市建设档案馆要求的工程竣工档案（含纸质、声像及电子等形式的档案），声像及电子档案的制作费用由中标人承担。</w:t>
      </w:r>
    </w:p>
    <w:p w14:paraId="47871D23">
      <w:pPr>
        <w:spacing w:line="440" w:lineRule="exact"/>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3.8  </w:t>
      </w:r>
      <w:r>
        <w:rPr>
          <w:rFonts w:hAnsi="宋体" w:eastAsia="宋体" w:cs="宋体"/>
          <w:color w:val="auto"/>
          <w:sz w:val="21"/>
          <w:szCs w:val="21"/>
          <w:highlight w:val="none"/>
        </w:rPr>
        <w:t>合同范围内的工程项目未经招标人同意一律不得分包，一经发现，取消中标人的承包资格，中标人承担由此引起的一切责任和经济损失。</w:t>
      </w:r>
    </w:p>
    <w:p w14:paraId="55CA10D6">
      <w:pPr>
        <w:spacing w:line="440" w:lineRule="exact"/>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3.9  </w:t>
      </w:r>
      <w:r>
        <w:rPr>
          <w:rFonts w:hAnsi="宋体" w:eastAsia="宋体" w:cs="宋体"/>
          <w:color w:val="auto"/>
          <w:sz w:val="21"/>
          <w:szCs w:val="21"/>
          <w:highlight w:val="none"/>
        </w:rPr>
        <w:t>现场应自设检验实验室，用于对建筑材料、构件和建筑物进行一般性鉴定、检查等。</w:t>
      </w:r>
    </w:p>
    <w:p w14:paraId="5B0B1463">
      <w:pPr>
        <w:spacing w:line="440" w:lineRule="exact"/>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3.10  </w:t>
      </w:r>
      <w:r>
        <w:rPr>
          <w:rFonts w:hAnsi="宋体" w:eastAsia="宋体" w:cs="宋体"/>
          <w:color w:val="auto"/>
          <w:sz w:val="21"/>
          <w:szCs w:val="21"/>
          <w:highlight w:val="none"/>
        </w:rPr>
        <w:t>中标人须服从工程监理单位对工程质量全方位的监理，施工中的年度计划、季度计划、月度计划、施工方案等应报送监理单位审批和招标人备案。施工中的质量保证等资料均应及时报送监理单位和招标人备案。</w:t>
      </w:r>
    </w:p>
    <w:p w14:paraId="2CD1DEFB">
      <w:pPr>
        <w:spacing w:line="440" w:lineRule="exact"/>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3.11  </w:t>
      </w:r>
      <w:r>
        <w:rPr>
          <w:rFonts w:hAnsi="宋体" w:eastAsia="宋体" w:cs="宋体"/>
          <w:color w:val="auto"/>
          <w:sz w:val="21"/>
          <w:szCs w:val="21"/>
          <w:highlight w:val="none"/>
        </w:rPr>
        <w:t>招标文件、招标答疑书、投标文件和中标通知书是招标人与中标人双方签订的施工合同的主要组成部分，并与合同一样，具有相同的法律效力。</w:t>
      </w:r>
      <w:bookmarkStart w:id="406" w:name="_Hlt66508904"/>
      <w:bookmarkEnd w:id="406"/>
      <w:r>
        <w:rPr>
          <w:rFonts w:hAnsi="宋体" w:eastAsia="宋体" w:cs="宋体"/>
          <w:color w:val="auto"/>
          <w:sz w:val="21"/>
          <w:szCs w:val="21"/>
          <w:highlight w:val="none"/>
        </w:rPr>
        <w:t>如中标通知书发出后，发现中标人的投标文件中有与招标文件所述内容及要求不符的，按招标文件执行。</w:t>
      </w:r>
    </w:p>
    <w:p w14:paraId="29A27007">
      <w:pPr>
        <w:spacing w:line="440" w:lineRule="exact"/>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3.12  </w:t>
      </w:r>
      <w:r>
        <w:rPr>
          <w:rFonts w:hAnsi="宋体" w:eastAsia="宋体" w:cs="宋体"/>
          <w:color w:val="auto"/>
          <w:sz w:val="21"/>
          <w:szCs w:val="21"/>
          <w:highlight w:val="none"/>
        </w:rPr>
        <w:t>中标人中标之后，若招标范围内有专业工程必须分包的，招标人不另行支付总包服务费；其分包合同由中标人与分包人双方签订，招标人不参与中标人与分包人之间的结算，该部分工程的造价仍按中标人与招标人签订的合同的有关结算条款进行结算。</w:t>
      </w:r>
    </w:p>
    <w:p w14:paraId="67A8A837">
      <w:pPr>
        <w:spacing w:line="440" w:lineRule="exact"/>
        <w:ind w:firstLine="310" w:firstLineChars="147"/>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3.13  </w:t>
      </w:r>
      <w:r>
        <w:rPr>
          <w:rFonts w:hAnsi="宋体" w:eastAsia="宋体" w:cs="宋体"/>
          <w:color w:val="auto"/>
          <w:sz w:val="21"/>
          <w:szCs w:val="21"/>
          <w:highlight w:val="none"/>
        </w:rPr>
        <w:t>若设计超过了限额标准，中标人必须无条件优化，直至达到限额要求为止，设计及施工工期不予以顺延，招标人不再支付由此而增加的设计费。</w:t>
      </w:r>
    </w:p>
    <w:p w14:paraId="215A4359">
      <w:pPr>
        <w:spacing w:line="440" w:lineRule="exact"/>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3.14  </w:t>
      </w:r>
      <w:r>
        <w:rPr>
          <w:rFonts w:hAnsi="宋体" w:eastAsia="宋体" w:cs="宋体"/>
          <w:color w:val="auto"/>
          <w:sz w:val="21"/>
          <w:szCs w:val="21"/>
          <w:highlight w:val="none"/>
        </w:rPr>
        <w:t>中标人提交的施工图阶段的设计成果必须经招标人组织的专家委员会评审确认后，再送有资质的审图单位的进行审查，若由于专家委员会和审图单位在审查过程中提出的设计修改或变更，中标人必须无条件进行修改或优化设计，招标人不再支付由此而增加的设计费用。</w:t>
      </w:r>
    </w:p>
    <w:p w14:paraId="1A1A3E9A">
      <w:pPr>
        <w:spacing w:line="440" w:lineRule="exact"/>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3.15 </w:t>
      </w:r>
      <w:r>
        <w:rPr>
          <w:rFonts w:hAnsi="宋体" w:eastAsia="宋体" w:cs="宋体"/>
          <w:color w:val="auto"/>
          <w:sz w:val="21"/>
          <w:szCs w:val="21"/>
          <w:highlight w:val="none"/>
        </w:rPr>
        <w:t>增加工程造价在施工14天前中标人必须提供详细的报价书（含工程项目名称、变更部位、理由、预计造价等）给监理单位核实并报招标人或有关审核部门核定后，方可施工。</w:t>
      </w:r>
    </w:p>
    <w:p w14:paraId="73FEE47E">
      <w:pPr>
        <w:spacing w:line="440" w:lineRule="exact"/>
        <w:ind w:firstLine="310" w:firstLineChars="147"/>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3.16 </w:t>
      </w:r>
      <w:r>
        <w:rPr>
          <w:rFonts w:hAnsi="宋体" w:eastAsia="宋体" w:cs="宋体"/>
          <w:color w:val="auto"/>
          <w:sz w:val="21"/>
          <w:szCs w:val="21"/>
          <w:highlight w:val="none"/>
        </w:rPr>
        <w:t xml:space="preserve"> 中标人中标后，必须按规定到韶关市公共资源交易中心办理相关手续方可领取中标通知书。</w:t>
      </w:r>
    </w:p>
    <w:p w14:paraId="05738C62">
      <w:pPr>
        <w:spacing w:line="440" w:lineRule="exact"/>
        <w:ind w:firstLine="310" w:firstLineChars="147"/>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3.17 </w:t>
      </w:r>
      <w:r>
        <w:rPr>
          <w:rFonts w:hAnsi="宋体" w:eastAsia="宋体" w:cs="宋体"/>
          <w:color w:val="auto"/>
          <w:sz w:val="21"/>
          <w:szCs w:val="21"/>
          <w:highlight w:val="none"/>
        </w:rPr>
        <w:t>中标人中标后必须按招标人的要求采购材料及设备。</w:t>
      </w:r>
    </w:p>
    <w:p w14:paraId="02F6D42A">
      <w:pPr>
        <w:spacing w:line="440" w:lineRule="exact"/>
        <w:ind w:firstLine="310" w:firstLineChars="147"/>
        <w:rPr>
          <w:rFonts w:hint="default" w:hAnsi="宋体" w:eastAsia="宋体" w:cs="宋体"/>
          <w:b/>
          <w:bCs/>
          <w:color w:val="auto"/>
          <w:sz w:val="21"/>
          <w:szCs w:val="21"/>
          <w:highlight w:val="none"/>
        </w:rPr>
      </w:pPr>
      <w:r>
        <w:rPr>
          <w:rFonts w:hAnsi="宋体" w:eastAsia="宋体" w:cs="宋体"/>
          <w:b/>
          <w:color w:val="auto"/>
          <w:sz w:val="21"/>
          <w:szCs w:val="21"/>
          <w:highlight w:val="none"/>
        </w:rPr>
        <w:t xml:space="preserve"> 3.18 </w:t>
      </w:r>
      <w:r>
        <w:rPr>
          <w:rFonts w:hAnsi="宋体" w:eastAsia="宋体" w:cs="宋体"/>
          <w:b/>
          <w:bCs/>
          <w:color w:val="auto"/>
          <w:sz w:val="21"/>
          <w:szCs w:val="21"/>
          <w:highlight w:val="none"/>
        </w:rPr>
        <w:t>中标通知书发出后，中标方应在30个日历天内缴工人工资保证金、意外伤害险等。</w:t>
      </w:r>
    </w:p>
    <w:p w14:paraId="6C7D376D">
      <w:pPr>
        <w:wordWrap w:val="0"/>
        <w:adjustRightInd w:val="0"/>
        <w:snapToGrid w:val="0"/>
        <w:spacing w:line="440" w:lineRule="exact"/>
        <w:ind w:firstLine="422" w:firstLineChars="200"/>
        <w:rPr>
          <w:rFonts w:hint="default" w:hAnsi="宋体" w:eastAsia="宋体" w:cs="宋体"/>
          <w:b/>
          <w:bCs/>
          <w:snapToGrid w:val="0"/>
          <w:color w:val="auto"/>
          <w:kern w:val="0"/>
          <w:sz w:val="21"/>
          <w:szCs w:val="21"/>
          <w:highlight w:val="none"/>
        </w:rPr>
      </w:pPr>
      <w:r>
        <w:rPr>
          <w:rFonts w:hAnsi="宋体" w:eastAsia="宋体" w:cs="宋体"/>
          <w:b/>
          <w:bCs/>
          <w:snapToGrid w:val="0"/>
          <w:color w:val="auto"/>
          <w:kern w:val="0"/>
          <w:sz w:val="21"/>
          <w:szCs w:val="21"/>
          <w:highlight w:val="none"/>
        </w:rPr>
        <w:t>中标人必须在项目开工前，在项目所在地银行</w:t>
      </w:r>
      <w:r>
        <w:rPr>
          <w:rFonts w:hAnsi="宋体" w:eastAsia="宋体" w:cs="宋体"/>
          <w:b/>
          <w:bCs/>
          <w:color w:val="auto"/>
          <w:sz w:val="21"/>
          <w:szCs w:val="21"/>
          <w:highlight w:val="none"/>
        </w:rPr>
        <w:t>设立工人工资支付专用账户和安全文明施工措施费专用帐户</w:t>
      </w:r>
      <w:r>
        <w:rPr>
          <w:rFonts w:hAnsi="宋体" w:eastAsia="宋体" w:cs="宋体"/>
          <w:b/>
          <w:bCs/>
          <w:snapToGrid w:val="0"/>
          <w:color w:val="auto"/>
          <w:kern w:val="0"/>
          <w:sz w:val="21"/>
          <w:szCs w:val="21"/>
          <w:highlight w:val="none"/>
        </w:rPr>
        <w:t>，中标人应在工资专户开立后2个工作日内，将开户银行及其账号、开户协议等资料提交给招标人。</w:t>
      </w:r>
    </w:p>
    <w:p w14:paraId="01D5AE3B">
      <w:pPr>
        <w:spacing w:line="440" w:lineRule="exact"/>
        <w:ind w:firstLine="310" w:firstLineChars="147"/>
        <w:rPr>
          <w:rFonts w:hint="default" w:hAnsi="宋体" w:eastAsia="宋体" w:cs="宋体"/>
          <w:b/>
          <w:bCs/>
          <w:color w:val="auto"/>
          <w:sz w:val="21"/>
          <w:szCs w:val="21"/>
          <w:highlight w:val="none"/>
        </w:rPr>
      </w:pPr>
      <w:r>
        <w:rPr>
          <w:rFonts w:hAnsi="宋体" w:eastAsia="宋体" w:cs="宋体"/>
          <w:b/>
          <w:bCs/>
          <w:color w:val="auto"/>
          <w:sz w:val="21"/>
          <w:szCs w:val="21"/>
          <w:highlight w:val="none"/>
        </w:rPr>
        <w:t>中标人应建立劳动用工管理台账，并按月将工人工资支付明细表报招标人备案。若中标人拖延按工期延误处理，拖延一天，则计算工期延误一天。</w:t>
      </w:r>
    </w:p>
    <w:p w14:paraId="02E6D257">
      <w:pPr>
        <w:wordWrap w:val="0"/>
        <w:adjustRightInd w:val="0"/>
        <w:snapToGrid w:val="0"/>
        <w:spacing w:line="440" w:lineRule="exact"/>
        <w:ind w:firstLine="422" w:firstLineChars="200"/>
        <w:rPr>
          <w:rFonts w:hint="default" w:hAnsi="宋体" w:eastAsia="宋体" w:cs="宋体"/>
          <w:b/>
          <w:bCs/>
          <w:snapToGrid w:val="0"/>
          <w:color w:val="auto"/>
          <w:kern w:val="0"/>
          <w:sz w:val="21"/>
          <w:szCs w:val="21"/>
          <w:highlight w:val="none"/>
        </w:rPr>
      </w:pPr>
      <w:r>
        <w:rPr>
          <w:rFonts w:hAnsi="宋体" w:eastAsia="宋体" w:cs="宋体"/>
          <w:b/>
          <w:bCs/>
          <w:snapToGrid w:val="0"/>
          <w:color w:val="auto"/>
          <w:kern w:val="0"/>
          <w:sz w:val="21"/>
          <w:szCs w:val="21"/>
          <w:highlight w:val="none"/>
        </w:rPr>
        <w:t>中标人必须按相关规定做好用工实名制管理，建立考勤机制，并实施实名信息化管理。</w:t>
      </w:r>
    </w:p>
    <w:p w14:paraId="79F59238">
      <w:pPr>
        <w:spacing w:line="440" w:lineRule="exact"/>
        <w:ind w:firstLine="310" w:firstLineChars="147"/>
        <w:rPr>
          <w:rFonts w:hint="default" w:hAnsi="宋体" w:eastAsia="宋体" w:cs="宋体"/>
          <w:color w:val="auto"/>
          <w:sz w:val="21"/>
          <w:szCs w:val="21"/>
          <w:highlight w:val="none"/>
        </w:rPr>
      </w:pPr>
      <w:r>
        <w:rPr>
          <w:rFonts w:hAnsi="宋体" w:eastAsia="宋体" w:cs="宋体"/>
          <w:b/>
          <w:color w:val="auto"/>
          <w:sz w:val="21"/>
          <w:szCs w:val="21"/>
          <w:highlight w:val="none"/>
        </w:rPr>
        <w:t>3.19</w:t>
      </w:r>
      <w:r>
        <w:rPr>
          <w:rFonts w:hAnsi="宋体" w:eastAsia="宋体" w:cs="宋体"/>
          <w:color w:val="auto"/>
          <w:sz w:val="21"/>
          <w:szCs w:val="21"/>
          <w:highlight w:val="none"/>
        </w:rPr>
        <w:t xml:space="preserve"> 本项目各个阶段的设计成果必须经招标人及有关审批部门同意后方可进行下一工序的设计工作，若招标人或有关审批部门在审批过程中提出的设计修改或变更，中标人必须无条件进行修改或变更，招标人不再支付由此而增加的设计费用。</w:t>
      </w:r>
    </w:p>
    <w:p w14:paraId="51183466">
      <w:pPr>
        <w:spacing w:line="440" w:lineRule="exact"/>
        <w:ind w:firstLine="422" w:firstLineChars="200"/>
        <w:rPr>
          <w:rFonts w:hint="default" w:hAnsi="宋体" w:eastAsia="宋体" w:cs="宋体"/>
          <w:b/>
          <w:color w:val="auto"/>
          <w:sz w:val="21"/>
          <w:szCs w:val="21"/>
          <w:highlight w:val="none"/>
        </w:rPr>
      </w:pPr>
      <w:r>
        <w:rPr>
          <w:rFonts w:hAnsi="宋体" w:eastAsia="宋体" w:cs="宋体"/>
          <w:b/>
          <w:bCs/>
          <w:color w:val="auto"/>
          <w:sz w:val="21"/>
          <w:szCs w:val="21"/>
          <w:highlight w:val="none"/>
        </w:rPr>
        <w:t xml:space="preserve">3.20 </w:t>
      </w:r>
      <w:r>
        <w:rPr>
          <w:rFonts w:hAnsi="宋体" w:eastAsia="宋体" w:cs="宋体"/>
          <w:b/>
          <w:color w:val="auto"/>
          <w:sz w:val="21"/>
          <w:szCs w:val="21"/>
          <w:highlight w:val="none"/>
        </w:rPr>
        <w:t>若中标人自中标通知书发出之日起20个工作日内仍未提供履约担保的，视同中标单位自动放弃中标资格，招标人通报建设行政主管部门后有权另行选择中标人。</w:t>
      </w:r>
    </w:p>
    <w:p w14:paraId="198EE1AE">
      <w:pPr>
        <w:spacing w:line="440" w:lineRule="exact"/>
        <w:ind w:firstLine="422" w:firstLineChars="200"/>
        <w:rPr>
          <w:rFonts w:hint="default" w:hAnsi="宋体" w:eastAsia="宋体" w:cs="宋体"/>
          <w:b/>
          <w:color w:val="auto"/>
          <w:sz w:val="21"/>
          <w:szCs w:val="21"/>
          <w:highlight w:val="none"/>
        </w:rPr>
      </w:pPr>
      <w:r>
        <w:rPr>
          <w:rFonts w:hAnsi="宋体" w:eastAsia="宋体" w:cs="宋体"/>
          <w:b/>
          <w:bCs/>
          <w:color w:val="auto"/>
          <w:sz w:val="21"/>
          <w:szCs w:val="21"/>
          <w:highlight w:val="none"/>
        </w:rPr>
        <w:t xml:space="preserve">3.21 </w:t>
      </w:r>
      <w:r>
        <w:rPr>
          <w:rFonts w:hAnsi="宋体" w:eastAsia="宋体" w:cs="宋体"/>
          <w:b/>
          <w:color w:val="auto"/>
          <w:sz w:val="21"/>
          <w:szCs w:val="21"/>
          <w:highlight w:val="none"/>
        </w:rPr>
        <w:t>若中标人自中标通知书发出之日起30天内仍未签订合同，视同中标人自动放弃中标权利，招标人通报建设行政主管部门后有权另行选择中标人。</w:t>
      </w:r>
    </w:p>
    <w:p w14:paraId="0D863D00">
      <w:pPr>
        <w:pStyle w:val="42"/>
        <w:spacing w:line="440" w:lineRule="exact"/>
        <w:ind w:firstLine="422" w:firstLineChars="200"/>
        <w:rPr>
          <w:rFonts w:hAnsi="宋体" w:cs="宋体"/>
          <w:b/>
          <w:color w:val="auto"/>
          <w:sz w:val="21"/>
          <w:szCs w:val="21"/>
          <w:highlight w:val="none"/>
        </w:rPr>
      </w:pPr>
      <w:r>
        <w:rPr>
          <w:rFonts w:hint="eastAsia" w:hAnsi="宋体" w:cs="宋体"/>
          <w:b/>
          <w:color w:val="auto"/>
          <w:sz w:val="21"/>
          <w:szCs w:val="21"/>
          <w:highlight w:val="none"/>
        </w:rPr>
        <w:t>3.22 中标人应按招标人确认后的主要材料的规格、颜色要求采购。如变更规格或颜色，必须经招标人、业主同意，并报有关审核部门重新核定单价后方可采购，并相应调整工程造价。主要材料必须先提供样板或有关资料给招标人、业主确定其规格、颜色、等级等，然后方可使用。</w:t>
      </w:r>
    </w:p>
    <w:p w14:paraId="0616B569">
      <w:pPr>
        <w:snapToGrid w:val="0"/>
        <w:spacing w:line="440" w:lineRule="exact"/>
        <w:ind w:firstLine="413" w:firstLineChars="196"/>
        <w:rPr>
          <w:rFonts w:hint="default" w:hAnsi="宋体" w:eastAsia="宋体" w:cs="宋体"/>
          <w:b/>
          <w:color w:val="auto"/>
          <w:sz w:val="21"/>
          <w:szCs w:val="21"/>
          <w:highlight w:val="none"/>
        </w:rPr>
      </w:pPr>
      <w:r>
        <w:rPr>
          <w:rFonts w:hAnsi="宋体" w:eastAsia="宋体" w:cs="宋体"/>
          <w:b/>
          <w:color w:val="auto"/>
          <w:sz w:val="21"/>
          <w:szCs w:val="21"/>
          <w:highlight w:val="none"/>
        </w:rPr>
        <w:t xml:space="preserve"> 3.23 根据《</w:t>
      </w:r>
      <w:r>
        <w:rPr>
          <w:rFonts w:hAnsi="宋体" w:eastAsia="宋体" w:cs="宋体"/>
          <w:b/>
          <w:bCs/>
          <w:color w:val="auto"/>
          <w:sz w:val="21"/>
          <w:szCs w:val="21"/>
          <w:highlight w:val="none"/>
        </w:rPr>
        <w:t>印发〈广东省住房和城乡建设厅 广东省发展改革委关于房屋建筑和市政基础设施工程建设项目招标投标全过程信息公开的管理规定〉的通知</w:t>
      </w:r>
      <w:r>
        <w:rPr>
          <w:rFonts w:hAnsi="宋体" w:eastAsia="宋体" w:cs="宋体"/>
          <w:b/>
          <w:color w:val="auto"/>
          <w:sz w:val="21"/>
          <w:szCs w:val="21"/>
          <w:highlight w:val="none"/>
        </w:rPr>
        <w:t>》（粤建规范〔2018〕6号）文件精神，产生中标候选人后，招标人应将中标候选人投标文件商务部分除涉及商业秘密的其他资料在广东省招标投标监管网</w:t>
      </w:r>
      <w:r>
        <w:rPr>
          <w:rFonts w:hAnsi="宋体" w:eastAsia="宋体" w:cs="宋体"/>
          <w:b/>
          <w:bCs/>
          <w:color w:val="auto"/>
          <w:kern w:val="0"/>
          <w:sz w:val="21"/>
          <w:szCs w:val="21"/>
          <w:highlight w:val="none"/>
        </w:rPr>
        <w:t>、广东省公共资源交易平台（韶关市）</w:t>
      </w:r>
      <w:r>
        <w:rPr>
          <w:rFonts w:hAnsi="宋体" w:eastAsia="宋体" w:cs="宋体"/>
          <w:b/>
          <w:color w:val="auto"/>
          <w:sz w:val="21"/>
          <w:szCs w:val="21"/>
          <w:highlight w:val="none"/>
        </w:rPr>
        <w:t>公示，公示期不得少于3日。</w:t>
      </w:r>
    </w:p>
    <w:p w14:paraId="5D25A228">
      <w:pPr>
        <w:snapToGrid w:val="0"/>
        <w:spacing w:line="440" w:lineRule="exact"/>
        <w:ind w:firstLine="560"/>
        <w:rPr>
          <w:rFonts w:hint="default" w:hAnsi="宋体" w:eastAsia="宋体" w:cs="宋体"/>
          <w:b/>
          <w:color w:val="auto"/>
          <w:sz w:val="21"/>
          <w:szCs w:val="21"/>
          <w:highlight w:val="none"/>
        </w:rPr>
      </w:pPr>
      <w:r>
        <w:rPr>
          <w:rFonts w:hAnsi="宋体" w:eastAsia="宋体" w:cs="宋体"/>
          <w:b/>
          <w:color w:val="auto"/>
          <w:sz w:val="21"/>
          <w:szCs w:val="21"/>
          <w:highlight w:val="none"/>
        </w:rPr>
        <w:t>招标人应当在发出中标通知书15日内，将中标结果依法在广东省招标投标监管网、</w:t>
      </w:r>
      <w:r>
        <w:rPr>
          <w:rFonts w:hAnsi="宋体" w:eastAsia="宋体" w:cs="宋体"/>
          <w:b/>
          <w:bCs/>
          <w:color w:val="auto"/>
          <w:kern w:val="0"/>
          <w:sz w:val="21"/>
          <w:szCs w:val="21"/>
          <w:highlight w:val="none"/>
        </w:rPr>
        <w:t>广东省公共资源交易平台（韶关市）</w:t>
      </w:r>
      <w:r>
        <w:rPr>
          <w:rFonts w:hAnsi="宋体" w:eastAsia="宋体" w:cs="宋体"/>
          <w:b/>
          <w:color w:val="auto"/>
          <w:sz w:val="21"/>
          <w:szCs w:val="21"/>
          <w:highlight w:val="none"/>
        </w:rPr>
        <w:t>公示。</w:t>
      </w:r>
    </w:p>
    <w:p w14:paraId="7A6ABA7D">
      <w:pPr>
        <w:pStyle w:val="42"/>
        <w:spacing w:line="440" w:lineRule="exact"/>
        <w:ind w:firstLine="517" w:firstLineChars="245"/>
        <w:rPr>
          <w:rFonts w:hAnsi="宋体" w:cs="宋体"/>
          <w:b/>
          <w:color w:val="auto"/>
          <w:sz w:val="21"/>
          <w:szCs w:val="21"/>
          <w:highlight w:val="none"/>
        </w:rPr>
      </w:pPr>
      <w:r>
        <w:rPr>
          <w:rFonts w:hint="eastAsia" w:hAnsi="宋体" w:cs="宋体"/>
          <w:b/>
          <w:color w:val="auto"/>
          <w:sz w:val="21"/>
          <w:szCs w:val="21"/>
          <w:highlight w:val="none"/>
        </w:rPr>
        <w:t xml:space="preserve">如果其他投标人或其他利害关系人对公示内容有异议，一经查实有虚假内容等违法违规情况的，将取消其中标候选人资格，并由招投标监管部门按有关规定处理。 </w:t>
      </w:r>
    </w:p>
    <w:p w14:paraId="4099327E">
      <w:pPr>
        <w:spacing w:line="440" w:lineRule="exact"/>
        <w:ind w:firstLine="308" w:firstLineChars="147"/>
        <w:rPr>
          <w:rFonts w:hint="default" w:hAnsi="宋体" w:eastAsia="宋体" w:cs="宋体"/>
          <w:color w:val="auto"/>
          <w:sz w:val="21"/>
          <w:szCs w:val="21"/>
          <w:highlight w:val="none"/>
        </w:rPr>
      </w:pPr>
      <w:r>
        <w:rPr>
          <w:rFonts w:hAnsi="宋体" w:eastAsia="宋体" w:cs="宋体"/>
          <w:color w:val="auto"/>
          <w:sz w:val="21"/>
          <w:szCs w:val="21"/>
          <w:highlight w:val="none"/>
        </w:rPr>
        <w:t>3.24中标人须按韶关市、南雄市关于建筑垃圾运输、建筑渣土管理和扬尘治理等有关规定执行。</w:t>
      </w:r>
    </w:p>
    <w:p w14:paraId="6E6CE262">
      <w:pPr>
        <w:spacing w:line="440" w:lineRule="exact"/>
        <w:ind w:firstLine="308" w:firstLineChars="147"/>
        <w:rPr>
          <w:rFonts w:hint="default" w:hAnsi="宋体" w:eastAsia="宋体" w:cs="宋体"/>
          <w:color w:val="auto"/>
          <w:sz w:val="21"/>
          <w:szCs w:val="21"/>
          <w:highlight w:val="none"/>
        </w:rPr>
      </w:pPr>
      <w:r>
        <w:rPr>
          <w:rFonts w:hAnsi="宋体" w:eastAsia="宋体" w:cs="宋体"/>
          <w:color w:val="auto"/>
          <w:sz w:val="21"/>
          <w:szCs w:val="21"/>
          <w:highlight w:val="none"/>
        </w:rPr>
        <w:t>3.25中标人须按相关规定要求，设置本工程符合相关要求的永久性标牌及规划公示牌，投标人在投标报价时综合考虑在报价内，招标人不另行支付该部分费用。</w:t>
      </w:r>
    </w:p>
    <w:p w14:paraId="24DB92ED">
      <w:pPr>
        <w:spacing w:line="440" w:lineRule="exact"/>
        <w:ind w:firstLine="308" w:firstLineChars="147"/>
        <w:rPr>
          <w:rFonts w:hint="default" w:hAnsi="宋体" w:eastAsia="宋体" w:cs="宋体"/>
          <w:color w:val="auto"/>
          <w:sz w:val="21"/>
          <w:szCs w:val="21"/>
          <w:highlight w:val="none"/>
        </w:rPr>
      </w:pPr>
      <w:r>
        <w:rPr>
          <w:rFonts w:hAnsi="宋体" w:eastAsia="宋体" w:cs="宋体"/>
          <w:color w:val="auto"/>
          <w:sz w:val="21"/>
          <w:szCs w:val="21"/>
          <w:highlight w:val="none"/>
        </w:rPr>
        <w:t>3.26中标人须服从招标人的项目管理方式；中标人须无条件组织施工班组按招标人提供的管理软件（如有）及管理流程进行施工管理。</w:t>
      </w:r>
    </w:p>
    <w:p w14:paraId="60EAC410">
      <w:pPr>
        <w:pStyle w:val="7"/>
        <w:spacing w:line="440" w:lineRule="exact"/>
        <w:ind w:firstLine="422" w:firstLineChars="200"/>
        <w:rPr>
          <w:rFonts w:ascii="宋体" w:hAnsi="宋体" w:cs="宋体"/>
          <w:b/>
          <w:color w:val="auto"/>
          <w:sz w:val="21"/>
          <w:szCs w:val="21"/>
          <w:highlight w:val="none"/>
        </w:rPr>
      </w:pPr>
      <w:r>
        <w:rPr>
          <w:rFonts w:hint="eastAsia" w:ascii="宋体" w:hAnsi="宋体" w:cs="宋体"/>
          <w:b/>
          <w:color w:val="auto"/>
          <w:sz w:val="21"/>
          <w:szCs w:val="21"/>
          <w:highlight w:val="none"/>
        </w:rPr>
        <w:t>中标</w:t>
      </w:r>
      <w:r>
        <w:rPr>
          <w:rFonts w:hint="eastAsia" w:ascii="宋体" w:hAnsi="宋体" w:cs="宋体"/>
          <w:b/>
          <w:snapToGrid w:val="0"/>
          <w:color w:val="auto"/>
          <w:sz w:val="21"/>
          <w:szCs w:val="21"/>
          <w:highlight w:val="none"/>
        </w:rPr>
        <w:t>人应根据施工任务做好工期分析工作，按工期节点要求进行人料机的安排，及时根据计划的实施情况调整人料机的投入。</w:t>
      </w:r>
      <w:r>
        <w:rPr>
          <w:rFonts w:hint="eastAsia" w:ascii="宋体" w:hAnsi="宋体" w:cs="宋体"/>
          <w:b/>
          <w:color w:val="auto"/>
          <w:sz w:val="21"/>
          <w:szCs w:val="21"/>
          <w:highlight w:val="none"/>
        </w:rPr>
        <w:t>中标</w:t>
      </w:r>
      <w:r>
        <w:rPr>
          <w:rFonts w:hint="eastAsia" w:ascii="宋体" w:hAnsi="宋体" w:cs="宋体"/>
          <w:b/>
          <w:snapToGrid w:val="0"/>
          <w:color w:val="auto"/>
          <w:sz w:val="21"/>
          <w:szCs w:val="21"/>
          <w:highlight w:val="none"/>
        </w:rPr>
        <w:t>人作为总承包单位，应合理安排施工工作，统筹各专业单位（如有）的工作界面，不得影响施工进度。</w:t>
      </w:r>
      <w:r>
        <w:rPr>
          <w:rFonts w:hint="eastAsia" w:ascii="宋体" w:hAnsi="宋体" w:cs="宋体"/>
          <w:b/>
          <w:color w:val="auto"/>
          <w:sz w:val="21"/>
          <w:szCs w:val="21"/>
          <w:highlight w:val="none"/>
        </w:rPr>
        <w:t>中标</w:t>
      </w:r>
      <w:r>
        <w:rPr>
          <w:rFonts w:hint="eastAsia" w:ascii="宋体" w:hAnsi="宋体" w:cs="宋体"/>
          <w:b/>
          <w:snapToGrid w:val="0"/>
          <w:color w:val="auto"/>
          <w:sz w:val="21"/>
          <w:szCs w:val="21"/>
          <w:highlight w:val="none"/>
        </w:rPr>
        <w:t>人应根据工作面的变化情况及工程进度要求，合理增配人员及施工机械设备。</w:t>
      </w:r>
    </w:p>
    <w:p w14:paraId="0F894B0F">
      <w:pPr>
        <w:spacing w:line="440" w:lineRule="exact"/>
        <w:ind w:firstLine="308" w:firstLineChars="147"/>
        <w:rPr>
          <w:rFonts w:hint="default" w:hAnsi="宋体" w:eastAsia="宋体" w:cs="宋体"/>
          <w:color w:val="auto"/>
          <w:sz w:val="21"/>
          <w:szCs w:val="21"/>
          <w:highlight w:val="none"/>
        </w:rPr>
      </w:pPr>
      <w:r>
        <w:rPr>
          <w:rFonts w:hAnsi="宋体" w:eastAsia="宋体" w:cs="宋体"/>
          <w:color w:val="auto"/>
          <w:sz w:val="21"/>
          <w:szCs w:val="21"/>
          <w:highlight w:val="none"/>
        </w:rPr>
        <w:t>3.27施工视频监控系统必须符合韶市建字〔2014〕163号文件规定，并在投标报价中综合考虑，招标人及项目业主不再另行支付该部分费用。</w:t>
      </w:r>
    </w:p>
    <w:p w14:paraId="726346E6">
      <w:pPr>
        <w:spacing w:line="440" w:lineRule="exact"/>
        <w:ind w:firstLine="367" w:firstLineChars="175"/>
        <w:rPr>
          <w:rFonts w:hint="default" w:hAnsi="宋体" w:eastAsia="宋体" w:cs="宋体"/>
          <w:bCs/>
          <w:snapToGrid w:val="0"/>
          <w:color w:val="auto"/>
          <w:kern w:val="0"/>
          <w:sz w:val="21"/>
          <w:szCs w:val="21"/>
          <w:highlight w:val="none"/>
        </w:rPr>
      </w:pPr>
      <w:r>
        <w:rPr>
          <w:rFonts w:hAnsi="宋体" w:eastAsia="宋体" w:cs="宋体"/>
          <w:bCs/>
          <w:snapToGrid w:val="0"/>
          <w:color w:val="auto"/>
          <w:kern w:val="0"/>
          <w:sz w:val="21"/>
          <w:szCs w:val="21"/>
          <w:highlight w:val="none"/>
        </w:rPr>
        <w:t>开工一个月内必须按相关规定和要求安装视频监控系统，并接入相关部门监控系统，如未按时安装视频监控系统，发包人有权在措施费中扣除相关费用。</w:t>
      </w:r>
    </w:p>
    <w:p w14:paraId="1F30A14B">
      <w:pPr>
        <w:spacing w:line="440" w:lineRule="exact"/>
        <w:ind w:firstLine="310" w:firstLineChars="147"/>
        <w:rPr>
          <w:rFonts w:hint="default" w:hAnsi="宋体" w:eastAsia="宋体" w:cs="宋体"/>
          <w:color w:val="auto"/>
          <w:sz w:val="21"/>
          <w:szCs w:val="21"/>
          <w:highlight w:val="none"/>
        </w:rPr>
      </w:pPr>
      <w:r>
        <w:rPr>
          <w:rFonts w:hAnsi="宋体" w:eastAsia="宋体" w:cs="宋体"/>
          <w:b/>
          <w:color w:val="auto"/>
          <w:sz w:val="21"/>
          <w:szCs w:val="21"/>
          <w:highlight w:val="none"/>
        </w:rPr>
        <w:t>3.28</w:t>
      </w:r>
      <w:r>
        <w:rPr>
          <w:rFonts w:hAnsi="宋体" w:eastAsia="宋体" w:cs="宋体"/>
          <w:color w:val="auto"/>
          <w:sz w:val="21"/>
          <w:szCs w:val="21"/>
          <w:highlight w:val="none"/>
        </w:rPr>
        <w:t>中标人应已详细了解本项目的前期工作（包括征地拆迁），同时也应已勘察施工现场、周围环境、地形、地貌、水文、交通等情况。中标人投标报价应已充分考虑在施工中由于招标人原因造成停工或工期延误等因素所产生的相关费用，招标人不予另计费；中标人不得以不完全了解项目的前期工作（包括征地拆迁）及现场情况为理由，提出因外界因素造成停工或工期延误的额外付款要求；对此类要求，招标人不作任何考虑及答复。</w:t>
      </w:r>
    </w:p>
    <w:p w14:paraId="7D316AF1">
      <w:pPr>
        <w:spacing w:line="440" w:lineRule="exact"/>
        <w:ind w:firstLine="308" w:firstLineChars="147"/>
        <w:rPr>
          <w:rFonts w:hint="default" w:hAnsi="宋体" w:eastAsia="宋体" w:cs="宋体"/>
          <w:color w:val="auto"/>
          <w:sz w:val="21"/>
          <w:szCs w:val="21"/>
          <w:highlight w:val="none"/>
        </w:rPr>
      </w:pPr>
      <w:r>
        <w:rPr>
          <w:rFonts w:hAnsi="宋体" w:eastAsia="宋体" w:cs="宋体"/>
          <w:color w:val="auto"/>
          <w:sz w:val="21"/>
          <w:szCs w:val="21"/>
          <w:highlight w:val="none"/>
        </w:rPr>
        <w:t>如因招标人原因（自然灾害等不可抗力因素除外），工程不能按期开工，或开工后全部停滞，工期按相关规定予以顺延。停工发生后，若可复工时，中标人应在收到招标人发出的复工通知书后3日内开始复工。</w:t>
      </w:r>
    </w:p>
    <w:p w14:paraId="133885A9">
      <w:pPr>
        <w:spacing w:line="440" w:lineRule="exact"/>
        <w:ind w:firstLine="560"/>
        <w:rPr>
          <w:rFonts w:hint="default" w:hAnsi="宋体" w:eastAsia="宋体" w:cs="宋体"/>
          <w:b/>
          <w:color w:val="auto"/>
          <w:sz w:val="21"/>
          <w:szCs w:val="21"/>
          <w:highlight w:val="none"/>
        </w:rPr>
      </w:pPr>
      <w:r>
        <w:rPr>
          <w:rFonts w:hAnsi="宋体" w:eastAsia="宋体" w:cs="宋体"/>
          <w:b/>
          <w:bCs/>
          <w:color w:val="auto"/>
          <w:sz w:val="21"/>
          <w:szCs w:val="21"/>
          <w:highlight w:val="none"/>
        </w:rPr>
        <w:t>3.29</w:t>
      </w:r>
      <w:r>
        <w:rPr>
          <w:rFonts w:hAnsi="宋体" w:eastAsia="宋体" w:cs="宋体"/>
          <w:b/>
          <w:color w:val="auto"/>
          <w:sz w:val="21"/>
          <w:szCs w:val="21"/>
          <w:highlight w:val="none"/>
        </w:rPr>
        <w:t>中标人必须严格按有关设计规范设计图纸，中标人须秉承合理、经济、环保、适用等原则进行施工图设计，招标人有权委托第三方对中标人每阶段的设计成果文件进行精细化审图、各专业优化工作，招标人将根据第三方出具的有关报告及优化金额对中标人进行考核。中标人需无条件根据经招标人确认的精细化审图、结构优化报告进行设计文件修改，费用不另计。</w:t>
      </w:r>
    </w:p>
    <w:p w14:paraId="73936C18">
      <w:pPr>
        <w:spacing w:line="440" w:lineRule="exact"/>
        <w:rPr>
          <w:rFonts w:hint="default" w:hAnsi="宋体" w:eastAsia="宋体" w:cs="宋体"/>
          <w:color w:val="auto"/>
          <w:sz w:val="21"/>
          <w:szCs w:val="21"/>
          <w:highlight w:val="none"/>
        </w:rPr>
      </w:pPr>
      <w:r>
        <w:rPr>
          <w:rFonts w:hAnsi="宋体" w:eastAsia="宋体" w:cs="宋体"/>
          <w:b/>
          <w:bCs/>
          <w:color w:val="auto"/>
          <w:sz w:val="21"/>
          <w:szCs w:val="21"/>
          <w:highlight w:val="none"/>
        </w:rPr>
        <w:t xml:space="preserve">    3.30</w:t>
      </w:r>
      <w:r>
        <w:rPr>
          <w:rFonts w:hAnsi="宋体" w:eastAsia="宋体" w:cs="宋体"/>
          <w:b/>
          <w:color w:val="auto"/>
          <w:sz w:val="21"/>
          <w:szCs w:val="21"/>
          <w:highlight w:val="none"/>
        </w:rPr>
        <w:t>中标人须在收到初步设计文件之日起三天内无条件对初步设计文件进行审核，如发现遗漏或错误，须向招标人提出书面报告。</w:t>
      </w:r>
    </w:p>
    <w:p w14:paraId="6AB626FB">
      <w:pPr>
        <w:spacing w:line="440" w:lineRule="exact"/>
        <w:rPr>
          <w:rFonts w:hint="default" w:hAnsi="宋体" w:eastAsia="宋体" w:cs="宋体"/>
          <w:b/>
          <w:color w:val="auto"/>
          <w:sz w:val="21"/>
          <w:szCs w:val="21"/>
          <w:highlight w:val="none"/>
        </w:rPr>
      </w:pPr>
      <w:r>
        <w:rPr>
          <w:rFonts w:hAnsi="宋体" w:eastAsia="宋体" w:cs="宋体"/>
          <w:b/>
          <w:bCs/>
          <w:color w:val="auto"/>
          <w:sz w:val="21"/>
          <w:szCs w:val="21"/>
          <w:highlight w:val="none"/>
        </w:rPr>
        <w:t xml:space="preserve">    3.31</w:t>
      </w:r>
      <w:r>
        <w:rPr>
          <w:rFonts w:hAnsi="宋体" w:eastAsia="宋体" w:cs="宋体"/>
          <w:b/>
          <w:color w:val="auto"/>
          <w:sz w:val="21"/>
          <w:szCs w:val="21"/>
          <w:highlight w:val="none"/>
        </w:rPr>
        <w:t>中标人须在收到中标通知书之日十天内向招标人提交各阶段详细的工期计划承诺书。</w:t>
      </w:r>
    </w:p>
    <w:p w14:paraId="4F97CBD5">
      <w:pPr>
        <w:pStyle w:val="59"/>
        <w:widowControl/>
        <w:spacing w:line="440" w:lineRule="exact"/>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    3.32按照《广东省住房和城乡建设厅关于建设工程项目招标中标后监督检查的办法》（粤建市〔2009〕8号）和《韶关市住房和城乡建设局关于加强房屋建筑和市政基础设施工程项目招标中标后监督检查的通知》（韶市建字〔2014〕145号）等相关法律法规。中标人中标之后，工程施工项目负责人和项目管理班子其他成员必须是该工程中标时所承诺的项目管理班子成员。</w:t>
      </w:r>
    </w:p>
    <w:p w14:paraId="47240D6B">
      <w:pPr>
        <w:pStyle w:val="59"/>
        <w:widowControl/>
        <w:spacing w:line="440" w:lineRule="exact"/>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    项目管理班子成员不得擅自变更，项目管理班子成员因有粤建市〔2009〕8号第九条所述情形之一确属不能履行职责需要变更的，中标单位应向建设行政主管部门填报《建设工程项目管理班子变更情况报告表》并附上有关证明文件，经建设行政主管部门审核同意方可变更。更换后的项目经理与中标单位的投标文件所确定的项目负责人或总监理工程师的主要条件一致。</w:t>
      </w:r>
    </w:p>
    <w:p w14:paraId="1690C303">
      <w:pPr>
        <w:pStyle w:val="59"/>
        <w:widowControl/>
        <w:spacing w:line="440" w:lineRule="exact"/>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    若中标单位有下列行为之一的，除依照有关法律、法规进行处罚外，将通过市建设与房地产信息网站予以及时曝光，并作为今后该单位参与投标的评分扣分依据直至取消投标资格。</w:t>
      </w:r>
    </w:p>
    <w:p w14:paraId="11D814A1">
      <w:pPr>
        <w:pStyle w:val="59"/>
        <w:widowControl/>
        <w:spacing w:line="440" w:lineRule="exact"/>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    1.建设单位违反规定指定分包单位的；</w:t>
      </w:r>
    </w:p>
    <w:p w14:paraId="2C21B7A9">
      <w:pPr>
        <w:pStyle w:val="59"/>
        <w:widowControl/>
        <w:spacing w:line="440" w:lineRule="exact"/>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    2.施工单位转包、违法分包或违反投标承诺分包工程的；   </w:t>
      </w:r>
    </w:p>
    <w:p w14:paraId="58504B0F">
      <w:pPr>
        <w:pStyle w:val="59"/>
        <w:widowControl/>
        <w:spacing w:line="440" w:lineRule="exact"/>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    3.非原参加投标中标的项目经理负责组织施工或在实施过程违反粤建市〔2009〕8号第九条规定更换项目经理的、项目的其他主要管理人员与中标文件确定的人员不相符的；</w:t>
      </w:r>
    </w:p>
    <w:p w14:paraId="1956415A">
      <w:pPr>
        <w:pStyle w:val="59"/>
        <w:widowControl/>
        <w:spacing w:line="440" w:lineRule="exact"/>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    4.投标文件确定的大型机械设备没有进入施工现场的；</w:t>
      </w:r>
    </w:p>
    <w:p w14:paraId="1D1EBD72">
      <w:pPr>
        <w:pStyle w:val="59"/>
        <w:widowControl/>
        <w:spacing w:line="440" w:lineRule="exact"/>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    5.建设、监理、施工等单位串通，签认虚假工程量或工程造价的；</w:t>
      </w:r>
    </w:p>
    <w:p w14:paraId="1BAD837F">
      <w:pPr>
        <w:pStyle w:val="59"/>
        <w:widowControl/>
        <w:spacing w:line="440" w:lineRule="exact"/>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    6.施工现场管理不到位的；</w:t>
      </w:r>
    </w:p>
    <w:p w14:paraId="2F0C5E44">
      <w:pPr>
        <w:pStyle w:val="59"/>
        <w:widowControl/>
        <w:spacing w:line="440" w:lineRule="exact"/>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    7.非本人资格证书登记所在的单位从事工程项目施工管理的；</w:t>
      </w:r>
    </w:p>
    <w:p w14:paraId="6A920F00">
      <w:pPr>
        <w:pStyle w:val="59"/>
        <w:widowControl/>
        <w:spacing w:line="440" w:lineRule="exact"/>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    8.项目经理同时承担超过一项工程项目的；</w:t>
      </w:r>
    </w:p>
    <w:p w14:paraId="6A56FC93">
      <w:pPr>
        <w:pStyle w:val="59"/>
        <w:widowControl/>
        <w:spacing w:line="440" w:lineRule="exact"/>
        <w:ind w:firstLine="480"/>
        <w:jc w:val="left"/>
        <w:rPr>
          <w:rFonts w:ascii="宋体" w:hAnsi="宋体" w:cs="宋体"/>
          <w:color w:val="auto"/>
          <w:sz w:val="21"/>
          <w:szCs w:val="21"/>
          <w:highlight w:val="none"/>
        </w:rPr>
      </w:pPr>
      <w:r>
        <w:rPr>
          <w:rFonts w:hint="eastAsia" w:ascii="宋体" w:hAnsi="宋体" w:cs="宋体"/>
          <w:color w:val="auto"/>
          <w:sz w:val="21"/>
          <w:szCs w:val="21"/>
          <w:highlight w:val="none"/>
        </w:rPr>
        <w:t>9.违反有关法律、法规、规章规定的其它行为。</w:t>
      </w:r>
    </w:p>
    <w:p w14:paraId="62D4A574">
      <w:pPr>
        <w:pStyle w:val="59"/>
        <w:widowControl/>
        <w:spacing w:line="440" w:lineRule="exact"/>
        <w:ind w:firstLine="480"/>
        <w:jc w:val="left"/>
        <w:rPr>
          <w:rFonts w:ascii="宋体" w:hAnsi="宋体" w:cs="宋体"/>
          <w:bCs/>
          <w:color w:val="auto"/>
          <w:sz w:val="21"/>
          <w:szCs w:val="21"/>
          <w:highlight w:val="none"/>
        </w:rPr>
      </w:pPr>
      <w:r>
        <w:rPr>
          <w:rFonts w:hint="eastAsia" w:ascii="宋体" w:hAnsi="宋体" w:cs="宋体"/>
          <w:b/>
          <w:bCs/>
          <w:color w:val="auto"/>
          <w:sz w:val="21"/>
          <w:szCs w:val="21"/>
          <w:highlight w:val="none"/>
        </w:rPr>
        <w:t>3.33</w:t>
      </w:r>
      <w:bookmarkStart w:id="407" w:name="_Hlt69698776"/>
      <w:r>
        <w:rPr>
          <w:rFonts w:hint="eastAsia" w:ascii="宋体" w:hAnsi="宋体" w:cs="宋体"/>
          <w:bCs/>
          <w:color w:val="auto"/>
          <w:sz w:val="21"/>
          <w:szCs w:val="21"/>
          <w:highlight w:val="none"/>
        </w:rPr>
        <w:t>工资保证金的缴存比例、存储形式、减免措施以及使用返还等所有相关事项，必须按照《广东省人力资源和 社会保障厅 广东省住房和城乡建设厅 广东省交通运输厅 广东 省水利厅关于建设工程领域农民工工资支付保证金管理办法》（粤人社规〔2019〕10 号）和《韶关市工程建设领域农民工工资保证金管理实施细则》（韶法审〔2023〕2 号）的具体规定执行。中标人必须按照上述办法和实施细则中关于施工单位（包括工程总包企业和专业分包企业）责任义务的具体规定执行，否则将按照上述办法和实施细则中有关规定接受处理。</w:t>
      </w:r>
    </w:p>
    <w:p w14:paraId="3FBCAC55">
      <w:pPr>
        <w:pStyle w:val="42"/>
        <w:spacing w:line="440" w:lineRule="exact"/>
        <w:ind w:firstLine="422" w:firstLineChars="200"/>
        <w:rPr>
          <w:rFonts w:hAnsi="宋体" w:cs="宋体"/>
          <w:color w:val="auto"/>
          <w:sz w:val="21"/>
          <w:szCs w:val="21"/>
          <w:highlight w:val="none"/>
        </w:rPr>
      </w:pPr>
      <w:r>
        <w:rPr>
          <w:rFonts w:hint="eastAsia" w:hAnsi="宋体" w:cs="宋体"/>
          <w:b/>
          <w:color w:val="auto"/>
          <w:sz w:val="21"/>
          <w:szCs w:val="21"/>
          <w:highlight w:val="none"/>
        </w:rPr>
        <w:t>3.34</w:t>
      </w:r>
      <w:r>
        <w:rPr>
          <w:rFonts w:hint="eastAsia" w:hAnsi="宋体" w:cs="宋体"/>
          <w:color w:val="auto"/>
          <w:sz w:val="21"/>
          <w:szCs w:val="21"/>
          <w:highlight w:val="none"/>
        </w:rPr>
        <w:t>中标人在施工图设计前，要充分进行市场调查，主要材料、设备在满足设计规范及建设标准的情况下，尽量采用造价管理机构发布的信息价中有相应型号、规格的标准材料，若必须采用非标准材料的，必须经招标人同意，否则参照信息价中相近且低于其标准的材料信息价作为该项材料的结算价。</w:t>
      </w:r>
    </w:p>
    <w:p w14:paraId="58033F54">
      <w:pPr>
        <w:pStyle w:val="42"/>
        <w:spacing w:line="440" w:lineRule="exact"/>
        <w:ind w:firstLine="422" w:firstLineChars="200"/>
        <w:rPr>
          <w:rFonts w:hAnsi="宋体" w:cs="宋体"/>
          <w:color w:val="auto"/>
          <w:sz w:val="21"/>
          <w:szCs w:val="21"/>
          <w:highlight w:val="none"/>
        </w:rPr>
      </w:pPr>
      <w:r>
        <w:rPr>
          <w:rFonts w:hint="eastAsia" w:hAnsi="宋体" w:cs="宋体"/>
          <w:b/>
          <w:bCs/>
          <w:color w:val="auto"/>
          <w:sz w:val="21"/>
          <w:szCs w:val="21"/>
          <w:highlight w:val="none"/>
        </w:rPr>
        <w:t>3.35</w:t>
      </w:r>
      <w:r>
        <w:rPr>
          <w:rFonts w:hint="eastAsia" w:hAnsi="宋体" w:cs="宋体"/>
          <w:color w:val="auto"/>
          <w:sz w:val="21"/>
          <w:szCs w:val="21"/>
          <w:highlight w:val="none"/>
        </w:rPr>
        <w:t>中标人应按招标人提供的场地出平图先行进行场地平整。</w:t>
      </w:r>
    </w:p>
    <w:p w14:paraId="782FC0A1">
      <w:pPr>
        <w:pStyle w:val="42"/>
        <w:spacing w:line="440" w:lineRule="exact"/>
        <w:ind w:firstLine="422" w:firstLineChars="200"/>
        <w:rPr>
          <w:rFonts w:hAnsi="宋体" w:cs="宋体"/>
          <w:color w:val="auto"/>
          <w:sz w:val="21"/>
          <w:szCs w:val="21"/>
          <w:highlight w:val="none"/>
        </w:rPr>
      </w:pPr>
      <w:r>
        <w:rPr>
          <w:rFonts w:hint="eastAsia" w:hAnsi="宋体" w:cs="宋体"/>
          <w:b/>
          <w:bCs/>
          <w:color w:val="auto"/>
          <w:sz w:val="21"/>
          <w:szCs w:val="21"/>
          <w:highlight w:val="none"/>
        </w:rPr>
        <w:t>3.36</w:t>
      </w:r>
      <w:r>
        <w:rPr>
          <w:rFonts w:hint="eastAsia" w:hAnsi="宋体" w:cs="宋体"/>
          <w:color w:val="auto"/>
          <w:sz w:val="21"/>
          <w:szCs w:val="21"/>
          <w:highlight w:val="none"/>
        </w:rPr>
        <w:t>中标人必须根据设计施工图及现场编制施工组织设计及专项施工方案报有关部门审批。</w:t>
      </w:r>
    </w:p>
    <w:p w14:paraId="4D122C70">
      <w:pPr>
        <w:pStyle w:val="61"/>
        <w:snapToGrid w:val="0"/>
        <w:spacing w:line="440" w:lineRule="exact"/>
        <w:ind w:firstLine="422" w:firstLineChars="200"/>
        <w:rPr>
          <w:rFonts w:hAnsi="宋体" w:cs="宋体"/>
          <w:b/>
          <w:color w:val="auto"/>
          <w:sz w:val="21"/>
          <w:szCs w:val="21"/>
          <w:highlight w:val="none"/>
          <w:shd w:val="clear" w:color="auto" w:fill="FFFFFF"/>
        </w:rPr>
      </w:pPr>
      <w:r>
        <w:rPr>
          <w:rFonts w:hint="eastAsia" w:hAnsi="宋体" w:cs="宋体"/>
          <w:b/>
          <w:color w:val="auto"/>
          <w:sz w:val="21"/>
          <w:szCs w:val="21"/>
          <w:highlight w:val="none"/>
          <w:shd w:val="clear" w:color="auto" w:fill="FFFFFF"/>
        </w:rPr>
        <w:t>3.37危险性较大的分部分项工程安全管理约定</w:t>
      </w:r>
    </w:p>
    <w:p w14:paraId="3A3F7E4F">
      <w:pPr>
        <w:pStyle w:val="61"/>
        <w:wordWrap w:val="0"/>
        <w:adjustRightInd w:val="0"/>
        <w:snapToGrid w:val="0"/>
        <w:spacing w:line="440" w:lineRule="exact"/>
        <w:ind w:firstLine="422" w:firstLineChars="200"/>
        <w:rPr>
          <w:rFonts w:hAnsi="宋体" w:cs="宋体"/>
          <w:b/>
          <w:color w:val="auto"/>
          <w:sz w:val="21"/>
          <w:szCs w:val="21"/>
          <w:highlight w:val="none"/>
          <w:shd w:val="clear" w:color="auto" w:fill="FFFFFF"/>
        </w:rPr>
      </w:pPr>
      <w:r>
        <w:rPr>
          <w:rFonts w:hint="eastAsia" w:hAnsi="宋体" w:cs="宋体"/>
          <w:b/>
          <w:color w:val="auto"/>
          <w:sz w:val="21"/>
          <w:szCs w:val="21"/>
          <w:highlight w:val="none"/>
          <w:shd w:val="clear" w:color="auto" w:fill="FFFFFF"/>
        </w:rPr>
        <w:t>中标人对危险性较大的工程必须按《危险性较大的分部分项工程安全管理规定》（中华人民共和国住房和城乡建设部令第37号）的规定编制专项施工方案。同时，中标人必须按照《危险性较大的分部分项工程安全管理规定》的规定和经审批的专项施工方案履行安全职责，严格执行国家、地方政府有关施工安全管理方面的法律、法规及规章制度，同时严格执行招标人制订的本项目安全生产管理方面的规章制度、安全检查程序及施工安全管理要求，以及监理人有关安全工作的指令。</w:t>
      </w:r>
    </w:p>
    <w:p w14:paraId="73C6ED07">
      <w:pPr>
        <w:pStyle w:val="42"/>
        <w:spacing w:line="440" w:lineRule="exact"/>
        <w:ind w:firstLine="422" w:firstLineChars="200"/>
        <w:rPr>
          <w:rFonts w:hAnsi="宋体" w:cs="宋体"/>
          <w:b/>
          <w:color w:val="auto"/>
          <w:sz w:val="21"/>
          <w:szCs w:val="21"/>
          <w:highlight w:val="none"/>
          <w:shd w:val="clear" w:color="auto" w:fill="FFFFFF"/>
        </w:rPr>
      </w:pPr>
      <w:r>
        <w:rPr>
          <w:rFonts w:hint="eastAsia" w:hAnsi="宋体" w:cs="宋体"/>
          <w:b/>
          <w:color w:val="auto"/>
          <w:sz w:val="21"/>
          <w:szCs w:val="21"/>
          <w:highlight w:val="none"/>
          <w:shd w:val="clear" w:color="auto" w:fill="FFFFFF"/>
        </w:rPr>
        <w:t>中标人应根据《危险性较大的分部分项工程安全管理规定》（住房城乡建设部令第37号）、《住房城乡建设部办公厅关于实施&lt;危险性较大的分部分项工程安全管理规定&gt;有关问题的通知》（建办质〔2018〕31号）、《广东省住房和城乡建设厅关于房屋市政工程危险性较大的分部分项工程安全管理的实施细则的通知》（粤建规范〔2019〕2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w:t>
      </w:r>
    </w:p>
    <w:p w14:paraId="0E5F2101">
      <w:pPr>
        <w:pStyle w:val="42"/>
        <w:spacing w:line="440" w:lineRule="exact"/>
        <w:ind w:firstLine="422" w:firstLineChars="200"/>
        <w:rPr>
          <w:rFonts w:hAnsi="宋体" w:cs="宋体"/>
          <w:b/>
          <w:bCs/>
          <w:color w:val="auto"/>
          <w:sz w:val="21"/>
          <w:szCs w:val="21"/>
          <w:highlight w:val="none"/>
        </w:rPr>
      </w:pPr>
      <w:r>
        <w:rPr>
          <w:rFonts w:hint="eastAsia" w:hAnsi="宋体" w:cs="宋体"/>
          <w:b/>
          <w:color w:val="auto"/>
          <w:sz w:val="21"/>
          <w:szCs w:val="21"/>
          <w:highlight w:val="none"/>
          <w:shd w:val="clear" w:color="auto" w:fill="FFFFFF"/>
        </w:rPr>
        <w:t>3.38</w:t>
      </w:r>
      <w:r>
        <w:rPr>
          <w:rFonts w:hint="eastAsia" w:hAnsi="宋体" w:cs="宋体"/>
          <w:color w:val="auto"/>
          <w:sz w:val="21"/>
          <w:szCs w:val="21"/>
          <w:highlight w:val="none"/>
        </w:rPr>
        <w:t>中标人项目经理和主要管理人员的考勤实行实名制打卡，中标人项目经理和主要管理人员的考勤若发现有弄虚作假行为，发现一次，中标人应承担一般违约责任1次。</w:t>
      </w:r>
    </w:p>
    <w:p w14:paraId="5D64D4E8">
      <w:pPr>
        <w:pStyle w:val="42"/>
        <w:spacing w:line="440" w:lineRule="exact"/>
        <w:ind w:firstLine="422" w:firstLineChars="200"/>
        <w:rPr>
          <w:rFonts w:hAnsi="宋体" w:cs="宋体"/>
          <w:b/>
          <w:bCs/>
          <w:color w:val="auto"/>
          <w:sz w:val="21"/>
          <w:szCs w:val="21"/>
          <w:highlight w:val="none"/>
        </w:rPr>
      </w:pPr>
      <w:r>
        <w:rPr>
          <w:rFonts w:hint="eastAsia" w:hAnsi="宋体" w:cs="宋体"/>
          <w:b/>
          <w:color w:val="auto"/>
          <w:sz w:val="21"/>
          <w:szCs w:val="21"/>
          <w:highlight w:val="none"/>
          <w:shd w:val="clear" w:color="auto" w:fill="FFFFFF"/>
        </w:rPr>
        <w:t xml:space="preserve">3.39 </w:t>
      </w:r>
      <w:r>
        <w:rPr>
          <w:rFonts w:hint="eastAsia" w:hAnsi="宋体" w:cs="宋体"/>
          <w:b/>
          <w:bCs/>
          <w:color w:val="auto"/>
          <w:sz w:val="21"/>
          <w:szCs w:val="21"/>
          <w:highlight w:val="none"/>
        </w:rPr>
        <w:t>本项目在建设过程中，中标人的设计及施工的质量安全等相关实施内容要按照业主单位、发包单位的相关管理规定和质量安全考核要求，随时接受业主单位、发包单位自行或委托的第三方的监督检查及考核，中标人必须无条件配合，如中标人不配合或未通过相关的监督检查及考核，中标人须接受业主单位、发包单位的相关管理规定和处罚，并承担相应的责任。</w:t>
      </w:r>
    </w:p>
    <w:p w14:paraId="467A1FB7">
      <w:pPr>
        <w:pStyle w:val="42"/>
        <w:spacing w:line="440" w:lineRule="exact"/>
        <w:ind w:firstLine="422" w:firstLineChars="200"/>
        <w:rPr>
          <w:rFonts w:hAnsi="宋体" w:cs="宋体"/>
          <w:b/>
          <w:bCs/>
          <w:color w:val="auto"/>
          <w:sz w:val="21"/>
          <w:szCs w:val="21"/>
          <w:highlight w:val="none"/>
        </w:rPr>
      </w:pPr>
      <w:r>
        <w:rPr>
          <w:rFonts w:hint="eastAsia" w:hAnsi="宋体" w:cs="宋体"/>
          <w:b/>
          <w:color w:val="auto"/>
          <w:sz w:val="21"/>
          <w:szCs w:val="21"/>
          <w:highlight w:val="none"/>
          <w:shd w:val="clear" w:color="auto" w:fill="FFFFFF"/>
        </w:rPr>
        <w:t>3.40</w:t>
      </w:r>
      <w:r>
        <w:rPr>
          <w:rFonts w:hint="eastAsia" w:hAnsi="宋体" w:cs="宋体"/>
          <w:b/>
          <w:bCs/>
          <w:color w:val="auto"/>
          <w:sz w:val="21"/>
          <w:szCs w:val="21"/>
          <w:highlight w:val="none"/>
        </w:rPr>
        <w:t>其他事项</w:t>
      </w:r>
    </w:p>
    <w:p w14:paraId="1A2ADC3B">
      <w:pPr>
        <w:pStyle w:val="61"/>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3.40.1</w:t>
      </w:r>
      <w:r>
        <w:rPr>
          <w:rFonts w:hint="eastAsia" w:hAnsi="宋体" w:cs="宋体"/>
          <w:color w:val="auto"/>
          <w:sz w:val="21"/>
          <w:szCs w:val="21"/>
          <w:highlight w:val="none"/>
          <w:shd w:val="clear" w:color="auto" w:fill="FFFFFF"/>
        </w:rPr>
        <w:t>中标人须为招标人提供现场管理的交通便利（开工至质保期满）。中标人不得以任何理由提出任何费用及补偿要求。</w:t>
      </w:r>
    </w:p>
    <w:p w14:paraId="1ACDAEBF">
      <w:pPr>
        <w:pStyle w:val="61"/>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3.40.2</w:t>
      </w:r>
      <w:r>
        <w:rPr>
          <w:rFonts w:hint="eastAsia" w:hAnsi="宋体" w:cs="宋体"/>
          <w:color w:val="auto"/>
          <w:sz w:val="21"/>
          <w:szCs w:val="21"/>
          <w:highlight w:val="none"/>
          <w:shd w:val="clear" w:color="auto" w:fill="FFFFFF"/>
        </w:rPr>
        <w:t>中标人须为招标人提供现场办公管理的便利。按工程需要配置办公室、会议室及办公家具、生活设施，配备满足工作需要的办公设备（电脑、打印机、复印机、传真机、办公用品等）。中标人不得以任何理由提出任何费用及补偿要求。</w:t>
      </w:r>
    </w:p>
    <w:p w14:paraId="30D15EE5">
      <w:pPr>
        <w:pStyle w:val="61"/>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3.40.3</w:t>
      </w:r>
      <w:r>
        <w:rPr>
          <w:rFonts w:hint="eastAsia" w:hAnsi="宋体" w:cs="宋体"/>
          <w:color w:val="auto"/>
          <w:sz w:val="21"/>
          <w:szCs w:val="21"/>
          <w:highlight w:val="none"/>
          <w:shd w:val="clear" w:color="auto" w:fill="FFFFFF"/>
        </w:rPr>
        <w:t>中标人须服从工程监理单位对工程质量全方位的监理，施工中的年度计划、季度计划、月度计划、施工方案等应报送监理单位审批和招标人备案。施工中的质量保证等资料均应及时报送监理单位和招标人备案。</w:t>
      </w:r>
    </w:p>
    <w:p w14:paraId="71D1CC34">
      <w:pPr>
        <w:pStyle w:val="61"/>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3.40.4</w:t>
      </w:r>
      <w:r>
        <w:rPr>
          <w:rFonts w:hint="eastAsia" w:hAnsi="宋体" w:cs="宋体"/>
          <w:color w:val="auto"/>
          <w:sz w:val="21"/>
          <w:szCs w:val="21"/>
          <w:highlight w:val="none"/>
          <w:shd w:val="clear" w:color="auto" w:fill="FFFFFF"/>
        </w:rPr>
        <w:t>工程竣工验收后15日内，中标人应按市城建档案馆的要求（质量、数量），将编制成册的施工档案资料（含声像档案和电子档案）提供给招标人、市城建档案馆、住建局、质量监督单位及监理单位，并承担档案涉及的所有费用（制作标准和相关要求按市城建档案馆的有关规定执行）。中标人提交符合城建档案馆要求的竣工资料经招标人确认签收后，即可办理工程结算手续。</w:t>
      </w:r>
    </w:p>
    <w:p w14:paraId="068162F1">
      <w:pPr>
        <w:pStyle w:val="61"/>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3.40.5</w:t>
      </w:r>
      <w:r>
        <w:rPr>
          <w:rFonts w:hint="eastAsia" w:hAnsi="宋体" w:cs="宋体"/>
          <w:color w:val="auto"/>
          <w:sz w:val="21"/>
          <w:szCs w:val="21"/>
          <w:highlight w:val="none"/>
          <w:shd w:val="clear" w:color="auto" w:fill="FFFFFF"/>
        </w:rPr>
        <w:t>为保证施工现场的环境卫生，中标人在本工程施工过程中，所有的车辆必须按招标人规定的行车路线行驶。并负责施工现场及受施工影响周边道路的卫生。</w:t>
      </w:r>
    </w:p>
    <w:p w14:paraId="7F7D558C">
      <w:pPr>
        <w:pStyle w:val="61"/>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3.40.6</w:t>
      </w:r>
      <w:r>
        <w:rPr>
          <w:rFonts w:hint="eastAsia" w:hAnsi="宋体" w:cs="宋体"/>
          <w:color w:val="auto"/>
          <w:sz w:val="21"/>
          <w:szCs w:val="21"/>
          <w:highlight w:val="none"/>
          <w:shd w:val="clear" w:color="auto" w:fill="FFFFFF"/>
        </w:rPr>
        <w:t>中标人应按招标人确认后的主要材料的规格、颜色要求采购。如变更规格或颜色，必须经招标人同意，并报有关审核部门重新核定单价后方可采购，并相应调整工程造价。主要材料必须先提供样板给招标人确定其规格、颜色、等级等，然后方可使用。</w:t>
      </w:r>
    </w:p>
    <w:p w14:paraId="7BA7B1C5">
      <w:pPr>
        <w:pStyle w:val="61"/>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3.40.7</w:t>
      </w:r>
      <w:r>
        <w:rPr>
          <w:rFonts w:hint="eastAsia" w:hAnsi="宋体" w:cs="宋体"/>
          <w:color w:val="auto"/>
          <w:sz w:val="21"/>
          <w:szCs w:val="21"/>
          <w:highlight w:val="none"/>
          <w:shd w:val="clear" w:color="auto" w:fill="FFFFFF"/>
        </w:rPr>
        <w:t>中标人须按工程所在地关于建筑渣土管理和扬尘治理等有关规定执行。</w:t>
      </w:r>
    </w:p>
    <w:p w14:paraId="029D0E16">
      <w:pPr>
        <w:pStyle w:val="61"/>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3.40.8</w:t>
      </w:r>
      <w:r>
        <w:rPr>
          <w:rFonts w:hint="eastAsia" w:hAnsi="宋体" w:cs="宋体"/>
          <w:color w:val="auto"/>
          <w:sz w:val="21"/>
          <w:szCs w:val="21"/>
          <w:highlight w:val="none"/>
          <w:shd w:val="clear" w:color="auto" w:fill="FFFFFF"/>
        </w:rPr>
        <w:t>中标人应已详细了解本项目的前期工作（包括征地拆迁），同时也应已勘察施工现场、周围环境、地形、地貌、水文、交通等情况。中标人投标报价应已充分考虑在施工中由于招标人原因造成停工或工期延误等因素所产生的相关费用，招标人不予另计费；中标人不得以不完全了解项目的前期工作及现场情况为理由，提出因外界因素造成停工或工期延误的额外付款要求；对此类要求，招标人不作任何考虑及答复。</w:t>
      </w:r>
    </w:p>
    <w:p w14:paraId="09157495">
      <w:pPr>
        <w:pStyle w:val="61"/>
        <w:snapToGrid w:val="0"/>
        <w:spacing w:line="360" w:lineRule="exact"/>
        <w:ind w:firstLine="420" w:firstLineChars="200"/>
        <w:rPr>
          <w:rFonts w:hAnsi="宋体" w:cs="宋体"/>
          <w:color w:val="auto"/>
          <w:sz w:val="21"/>
          <w:szCs w:val="21"/>
          <w:highlight w:val="none"/>
          <w:shd w:val="clear" w:color="auto" w:fill="FFFFFF"/>
        </w:rPr>
      </w:pPr>
      <w:r>
        <w:rPr>
          <w:rFonts w:hint="eastAsia" w:hAnsi="宋体" w:cs="宋体"/>
          <w:color w:val="auto"/>
          <w:sz w:val="21"/>
          <w:szCs w:val="21"/>
          <w:highlight w:val="none"/>
          <w:shd w:val="clear" w:color="auto" w:fill="FFFFFF"/>
        </w:rPr>
        <w:t>如因招标人原因（自然灾害等不可抗力因素除外），工程不能按期开工，或开工后全部停滞，工期按相关规定予以顺延。停工发生后，若可复工时，中标人应在收到招标人发出的复工通知书后3日内开始复工。</w:t>
      </w:r>
    </w:p>
    <w:p w14:paraId="1E72F87A">
      <w:pPr>
        <w:pStyle w:val="61"/>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3.40.9</w:t>
      </w:r>
      <w:r>
        <w:rPr>
          <w:rFonts w:hint="eastAsia" w:hAnsi="宋体" w:cs="宋体"/>
          <w:color w:val="auto"/>
          <w:sz w:val="21"/>
          <w:szCs w:val="21"/>
          <w:highlight w:val="none"/>
          <w:shd w:val="clear" w:color="auto" w:fill="FFFFFF"/>
        </w:rPr>
        <w:t>若设计超过了限额标准，中标人必须无条件优化，直至达到限额要求为止，设计及施工工期不予以顺延，招标人不再支付由此而增加的设计费。</w:t>
      </w:r>
    </w:p>
    <w:p w14:paraId="1230C0F7">
      <w:pPr>
        <w:pStyle w:val="61"/>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3.40.10</w:t>
      </w:r>
      <w:r>
        <w:rPr>
          <w:rFonts w:hint="eastAsia" w:hAnsi="宋体" w:cs="宋体"/>
          <w:color w:val="auto"/>
          <w:sz w:val="21"/>
          <w:szCs w:val="21"/>
          <w:highlight w:val="none"/>
          <w:shd w:val="clear" w:color="auto" w:fill="FFFFFF"/>
        </w:rPr>
        <w:t>施工图设计通过招标人确认，若由于审查过程中提出的设计修改或变更，中标人必须无条件进行修改或优化设计，招标人不再支付由此而增加的设计费用。</w:t>
      </w:r>
    </w:p>
    <w:p w14:paraId="372FAD43">
      <w:pPr>
        <w:pStyle w:val="61"/>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3.40.11</w:t>
      </w:r>
      <w:r>
        <w:rPr>
          <w:rFonts w:hint="eastAsia" w:hAnsi="宋体" w:cs="宋体"/>
          <w:color w:val="auto"/>
          <w:sz w:val="21"/>
          <w:szCs w:val="21"/>
          <w:highlight w:val="none"/>
          <w:shd w:val="clear" w:color="auto" w:fill="FFFFFF"/>
        </w:rPr>
        <w:t>增加工程造价在施工14天前中标人必须提供详细的报价书（含工程项目名称、变更部位、理由、预计造价等）给监理单位核实并报招标人或有关审核部门核定后，方可施工。</w:t>
      </w:r>
    </w:p>
    <w:p w14:paraId="59FEA420">
      <w:pPr>
        <w:pStyle w:val="61"/>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3.40.12</w:t>
      </w:r>
      <w:r>
        <w:rPr>
          <w:rFonts w:hint="eastAsia" w:hAnsi="宋体" w:cs="宋体"/>
          <w:color w:val="auto"/>
          <w:sz w:val="21"/>
          <w:szCs w:val="21"/>
          <w:highlight w:val="none"/>
          <w:shd w:val="clear" w:color="auto" w:fill="FFFFFF"/>
        </w:rPr>
        <w:t>中标人在施工图设计前，要充分进行市场调查，主要材料、设备在满足设计规范及建设标准的情况下，尽量采用造价管理机构发布的信息价中有相应型号、规格的标准材料，若必须采用非标准材料的，必须经招标人同意，否则参照信息价中相近且低于其标准的材料信息价作为该项材料的结算价。施工图设计工作须经招标人审核通过后方可进行下一步设计。</w:t>
      </w:r>
    </w:p>
    <w:p w14:paraId="6D896E82">
      <w:pPr>
        <w:pStyle w:val="61"/>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3.40.13</w:t>
      </w:r>
      <w:r>
        <w:rPr>
          <w:rFonts w:hint="eastAsia" w:hAnsi="宋体" w:cs="宋体"/>
          <w:color w:val="auto"/>
          <w:sz w:val="21"/>
          <w:szCs w:val="21"/>
          <w:highlight w:val="none"/>
          <w:shd w:val="clear" w:color="auto" w:fill="FFFFFF"/>
        </w:rPr>
        <w:t>依据《关于进一步明确EPC建设工程财政投资评审工作有关事项的通知》（韶财建【2018】6号）文件，本项目有关具体事项如下：</w:t>
      </w:r>
    </w:p>
    <w:p w14:paraId="1C83A84C">
      <w:pPr>
        <w:pStyle w:val="61"/>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3.40.13.1</w:t>
      </w:r>
      <w:r>
        <w:rPr>
          <w:rFonts w:hint="eastAsia" w:hAnsi="宋体" w:cs="宋体"/>
          <w:color w:val="auto"/>
          <w:sz w:val="21"/>
          <w:szCs w:val="21"/>
          <w:highlight w:val="none"/>
          <w:shd w:val="clear" w:color="auto" w:fill="FFFFFF"/>
        </w:rPr>
        <w:t>承包人应按合同专用条款约定时间提交施工图设计文件、图纸及相关资料后按节点要求上报施工图工程量清单、预算。</w:t>
      </w:r>
    </w:p>
    <w:p w14:paraId="0E90CE45">
      <w:pPr>
        <w:pStyle w:val="61"/>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3.40.13.2</w:t>
      </w:r>
      <w:r>
        <w:rPr>
          <w:rFonts w:hint="eastAsia" w:hAnsi="宋体" w:cs="宋体"/>
          <w:color w:val="auto"/>
          <w:sz w:val="21"/>
          <w:szCs w:val="21"/>
          <w:highlight w:val="none"/>
          <w:shd w:val="clear" w:color="auto" w:fill="FFFFFF"/>
        </w:rPr>
        <w:t>承包人必须根据已批准的有关文件深化和优化设计，保证设计文件的深度；因承包人原因造成设计文件存在遭漏、错误、缺陷和不足导致造价增加由承包人负责；在实施过程中的设计优化，不得增加工程造价；确因发包人原因、法律法规调整或者不可抗力造成的设计变更，按工程变更处理。</w:t>
      </w:r>
    </w:p>
    <w:p w14:paraId="57F2DC6E">
      <w:pPr>
        <w:pStyle w:val="61"/>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3.40.13.3</w:t>
      </w:r>
      <w:r>
        <w:rPr>
          <w:rFonts w:hint="eastAsia" w:hAnsi="宋体" w:cs="宋体"/>
          <w:color w:val="auto"/>
          <w:sz w:val="21"/>
          <w:szCs w:val="21"/>
          <w:highlight w:val="none"/>
          <w:shd w:val="clear" w:color="auto" w:fill="FFFFFF"/>
        </w:rPr>
        <w:t>燃气、通信、电力等专业工程设计、施工方案需要相关部门审批的必须通过审查；在实施过程中由于设计、施工原因导致整体方案改变的，按设计遗漏、错误、缺陷和不足及施工方案不足处理，增加工程造价由承包人负责及承担费用。承包人因勘察不全面导致施工破坏地下管线的由承包人承担全部损失及责任。</w:t>
      </w:r>
    </w:p>
    <w:p w14:paraId="686EC7FF">
      <w:pPr>
        <w:pStyle w:val="61"/>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3.40.13.4</w:t>
      </w:r>
      <w:r>
        <w:rPr>
          <w:rFonts w:hint="eastAsia" w:hAnsi="宋体" w:cs="宋体"/>
          <w:color w:val="auto"/>
          <w:sz w:val="21"/>
          <w:szCs w:val="21"/>
          <w:highlight w:val="none"/>
          <w:shd w:val="clear" w:color="auto" w:fill="FFFFFF"/>
        </w:rPr>
        <w:t>承包人不得在设计文件中或以口头暗示方式指定工程物资供货商或者制造厂，只有唯一厂家除外；承包人应通过招标等竞争性方式选择供货商或制造厂。</w:t>
      </w:r>
    </w:p>
    <w:p w14:paraId="24537A5D">
      <w:pPr>
        <w:pStyle w:val="61"/>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3.40.13.5</w:t>
      </w:r>
      <w:r>
        <w:rPr>
          <w:rFonts w:hint="eastAsia" w:hAnsi="宋体" w:cs="宋体"/>
          <w:color w:val="auto"/>
          <w:sz w:val="21"/>
          <w:szCs w:val="21"/>
          <w:highlight w:val="none"/>
          <w:shd w:val="clear" w:color="auto" w:fill="FFFFFF"/>
        </w:rPr>
        <w:t>主要设备、管材(主材)以及专业工程结算报审要求</w:t>
      </w:r>
    </w:p>
    <w:p w14:paraId="1ACD0F2A">
      <w:pPr>
        <w:pStyle w:val="61"/>
        <w:snapToGrid w:val="0"/>
        <w:spacing w:line="360" w:lineRule="exact"/>
        <w:ind w:firstLine="420" w:firstLineChars="200"/>
        <w:rPr>
          <w:rFonts w:hAnsi="宋体" w:cs="宋体"/>
          <w:color w:val="auto"/>
          <w:sz w:val="21"/>
          <w:szCs w:val="21"/>
          <w:highlight w:val="none"/>
          <w:shd w:val="clear" w:color="auto" w:fill="FFFFFF"/>
        </w:rPr>
      </w:pPr>
      <w:r>
        <w:rPr>
          <w:rFonts w:hint="eastAsia" w:hAnsi="宋体" w:cs="宋体"/>
          <w:color w:val="auto"/>
          <w:sz w:val="21"/>
          <w:szCs w:val="21"/>
          <w:highlight w:val="none"/>
          <w:shd w:val="clear" w:color="auto" w:fill="FFFFFF"/>
        </w:rPr>
        <w:t>主要设备、管材(主材) 以及专业工程等在工程预算中以“暂估价”形式包括在总承包范围内进行单列的，实施时确定规格型号、参数及档次、询价确价须经过有关承包人充分协商一致并形成书面材料；设备、管材(主材) 采购额达到依法招标条件的，应按国家相关规定采用招标方式确定设备、管材(主材) 供货商或制造厂和价格；结算时需提供选型、确价、实施采购、招标等决策过程文件，互相佐证的采购(招标)文件、投标文件、合同、发票、银行转账单等依据，专业工程需提供图纸等相关完整资料。</w:t>
      </w:r>
    </w:p>
    <w:p w14:paraId="0C1797E0">
      <w:pPr>
        <w:pStyle w:val="61"/>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13.40.13.6</w:t>
      </w:r>
      <w:r>
        <w:rPr>
          <w:rFonts w:hint="eastAsia" w:hAnsi="宋体" w:cs="宋体"/>
          <w:color w:val="auto"/>
          <w:sz w:val="21"/>
          <w:szCs w:val="21"/>
          <w:highlight w:val="none"/>
          <w:shd w:val="clear" w:color="auto" w:fill="FFFFFF"/>
        </w:rPr>
        <w:t>承包人不得为了用完设计限额额度，擅自扩大建设规模、增加建设内容、提高建设标准的行为，因此导致造价增加由承包人负责及承担费用。</w:t>
      </w:r>
    </w:p>
    <w:p w14:paraId="5224D770">
      <w:pPr>
        <w:pStyle w:val="61"/>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3.40.14</w:t>
      </w:r>
      <w:r>
        <w:rPr>
          <w:rFonts w:hint="eastAsia" w:hAnsi="宋体" w:cs="宋体"/>
          <w:color w:val="auto"/>
          <w:sz w:val="21"/>
          <w:szCs w:val="21"/>
          <w:highlight w:val="none"/>
          <w:shd w:val="clear" w:color="auto" w:fill="FFFFFF"/>
        </w:rPr>
        <w:t>工程质量保修期按《中华人民共和国建筑法》、《建设工程质量管理条例》等相关规定实施。</w:t>
      </w:r>
    </w:p>
    <w:p w14:paraId="7B0BD9DE">
      <w:pPr>
        <w:pStyle w:val="61"/>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3.40.15</w:t>
      </w:r>
      <w:r>
        <w:rPr>
          <w:rFonts w:hint="eastAsia" w:hAnsi="宋体" w:cs="宋体"/>
          <w:color w:val="auto"/>
          <w:sz w:val="21"/>
          <w:szCs w:val="21"/>
          <w:highlight w:val="none"/>
          <w:shd w:val="clear" w:color="auto" w:fill="FFFFFF"/>
        </w:rPr>
        <w:t>（一）用人单位应当在建设项目动工前，在建设项目所在地商业银行设立工人工资支付专用账户。</w:t>
      </w:r>
    </w:p>
    <w:p w14:paraId="715CB8BC">
      <w:pPr>
        <w:pStyle w:val="61"/>
        <w:snapToGrid w:val="0"/>
        <w:spacing w:line="360" w:lineRule="exact"/>
        <w:ind w:firstLine="420" w:firstLineChars="200"/>
        <w:rPr>
          <w:rFonts w:hAnsi="宋体" w:cs="宋体"/>
          <w:color w:val="auto"/>
          <w:sz w:val="21"/>
          <w:szCs w:val="21"/>
          <w:highlight w:val="none"/>
          <w:shd w:val="clear" w:color="auto" w:fill="FFFFFF"/>
        </w:rPr>
      </w:pPr>
      <w:r>
        <w:rPr>
          <w:rFonts w:hint="eastAsia" w:hAnsi="宋体" w:cs="宋体"/>
          <w:color w:val="auto"/>
          <w:sz w:val="21"/>
          <w:szCs w:val="21"/>
          <w:highlight w:val="none"/>
          <w:shd w:val="clear" w:color="auto" w:fill="FFFFFF"/>
        </w:rPr>
        <w:t>（二）用人单位应当在用工之日起15日内为每一位工人办理个人银行账户。</w:t>
      </w:r>
    </w:p>
    <w:p w14:paraId="581C0E70">
      <w:pPr>
        <w:pStyle w:val="61"/>
        <w:snapToGrid w:val="0"/>
        <w:spacing w:line="360" w:lineRule="exact"/>
        <w:ind w:firstLine="420" w:firstLineChars="200"/>
        <w:rPr>
          <w:rFonts w:hAnsi="宋体" w:cs="宋体"/>
          <w:color w:val="auto"/>
          <w:sz w:val="21"/>
          <w:szCs w:val="21"/>
          <w:highlight w:val="none"/>
          <w:shd w:val="clear" w:color="auto" w:fill="FFFFFF"/>
        </w:rPr>
      </w:pPr>
      <w:r>
        <w:rPr>
          <w:rFonts w:hint="eastAsia" w:hAnsi="宋体" w:cs="宋体"/>
          <w:color w:val="auto"/>
          <w:sz w:val="21"/>
          <w:szCs w:val="21"/>
          <w:highlight w:val="none"/>
          <w:shd w:val="clear" w:color="auto" w:fill="FFFFFF"/>
        </w:rPr>
        <w:t>（三）用人单位应当指定专人负责建设项目施工现场台账管理，真实、准确记录工人名册、劳务合同、劳动合同、工程进度、工时台账、劳务承包款和工人工资支付等信息，并保存两年以上备查。</w:t>
      </w:r>
    </w:p>
    <w:p w14:paraId="30528CAD">
      <w:pPr>
        <w:pStyle w:val="61"/>
        <w:snapToGrid w:val="0"/>
        <w:spacing w:line="360" w:lineRule="exact"/>
        <w:ind w:firstLine="420" w:firstLineChars="200"/>
        <w:rPr>
          <w:rFonts w:hAnsi="宋体" w:cs="宋体"/>
          <w:color w:val="auto"/>
          <w:sz w:val="21"/>
          <w:szCs w:val="21"/>
          <w:highlight w:val="none"/>
          <w:shd w:val="clear" w:color="auto" w:fill="FFFFFF"/>
        </w:rPr>
      </w:pPr>
      <w:r>
        <w:rPr>
          <w:rFonts w:hint="eastAsia" w:hAnsi="宋体" w:cs="宋体"/>
          <w:color w:val="auto"/>
          <w:sz w:val="21"/>
          <w:szCs w:val="21"/>
          <w:highlight w:val="none"/>
          <w:shd w:val="clear" w:color="auto" w:fill="FFFFFF"/>
        </w:rPr>
        <w:t>（四）用人单位应当按照“及时支付，按实结算”的原则，在规定日期前通过银行工人工资支付专用账户将工人工资直接支付到工人的个人银行账户，并按月将工人工资支付明细表报施工总承包单位和建设单位备案。</w:t>
      </w:r>
    </w:p>
    <w:p w14:paraId="4F66D4AC">
      <w:pPr>
        <w:wordWrap w:val="0"/>
        <w:adjustRightInd w:val="0"/>
        <w:snapToGrid w:val="0"/>
        <w:spacing w:line="360" w:lineRule="exact"/>
        <w:ind w:firstLine="420" w:firstLineChars="200"/>
        <w:rPr>
          <w:rFonts w:hint="default" w:hAnsi="宋体" w:eastAsia="宋体" w:cs="宋体"/>
          <w:color w:val="auto"/>
          <w:sz w:val="21"/>
          <w:szCs w:val="21"/>
          <w:highlight w:val="none"/>
          <w:shd w:val="clear" w:color="auto" w:fill="FFFFFF"/>
        </w:rPr>
      </w:pPr>
      <w:r>
        <w:rPr>
          <w:rFonts w:hAnsi="宋体" w:eastAsia="宋体" w:cs="宋体"/>
          <w:color w:val="auto"/>
          <w:sz w:val="21"/>
          <w:szCs w:val="21"/>
          <w:highlight w:val="none"/>
          <w:shd w:val="clear" w:color="auto" w:fill="FFFFFF"/>
        </w:rPr>
        <w:t>用人单位未建立、保存用工管理台账，或者伪造相关台账的，按照《广东省劳动保障监察条例》第五十条的规定，由人力资源社会保障部门责令改正，并可处以二千元以上二万元以下的人民币罚款。</w:t>
      </w:r>
    </w:p>
    <w:p w14:paraId="0E995237">
      <w:pPr>
        <w:snapToGrid w:val="0"/>
        <w:spacing w:line="360" w:lineRule="exact"/>
        <w:ind w:firstLine="422" w:firstLineChars="200"/>
        <w:rPr>
          <w:rFonts w:hint="default" w:hAnsi="宋体" w:eastAsia="宋体" w:cs="宋体"/>
          <w:color w:val="auto"/>
          <w:sz w:val="21"/>
          <w:szCs w:val="21"/>
          <w:highlight w:val="none"/>
        </w:rPr>
      </w:pPr>
      <w:r>
        <w:rPr>
          <w:rFonts w:hAnsi="宋体" w:eastAsia="宋体" w:cs="宋体"/>
          <w:b/>
          <w:bCs/>
          <w:color w:val="auto"/>
          <w:sz w:val="21"/>
          <w:szCs w:val="21"/>
          <w:highlight w:val="none"/>
          <w:shd w:val="clear" w:color="auto" w:fill="FFFFFF"/>
        </w:rPr>
        <w:t>3.40.16</w:t>
      </w:r>
      <w:r>
        <w:rPr>
          <w:rFonts w:hAnsi="宋体" w:eastAsia="宋体" w:cs="宋体"/>
          <w:color w:val="auto"/>
          <w:sz w:val="21"/>
          <w:szCs w:val="21"/>
          <w:highlight w:val="none"/>
        </w:rPr>
        <w:t>按照《广东省住房和城乡建设厅关于建设工程项目招标中标后监督检查的办法》（粤建市〔2009〕8号）和《韶关市住房和城乡建设局关于加强房屋建筑和市政工程项目招标中标后监督检查的通知》（韶市建字〔2014〕145号）等相关法律法规。中标人中标之后，工程施工项目负责人和项目管理班子其他成员必须是该工程中标时所承诺的项目管理班子成员。</w:t>
      </w:r>
    </w:p>
    <w:p w14:paraId="5E06E375">
      <w:pPr>
        <w:snapToGrid w:val="0"/>
        <w:spacing w:line="360" w:lineRule="exact"/>
        <w:ind w:firstLine="560"/>
        <w:rPr>
          <w:rFonts w:hint="default" w:hAnsi="宋体" w:eastAsia="宋体" w:cs="宋体"/>
          <w:color w:val="auto"/>
          <w:sz w:val="21"/>
          <w:szCs w:val="21"/>
          <w:highlight w:val="none"/>
        </w:rPr>
      </w:pPr>
      <w:r>
        <w:rPr>
          <w:rFonts w:hAnsi="宋体" w:eastAsia="宋体" w:cs="宋体"/>
          <w:color w:val="auto"/>
          <w:sz w:val="21"/>
          <w:szCs w:val="21"/>
          <w:highlight w:val="none"/>
        </w:rPr>
        <w:t>项目管理班子成员不得擅自变更，项目管理班子成员因有粤建市〔2009〕8号第九条所述情形之一确属不能履行职责需要变更的，施工或监理单位应向建设行政主管部门填报《建设工程项目管理班子变更情况报告表》并附上有关证明文件，经建设行政主管部门审核同意方可变更。更换后的项目经理与中标单位的投标文件所确定的项目负责人或总监理工程师的主要条件一致。</w:t>
      </w:r>
    </w:p>
    <w:p w14:paraId="6ED989D4">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若中标单位有下列行为之一的，除依照有关法律、法规进行处罚外，将通过市建设与房地产信息网站予以及时曝光，并作为今后该单位参与投标的评分扣分依据直至取消投标资格。</w:t>
      </w:r>
    </w:p>
    <w:p w14:paraId="46F64BA2">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1. 转包、违法分包或违反投标承诺分包工程的；   </w:t>
      </w:r>
    </w:p>
    <w:p w14:paraId="3B2F39C7">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2. 非原参加投标中标的项目经理负责组织施工或在实施过程违反粤建市〔2009〕8号第九条规定更换项目经理的、项目的其他主要管理人员与中标文件确定的人员不相符的；</w:t>
      </w:r>
    </w:p>
    <w:p w14:paraId="40D4EA83">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3. 投标文件确定的大型机械设备没有进入施工现场的；</w:t>
      </w:r>
    </w:p>
    <w:p w14:paraId="4ADF53E3">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4. 建设、监理、施工等单位串通，签认虚假工程量或工程造价的；</w:t>
      </w:r>
    </w:p>
    <w:p w14:paraId="7F310B0F">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5. 施工现场管理不到位的；</w:t>
      </w:r>
    </w:p>
    <w:p w14:paraId="5E112707">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6. 非本人资格证书登记所在的单位从事工程项目施工管理的；</w:t>
      </w:r>
    </w:p>
    <w:p w14:paraId="701BA96F">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7. 项目经理同时承担超过一项工程项目的；</w:t>
      </w:r>
    </w:p>
    <w:p w14:paraId="2E24146C">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8. 违反有关法律、法规、规章规定的其它行为。</w:t>
      </w:r>
    </w:p>
    <w:p w14:paraId="3CC11718">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b/>
          <w:bCs/>
          <w:color w:val="auto"/>
          <w:sz w:val="21"/>
          <w:szCs w:val="21"/>
          <w:highlight w:val="none"/>
          <w:shd w:val="clear" w:color="auto" w:fill="FFFFFF"/>
        </w:rPr>
        <w:t>3.40</w:t>
      </w:r>
      <w:r>
        <w:rPr>
          <w:rFonts w:hint="eastAsia" w:ascii="宋体" w:hAnsi="宋体" w:cs="宋体"/>
          <w:b/>
          <w:bCs/>
          <w:color w:val="auto"/>
          <w:sz w:val="21"/>
          <w:szCs w:val="21"/>
          <w:highlight w:val="none"/>
        </w:rPr>
        <w:t>.17</w:t>
      </w:r>
      <w:r>
        <w:rPr>
          <w:rFonts w:hint="eastAsia" w:ascii="宋体" w:hAnsi="宋体" w:cs="宋体"/>
          <w:color w:val="auto"/>
          <w:sz w:val="21"/>
          <w:szCs w:val="21"/>
          <w:highlight w:val="none"/>
          <w:lang w:val="zh-CN"/>
        </w:rPr>
        <w:t>中标单位必须做好临时道路（含进场道路）的建设与维护及周边环境的保护工作。如临时道路及设施达不到安全文明施工标准的，由招标人组织安排施工队进行维修，实际完成结算由监理单位审定。</w:t>
      </w:r>
    </w:p>
    <w:p w14:paraId="2F86B874">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b/>
          <w:bCs/>
          <w:color w:val="auto"/>
          <w:sz w:val="21"/>
          <w:szCs w:val="21"/>
          <w:highlight w:val="none"/>
          <w:shd w:val="clear" w:color="auto" w:fill="FFFFFF"/>
        </w:rPr>
        <w:t>3.40</w:t>
      </w:r>
      <w:r>
        <w:rPr>
          <w:rFonts w:hint="eastAsia" w:ascii="宋体" w:hAnsi="宋体" w:cs="宋体"/>
          <w:b/>
          <w:color w:val="auto"/>
          <w:sz w:val="21"/>
          <w:szCs w:val="21"/>
          <w:highlight w:val="none"/>
        </w:rPr>
        <w:t>.18中标人违约行为及违约责任条款</w:t>
      </w:r>
    </w:p>
    <w:p w14:paraId="27DC3AC0">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（一）工程移交延误违约</w:t>
      </w:r>
    </w:p>
    <w:p w14:paraId="735298BA">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1）由于设计原因造成设计资料质量不合格，不能满足技术要求或使工期延误的，中标人除应按招标人要求期限返工外，其返工的设计费、施工费用均由中标人承担，并根据受损失程度向招标人支付相应赔偿金。</w:t>
      </w:r>
    </w:p>
    <w:p w14:paraId="426D1D81">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（2）因中标人的原因，未按招标人或监理单位开工令要求时间开工的，每迟延开工1 天，应向招标人支付违约金5000 元；迟延开工超过20 天的，招标人有权根据实际情况单方面解除合同。</w:t>
      </w:r>
    </w:p>
    <w:p w14:paraId="1E872D9C">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（3）因中标人的原因造成工期延误</w:t>
      </w:r>
      <w:r>
        <w:rPr>
          <w:rFonts w:hint="eastAsia" w:ascii="宋体" w:hAnsi="宋体" w:cs="宋体"/>
          <w:snapToGrid w:val="0"/>
          <w:color w:val="auto"/>
          <w:kern w:val="0"/>
          <w:sz w:val="21"/>
          <w:szCs w:val="21"/>
          <w:highlight w:val="none"/>
        </w:rPr>
        <w:t>（工期自监理单位签发的开工令日期起算）</w:t>
      </w:r>
      <w:r>
        <w:rPr>
          <w:rFonts w:hint="eastAsia" w:ascii="宋体" w:hAnsi="宋体" w:cs="宋体"/>
          <w:color w:val="auto"/>
          <w:sz w:val="21"/>
          <w:szCs w:val="21"/>
          <w:highlight w:val="none"/>
        </w:rPr>
        <w:t>，从延误的第一天起按合同价1‰向招标人支付违约金，支付违约金上限为工程合同价款的10%。</w:t>
      </w:r>
    </w:p>
    <w:p w14:paraId="0487B1C7">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4）中标人必须按期完成主要工序的施工任务，若属中标人原因逾期达10天未完成主要节点的施工任务时，除按第（1）项约定承担违约责任外，招标人可要求撤换项目负责人，中标人应予以执行，并在总工期不调整的前提下自行消化节点工期的延误。逾期1天，罚款3000元，逾期30 天未完成主要节点的施工任务时，属中标人进度严重违约行为，招标人可单方面终止合同，将中标人作不良纪录报建设行政主管部门备案。并由中标人承担相应的进度严重违约责任。</w:t>
      </w:r>
    </w:p>
    <w:p w14:paraId="62505868">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（5）中标人承担的进度严重违约责任为：如果中标人出现进度严重违约事件，则须无条件接受招标人终止合同，并在接到终止合同通知书之日起5 个日历天内（招标人应予以配合），在监理工程师的监督下退场完毕。退场完毕后由监理工程师出具《退出完结证明书》，并据此进行相关结算。中标人按履约担保金额支付违约金。给招标人造成的损失超过履约担保金额的部分，中标人还应承担赔偿责任。</w:t>
      </w:r>
    </w:p>
    <w:p w14:paraId="68CC4B74">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6）工程施工过程中（竣工验收前），中标人必须按招标人、监理人的要求及时为专业工程（电信、电力管线、电力走廊、煤气、道路绿化、路灯、交通设施、给水等）提供工作面及为专业工程穿插施工所需各项配合工作给予方便，中标人应在施工方案中充分考虑专业工程穿插施工所需的穿插工作面及工期，由于中标人未能给予专业工程穿插施工，造成总施工工期的延误，施工工期不予顺延，中标人承担由于工期延误所产生的损失。</w:t>
      </w:r>
    </w:p>
    <w:p w14:paraId="1695FC91">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（7）中标人违反合同专用条款的约定和招标人的规定，逾期完成竣工档案的整理、移交、送审备案工作的，每逾期1 天，中标人支付违约金1000 元。</w:t>
      </w:r>
    </w:p>
    <w:p w14:paraId="3BF6E611">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（二）安全、文明施工要求及违约处理：</w:t>
      </w:r>
    </w:p>
    <w:p w14:paraId="7BB396BE">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1）中标人必须按本合同的约定编制施工组织设计（施工方案、包括安全文明施工措施），经过监理人和招标人审核确认后按其施工，不得随意更改。如果根据实际情况确需修改，则需经工程师及招标人审批同意。</w:t>
      </w:r>
    </w:p>
    <w:p w14:paraId="0DF2D62F">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2）中标人应严格遵守国家、省、市及有关防火、爆破和施工安全以及文明施工、深夜施工、环卫和城市管理等规定，建立规章制度和防护措施，并组织施工。在相关部门的检查中，中标人施工场地被评为不合格工地或被通报批评或下发停工整改通知的或者被新闻媒体曝光的，每发生一次，中标人支付5000 元违约金，如招标人因此被相关部门处罚的，罚金由中标人承担。</w:t>
      </w:r>
    </w:p>
    <w:p w14:paraId="5698CFE1">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3）如果中标人未按招投标文件、本合同、《广东省建设厅建筑工程安全防护、文明施工措施费用管理办法》、招标人要求做好绿色施工安全防护相关措施，未在限期内完成整改的，每延期一天，中标人支付1000元违约金。</w:t>
      </w:r>
    </w:p>
    <w:p w14:paraId="58E0AC3A">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4）在本工程余泥渣土清运施工和建筑垃圾排放运输时，中标人必须严格执行当地相关管理规定的标准和要求，办齐排放有关证照，雇请有合格准运证车辆和具备资质的运输企业，设立专职人员管理余泥渣土、建筑垃圾的运输工作，并对分包单位依法排放余泥渣土、建筑垃圾进行监管。中标人因违反本款约定所造成的一切责任后果全部由中标人承担。经招标人或相关部门检查发现中标人未执行本款约定的，每发现一次，中标人支付1000 元违约金。同时，招标人将根据中标人违反余泥渣土运输管理有关规定而造成的不良后果的严重程度，上报建设行政主管部门进行处理。</w:t>
      </w:r>
    </w:p>
    <w:p w14:paraId="1C6AF17E">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5）中标人必须按合同约定的“绿色施工安全防护措施费”足额投入，否则发包人有权自行实施，承包人无条件接受并承担相关费用并接受处罚。招标人根据中标人提供的绿色施工安全防护投入明细经监理单位审核后在合同约定的“绿色施工安全防护措施费”金额内按实结算。</w:t>
      </w:r>
    </w:p>
    <w:p w14:paraId="45D73A46">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（三）工程质量方面的违约责任：</w:t>
      </w:r>
    </w:p>
    <w:p w14:paraId="49494EA8">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1）中标人必须保证用于本合同工程所有的材料设备的品牌、型号、规格、质量等符合本合同及招投标文件的要求，严禁假冒伪劣产品，严禁以次充好，严禁未经招标人批准即以其他产品（包括中标人的产品）顶替本合同及招投标文件中规定的产品。中标人在施工中偷工减料、使用不合格的建筑材料、建筑构配件或设备、不按照工程设计图纸、施工技术标准施工，或者未对建筑材料、建筑构配件、设备、商品混凝土进行检验，或者未对涉及结构安全的试块、试件以及有关材料取样送检的，应负责无偿修理或返工，并应支付合同价款千分之三的违约金给招标人。</w:t>
      </w:r>
    </w:p>
    <w:p w14:paraId="6D802C35">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（2）设计人对设计资料及文件出现的遗漏或错误负责修改或补充。由于设计错误造成工程质量事故损失，设计人负责采取补救措施。</w:t>
      </w:r>
    </w:p>
    <w:p w14:paraId="330AE73B">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（3）由于设计人原因造成设计成果资料质量不合格，不能满足技术要求时设计人应按招标人要求期限返工，其返工设计费用由设计人承担。</w:t>
      </w:r>
    </w:p>
    <w:p w14:paraId="43AB2B53">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（4）如工程在竣工验收达不到合格标准，招标人不予支付工程款，直至中标人返工至合格后方予以支付，并按合同价款的1%向招标人返纳质量违约金。</w:t>
      </w:r>
    </w:p>
    <w:p w14:paraId="3EE93B9A">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（四）关于农民工工资支付的违约责任：</w:t>
      </w:r>
    </w:p>
    <w:p w14:paraId="571D89BD">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中标人拖欠农民工工资，被农民工投诉属实的，中标人必须在3 天内发放拖欠的款项。若继续拖延被投诉2 次及以上，经查实，中标人除应立即支付拖欠款项外，还应支付10000 元违约金给招标人。因中标人拖欠农民工工资，导致农民工采取停工、集聚围阻招标人办公地点甚至政府办公部门等过激行动的，中标人应支付20000 元违约金，并立即采取切实有效措施予以整改；拒不采取切实有效措施整改的，或整改效果不明显的，招标人可用中标人工程款垫付。若中标人在本工程内发生无故拖欠农民工工资现象，将被作不良记录，上报建设行政主管部门。</w:t>
      </w:r>
    </w:p>
    <w:p w14:paraId="25945D2E">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（五）项目管理机构人员、机械设备、劳动力到位方面的违约责任：</w:t>
      </w:r>
    </w:p>
    <w:p w14:paraId="33765E5E">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1）中标人必须保证投标文件中确定的项目负责人及其项目技术负责人、主要施工管理人员能及时地、始终地参与本工程施工管理，在未征得招标人书面同意之前不得更换。如果擅自更换项目负责人或项目技术负责人，中标人每更换一人次，需支付10000 元违约金给招标人，如果擅自更换主要施工管理人员，每更换一人次，中标人需支付5000 元违约金给招标人。</w:t>
      </w:r>
    </w:p>
    <w:p w14:paraId="3383C843">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（2）如果中标人未按监理单位确认后的施工组织设计中的机械设备投入计划投入机械设备，经监理工程师或招标人代表检查发现的，将书面告知限期整改。</w:t>
      </w:r>
    </w:p>
    <w:p w14:paraId="33F6A686">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（3）如果中标人未按监理单位确认后的施工组织设计中的人力投入计划投入，经监理工程师和招标人代表检查发现的，每发现一次，中标人支付3000 元违约金给招标人。</w:t>
      </w:r>
    </w:p>
    <w:p w14:paraId="7FE0F92C">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4）如果检查发现中标人超过三次未按承诺投入的人力、机械、物力组织施工，招标人将作为不良纪录报建设行政主管部门备案。如果检查发现中标人没有按施工组织设计的进度安排推进工程建设，使主要工序的工期延误超过10 天，没有按招标人的意见撤换现场负责人；或者按招标人的意见撤换现场负责人后，仍然无法有效控制工程进度，招标人将发出书面警告，警告发出后15 天内，主要工序的工期延误仍然超过10 天，招标人将作为不良纪录报建设行政主管部门备案。对此，中标人不得有异议。</w:t>
      </w:r>
    </w:p>
    <w:p w14:paraId="35AA787D">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（5）中标人的项目负责人、技术负责人、安全负责人、质量负责人等必须常驻施工现场，且须无条件参加每周的工地例会以及双方约定的其它重要会议，如有缺席，则每人每缺席一次，中标人需支付1000 元人民币违约金。</w:t>
      </w:r>
    </w:p>
    <w:p w14:paraId="3911C7DF">
      <w:pPr>
        <w:pStyle w:val="59"/>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（6）设计代表必须常驻施工现场，且须无条件参加每周的工地例会以及双方约定的其它重要会议，如有缺席，则每人每缺席一次，中标人需支付500 元人民币违约金。</w:t>
      </w:r>
    </w:p>
    <w:p w14:paraId="1E2FD6DC">
      <w:pPr>
        <w:wordWrap w:val="0"/>
        <w:adjustRightInd w:val="0"/>
        <w:snapToGrid w:val="0"/>
        <w:spacing w:line="360" w:lineRule="exact"/>
        <w:ind w:firstLine="420"/>
        <w:rPr>
          <w:rFonts w:hint="default" w:hAnsi="宋体" w:eastAsia="宋体" w:cs="宋体"/>
          <w:color w:val="auto"/>
          <w:sz w:val="21"/>
          <w:szCs w:val="21"/>
          <w:highlight w:val="none"/>
        </w:rPr>
      </w:pPr>
      <w:r>
        <w:rPr>
          <w:rFonts w:hAnsi="宋体" w:eastAsia="宋体" w:cs="宋体"/>
          <w:b/>
          <w:bCs/>
          <w:color w:val="auto"/>
          <w:sz w:val="21"/>
          <w:szCs w:val="21"/>
          <w:highlight w:val="none"/>
          <w:shd w:val="clear" w:color="auto" w:fill="FFFFFF"/>
        </w:rPr>
        <w:t>3.40.20</w:t>
      </w:r>
      <w:r>
        <w:rPr>
          <w:rFonts w:hAnsi="宋体" w:eastAsia="宋体" w:cs="宋体"/>
          <w:color w:val="auto"/>
          <w:sz w:val="21"/>
          <w:szCs w:val="21"/>
          <w:highlight w:val="none"/>
        </w:rPr>
        <w:t>中标人需综合考虑现场因素，不得以不完全了解现场情况为理由，提出额外付款或延长工期等要求（除征地拆迁及管线搬迁造成停工，招标人按规定调整工期）。对此类要求，招标人不作任何考虑及答复。</w:t>
      </w:r>
    </w:p>
    <w:p w14:paraId="3ADD7741">
      <w:pPr>
        <w:wordWrap w:val="0"/>
        <w:adjustRightInd w:val="0"/>
        <w:snapToGrid w:val="0"/>
        <w:spacing w:line="360" w:lineRule="exact"/>
        <w:ind w:firstLine="420"/>
        <w:rPr>
          <w:rFonts w:hint="default" w:hAnsi="宋体" w:eastAsia="宋体" w:cs="宋体"/>
          <w:color w:val="auto"/>
          <w:sz w:val="21"/>
          <w:szCs w:val="21"/>
          <w:highlight w:val="none"/>
        </w:rPr>
      </w:pPr>
      <w:r>
        <w:rPr>
          <w:rFonts w:hAnsi="宋体" w:eastAsia="宋体" w:cs="宋体"/>
          <w:b/>
          <w:bCs/>
          <w:color w:val="auto"/>
          <w:sz w:val="21"/>
          <w:szCs w:val="21"/>
          <w:highlight w:val="none"/>
          <w:shd w:val="clear" w:color="auto" w:fill="FFFFFF"/>
        </w:rPr>
        <w:t>3.40.21</w:t>
      </w:r>
      <w:r>
        <w:rPr>
          <w:rFonts w:hAnsi="宋体" w:eastAsia="宋体" w:cs="宋体"/>
          <w:color w:val="auto"/>
          <w:sz w:val="21"/>
          <w:szCs w:val="21"/>
          <w:highlight w:val="none"/>
        </w:rPr>
        <w:t>中标后，中标单位必须提供项目所在地当地银行设立的专用账户，用于支付安措费以及便于资金的监管和拨付。</w:t>
      </w:r>
    </w:p>
    <w:p w14:paraId="1B548BB6">
      <w:pPr>
        <w:pStyle w:val="42"/>
        <w:ind w:firstLine="480" w:firstLineChars="200"/>
        <w:rPr>
          <w:rFonts w:asciiTheme="minorEastAsia" w:hAnsiTheme="minorEastAsia" w:eastAsiaTheme="minorEastAsia" w:cstheme="minorEastAsia"/>
          <w:color w:val="auto"/>
          <w:szCs w:val="24"/>
          <w:highlight w:val="none"/>
        </w:rPr>
      </w:pPr>
    </w:p>
    <w:p w14:paraId="4BB17DE1">
      <w:pPr>
        <w:pStyle w:val="43"/>
        <w:keepNext/>
        <w:keepLines/>
        <w:tabs>
          <w:tab w:val="left" w:pos="885"/>
        </w:tabs>
        <w:jc w:val="center"/>
        <w:rPr>
          <w:rFonts w:asciiTheme="minorEastAsia" w:hAnsiTheme="minorEastAsia" w:eastAsiaTheme="minorEastAsia" w:cstheme="minorEastAsia"/>
          <w:b/>
          <w:color w:val="auto"/>
          <w:kern w:val="44"/>
          <w:sz w:val="36"/>
          <w:szCs w:val="36"/>
          <w:highlight w:val="none"/>
        </w:rPr>
      </w:pPr>
      <w:r>
        <w:rPr>
          <w:rFonts w:hint="eastAsia" w:asciiTheme="minorEastAsia" w:hAnsiTheme="minorEastAsia" w:eastAsiaTheme="minorEastAsia" w:cstheme="minorEastAsia"/>
          <w:b/>
          <w:color w:val="auto"/>
          <w:kern w:val="44"/>
          <w:sz w:val="24"/>
          <w:highlight w:val="none"/>
        </w:rPr>
        <w:br w:type="page"/>
      </w:r>
      <w:bookmarkStart w:id="408" w:name="_Toc16050"/>
      <w:bookmarkStart w:id="409" w:name="_Toc20219"/>
      <w:bookmarkStart w:id="410" w:name="_Toc28287"/>
      <w:bookmarkStart w:id="411" w:name="_Toc24187"/>
      <w:bookmarkStart w:id="412" w:name="_Toc21424"/>
      <w:bookmarkStart w:id="413" w:name="_Toc25756"/>
      <w:bookmarkStart w:id="414" w:name="_Toc27728"/>
      <w:bookmarkStart w:id="415" w:name="_Toc29153"/>
      <w:bookmarkStart w:id="416" w:name="_Toc18638"/>
      <w:r>
        <w:rPr>
          <w:rFonts w:hint="eastAsia" w:asciiTheme="minorEastAsia" w:hAnsiTheme="minorEastAsia" w:eastAsiaTheme="minorEastAsia" w:cstheme="minorEastAsia"/>
          <w:b/>
          <w:color w:val="auto"/>
          <w:kern w:val="44"/>
          <w:sz w:val="36"/>
          <w:szCs w:val="36"/>
          <w:highlight w:val="none"/>
        </w:rPr>
        <w:t>第四</w:t>
      </w:r>
      <w:bookmarkStart w:id="417" w:name="_Hlt69669176"/>
      <w:bookmarkEnd w:id="417"/>
      <w:r>
        <w:rPr>
          <w:rFonts w:hint="eastAsia" w:asciiTheme="minorEastAsia" w:hAnsiTheme="minorEastAsia" w:eastAsiaTheme="minorEastAsia" w:cstheme="minorEastAsia"/>
          <w:b/>
          <w:color w:val="auto"/>
          <w:kern w:val="44"/>
          <w:sz w:val="36"/>
          <w:szCs w:val="36"/>
          <w:highlight w:val="none"/>
        </w:rPr>
        <w:t>章</w:t>
      </w:r>
      <w:bookmarkStart w:id="418" w:name="_Hlt87793847"/>
      <w:bookmarkEnd w:id="418"/>
      <w:r>
        <w:rPr>
          <w:rFonts w:hint="eastAsia" w:asciiTheme="minorEastAsia" w:hAnsiTheme="minorEastAsia" w:eastAsiaTheme="minorEastAsia" w:cstheme="minorEastAsia"/>
          <w:b/>
          <w:color w:val="auto"/>
          <w:kern w:val="44"/>
          <w:sz w:val="36"/>
          <w:szCs w:val="36"/>
          <w:highlight w:val="none"/>
        </w:rPr>
        <w:t xml:space="preserve"> 投标人提交的其他材料</w:t>
      </w:r>
      <w:bookmarkEnd w:id="408"/>
      <w:bookmarkEnd w:id="409"/>
      <w:bookmarkEnd w:id="410"/>
      <w:bookmarkEnd w:id="411"/>
      <w:bookmarkEnd w:id="412"/>
      <w:bookmarkEnd w:id="413"/>
      <w:bookmarkEnd w:id="414"/>
      <w:bookmarkEnd w:id="415"/>
      <w:bookmarkEnd w:id="416"/>
    </w:p>
    <w:p w14:paraId="5D63274B">
      <w:pPr>
        <w:pStyle w:val="42"/>
        <w:rPr>
          <w:rFonts w:asciiTheme="minorEastAsia" w:hAnsiTheme="minorEastAsia" w:eastAsiaTheme="minorEastAsia" w:cstheme="minorEastAsia"/>
          <w:color w:val="auto"/>
          <w:highlight w:val="none"/>
        </w:rPr>
      </w:pPr>
    </w:p>
    <w:bookmarkEnd w:id="407"/>
    <w:p w14:paraId="03F1B9E9">
      <w:pPr>
        <w:pStyle w:val="3"/>
        <w:spacing w:line="360" w:lineRule="auto"/>
        <w:ind w:firstLine="211" w:firstLineChars="100"/>
        <w:rPr>
          <w:rFonts w:hint="default" w:asciiTheme="minorEastAsia" w:hAnsiTheme="minorEastAsia" w:eastAsiaTheme="minorEastAsia" w:cstheme="minorEastAsia"/>
          <w:b/>
          <w:bCs/>
          <w:color w:val="auto"/>
          <w:sz w:val="21"/>
          <w:szCs w:val="21"/>
          <w:highlight w:val="none"/>
        </w:rPr>
      </w:pPr>
      <w:bookmarkStart w:id="419" w:name="_Hlt66531751"/>
      <w:bookmarkEnd w:id="419"/>
      <w:bookmarkStart w:id="420" w:name="_Hlt66104911"/>
      <w:bookmarkEnd w:id="420"/>
      <w:bookmarkStart w:id="421" w:name="_Toc19932"/>
      <w:bookmarkStart w:id="422" w:name="_Toc5733"/>
      <w:bookmarkStart w:id="423" w:name="_Toc17133"/>
      <w:bookmarkStart w:id="424" w:name="_Toc21505"/>
      <w:bookmarkStart w:id="425" w:name="_Toc18673"/>
      <w:bookmarkStart w:id="426" w:name="_Toc28975"/>
      <w:bookmarkStart w:id="427" w:name="_Toc31172"/>
      <w:bookmarkStart w:id="428" w:name="_Toc5994"/>
      <w:bookmarkStart w:id="429" w:name="_Toc1109"/>
      <w:r>
        <w:rPr>
          <w:rFonts w:asciiTheme="minorEastAsia" w:hAnsiTheme="minorEastAsia" w:eastAsiaTheme="minorEastAsia" w:cstheme="minorEastAsia"/>
          <w:b/>
          <w:bCs/>
          <w:color w:val="auto"/>
          <w:sz w:val="21"/>
          <w:szCs w:val="21"/>
          <w:highlight w:val="none"/>
        </w:rPr>
        <w:t>1</w:t>
      </w:r>
      <w:bookmarkStart w:id="430" w:name="_Hlt69356768"/>
      <w:bookmarkEnd w:id="430"/>
      <w:bookmarkStart w:id="431" w:name="_Hlt66677316"/>
      <w:r>
        <w:rPr>
          <w:rFonts w:asciiTheme="minorEastAsia" w:hAnsiTheme="minorEastAsia" w:eastAsiaTheme="minorEastAsia" w:cstheme="minorEastAsia"/>
          <w:b/>
          <w:bCs/>
          <w:color w:val="auto"/>
          <w:sz w:val="21"/>
          <w:szCs w:val="21"/>
          <w:highlight w:val="none"/>
        </w:rPr>
        <w:t>、 投标保证</w:t>
      </w:r>
      <w:bookmarkEnd w:id="421"/>
      <w:bookmarkEnd w:id="422"/>
      <w:bookmarkEnd w:id="423"/>
      <w:bookmarkEnd w:id="424"/>
      <w:bookmarkEnd w:id="425"/>
      <w:bookmarkEnd w:id="426"/>
      <w:bookmarkEnd w:id="427"/>
      <w:bookmarkEnd w:id="428"/>
      <w:bookmarkEnd w:id="429"/>
      <w:bookmarkEnd w:id="431"/>
    </w:p>
    <w:p w14:paraId="053EF329">
      <w:pPr>
        <w:snapToGrid w:val="0"/>
        <w:spacing w:beforeLines="50" w:line="360" w:lineRule="auto"/>
        <w:ind w:firstLine="422"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b/>
          <w:bCs/>
          <w:color w:val="auto"/>
          <w:sz w:val="21"/>
          <w:szCs w:val="21"/>
          <w:highlight w:val="none"/>
        </w:rPr>
        <w:t>1.1</w:t>
      </w:r>
      <w:r>
        <w:rPr>
          <w:rFonts w:asciiTheme="minorEastAsia" w:hAnsiTheme="minorEastAsia" w:eastAsiaTheme="minorEastAsia" w:cstheme="minorEastAsia"/>
          <w:color w:val="auto"/>
          <w:sz w:val="21"/>
          <w:szCs w:val="21"/>
          <w:highlight w:val="none"/>
        </w:rPr>
        <w:t xml:space="preserve"> 投标保证的形式包括投标保证金、投标保证担保、投标保证保险三种，由投标人自主选择。</w:t>
      </w:r>
    </w:p>
    <w:p w14:paraId="2BAD9324">
      <w:pPr>
        <w:pStyle w:val="62"/>
        <w:snapToGrid w:val="0"/>
        <w:ind w:firstLine="57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采用投标保证金的，投标人在建设工程交易系统获取招标文件完毕后，即可在系统申请缴纳投标保证金，获取本次招标投标保证金缴纳账号。投标人必须于投标保证金到账截止时间（见招标文件“重要事项时间地点一览表”）前，从其基本账户将投标保证金转账到指定的缴纳账号。逾期到账的、从非投标人基本账户转出的，其投标无效。</w:t>
      </w:r>
    </w:p>
    <w:p w14:paraId="6209C7E6">
      <w:pPr>
        <w:pStyle w:val="62"/>
        <w:snapToGrid w:val="0"/>
        <w:ind w:firstLine="57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采用投标保证担保的，投标人应提交有效的银行保函，银行保函的有效期不得短于投标有效期。投标人必须在投标保证担保截止时间（见本招标文件“重要事项时间地点一览表”）前，使用工程建设交易系统完成网上办理电子保函。</w:t>
      </w:r>
    </w:p>
    <w:p w14:paraId="482A71FD">
      <w:pPr>
        <w:pStyle w:val="62"/>
        <w:snapToGrid w:val="0"/>
        <w:ind w:firstLine="57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采用投标保证保险的，投标人须在投标保证保险投保截止时间（见本招标文件“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5CCBB019">
      <w:pPr>
        <w:pStyle w:val="62"/>
        <w:snapToGrid w:val="0"/>
        <w:ind w:firstLine="57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温馨提醒：投标人采用投标保证担保或投标保证保险的，为避免在评标过程中因有效期发生争议，建议投标人将银行保函或电子保单有效期设置为较招标文件规定的投标有效期延长不少于20个日历天。</w:t>
      </w:r>
    </w:p>
    <w:p w14:paraId="340141DF">
      <w:pPr>
        <w:pStyle w:val="62"/>
        <w:snapToGrid w:val="0"/>
        <w:ind w:firstLine="57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z w:val="21"/>
          <w:szCs w:val="21"/>
          <w:highlight w:val="none"/>
        </w:rPr>
        <w:t>1.2</w:t>
      </w:r>
      <w:r>
        <w:rPr>
          <w:rFonts w:hint="eastAsia" w:asciiTheme="minorEastAsia" w:hAnsiTheme="minorEastAsia" w:eastAsiaTheme="minorEastAsia" w:cstheme="minorEastAsia"/>
          <w:color w:val="auto"/>
          <w:sz w:val="21"/>
          <w:szCs w:val="21"/>
          <w:highlight w:val="none"/>
        </w:rPr>
        <w:t>投标人撤回已提交的投标文件，应当在投标截止时间前书面通知招标人。投标截止后投标人撤销投标文件的，招标人可以不退还投标保证。</w:t>
      </w:r>
    </w:p>
    <w:p w14:paraId="4BF524B0">
      <w:pPr>
        <w:pStyle w:val="62"/>
        <w:snapToGrid w:val="0"/>
        <w:ind w:firstLine="57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z w:val="21"/>
          <w:szCs w:val="21"/>
          <w:highlight w:val="none"/>
        </w:rPr>
        <w:t>1.3</w:t>
      </w:r>
      <w:r>
        <w:rPr>
          <w:rFonts w:hint="eastAsia" w:asciiTheme="minorEastAsia" w:hAnsiTheme="minorEastAsia" w:eastAsiaTheme="minorEastAsia" w:cstheme="minorEastAsia"/>
          <w:color w:val="auto"/>
          <w:sz w:val="21"/>
          <w:szCs w:val="21"/>
          <w:highlight w:val="none"/>
        </w:rPr>
        <w:t>投标保证的退还方式：</w:t>
      </w:r>
    </w:p>
    <w:p w14:paraId="62415EF6">
      <w:pPr>
        <w:pStyle w:val="62"/>
        <w:snapToGrid w:val="0"/>
        <w:ind w:firstLine="57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中标候选人公示期满无异议（投诉）后，招标人确定第一中标候选人为中标人，并在中标人确定之日起7个工作日内向中标人发出中标通知书。在中标通知书发出后5个工作日内，韶关市公共资源交易中心将投标保证金（或银行保函）退还给中标候选人以外的投标人。</w:t>
      </w:r>
    </w:p>
    <w:p w14:paraId="285FCAEF">
      <w:pPr>
        <w:pStyle w:val="62"/>
        <w:snapToGrid w:val="0"/>
        <w:ind w:firstLine="57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在书面合同订立之日起2个工作日内，由中标人将合同上传至建设工程交易系统，并发起退还投标保证的申请。韶关市公共资源交易中心在收到申请之日起3个工作日内，将投标保证金（或银行保函）退还给中标人和其他中标候选人。</w:t>
      </w:r>
    </w:p>
    <w:p w14:paraId="609E5889">
      <w:pPr>
        <w:pStyle w:val="62"/>
        <w:snapToGrid w:val="0"/>
        <w:ind w:firstLine="57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z w:val="21"/>
          <w:szCs w:val="21"/>
          <w:highlight w:val="none"/>
        </w:rPr>
        <w:t>1.4</w:t>
      </w:r>
      <w:r>
        <w:rPr>
          <w:rFonts w:hint="eastAsia" w:asciiTheme="minorEastAsia" w:hAnsiTheme="minorEastAsia" w:eastAsiaTheme="minorEastAsia" w:cstheme="minorEastAsia"/>
          <w:color w:val="auto"/>
          <w:sz w:val="21"/>
          <w:szCs w:val="21"/>
          <w:highlight w:val="none"/>
        </w:rPr>
        <w:t xml:space="preserve"> 投标人中标后不与招标人依据招标文件要求签订工程合同的，由建设行政主管部门按规定处理其投标保证。</w:t>
      </w:r>
    </w:p>
    <w:p w14:paraId="2A4C9C3E">
      <w:pPr>
        <w:pStyle w:val="62"/>
        <w:snapToGrid w:val="0"/>
        <w:ind w:firstLine="57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z w:val="21"/>
          <w:szCs w:val="21"/>
          <w:highlight w:val="none"/>
        </w:rPr>
        <w:t>1.5</w:t>
      </w:r>
      <w:r>
        <w:rPr>
          <w:rFonts w:hint="eastAsia" w:asciiTheme="minorEastAsia" w:hAnsiTheme="minorEastAsia" w:eastAsiaTheme="minorEastAsia" w:cstheme="minorEastAsia"/>
          <w:color w:val="auto"/>
          <w:sz w:val="21"/>
          <w:szCs w:val="21"/>
          <w:highlight w:val="none"/>
        </w:rPr>
        <w:t xml:space="preserve"> 组成联合体时由联合体牵头人缴纳投标保证。</w:t>
      </w:r>
    </w:p>
    <w:p w14:paraId="377C2E17">
      <w:pPr>
        <w:pStyle w:val="3"/>
        <w:spacing w:line="360" w:lineRule="auto"/>
        <w:ind w:firstLine="211" w:firstLineChars="100"/>
        <w:rPr>
          <w:rFonts w:hint="default" w:asciiTheme="minorEastAsia" w:hAnsiTheme="minorEastAsia" w:eastAsiaTheme="minorEastAsia" w:cstheme="minorEastAsia"/>
          <w:b/>
          <w:bCs/>
          <w:color w:val="auto"/>
          <w:sz w:val="21"/>
          <w:szCs w:val="21"/>
          <w:highlight w:val="none"/>
        </w:rPr>
      </w:pPr>
      <w:bookmarkStart w:id="432" w:name="_Hlt87793359"/>
      <w:bookmarkEnd w:id="432"/>
      <w:bookmarkStart w:id="433" w:name="_Hlt87792499"/>
      <w:bookmarkEnd w:id="433"/>
      <w:bookmarkStart w:id="434" w:name="_Toc20998"/>
      <w:bookmarkStart w:id="435" w:name="_Toc985"/>
      <w:bookmarkStart w:id="436" w:name="_Toc23304"/>
      <w:bookmarkStart w:id="437" w:name="_Toc3054"/>
      <w:bookmarkStart w:id="438" w:name="_Toc22441"/>
      <w:bookmarkStart w:id="439" w:name="_Toc2057"/>
      <w:bookmarkStart w:id="440" w:name="_Toc3284"/>
      <w:bookmarkStart w:id="441" w:name="_Toc10164"/>
      <w:bookmarkStart w:id="442" w:name="_Toc19536"/>
      <w:r>
        <w:rPr>
          <w:rFonts w:asciiTheme="minorEastAsia" w:hAnsiTheme="minorEastAsia" w:eastAsiaTheme="minorEastAsia" w:cstheme="minorEastAsia"/>
          <w:b/>
          <w:bCs/>
          <w:color w:val="auto"/>
          <w:sz w:val="21"/>
          <w:szCs w:val="21"/>
          <w:highlight w:val="none"/>
        </w:rPr>
        <w:t>2、 履约保证金</w:t>
      </w:r>
      <w:bookmarkEnd w:id="434"/>
      <w:bookmarkEnd w:id="435"/>
      <w:bookmarkEnd w:id="436"/>
      <w:bookmarkEnd w:id="437"/>
      <w:bookmarkEnd w:id="438"/>
      <w:bookmarkEnd w:id="439"/>
      <w:bookmarkEnd w:id="440"/>
      <w:bookmarkEnd w:id="441"/>
      <w:bookmarkEnd w:id="442"/>
    </w:p>
    <w:bookmarkEnd w:id="3"/>
    <w:p w14:paraId="2FA10763">
      <w:pPr>
        <w:widowControl/>
        <w:spacing w:line="360" w:lineRule="auto"/>
        <w:ind w:firstLine="422" w:firstLineChars="200"/>
        <w:jc w:val="left"/>
        <w:rPr>
          <w:rFonts w:hint="default" w:asciiTheme="minorEastAsia" w:hAnsiTheme="minorEastAsia" w:eastAsiaTheme="minorEastAsia" w:cstheme="minorEastAsia"/>
          <w:snapToGrid w:val="0"/>
          <w:color w:val="auto"/>
          <w:kern w:val="0"/>
          <w:sz w:val="21"/>
          <w:szCs w:val="21"/>
          <w:highlight w:val="none"/>
        </w:rPr>
      </w:pPr>
      <w:bookmarkStart w:id="443" w:name="_Toc466640610"/>
      <w:r>
        <w:rPr>
          <w:rFonts w:asciiTheme="minorEastAsia" w:hAnsiTheme="minorEastAsia" w:eastAsiaTheme="minorEastAsia" w:cstheme="minorEastAsia"/>
          <w:b/>
          <w:bCs/>
          <w:snapToGrid w:val="0"/>
          <w:color w:val="auto"/>
          <w:kern w:val="0"/>
          <w:sz w:val="21"/>
          <w:szCs w:val="21"/>
          <w:highlight w:val="none"/>
        </w:rPr>
        <w:t>2.1</w:t>
      </w:r>
      <w:r>
        <w:rPr>
          <w:rFonts w:asciiTheme="minorEastAsia" w:hAnsiTheme="minorEastAsia" w:eastAsiaTheme="minorEastAsia" w:cstheme="minorEastAsia"/>
          <w:snapToGrid w:val="0"/>
          <w:color w:val="auto"/>
          <w:kern w:val="0"/>
          <w:sz w:val="21"/>
          <w:szCs w:val="21"/>
          <w:highlight w:val="none"/>
        </w:rPr>
        <w:t xml:space="preserve"> 中标人须在领取中标通知书之日起</w:t>
      </w:r>
      <w:r>
        <w:rPr>
          <w:rFonts w:asciiTheme="minorEastAsia" w:hAnsiTheme="minorEastAsia" w:eastAsiaTheme="minorEastAsia" w:cstheme="minorEastAsia"/>
          <w:snapToGrid w:val="0"/>
          <w:color w:val="auto"/>
          <w:kern w:val="0"/>
          <w:sz w:val="21"/>
          <w:szCs w:val="21"/>
          <w:highlight w:val="none"/>
          <w:u w:val="single"/>
        </w:rPr>
        <w:t xml:space="preserve"> 5 </w:t>
      </w:r>
      <w:r>
        <w:rPr>
          <w:rFonts w:asciiTheme="minorEastAsia" w:hAnsiTheme="minorEastAsia" w:eastAsiaTheme="minorEastAsia" w:cstheme="minorEastAsia"/>
          <w:snapToGrid w:val="0"/>
          <w:color w:val="auto"/>
          <w:kern w:val="0"/>
          <w:sz w:val="21"/>
          <w:szCs w:val="21"/>
          <w:highlight w:val="none"/>
        </w:rPr>
        <w:t>个工作日内、签订合同前向招标人提交金额为中标价</w:t>
      </w:r>
      <w:r>
        <w:rPr>
          <w:rFonts w:asciiTheme="minorEastAsia" w:hAnsiTheme="minorEastAsia" w:eastAsiaTheme="minorEastAsia" w:cstheme="minorEastAsia"/>
          <w:snapToGrid w:val="0"/>
          <w:color w:val="auto"/>
          <w:kern w:val="0"/>
          <w:sz w:val="21"/>
          <w:szCs w:val="21"/>
          <w:highlight w:val="none"/>
          <w:u w:val="single"/>
        </w:rPr>
        <w:t xml:space="preserve"> 5%</w:t>
      </w:r>
      <w:r>
        <w:rPr>
          <w:rFonts w:hint="eastAsia" w:asciiTheme="minorEastAsia" w:hAnsiTheme="minorEastAsia" w:eastAsiaTheme="minorEastAsia" w:cstheme="minorEastAsia"/>
          <w:snapToGrid w:val="0"/>
          <w:color w:val="auto"/>
          <w:kern w:val="0"/>
          <w:sz w:val="21"/>
          <w:szCs w:val="21"/>
          <w:highlight w:val="none"/>
          <w:u w:val="single"/>
          <w:lang w:val="en-US" w:eastAsia="zh-CN"/>
        </w:rPr>
        <w:t xml:space="preserve"> </w:t>
      </w:r>
      <w:r>
        <w:rPr>
          <w:rFonts w:asciiTheme="minorEastAsia" w:hAnsiTheme="minorEastAsia" w:eastAsiaTheme="minorEastAsia" w:cstheme="minorEastAsia"/>
          <w:snapToGrid w:val="0"/>
          <w:color w:val="auto"/>
          <w:kern w:val="0"/>
          <w:sz w:val="21"/>
          <w:szCs w:val="21"/>
          <w:highlight w:val="none"/>
        </w:rPr>
        <w:t>的履约保证。联合体中标的，由联合体牵头人提交。同时招标人向中标人提供合同价5%的支付担保，并将工程款支付担保文书作为建设工程合同的组成部分(担保期限届至招标人支付除工程质量保修金以外的全部工程结算款项之日后30天)。</w:t>
      </w:r>
    </w:p>
    <w:p w14:paraId="0D5661C9">
      <w:pPr>
        <w:widowControl/>
        <w:spacing w:line="360" w:lineRule="auto"/>
        <w:ind w:firstLine="420" w:firstLineChars="200"/>
        <w:jc w:val="lef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注：根据《保障农民工工资支付条例》，发包人必须落实工程款支付担保制度，需有项目预付款。2017年2月，国务院出台《关于促进建筑业持续健康发展的意见》，要求“严格执行工程预付款制度，及时按合同约定足额向承包单位支付预付款。通过工程款支付担保等经济、法律手段约束建设单位履约行为，预防拖欠工程款。”</w:t>
      </w:r>
    </w:p>
    <w:p w14:paraId="54903DED">
      <w:pPr>
        <w:wordWrap w:val="0"/>
        <w:adjustRightInd w:val="0"/>
        <w:snapToGrid w:val="0"/>
        <w:spacing w:line="360" w:lineRule="auto"/>
        <w:ind w:firstLine="422"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b/>
          <w:bCs/>
          <w:snapToGrid w:val="0"/>
          <w:color w:val="auto"/>
          <w:kern w:val="0"/>
          <w:sz w:val="21"/>
          <w:szCs w:val="21"/>
          <w:highlight w:val="none"/>
        </w:rPr>
        <w:t>2.2</w:t>
      </w:r>
      <w:r>
        <w:rPr>
          <w:rFonts w:asciiTheme="minorEastAsia" w:hAnsiTheme="minorEastAsia" w:eastAsiaTheme="minorEastAsia" w:cstheme="minorEastAsia"/>
          <w:snapToGrid w:val="0"/>
          <w:color w:val="auto"/>
          <w:kern w:val="0"/>
          <w:sz w:val="21"/>
          <w:szCs w:val="21"/>
          <w:highlight w:val="none"/>
        </w:rPr>
        <w:t xml:space="preserve"> 中标人根据《关于统一在市公共资源交易一体化服务平台缴退工程建设项目履约保证金的通知》办理相关手续，履约保证的形式包括履约保证金、履约保证担保、履约保证保险三种，由中标人自主选择。商业保函、银行保函或保险合同（或保险单）的有效期应当自合同生效之日起至项目通过竣工验收之日后28天止。</w:t>
      </w:r>
    </w:p>
    <w:p w14:paraId="0B9909BC">
      <w:pPr>
        <w:wordWrap w:val="0"/>
        <w:adjustRightInd w:val="0"/>
        <w:snapToGrid w:val="0"/>
        <w:spacing w:line="360" w:lineRule="auto"/>
        <w:ind w:firstLine="422"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b/>
          <w:bCs/>
          <w:snapToGrid w:val="0"/>
          <w:color w:val="auto"/>
          <w:kern w:val="0"/>
          <w:sz w:val="21"/>
          <w:szCs w:val="21"/>
          <w:highlight w:val="none"/>
        </w:rPr>
        <w:t>2.3</w:t>
      </w:r>
      <w:r>
        <w:rPr>
          <w:rFonts w:asciiTheme="minorEastAsia" w:hAnsiTheme="minorEastAsia" w:eastAsiaTheme="minorEastAsia" w:cstheme="minorEastAsia"/>
          <w:snapToGrid w:val="0"/>
          <w:color w:val="auto"/>
          <w:kern w:val="0"/>
          <w:sz w:val="21"/>
          <w:szCs w:val="21"/>
          <w:highlight w:val="none"/>
        </w:rPr>
        <w:t xml:space="preserve"> 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w:t>
      </w:r>
    </w:p>
    <w:p w14:paraId="444FA816">
      <w:pPr>
        <w:wordWrap w:val="0"/>
        <w:adjustRightInd w:val="0"/>
        <w:snapToGrid w:val="0"/>
        <w:spacing w:line="360" w:lineRule="auto"/>
        <w:ind w:firstLine="422"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b/>
          <w:bCs/>
          <w:snapToGrid w:val="0"/>
          <w:color w:val="auto"/>
          <w:kern w:val="0"/>
          <w:sz w:val="21"/>
          <w:szCs w:val="21"/>
          <w:highlight w:val="none"/>
        </w:rPr>
        <w:t>2.4</w:t>
      </w:r>
      <w:r>
        <w:rPr>
          <w:rFonts w:asciiTheme="minorEastAsia" w:hAnsiTheme="minorEastAsia" w:eastAsiaTheme="minorEastAsia" w:cstheme="minorEastAsia"/>
          <w:snapToGrid w:val="0"/>
          <w:color w:val="auto"/>
          <w:kern w:val="0"/>
          <w:sz w:val="21"/>
          <w:szCs w:val="21"/>
          <w:highlight w:val="none"/>
        </w:rPr>
        <w:t xml:space="preserve"> 在工程实施过程中，如果中标人（即招标阶段的中标人，下同）由于自身的资金、技术、质量、非不可抗力等原因给招标人（即招标阶段的招标人，下同）造成经济损失，扣除相应履约保证。</w:t>
      </w:r>
    </w:p>
    <w:p w14:paraId="6FC6DE2F">
      <w:pPr>
        <w:wordWrap w:val="0"/>
        <w:adjustRightInd w:val="0"/>
        <w:snapToGrid w:val="0"/>
        <w:spacing w:line="360" w:lineRule="auto"/>
        <w:ind w:firstLine="422"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b/>
          <w:bCs/>
          <w:snapToGrid w:val="0"/>
          <w:color w:val="auto"/>
          <w:kern w:val="0"/>
          <w:sz w:val="21"/>
          <w:szCs w:val="21"/>
          <w:highlight w:val="none"/>
        </w:rPr>
        <w:t>2.5</w:t>
      </w:r>
      <w:r>
        <w:rPr>
          <w:rFonts w:asciiTheme="minorEastAsia" w:hAnsiTheme="minorEastAsia" w:eastAsiaTheme="minorEastAsia" w:cstheme="minorEastAsia"/>
          <w:snapToGrid w:val="0"/>
          <w:color w:val="auto"/>
          <w:kern w:val="0"/>
          <w:sz w:val="21"/>
          <w:szCs w:val="21"/>
          <w:highlight w:val="none"/>
        </w:rPr>
        <w:t xml:space="preserve"> 项目通过竣工验收之日后28天内，招标人将履约保证</w:t>
      </w:r>
      <w:r>
        <w:rPr>
          <w:rFonts w:asciiTheme="minorEastAsia" w:hAnsiTheme="minorEastAsia" w:eastAsiaTheme="minorEastAsia" w:cstheme="minorEastAsia"/>
          <w:color w:val="auto"/>
          <w:sz w:val="21"/>
          <w:szCs w:val="21"/>
          <w:highlight w:val="none"/>
        </w:rPr>
        <w:t>或全部履约保证金（不计算利息）</w:t>
      </w:r>
      <w:r>
        <w:rPr>
          <w:rFonts w:asciiTheme="minorEastAsia" w:hAnsiTheme="minorEastAsia" w:eastAsiaTheme="minorEastAsia" w:cstheme="minorEastAsia"/>
          <w:snapToGrid w:val="0"/>
          <w:color w:val="auto"/>
          <w:kern w:val="0"/>
          <w:sz w:val="21"/>
          <w:szCs w:val="21"/>
          <w:highlight w:val="none"/>
        </w:rPr>
        <w:t>退还给中标人。</w:t>
      </w:r>
    </w:p>
    <w:p w14:paraId="6CC0387A">
      <w:pPr>
        <w:pStyle w:val="3"/>
        <w:spacing w:line="360" w:lineRule="auto"/>
        <w:ind w:firstLine="422" w:firstLineChars="200"/>
        <w:rPr>
          <w:rFonts w:hint="default" w:asciiTheme="minorEastAsia" w:hAnsiTheme="minorEastAsia" w:eastAsiaTheme="minorEastAsia" w:cstheme="minorEastAsia"/>
          <w:b/>
          <w:bCs/>
          <w:color w:val="auto"/>
          <w:sz w:val="21"/>
          <w:szCs w:val="21"/>
          <w:highlight w:val="none"/>
        </w:rPr>
      </w:pPr>
      <w:bookmarkStart w:id="444" w:name="_Toc12857"/>
      <w:r>
        <w:rPr>
          <w:rFonts w:asciiTheme="minorEastAsia" w:hAnsiTheme="minorEastAsia" w:eastAsiaTheme="minorEastAsia" w:cstheme="minorEastAsia"/>
          <w:b/>
          <w:bCs/>
          <w:color w:val="auto"/>
          <w:sz w:val="21"/>
          <w:szCs w:val="21"/>
          <w:highlight w:val="none"/>
        </w:rPr>
        <w:t>3、质量保证</w:t>
      </w:r>
      <w:bookmarkEnd w:id="444"/>
    </w:p>
    <w:p w14:paraId="217DBE13">
      <w:pPr>
        <w:wordWrap w:val="0"/>
        <w:adjustRightInd w:val="0"/>
        <w:snapToGrid w:val="0"/>
        <w:spacing w:line="360" w:lineRule="auto"/>
        <w:ind w:firstLine="422" w:firstLineChars="200"/>
        <w:rPr>
          <w:rFonts w:hint="default" w:asciiTheme="minorEastAsia" w:hAnsiTheme="minorEastAsia" w:eastAsiaTheme="minorEastAsia" w:cstheme="minorEastAsia"/>
          <w:bCs/>
          <w:snapToGrid w:val="0"/>
          <w:color w:val="auto"/>
          <w:kern w:val="0"/>
          <w:sz w:val="21"/>
          <w:szCs w:val="21"/>
          <w:highlight w:val="none"/>
        </w:rPr>
      </w:pPr>
      <w:r>
        <w:rPr>
          <w:rFonts w:asciiTheme="minorEastAsia" w:hAnsiTheme="minorEastAsia" w:eastAsiaTheme="minorEastAsia" w:cstheme="minorEastAsia"/>
          <w:b/>
          <w:bCs/>
          <w:snapToGrid w:val="0"/>
          <w:color w:val="auto"/>
          <w:kern w:val="0"/>
          <w:sz w:val="21"/>
          <w:szCs w:val="21"/>
          <w:highlight w:val="none"/>
        </w:rPr>
        <w:t>3.1</w:t>
      </w:r>
      <w:r>
        <w:rPr>
          <w:rFonts w:asciiTheme="minorEastAsia" w:hAnsiTheme="minorEastAsia" w:eastAsiaTheme="minorEastAsia" w:cstheme="minorEastAsia"/>
          <w:bCs/>
          <w:snapToGrid w:val="0"/>
          <w:color w:val="auto"/>
          <w:kern w:val="0"/>
          <w:sz w:val="21"/>
          <w:szCs w:val="21"/>
          <w:highlight w:val="none"/>
        </w:rPr>
        <w:t xml:space="preserve"> 本工程缺陷责任期为</w:t>
      </w:r>
      <w:r>
        <w:rPr>
          <w:rFonts w:asciiTheme="minorEastAsia" w:hAnsiTheme="minorEastAsia" w:eastAsiaTheme="minorEastAsia" w:cstheme="minorEastAsia"/>
          <w:bCs/>
          <w:snapToGrid w:val="0"/>
          <w:color w:val="auto"/>
          <w:kern w:val="0"/>
          <w:sz w:val="21"/>
          <w:szCs w:val="21"/>
          <w:highlight w:val="none"/>
          <w:u w:val="single"/>
        </w:rPr>
        <w:t>2</w:t>
      </w:r>
      <w:r>
        <w:rPr>
          <w:rFonts w:asciiTheme="minorEastAsia" w:hAnsiTheme="minorEastAsia" w:eastAsiaTheme="minorEastAsia" w:cstheme="minorEastAsia"/>
          <w:bCs/>
          <w:snapToGrid w:val="0"/>
          <w:color w:val="auto"/>
          <w:kern w:val="0"/>
          <w:sz w:val="21"/>
          <w:szCs w:val="21"/>
          <w:highlight w:val="none"/>
        </w:rPr>
        <w:t>年（自通过竣工验收之日起计），在此期间预留金额为结算价</w:t>
      </w:r>
      <w:r>
        <w:rPr>
          <w:rFonts w:asciiTheme="minorEastAsia" w:hAnsiTheme="minorEastAsia" w:eastAsiaTheme="minorEastAsia" w:cstheme="minorEastAsia"/>
          <w:bCs/>
          <w:snapToGrid w:val="0"/>
          <w:color w:val="auto"/>
          <w:kern w:val="0"/>
          <w:sz w:val="21"/>
          <w:szCs w:val="21"/>
          <w:highlight w:val="none"/>
          <w:u w:val="single"/>
        </w:rPr>
        <w:t xml:space="preserve">3% </w:t>
      </w:r>
      <w:r>
        <w:rPr>
          <w:rFonts w:asciiTheme="minorEastAsia" w:hAnsiTheme="minorEastAsia" w:eastAsiaTheme="minorEastAsia" w:cstheme="minorEastAsia"/>
          <w:bCs/>
          <w:snapToGrid w:val="0"/>
          <w:color w:val="auto"/>
          <w:kern w:val="0"/>
          <w:sz w:val="21"/>
          <w:szCs w:val="21"/>
          <w:highlight w:val="none"/>
        </w:rPr>
        <w:t>的质量保证。</w:t>
      </w:r>
    </w:p>
    <w:p w14:paraId="64065FB1">
      <w:pPr>
        <w:wordWrap w:val="0"/>
        <w:adjustRightInd w:val="0"/>
        <w:snapToGrid w:val="0"/>
        <w:spacing w:line="360" w:lineRule="auto"/>
        <w:ind w:firstLine="422" w:firstLineChars="200"/>
        <w:rPr>
          <w:rFonts w:hint="default" w:asciiTheme="minorEastAsia" w:hAnsiTheme="minorEastAsia" w:eastAsiaTheme="minorEastAsia" w:cstheme="minorEastAsia"/>
          <w:bCs/>
          <w:snapToGrid w:val="0"/>
          <w:color w:val="auto"/>
          <w:kern w:val="0"/>
          <w:sz w:val="21"/>
          <w:szCs w:val="21"/>
          <w:highlight w:val="none"/>
        </w:rPr>
      </w:pPr>
      <w:r>
        <w:rPr>
          <w:rFonts w:asciiTheme="minorEastAsia" w:hAnsiTheme="minorEastAsia" w:eastAsiaTheme="minorEastAsia" w:cstheme="minorEastAsia"/>
          <w:b/>
          <w:bCs/>
          <w:snapToGrid w:val="0"/>
          <w:color w:val="auto"/>
          <w:kern w:val="0"/>
          <w:sz w:val="21"/>
          <w:szCs w:val="21"/>
          <w:highlight w:val="none"/>
        </w:rPr>
        <w:t>3.2</w:t>
      </w:r>
      <w:r>
        <w:rPr>
          <w:rFonts w:asciiTheme="minorEastAsia" w:hAnsiTheme="minorEastAsia" w:eastAsiaTheme="minorEastAsia" w:cstheme="minorEastAsia"/>
          <w:bCs/>
          <w:snapToGrid w:val="0"/>
          <w:color w:val="auto"/>
          <w:kern w:val="0"/>
          <w:sz w:val="21"/>
          <w:szCs w:val="21"/>
          <w:highlight w:val="none"/>
        </w:rPr>
        <w:t xml:space="preserve"> 质量保证的形式包括质量保证金、质量保证担保、质量保证保险三种，由中标人自主选择。</w:t>
      </w:r>
    </w:p>
    <w:p w14:paraId="40214B72">
      <w:pPr>
        <w:wordWrap w:val="0"/>
        <w:adjustRightInd w:val="0"/>
        <w:snapToGrid w:val="0"/>
        <w:spacing w:line="360" w:lineRule="auto"/>
        <w:ind w:firstLine="561"/>
        <w:rPr>
          <w:rFonts w:hint="default" w:asciiTheme="minorEastAsia" w:hAnsiTheme="minorEastAsia" w:eastAsiaTheme="minorEastAsia" w:cstheme="minorEastAsia"/>
          <w:bCs/>
          <w:snapToGrid w:val="0"/>
          <w:color w:val="auto"/>
          <w:kern w:val="0"/>
          <w:sz w:val="21"/>
          <w:szCs w:val="21"/>
          <w:highlight w:val="none"/>
        </w:rPr>
      </w:pPr>
      <w:r>
        <w:rPr>
          <w:rFonts w:asciiTheme="minorEastAsia" w:hAnsiTheme="minorEastAsia" w:eastAsiaTheme="minorEastAsia" w:cstheme="minorEastAsia"/>
          <w:bCs/>
          <w:snapToGrid w:val="0"/>
          <w:color w:val="auto"/>
          <w:kern w:val="0"/>
          <w:sz w:val="21"/>
          <w:szCs w:val="21"/>
          <w:highlight w:val="none"/>
        </w:rPr>
        <w:t>（1）采用质量保证金形式的，在结清审定总造价时一次性扣留相应金额作为质量保证金。</w:t>
      </w:r>
    </w:p>
    <w:p w14:paraId="239ED870">
      <w:pPr>
        <w:wordWrap w:val="0"/>
        <w:adjustRightInd w:val="0"/>
        <w:snapToGrid w:val="0"/>
        <w:spacing w:line="360" w:lineRule="auto"/>
        <w:ind w:firstLine="561"/>
        <w:rPr>
          <w:rFonts w:hint="default" w:asciiTheme="minorEastAsia" w:hAnsiTheme="minorEastAsia" w:eastAsiaTheme="minorEastAsia" w:cstheme="minorEastAsia"/>
          <w:bCs/>
          <w:snapToGrid w:val="0"/>
          <w:color w:val="auto"/>
          <w:kern w:val="0"/>
          <w:sz w:val="21"/>
          <w:szCs w:val="21"/>
          <w:highlight w:val="none"/>
        </w:rPr>
      </w:pPr>
      <w:r>
        <w:rPr>
          <w:rFonts w:asciiTheme="minorEastAsia" w:hAnsiTheme="minorEastAsia" w:eastAsiaTheme="minorEastAsia" w:cstheme="minorEastAsia"/>
          <w:bCs/>
          <w:snapToGrid w:val="0"/>
          <w:color w:val="auto"/>
          <w:kern w:val="0"/>
          <w:sz w:val="21"/>
          <w:szCs w:val="21"/>
          <w:highlight w:val="none"/>
        </w:rPr>
        <w:t>（2）采用质量保证担保或质量保证保险的，中标人应在竣工验收时向招标人提交有效的银行保函原件或保险合同原件（或保险单），银行保函或保险合同原件（或保险单）的有效期不得短于缺陷责任期。</w:t>
      </w:r>
    </w:p>
    <w:p w14:paraId="473BD797">
      <w:pPr>
        <w:wordWrap w:val="0"/>
        <w:adjustRightInd w:val="0"/>
        <w:snapToGrid w:val="0"/>
        <w:spacing w:line="360" w:lineRule="auto"/>
        <w:ind w:firstLine="422" w:firstLineChars="200"/>
        <w:rPr>
          <w:rFonts w:hint="default" w:asciiTheme="minorEastAsia" w:hAnsiTheme="minorEastAsia" w:eastAsiaTheme="minorEastAsia" w:cstheme="minorEastAsia"/>
          <w:bCs/>
          <w:snapToGrid w:val="0"/>
          <w:color w:val="auto"/>
          <w:kern w:val="0"/>
          <w:sz w:val="21"/>
          <w:szCs w:val="21"/>
          <w:highlight w:val="none"/>
        </w:rPr>
      </w:pPr>
      <w:r>
        <w:rPr>
          <w:rFonts w:asciiTheme="minorEastAsia" w:hAnsiTheme="minorEastAsia" w:eastAsiaTheme="minorEastAsia" w:cstheme="minorEastAsia"/>
          <w:b/>
          <w:bCs/>
          <w:snapToGrid w:val="0"/>
          <w:color w:val="auto"/>
          <w:kern w:val="0"/>
          <w:sz w:val="21"/>
          <w:szCs w:val="21"/>
          <w:highlight w:val="none"/>
        </w:rPr>
        <w:t>3.3</w:t>
      </w:r>
      <w:r>
        <w:rPr>
          <w:rFonts w:asciiTheme="minorEastAsia" w:hAnsiTheme="minorEastAsia" w:eastAsiaTheme="minorEastAsia" w:cstheme="minorEastAsia"/>
          <w:bCs/>
          <w:snapToGrid w:val="0"/>
          <w:color w:val="auto"/>
          <w:kern w:val="0"/>
          <w:sz w:val="21"/>
          <w:szCs w:val="21"/>
          <w:highlight w:val="none"/>
        </w:rPr>
        <w:t xml:space="preserve"> 缺陷责任期内，由中标人原因造成的缺陷，中标人应负责维修，并承担鉴定及维修费用。如果中标人不维修也不承担费用，招标人可按合同约定从质量保证中扣除，维修费用超出保证金额的，招标人可按合同约定向中标人进行索赔。中标人维修并承担相应费用后，不免除对工程的损失赔偿责任。</w:t>
      </w:r>
    </w:p>
    <w:p w14:paraId="0B7FDEAB">
      <w:pPr>
        <w:wordWrap w:val="0"/>
        <w:adjustRightInd w:val="0"/>
        <w:snapToGrid w:val="0"/>
        <w:spacing w:line="360" w:lineRule="auto"/>
        <w:ind w:firstLine="420" w:firstLineChars="200"/>
        <w:rPr>
          <w:rFonts w:hint="default" w:asciiTheme="minorEastAsia" w:hAnsiTheme="minorEastAsia" w:eastAsiaTheme="minorEastAsia" w:cstheme="minorEastAsia"/>
          <w:bCs/>
          <w:snapToGrid w:val="0"/>
          <w:color w:val="auto"/>
          <w:kern w:val="0"/>
          <w:sz w:val="21"/>
          <w:szCs w:val="21"/>
          <w:highlight w:val="none"/>
        </w:rPr>
      </w:pPr>
      <w:r>
        <w:rPr>
          <w:rFonts w:asciiTheme="minorEastAsia" w:hAnsiTheme="minorEastAsia" w:eastAsiaTheme="minorEastAsia" w:cstheme="minorEastAsia"/>
          <w:bCs/>
          <w:snapToGrid w:val="0"/>
          <w:color w:val="auto"/>
          <w:kern w:val="0"/>
          <w:sz w:val="21"/>
          <w:szCs w:val="21"/>
          <w:highlight w:val="none"/>
        </w:rPr>
        <w:t>由他人原因造成的缺陷，招标人负责组织维修，中标人不承担费用，且招标人不得从质量保证中扣除费用。</w:t>
      </w:r>
    </w:p>
    <w:p w14:paraId="2CAE0746">
      <w:pPr>
        <w:wordWrap w:val="0"/>
        <w:adjustRightInd w:val="0"/>
        <w:snapToGrid w:val="0"/>
        <w:spacing w:line="360" w:lineRule="auto"/>
        <w:ind w:firstLine="422" w:firstLineChars="200"/>
        <w:rPr>
          <w:rFonts w:hint="default" w:asciiTheme="minorEastAsia" w:hAnsiTheme="minorEastAsia" w:eastAsiaTheme="minorEastAsia" w:cstheme="minorEastAsia"/>
          <w:bCs/>
          <w:snapToGrid w:val="0"/>
          <w:color w:val="auto"/>
          <w:kern w:val="0"/>
          <w:sz w:val="21"/>
          <w:szCs w:val="21"/>
          <w:highlight w:val="none"/>
        </w:rPr>
      </w:pPr>
      <w:r>
        <w:rPr>
          <w:rFonts w:asciiTheme="minorEastAsia" w:hAnsiTheme="minorEastAsia" w:eastAsiaTheme="minorEastAsia" w:cstheme="minorEastAsia"/>
          <w:b/>
          <w:bCs/>
          <w:snapToGrid w:val="0"/>
          <w:color w:val="auto"/>
          <w:kern w:val="0"/>
          <w:sz w:val="21"/>
          <w:szCs w:val="21"/>
          <w:highlight w:val="none"/>
        </w:rPr>
        <w:t>3.4</w:t>
      </w:r>
      <w:r>
        <w:rPr>
          <w:rFonts w:asciiTheme="minorEastAsia" w:hAnsiTheme="minorEastAsia" w:eastAsiaTheme="minorEastAsia" w:cstheme="minorEastAsia"/>
          <w:bCs/>
          <w:snapToGrid w:val="0"/>
          <w:color w:val="auto"/>
          <w:kern w:val="0"/>
          <w:sz w:val="21"/>
          <w:szCs w:val="21"/>
          <w:highlight w:val="none"/>
        </w:rPr>
        <w:t xml:space="preserve"> 缺陷责任期内，中标人应认真履行合同约定的责任。缺陷责任期到期后，中标人向招标人申请退还质量保证，招标人应按照《建设工程质量保证金管理办法》有关规定将质量保证退还给中标人（不计息）。</w:t>
      </w:r>
    </w:p>
    <w:p w14:paraId="2E277E44">
      <w:pPr>
        <w:rPr>
          <w:rFonts w:hint="default" w:asciiTheme="minorEastAsia" w:hAnsiTheme="minorEastAsia" w:eastAsiaTheme="minorEastAsia" w:cstheme="minorEastAsia"/>
          <w:bCs/>
          <w:snapToGrid w:val="0"/>
          <w:color w:val="auto"/>
          <w:kern w:val="0"/>
          <w:szCs w:val="24"/>
          <w:highlight w:val="none"/>
        </w:rPr>
      </w:pPr>
      <w:r>
        <w:rPr>
          <w:rFonts w:asciiTheme="minorEastAsia" w:hAnsiTheme="minorEastAsia" w:eastAsiaTheme="minorEastAsia" w:cstheme="minorEastAsia"/>
          <w:bCs/>
          <w:snapToGrid w:val="0"/>
          <w:color w:val="auto"/>
          <w:kern w:val="0"/>
          <w:szCs w:val="24"/>
          <w:highlight w:val="none"/>
        </w:rPr>
        <w:br w:type="page"/>
      </w:r>
    </w:p>
    <w:p w14:paraId="011642BD">
      <w:pPr>
        <w:pStyle w:val="5"/>
        <w:rPr>
          <w:rFonts w:hint="default"/>
          <w:color w:val="auto"/>
          <w:highlight w:val="none"/>
        </w:rPr>
      </w:pPr>
    </w:p>
    <w:p w14:paraId="10B3A434">
      <w:pPr>
        <w:pStyle w:val="43"/>
        <w:keepNext/>
        <w:keepLines/>
        <w:tabs>
          <w:tab w:val="left" w:pos="885"/>
        </w:tabs>
        <w:spacing w:line="240" w:lineRule="auto"/>
        <w:jc w:val="center"/>
        <w:rPr>
          <w:rFonts w:asciiTheme="minorEastAsia" w:hAnsiTheme="minorEastAsia" w:eastAsiaTheme="minorEastAsia" w:cstheme="minorEastAsia"/>
          <w:b/>
          <w:color w:val="auto"/>
          <w:kern w:val="44"/>
          <w:sz w:val="36"/>
          <w:szCs w:val="36"/>
          <w:highlight w:val="none"/>
        </w:rPr>
      </w:pPr>
      <w:bookmarkStart w:id="445" w:name="_Toc22105"/>
      <w:bookmarkStart w:id="446" w:name="_Toc16873"/>
      <w:bookmarkStart w:id="447" w:name="_Toc25046"/>
      <w:bookmarkStart w:id="448" w:name="_Toc29236"/>
      <w:bookmarkStart w:id="449" w:name="_Toc4262"/>
      <w:bookmarkStart w:id="450" w:name="_Toc14927"/>
      <w:bookmarkStart w:id="451" w:name="_Toc12936"/>
      <w:bookmarkStart w:id="452" w:name="_Toc17661"/>
      <w:bookmarkStart w:id="453" w:name="_Toc26916"/>
      <w:r>
        <w:rPr>
          <w:rFonts w:hint="eastAsia" w:asciiTheme="minorEastAsia" w:hAnsiTheme="minorEastAsia" w:eastAsiaTheme="minorEastAsia" w:cstheme="minorEastAsia"/>
          <w:b/>
          <w:color w:val="auto"/>
          <w:kern w:val="44"/>
          <w:sz w:val="36"/>
          <w:szCs w:val="36"/>
          <w:highlight w:val="none"/>
        </w:rPr>
        <w:t>第五章 招标工程的技术要求和前期文件</w:t>
      </w:r>
      <w:bookmarkEnd w:id="443"/>
      <w:bookmarkEnd w:id="445"/>
      <w:bookmarkEnd w:id="446"/>
      <w:bookmarkEnd w:id="447"/>
      <w:bookmarkEnd w:id="448"/>
      <w:bookmarkEnd w:id="449"/>
      <w:bookmarkEnd w:id="450"/>
      <w:bookmarkEnd w:id="451"/>
      <w:bookmarkEnd w:id="452"/>
      <w:bookmarkEnd w:id="453"/>
    </w:p>
    <w:p w14:paraId="24F1B2BE">
      <w:pPr>
        <w:pStyle w:val="3"/>
        <w:spacing w:line="360" w:lineRule="auto"/>
        <w:ind w:firstLine="241" w:firstLineChars="100"/>
        <w:rPr>
          <w:rFonts w:hint="default" w:asciiTheme="minorEastAsia" w:hAnsiTheme="minorEastAsia" w:eastAsiaTheme="minorEastAsia" w:cstheme="minorEastAsia"/>
          <w:b/>
          <w:bCs/>
          <w:color w:val="auto"/>
          <w:szCs w:val="22"/>
          <w:highlight w:val="none"/>
        </w:rPr>
      </w:pPr>
      <w:bookmarkStart w:id="454" w:name="_Hlt87793370"/>
      <w:bookmarkEnd w:id="454"/>
      <w:bookmarkStart w:id="455" w:name="_Hlt69357851"/>
      <w:bookmarkEnd w:id="455"/>
      <w:bookmarkStart w:id="456" w:name="_Hlt66104926"/>
      <w:bookmarkEnd w:id="456"/>
      <w:bookmarkStart w:id="457" w:name="_Hlt87793346"/>
      <w:bookmarkEnd w:id="457"/>
      <w:bookmarkStart w:id="458" w:name="_Hlt69116854"/>
      <w:bookmarkEnd w:id="458"/>
      <w:bookmarkStart w:id="459" w:name="_Hlt80411122"/>
      <w:bookmarkEnd w:id="459"/>
      <w:bookmarkStart w:id="460" w:name="_Hlt68774758"/>
      <w:bookmarkEnd w:id="460"/>
      <w:bookmarkStart w:id="461" w:name="_Hlt75685840"/>
      <w:bookmarkEnd w:id="461"/>
      <w:bookmarkStart w:id="462" w:name="_Hlt69265216"/>
      <w:bookmarkEnd w:id="462"/>
      <w:bookmarkStart w:id="463" w:name="_Hlt69358207"/>
      <w:bookmarkEnd w:id="463"/>
      <w:bookmarkStart w:id="464" w:name="_Hlt69359335"/>
      <w:bookmarkEnd w:id="464"/>
      <w:bookmarkStart w:id="465" w:name="_Toc25463"/>
      <w:bookmarkStart w:id="466" w:name="_Toc1173"/>
      <w:bookmarkStart w:id="467" w:name="_Toc466640611"/>
      <w:bookmarkStart w:id="468" w:name="_Toc5215"/>
      <w:bookmarkStart w:id="469" w:name="_Toc7837"/>
      <w:bookmarkStart w:id="470" w:name="_Toc31511"/>
      <w:bookmarkStart w:id="471" w:name="_Toc1436"/>
      <w:bookmarkStart w:id="472" w:name="_Toc8935"/>
      <w:bookmarkStart w:id="473" w:name="_Toc21545"/>
    </w:p>
    <w:bookmarkEnd w:id="465"/>
    <w:bookmarkEnd w:id="466"/>
    <w:bookmarkEnd w:id="467"/>
    <w:bookmarkEnd w:id="468"/>
    <w:bookmarkEnd w:id="469"/>
    <w:bookmarkEnd w:id="470"/>
    <w:bookmarkEnd w:id="471"/>
    <w:bookmarkEnd w:id="472"/>
    <w:bookmarkEnd w:id="473"/>
    <w:p w14:paraId="3E69F6E4">
      <w:pPr>
        <w:pStyle w:val="4"/>
        <w:wordWrap w:val="0"/>
        <w:snapToGrid w:val="0"/>
        <w:spacing w:line="360" w:lineRule="auto"/>
        <w:ind w:firstLine="420"/>
        <w:rPr>
          <w:rFonts w:ascii="宋体" w:hAnsi="宋体" w:cs="宋体"/>
          <w:snapToGrid w:val="0"/>
          <w:color w:val="auto"/>
          <w:sz w:val="21"/>
          <w:szCs w:val="21"/>
          <w:highlight w:val="none"/>
        </w:rPr>
      </w:pPr>
      <w:bookmarkStart w:id="474" w:name="_Toc29833"/>
      <w:bookmarkStart w:id="475" w:name="_Toc10113"/>
      <w:r>
        <w:rPr>
          <w:rFonts w:hint="eastAsia" w:ascii="宋体" w:hAnsi="宋体" w:cs="宋体"/>
          <w:snapToGrid w:val="0"/>
          <w:color w:val="auto"/>
          <w:sz w:val="21"/>
          <w:szCs w:val="21"/>
          <w:highlight w:val="none"/>
        </w:rPr>
        <w:t>1．工程设计标准规范</w:t>
      </w:r>
      <w:bookmarkEnd w:id="474"/>
      <w:bookmarkEnd w:id="475"/>
    </w:p>
    <w:p w14:paraId="57C7F26A">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（1）《城市居住区规划设计规范》GB50180-2018）；</w:t>
      </w:r>
    </w:p>
    <w:p w14:paraId="6E00E0BD">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（2）《城市道路工程设计规》（CJJ37-2012）；</w:t>
      </w:r>
    </w:p>
    <w:p w14:paraId="313D2FFB">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（3）《城市道路路线设计规范》（CJJ 193-2012）；</w:t>
      </w:r>
    </w:p>
    <w:p w14:paraId="5BFDD8A8">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（4）《城市道路路基设计规范》（CJJ194-2013）；</w:t>
      </w:r>
    </w:p>
    <w:p w14:paraId="156D7871">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（5）《城镇道路路面设计规范》（CJJ169-2012）；</w:t>
      </w:r>
    </w:p>
    <w:p w14:paraId="7771500F">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（6）《城市道路交通规划与设计规范》（GB0220-95）；</w:t>
      </w:r>
    </w:p>
    <w:p w14:paraId="591AD50E">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（7）《无障碍设计规范》（GB 50763-2012）；</w:t>
      </w:r>
    </w:p>
    <w:p w14:paraId="087B05BF">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（8）《城镇道路工程施工与质量验收规范》（CJJ 1-2008)；</w:t>
      </w:r>
    </w:p>
    <w:p w14:paraId="1322E347">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（9）《混凝土结构设计规范》（GB50010-2010）；</w:t>
      </w:r>
    </w:p>
    <w:p w14:paraId="76EC4E84">
      <w:pPr>
        <w:wordWrap w:val="0"/>
        <w:adjustRightInd w:val="0"/>
        <w:snapToGrid w:val="0"/>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（10）</w:t>
      </w:r>
      <w:bookmarkStart w:id="476" w:name="_Hlt69359086"/>
      <w:bookmarkEnd w:id="476"/>
      <w:bookmarkStart w:id="477" w:name="_Hlt69359243"/>
      <w:bookmarkEnd w:id="477"/>
      <w:bookmarkStart w:id="478" w:name="_Hlt69116858"/>
      <w:bookmarkEnd w:id="478"/>
      <w:bookmarkStart w:id="479" w:name="_Hlt69358458"/>
      <w:bookmarkEnd w:id="479"/>
      <w:bookmarkStart w:id="480" w:name="_Hlt69359245"/>
      <w:bookmarkEnd w:id="480"/>
      <w:bookmarkStart w:id="481" w:name="_Hlt69635252"/>
      <w:bookmarkEnd w:id="481"/>
      <w:bookmarkStart w:id="482" w:name="_Hlt78709799"/>
      <w:bookmarkEnd w:id="482"/>
      <w:r>
        <w:rPr>
          <w:rFonts w:hAnsi="宋体" w:eastAsia="宋体" w:cs="宋体"/>
          <w:color w:val="auto"/>
          <w:sz w:val="21"/>
          <w:szCs w:val="21"/>
          <w:highlight w:val="none"/>
        </w:rPr>
        <w:t xml:space="preserve">《城市防洪工程设计规范》（GB/T 50805-2012）； </w:t>
      </w:r>
    </w:p>
    <w:p w14:paraId="41DD925C">
      <w:pPr>
        <w:wordWrap w:val="0"/>
        <w:adjustRightInd w:val="0"/>
        <w:snapToGrid w:val="0"/>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（11）《地表水环境质量标准》（GB3838-2022）； </w:t>
      </w:r>
    </w:p>
    <w:p w14:paraId="07315DC2">
      <w:pPr>
        <w:wordWrap w:val="0"/>
        <w:adjustRightInd w:val="0"/>
        <w:snapToGrid w:val="0"/>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（12）《室外排水设计标准）》（GB50014-2021）； </w:t>
      </w:r>
    </w:p>
    <w:p w14:paraId="33E152DC">
      <w:pPr>
        <w:wordWrap w:val="0"/>
        <w:adjustRightInd w:val="0"/>
        <w:snapToGrid w:val="0"/>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（13）《给水排水工程结构设计规范》（GB 500069－2002）； </w:t>
      </w:r>
    </w:p>
    <w:p w14:paraId="5C2184E2">
      <w:pPr>
        <w:wordWrap w:val="0"/>
        <w:adjustRightInd w:val="0"/>
        <w:snapToGrid w:val="0"/>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（14）《居住小区给水排水设计规范》（CECS57：94）； </w:t>
      </w:r>
    </w:p>
    <w:p w14:paraId="003F7246">
      <w:pPr>
        <w:wordWrap w:val="0"/>
        <w:adjustRightInd w:val="0"/>
        <w:snapToGrid w:val="0"/>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（15）《建筑给水排水设计规范》（GB50015-2003）2009 年版； </w:t>
      </w:r>
    </w:p>
    <w:p w14:paraId="0701AD6D">
      <w:pPr>
        <w:wordWrap w:val="0"/>
        <w:adjustRightInd w:val="0"/>
        <w:snapToGrid w:val="0"/>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（16）《建筑给水排水及采暖工程施工质量验收规范》 （GB50242-2002）； </w:t>
      </w:r>
    </w:p>
    <w:p w14:paraId="71906E90">
      <w:pPr>
        <w:wordWrap w:val="0"/>
        <w:adjustRightInd w:val="0"/>
        <w:snapToGrid w:val="0"/>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（17）建筑设计防火规范（GB 55037-2022）；</w:t>
      </w:r>
    </w:p>
    <w:p w14:paraId="56431D94">
      <w:pPr>
        <w:pStyle w:val="35"/>
        <w:rPr>
          <w:rFonts w:hint="default" w:hAnsi="宋体" w:eastAsia="宋体" w:cs="宋体"/>
          <w:color w:val="auto"/>
          <w:sz w:val="21"/>
          <w:szCs w:val="21"/>
          <w:highlight w:val="none"/>
        </w:rPr>
      </w:pPr>
      <w:r>
        <w:rPr>
          <w:rFonts w:hAnsi="宋体" w:eastAsia="宋体" w:cs="宋体"/>
          <w:color w:val="auto"/>
          <w:sz w:val="21"/>
          <w:szCs w:val="21"/>
          <w:highlight w:val="none"/>
        </w:rPr>
        <w:t>（18）《城市道路、广场绿化规划与设计规范》；</w:t>
      </w:r>
    </w:p>
    <w:p w14:paraId="2476EE76">
      <w:pPr>
        <w:pStyle w:val="35"/>
        <w:rPr>
          <w:rFonts w:hint="default" w:hAnsi="宋体" w:eastAsia="宋体" w:cs="宋体"/>
          <w:color w:val="auto"/>
          <w:sz w:val="21"/>
          <w:szCs w:val="21"/>
          <w:highlight w:val="none"/>
        </w:rPr>
      </w:pPr>
      <w:r>
        <w:rPr>
          <w:rFonts w:hAnsi="宋体" w:eastAsia="宋体" w:cs="宋体"/>
          <w:color w:val="auto"/>
          <w:sz w:val="21"/>
          <w:szCs w:val="21"/>
          <w:highlight w:val="none"/>
        </w:rPr>
        <w:t xml:space="preserve">（19）《美丽乡村绿化美化技术规程》（DB11/T 1778-2020）； </w:t>
      </w:r>
    </w:p>
    <w:p w14:paraId="1DBB8AC5">
      <w:pPr>
        <w:pStyle w:val="35"/>
        <w:rPr>
          <w:rFonts w:hint="default" w:hAnsi="宋体" w:eastAsia="宋体" w:cs="宋体"/>
          <w:color w:val="auto"/>
          <w:sz w:val="21"/>
          <w:szCs w:val="21"/>
          <w:highlight w:val="none"/>
        </w:rPr>
      </w:pPr>
      <w:r>
        <w:rPr>
          <w:rFonts w:hAnsi="宋体" w:eastAsia="宋体" w:cs="宋体"/>
          <w:color w:val="auto"/>
          <w:sz w:val="21"/>
          <w:szCs w:val="21"/>
          <w:highlight w:val="none"/>
        </w:rPr>
        <w:t xml:space="preserve">（20）《园林绿化工程施工及验收规范》（CJJ 82-2012）； </w:t>
      </w:r>
    </w:p>
    <w:p w14:paraId="578BCCEF">
      <w:pPr>
        <w:pStyle w:val="35"/>
        <w:rPr>
          <w:rFonts w:hint="default" w:hAnsi="宋体" w:eastAsia="宋体" w:cs="宋体"/>
          <w:color w:val="auto"/>
          <w:sz w:val="21"/>
          <w:szCs w:val="21"/>
          <w:highlight w:val="none"/>
        </w:rPr>
      </w:pPr>
      <w:r>
        <w:rPr>
          <w:rFonts w:hAnsi="宋体" w:eastAsia="宋体" w:cs="宋体"/>
          <w:color w:val="auto"/>
          <w:sz w:val="21"/>
          <w:szCs w:val="21"/>
          <w:highlight w:val="none"/>
        </w:rPr>
        <w:t xml:space="preserve">（21）《城市道路绿化规划与设计规范》（CJJ75-97）； </w:t>
      </w:r>
    </w:p>
    <w:p w14:paraId="7F227379">
      <w:pPr>
        <w:pStyle w:val="35"/>
        <w:rPr>
          <w:rFonts w:hint="default" w:hAnsi="宋体" w:eastAsia="宋体" w:cs="宋体"/>
          <w:color w:val="auto"/>
          <w:sz w:val="21"/>
          <w:szCs w:val="21"/>
          <w:highlight w:val="none"/>
        </w:rPr>
      </w:pPr>
      <w:r>
        <w:rPr>
          <w:rFonts w:hAnsi="宋体" w:eastAsia="宋体" w:cs="宋体"/>
          <w:color w:val="auto"/>
          <w:sz w:val="21"/>
          <w:szCs w:val="21"/>
          <w:highlight w:val="none"/>
        </w:rPr>
        <w:t xml:space="preserve">（22）《城市道路照明设计标准》（CJJ45-2006）； </w:t>
      </w:r>
    </w:p>
    <w:p w14:paraId="2F455F96">
      <w:pPr>
        <w:pStyle w:val="35"/>
        <w:rPr>
          <w:rFonts w:hint="default" w:hAnsi="宋体" w:eastAsia="宋体" w:cs="宋体"/>
          <w:color w:val="auto"/>
          <w:sz w:val="21"/>
          <w:szCs w:val="21"/>
          <w:highlight w:val="none"/>
        </w:rPr>
      </w:pPr>
      <w:r>
        <w:rPr>
          <w:rFonts w:hAnsi="宋体" w:eastAsia="宋体" w:cs="宋体"/>
          <w:color w:val="auto"/>
          <w:sz w:val="21"/>
          <w:szCs w:val="21"/>
          <w:highlight w:val="none"/>
        </w:rPr>
        <w:t xml:space="preserve">（23）《城市道路照明工程施工及验收规程》（CJJ89-2012）； </w:t>
      </w:r>
    </w:p>
    <w:p w14:paraId="4F4F746A">
      <w:pPr>
        <w:pStyle w:val="35"/>
        <w:rPr>
          <w:rFonts w:hint="default" w:hAnsi="宋体" w:eastAsia="宋体" w:cs="宋体"/>
          <w:color w:val="auto"/>
          <w:sz w:val="21"/>
          <w:szCs w:val="21"/>
          <w:highlight w:val="none"/>
        </w:rPr>
      </w:pPr>
      <w:r>
        <w:rPr>
          <w:rFonts w:hAnsi="宋体" w:eastAsia="宋体" w:cs="宋体"/>
          <w:color w:val="auto"/>
          <w:sz w:val="21"/>
          <w:szCs w:val="21"/>
          <w:highlight w:val="none"/>
        </w:rPr>
        <w:t xml:space="preserve">（24）《电力工程电力设计规范》（GB50217-2007）； </w:t>
      </w:r>
    </w:p>
    <w:p w14:paraId="61A4D2AC">
      <w:pPr>
        <w:pStyle w:val="35"/>
        <w:rPr>
          <w:rFonts w:hint="default" w:hAnsi="宋体" w:eastAsia="宋体" w:cs="宋体"/>
          <w:color w:val="auto"/>
          <w:sz w:val="21"/>
          <w:szCs w:val="21"/>
          <w:highlight w:val="none"/>
        </w:rPr>
      </w:pPr>
      <w:r>
        <w:rPr>
          <w:rFonts w:hAnsi="宋体" w:eastAsia="宋体" w:cs="宋体"/>
          <w:color w:val="auto"/>
          <w:sz w:val="21"/>
          <w:szCs w:val="21"/>
          <w:highlight w:val="none"/>
        </w:rPr>
        <w:t>（25）《砌体结构设计规范》（GB50003-2011）。</w:t>
      </w:r>
    </w:p>
    <w:p w14:paraId="34C305B1">
      <w:pPr>
        <w:wordWrap w:val="0"/>
        <w:adjustRightInd w:val="0"/>
        <w:snapToGrid w:val="0"/>
        <w:spacing w:line="360" w:lineRule="auto"/>
        <w:ind w:right="-223" w:rightChars="-93" w:firstLine="632" w:firstLineChars="300"/>
        <w:rPr>
          <w:rFonts w:hint="default" w:hAnsi="宋体" w:eastAsia="宋体" w:cs="宋体"/>
          <w:color w:val="auto"/>
          <w:sz w:val="21"/>
          <w:szCs w:val="21"/>
          <w:highlight w:val="none"/>
        </w:rPr>
      </w:pPr>
      <w:r>
        <w:rPr>
          <w:rFonts w:hAnsi="宋体" w:eastAsia="宋体" w:cs="宋体"/>
          <w:b/>
          <w:color w:val="auto"/>
          <w:sz w:val="21"/>
          <w:szCs w:val="21"/>
          <w:highlight w:val="none"/>
        </w:rPr>
        <w:t>备注：若有相关主管部门颁发新的标准规范则按新的标准规范执行。</w:t>
      </w:r>
    </w:p>
    <w:p w14:paraId="23CD3139">
      <w:pPr>
        <w:pStyle w:val="4"/>
        <w:bidi w:val="0"/>
        <w:spacing w:line="360" w:lineRule="auto"/>
        <w:rPr>
          <w:rFonts w:hint="eastAsia" w:asciiTheme="minorEastAsia" w:hAnsiTheme="minorEastAsia" w:eastAsiaTheme="minorEastAsia" w:cstheme="minorEastAsia"/>
          <w:color w:val="auto"/>
          <w:sz w:val="21"/>
          <w:szCs w:val="16"/>
          <w:highlight w:val="none"/>
        </w:rPr>
      </w:pPr>
      <w:bookmarkStart w:id="483" w:name="_Toc23320"/>
      <w:r>
        <w:rPr>
          <w:rFonts w:hint="eastAsia" w:asciiTheme="minorEastAsia" w:hAnsiTheme="minorEastAsia" w:eastAsiaTheme="minorEastAsia" w:cstheme="minorEastAsia"/>
          <w:color w:val="auto"/>
          <w:sz w:val="21"/>
          <w:szCs w:val="16"/>
          <w:highlight w:val="none"/>
        </w:rPr>
        <w:t>2.房屋建筑工程建设项目</w:t>
      </w:r>
      <w:bookmarkEnd w:id="483"/>
    </w:p>
    <w:p w14:paraId="0D9915BF">
      <w:pPr>
        <w:wordWrap w:val="0"/>
        <w:adjustRightInd w:val="0"/>
        <w:snapToGrid w:val="0"/>
        <w:spacing w:line="360" w:lineRule="auto"/>
        <w:ind w:firstLine="420" w:firstLineChars="200"/>
        <w:rPr>
          <w:rFonts w:hint="default" w:hAnsi="宋体" w:eastAsia="宋体" w:cs="宋体"/>
          <w:bCs/>
          <w:snapToGrid w:val="0"/>
          <w:color w:val="auto"/>
          <w:kern w:val="0"/>
          <w:sz w:val="21"/>
          <w:szCs w:val="21"/>
          <w:highlight w:val="none"/>
        </w:rPr>
      </w:pPr>
      <w:r>
        <w:rPr>
          <w:rFonts w:hAnsi="宋体" w:eastAsia="宋体" w:cs="宋体"/>
          <w:bCs/>
          <w:snapToGrid w:val="0"/>
          <w:color w:val="auto"/>
          <w:kern w:val="0"/>
          <w:sz w:val="21"/>
          <w:szCs w:val="21"/>
          <w:highlight w:val="none"/>
        </w:rPr>
        <w:t>房屋建筑工程建设项目必须执行的现行技术规范，包括且不限于：</w:t>
      </w:r>
    </w:p>
    <w:p w14:paraId="77E04B9F">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（1）《建筑工程施工质量验收统一标准》；</w:t>
      </w:r>
    </w:p>
    <w:p w14:paraId="285F96A4">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（2）《建筑地基基础工程施工质量验收规范》；</w:t>
      </w:r>
    </w:p>
    <w:p w14:paraId="3E49A924">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（3）《砌体工程施工质量验收规范》；</w:t>
      </w:r>
    </w:p>
    <w:p w14:paraId="551CACD4">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（4）《混凝土结构工程施工质量验收规范》；</w:t>
      </w:r>
    </w:p>
    <w:p w14:paraId="35999713">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（5）《屋面工程质量验收规范》；</w:t>
      </w:r>
    </w:p>
    <w:p w14:paraId="3CEC8C25">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（6）《地下防水工程质量验收规范》；</w:t>
      </w:r>
    </w:p>
    <w:p w14:paraId="648A9FBF">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（7）《建筑地面工程施工质量验收规范》；</w:t>
      </w:r>
    </w:p>
    <w:p w14:paraId="4B4FF9A8">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（8）《建筑装饰装修工程施工质量验收规范》；</w:t>
      </w:r>
    </w:p>
    <w:p w14:paraId="365FF425">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（9）《建筑给排水及采暖工程施工质量验收规范》；</w:t>
      </w:r>
    </w:p>
    <w:p w14:paraId="7B2AAE88">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（10）《建筑电气工程施工质量验收规范》；</w:t>
      </w:r>
    </w:p>
    <w:p w14:paraId="0B0AAEEB">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（11）《住建部绿色建筑评价标准》；</w:t>
      </w:r>
    </w:p>
    <w:p w14:paraId="1D9A4684">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（12）《建筑节能与可再生能源利用通用规范》（GB55015-2021）；</w:t>
      </w:r>
    </w:p>
    <w:p w14:paraId="0024CDDF">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（13）《建筑环境通用规范》；</w:t>
      </w:r>
    </w:p>
    <w:p w14:paraId="16221D99">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（14）《建筑与市政工程无障碍通用规范》GB 55019-2021；</w:t>
      </w:r>
    </w:p>
    <w:p w14:paraId="785471A6">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（15）《建筑防火通用规范》GB 55037-2022；</w:t>
      </w:r>
    </w:p>
    <w:p w14:paraId="55C43AB1">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（16）《建筑与市政工程抗震通用规范》GB55002-2001；</w:t>
      </w:r>
    </w:p>
    <w:p w14:paraId="27906D66">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（17）《建筑与市政地基基础通用规范》GB55003-2001；</w:t>
      </w:r>
    </w:p>
    <w:p w14:paraId="6D7BAB7D">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（18）《广东省住房和城乡建设厅绿色施工导则》；</w:t>
      </w:r>
    </w:p>
    <w:p w14:paraId="6C359D55">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（19）《广东省建筑工程绿色施工评价标准》；</w:t>
      </w:r>
    </w:p>
    <w:p w14:paraId="3AE408BB">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（20）《广东省建筑节能与绿色建筑工程施工质量验收规范》；</w:t>
      </w:r>
    </w:p>
    <w:p w14:paraId="2AEFFADA">
      <w:pPr>
        <w:wordWrap w:val="0"/>
        <w:adjustRightInd w:val="0"/>
        <w:snapToGrid w:val="0"/>
        <w:spacing w:line="360" w:lineRule="auto"/>
        <w:ind w:firstLine="420" w:firstLineChars="200"/>
        <w:rPr>
          <w:rFonts w:hint="default" w:hAnsi="宋体" w:eastAsia="宋体" w:cs="宋体"/>
          <w:bCs/>
          <w:snapToGrid w:val="0"/>
          <w:color w:val="auto"/>
          <w:kern w:val="0"/>
          <w:sz w:val="21"/>
          <w:szCs w:val="21"/>
          <w:highlight w:val="none"/>
        </w:rPr>
      </w:pPr>
      <w:r>
        <w:rPr>
          <w:rFonts w:hAnsi="宋体" w:eastAsia="宋体" w:cs="宋体"/>
          <w:color w:val="auto"/>
          <w:sz w:val="21"/>
          <w:szCs w:val="21"/>
          <w:highlight w:val="none"/>
        </w:rPr>
        <w:t>（21）其他现行国家、广东省关于房建工程的施工及验收规范、定额、规程、标准</w:t>
      </w:r>
      <w:r>
        <w:rPr>
          <w:rFonts w:hAnsi="宋体" w:eastAsia="宋体" w:cs="宋体"/>
          <w:bCs/>
          <w:snapToGrid w:val="0"/>
          <w:color w:val="auto"/>
          <w:kern w:val="0"/>
          <w:sz w:val="21"/>
          <w:szCs w:val="21"/>
          <w:highlight w:val="none"/>
        </w:rPr>
        <w:t>。</w:t>
      </w:r>
    </w:p>
    <w:p w14:paraId="6D915D94">
      <w:pPr>
        <w:pStyle w:val="4"/>
        <w:bidi w:val="0"/>
        <w:spacing w:line="360" w:lineRule="auto"/>
        <w:rPr>
          <w:rFonts w:hint="eastAsia" w:asciiTheme="minorEastAsia" w:hAnsiTheme="minorEastAsia" w:eastAsiaTheme="minorEastAsia" w:cstheme="minorEastAsia"/>
          <w:color w:val="auto"/>
          <w:sz w:val="21"/>
          <w:szCs w:val="16"/>
          <w:highlight w:val="none"/>
        </w:rPr>
      </w:pPr>
      <w:bookmarkStart w:id="484" w:name="_Toc419"/>
      <w:r>
        <w:rPr>
          <w:rFonts w:hint="eastAsia" w:asciiTheme="minorEastAsia" w:hAnsiTheme="minorEastAsia" w:eastAsiaTheme="minorEastAsia" w:cstheme="minorEastAsia"/>
          <w:color w:val="auto"/>
          <w:sz w:val="21"/>
          <w:szCs w:val="16"/>
          <w:highlight w:val="none"/>
        </w:rPr>
        <w:t>3.市政基础设施工程建设项目</w:t>
      </w:r>
      <w:bookmarkEnd w:id="484"/>
    </w:p>
    <w:p w14:paraId="16D56B09">
      <w:pPr>
        <w:wordWrap w:val="0"/>
        <w:adjustRightInd w:val="0"/>
        <w:snapToGrid w:val="0"/>
        <w:spacing w:line="360" w:lineRule="auto"/>
        <w:ind w:firstLine="420" w:firstLineChars="200"/>
        <w:rPr>
          <w:rFonts w:hint="default" w:hAnsi="宋体" w:eastAsia="宋体" w:cs="宋体"/>
          <w:bCs/>
          <w:snapToGrid w:val="0"/>
          <w:color w:val="auto"/>
          <w:kern w:val="0"/>
          <w:sz w:val="21"/>
          <w:szCs w:val="21"/>
          <w:highlight w:val="none"/>
        </w:rPr>
      </w:pPr>
      <w:r>
        <w:rPr>
          <w:rFonts w:hAnsi="宋体" w:eastAsia="宋体" w:cs="宋体"/>
          <w:bCs/>
          <w:snapToGrid w:val="0"/>
          <w:color w:val="auto"/>
          <w:kern w:val="0"/>
          <w:sz w:val="21"/>
          <w:szCs w:val="21"/>
          <w:highlight w:val="none"/>
        </w:rPr>
        <w:t>市政基础设施工程建设项目必须执行的现行技术规范，包括且不限于：</w:t>
      </w:r>
    </w:p>
    <w:p w14:paraId="75838D19">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（1）《公路路基施工技术规范》；</w:t>
      </w:r>
    </w:p>
    <w:p w14:paraId="7FB19B8E">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（2）《市政道路工程质量检验评定标准》；</w:t>
      </w:r>
    </w:p>
    <w:p w14:paraId="03BD9312">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（3）《市政排水管渠工程质量检验评定标准》；</w:t>
      </w:r>
    </w:p>
    <w:p w14:paraId="75B02E85">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（4）《给水排水管道工程施工及验收规范》；</w:t>
      </w:r>
    </w:p>
    <w:p w14:paraId="707028F1">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（5）《城市道路路基工程施工及验收规范》；</w:t>
      </w:r>
    </w:p>
    <w:p w14:paraId="4CEB5B6E">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（6）《水泥砼路面施工及验收规范》；</w:t>
      </w:r>
    </w:p>
    <w:p w14:paraId="60B24C20">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（7）《公路水泥砼路面施工技术规范》；</w:t>
      </w:r>
    </w:p>
    <w:p w14:paraId="46D84AE2">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（8）《埋地硬聚氯乙烯排水管道工程技术规程》；</w:t>
      </w:r>
    </w:p>
    <w:p w14:paraId="28F248E8">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（9）《沥青路面施工及验收规范》；</w:t>
      </w:r>
    </w:p>
    <w:p w14:paraId="17CBF0AA">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（10）《广东省市政工程施工质量技术资料统一用表》。</w:t>
      </w:r>
    </w:p>
    <w:p w14:paraId="74FBA565">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（11）《建筑与市政工程无障碍通用规范》GB 55019-2021；</w:t>
      </w:r>
    </w:p>
    <w:p w14:paraId="4BAD0C0B">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（12）《建筑防火通用规范》GB 55037-2022；</w:t>
      </w:r>
    </w:p>
    <w:p w14:paraId="588239EC">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（13）《建筑与市政工程抗震通用规范》GB55002-2001；</w:t>
      </w:r>
    </w:p>
    <w:p w14:paraId="0AA45A89">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（14）《建筑与市政地基基础通用规范》GB55003-2001；</w:t>
      </w:r>
    </w:p>
    <w:p w14:paraId="0F829E64">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（15）《城市道路照明设计标准》（CJJ45-2015）；</w:t>
      </w:r>
    </w:p>
    <w:p w14:paraId="09B62FF3">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（16）《低压配电设计规范》（GB50054-2011）；</w:t>
      </w:r>
    </w:p>
    <w:p w14:paraId="4345EA6C">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（17）《城市道路照明工程施工及验收规程》（CJJ89-2012）；</w:t>
      </w:r>
    </w:p>
    <w:p w14:paraId="095303C7">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（18）《LED 道路照明工程技术规范》（DB44/T1898-2016）；</w:t>
      </w:r>
    </w:p>
    <w:p w14:paraId="7DF2E3AD">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（19）《灯具第1部分：一般要求与试验》（GB7000.1-2015）；</w:t>
      </w:r>
    </w:p>
    <w:p w14:paraId="2E7EE074">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（20）《电缆工程电缆设计标准》（GB50217-2018）；</w:t>
      </w:r>
    </w:p>
    <w:p w14:paraId="1CC3E6F2">
      <w:pPr>
        <w:wordWrap w:val="0"/>
        <w:adjustRightInd w:val="0"/>
        <w:snapToGrid w:val="0"/>
        <w:spacing w:line="360" w:lineRule="auto"/>
        <w:ind w:firstLine="420" w:firstLineChars="200"/>
        <w:rPr>
          <w:rFonts w:hint="default" w:hAnsi="宋体" w:eastAsia="宋体" w:cs="宋体"/>
          <w:bCs/>
          <w:snapToGrid w:val="0"/>
          <w:color w:val="auto"/>
          <w:kern w:val="0"/>
          <w:sz w:val="21"/>
          <w:szCs w:val="21"/>
          <w:highlight w:val="none"/>
        </w:rPr>
      </w:pPr>
      <w:r>
        <w:rPr>
          <w:rFonts w:hAnsi="宋体" w:eastAsia="宋体" w:cs="宋体"/>
          <w:color w:val="auto"/>
          <w:sz w:val="21"/>
          <w:szCs w:val="21"/>
          <w:highlight w:val="none"/>
        </w:rPr>
        <w:t>（21）其他现行国家、广东省关于市政工程的技术及验收规范、定额、规程、标准</w:t>
      </w:r>
      <w:r>
        <w:rPr>
          <w:rFonts w:hAnsi="宋体" w:eastAsia="宋体" w:cs="宋体"/>
          <w:bCs/>
          <w:snapToGrid w:val="0"/>
          <w:color w:val="auto"/>
          <w:kern w:val="0"/>
          <w:sz w:val="21"/>
          <w:szCs w:val="21"/>
          <w:highlight w:val="none"/>
        </w:rPr>
        <w:t>。</w:t>
      </w:r>
    </w:p>
    <w:p w14:paraId="316134D7">
      <w:pPr>
        <w:bidi w:val="0"/>
        <w:ind w:firstLine="420" w:firstLineChars="200"/>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注：以上规范或规定如有更新，则以更新后的规范及规定为准。</w:t>
      </w:r>
    </w:p>
    <w:p w14:paraId="2839B8BF">
      <w:pPr>
        <w:pStyle w:val="4"/>
        <w:wordWrap w:val="0"/>
        <w:snapToGrid w:val="0"/>
        <w:spacing w:line="360" w:lineRule="auto"/>
        <w:ind w:firstLine="420"/>
        <w:rPr>
          <w:rFonts w:hint="eastAsia" w:ascii="宋体" w:hAnsi="宋体" w:cs="宋体"/>
          <w:snapToGrid w:val="0"/>
          <w:color w:val="auto"/>
          <w:sz w:val="21"/>
          <w:szCs w:val="21"/>
          <w:highlight w:val="none"/>
          <w:lang w:val="en-US" w:eastAsia="zh-CN"/>
        </w:rPr>
      </w:pPr>
    </w:p>
    <w:p w14:paraId="4EFA58D6">
      <w:pPr>
        <w:pStyle w:val="4"/>
        <w:wordWrap w:val="0"/>
        <w:snapToGrid w:val="0"/>
        <w:spacing w:line="360" w:lineRule="auto"/>
        <w:ind w:firstLine="420"/>
        <w:rPr>
          <w:rFonts w:ascii="宋体" w:hAnsi="宋体" w:cs="宋体"/>
          <w:snapToGrid w:val="0"/>
          <w:color w:val="auto"/>
          <w:sz w:val="21"/>
          <w:szCs w:val="21"/>
          <w:highlight w:val="none"/>
        </w:rPr>
      </w:pPr>
      <w:bookmarkStart w:id="485" w:name="_Toc29070"/>
      <w:r>
        <w:rPr>
          <w:rFonts w:hint="eastAsia" w:ascii="宋体" w:hAnsi="宋体" w:cs="宋体"/>
          <w:snapToGrid w:val="0"/>
          <w:color w:val="auto"/>
          <w:sz w:val="21"/>
          <w:szCs w:val="21"/>
          <w:highlight w:val="none"/>
          <w:lang w:val="en-US" w:eastAsia="zh-CN"/>
        </w:rPr>
        <w:t>4</w:t>
      </w:r>
      <w:r>
        <w:rPr>
          <w:rFonts w:hint="eastAsia" w:ascii="宋体" w:hAnsi="宋体" w:cs="宋体"/>
          <w:snapToGrid w:val="0"/>
          <w:color w:val="auto"/>
          <w:sz w:val="21"/>
          <w:szCs w:val="21"/>
          <w:highlight w:val="none"/>
        </w:rPr>
        <w:t>.备查要求</w:t>
      </w:r>
      <w:bookmarkEnd w:id="485"/>
    </w:p>
    <w:p w14:paraId="566C5187">
      <w:pPr>
        <w:wordWrap w:val="0"/>
        <w:adjustRightInd w:val="0"/>
        <w:snapToGrid w:val="0"/>
        <w:spacing w:line="360" w:lineRule="auto"/>
        <w:ind w:firstLine="560"/>
        <w:rPr>
          <w:rFonts w:hint="default" w:hAnsi="宋体" w:eastAsia="宋体" w:cs="宋体"/>
          <w:bCs/>
          <w:snapToGrid w:val="0"/>
          <w:color w:val="auto"/>
          <w:kern w:val="0"/>
          <w:sz w:val="21"/>
          <w:szCs w:val="21"/>
          <w:highlight w:val="none"/>
        </w:rPr>
      </w:pPr>
      <w:r>
        <w:rPr>
          <w:rFonts w:hAnsi="宋体" w:eastAsia="宋体" w:cs="宋体"/>
          <w:snapToGrid w:val="0"/>
          <w:color w:val="auto"/>
          <w:kern w:val="0"/>
          <w:sz w:val="21"/>
          <w:szCs w:val="21"/>
          <w:highlight w:val="none"/>
        </w:rPr>
        <w:t>承包</w:t>
      </w:r>
      <w:r>
        <w:rPr>
          <w:rFonts w:hAnsi="宋体" w:eastAsia="宋体" w:cs="宋体"/>
          <w:bCs/>
          <w:snapToGrid w:val="0"/>
          <w:color w:val="auto"/>
          <w:kern w:val="0"/>
          <w:sz w:val="21"/>
          <w:szCs w:val="21"/>
          <w:highlight w:val="none"/>
        </w:rPr>
        <w:t>人必须在施工现场准备至少一套上述规范，</w:t>
      </w:r>
      <w:r>
        <w:rPr>
          <w:rFonts w:hAnsi="宋体" w:eastAsia="宋体" w:cs="宋体"/>
          <w:snapToGrid w:val="0"/>
          <w:color w:val="auto"/>
          <w:kern w:val="0"/>
          <w:sz w:val="21"/>
          <w:szCs w:val="21"/>
          <w:highlight w:val="none"/>
        </w:rPr>
        <w:t>发包</w:t>
      </w:r>
      <w:r>
        <w:rPr>
          <w:rFonts w:hAnsi="宋体" w:eastAsia="宋体" w:cs="宋体"/>
          <w:bCs/>
          <w:snapToGrid w:val="0"/>
          <w:color w:val="auto"/>
          <w:kern w:val="0"/>
          <w:sz w:val="21"/>
          <w:szCs w:val="21"/>
          <w:highlight w:val="none"/>
        </w:rPr>
        <w:t>人和监理单位可随时检查</w:t>
      </w:r>
      <w:r>
        <w:rPr>
          <w:rFonts w:hAnsi="宋体" w:eastAsia="宋体" w:cs="宋体"/>
          <w:snapToGrid w:val="0"/>
          <w:color w:val="auto"/>
          <w:kern w:val="0"/>
          <w:sz w:val="21"/>
          <w:szCs w:val="21"/>
          <w:highlight w:val="none"/>
        </w:rPr>
        <w:t>承包</w:t>
      </w:r>
      <w:r>
        <w:rPr>
          <w:rFonts w:hAnsi="宋体" w:eastAsia="宋体" w:cs="宋体"/>
          <w:bCs/>
          <w:snapToGrid w:val="0"/>
          <w:color w:val="auto"/>
          <w:kern w:val="0"/>
          <w:sz w:val="21"/>
          <w:szCs w:val="21"/>
          <w:highlight w:val="none"/>
        </w:rPr>
        <w:t>人的上述规范，并监督</w:t>
      </w:r>
      <w:r>
        <w:rPr>
          <w:rFonts w:hAnsi="宋体" w:eastAsia="宋体" w:cs="宋体"/>
          <w:snapToGrid w:val="0"/>
          <w:color w:val="auto"/>
          <w:kern w:val="0"/>
          <w:sz w:val="21"/>
          <w:szCs w:val="21"/>
          <w:highlight w:val="none"/>
        </w:rPr>
        <w:t>承包</w:t>
      </w:r>
      <w:r>
        <w:rPr>
          <w:rFonts w:hAnsi="宋体" w:eastAsia="宋体" w:cs="宋体"/>
          <w:bCs/>
          <w:snapToGrid w:val="0"/>
          <w:color w:val="auto"/>
          <w:kern w:val="0"/>
          <w:sz w:val="21"/>
          <w:szCs w:val="21"/>
          <w:highlight w:val="none"/>
        </w:rPr>
        <w:t>人按规范要求执行。</w:t>
      </w:r>
      <w:bookmarkStart w:id="486" w:name="_Hlt69670335"/>
      <w:bookmarkEnd w:id="486"/>
    </w:p>
    <w:p w14:paraId="42F7CDA9">
      <w:pPr>
        <w:pStyle w:val="6"/>
        <w:spacing w:line="360" w:lineRule="auto"/>
        <w:ind w:firstLine="480" w:firstLineChars="200"/>
        <w:rPr>
          <w:rFonts w:hint="default" w:asciiTheme="minorEastAsia" w:hAnsiTheme="minorEastAsia" w:eastAsiaTheme="minorEastAsia" w:cstheme="minorEastAsia"/>
          <w:color w:val="auto"/>
          <w:sz w:val="24"/>
          <w:szCs w:val="24"/>
          <w:highlight w:val="none"/>
        </w:rPr>
      </w:pPr>
    </w:p>
    <w:p w14:paraId="1C5CA799">
      <w:pPr>
        <w:rPr>
          <w:rFonts w:hint="default" w:asciiTheme="minorEastAsia" w:hAnsiTheme="minorEastAsia" w:eastAsiaTheme="minorEastAsia" w:cstheme="minorEastAsia"/>
          <w:color w:val="auto"/>
          <w:sz w:val="24"/>
          <w:szCs w:val="24"/>
          <w:highlight w:val="none"/>
        </w:rPr>
      </w:pPr>
      <w:r>
        <w:rPr>
          <w:rFonts w:hint="default" w:asciiTheme="minorEastAsia" w:hAnsiTheme="minorEastAsia" w:eastAsiaTheme="minorEastAsia" w:cstheme="minorEastAsia"/>
          <w:color w:val="auto"/>
          <w:sz w:val="24"/>
          <w:szCs w:val="24"/>
          <w:highlight w:val="none"/>
        </w:rPr>
        <w:br w:type="page"/>
      </w:r>
    </w:p>
    <w:p w14:paraId="5006F760">
      <w:pPr>
        <w:rPr>
          <w:rFonts w:hint="default"/>
          <w:color w:val="auto"/>
          <w:highlight w:val="none"/>
        </w:rPr>
      </w:pPr>
      <w:bookmarkStart w:id="487" w:name="_Toc16295"/>
      <w:bookmarkStart w:id="488" w:name="_Toc466640614"/>
      <w:bookmarkStart w:id="489" w:name="_Toc1911"/>
      <w:bookmarkStart w:id="490" w:name="_Toc23899"/>
      <w:bookmarkStart w:id="491" w:name="_Toc5639"/>
      <w:bookmarkStart w:id="492" w:name="_Toc12955"/>
      <w:bookmarkStart w:id="493" w:name="_Toc5422"/>
      <w:bookmarkStart w:id="494" w:name="_Toc27843"/>
      <w:bookmarkStart w:id="495" w:name="_Toc6133"/>
      <w:bookmarkStart w:id="496" w:name="_Hlt69698785"/>
    </w:p>
    <w:bookmarkEnd w:id="487"/>
    <w:bookmarkEnd w:id="488"/>
    <w:bookmarkEnd w:id="489"/>
    <w:bookmarkEnd w:id="490"/>
    <w:bookmarkEnd w:id="491"/>
    <w:bookmarkEnd w:id="492"/>
    <w:bookmarkEnd w:id="493"/>
    <w:bookmarkEnd w:id="494"/>
    <w:bookmarkEnd w:id="495"/>
    <w:p w14:paraId="67F0F30F">
      <w:pPr>
        <w:pStyle w:val="43"/>
        <w:keepNext/>
        <w:keepLines/>
        <w:tabs>
          <w:tab w:val="left" w:pos="885"/>
        </w:tabs>
        <w:spacing w:line="240" w:lineRule="auto"/>
        <w:jc w:val="center"/>
        <w:rPr>
          <w:rFonts w:asciiTheme="minorEastAsia" w:hAnsiTheme="minorEastAsia" w:eastAsiaTheme="minorEastAsia" w:cstheme="minorEastAsia"/>
          <w:b/>
          <w:color w:val="auto"/>
          <w:kern w:val="44"/>
          <w:sz w:val="36"/>
          <w:szCs w:val="36"/>
          <w:highlight w:val="none"/>
        </w:rPr>
      </w:pPr>
      <w:bookmarkStart w:id="497" w:name="_Toc24730"/>
      <w:r>
        <w:rPr>
          <w:rFonts w:hint="eastAsia" w:asciiTheme="minorEastAsia" w:hAnsiTheme="minorEastAsia" w:eastAsiaTheme="minorEastAsia" w:cstheme="minorEastAsia"/>
          <w:b/>
          <w:color w:val="auto"/>
          <w:kern w:val="44"/>
          <w:sz w:val="36"/>
          <w:szCs w:val="36"/>
          <w:highlight w:val="none"/>
        </w:rPr>
        <w:t>第六章  招标文件</w:t>
      </w:r>
      <w:bookmarkStart w:id="498" w:name="_Hlt75747044"/>
      <w:bookmarkEnd w:id="498"/>
      <w:r>
        <w:rPr>
          <w:rFonts w:hint="eastAsia" w:asciiTheme="minorEastAsia" w:hAnsiTheme="minorEastAsia" w:eastAsiaTheme="minorEastAsia" w:cstheme="minorEastAsia"/>
          <w:b/>
          <w:color w:val="auto"/>
          <w:kern w:val="44"/>
          <w:sz w:val="36"/>
          <w:szCs w:val="36"/>
          <w:highlight w:val="none"/>
        </w:rPr>
        <w:t>的附件</w:t>
      </w:r>
      <w:bookmarkEnd w:id="497"/>
    </w:p>
    <w:p w14:paraId="208A5D23">
      <w:pPr>
        <w:rPr>
          <w:rFonts w:hint="default" w:asciiTheme="minorEastAsia" w:hAnsiTheme="minorEastAsia" w:eastAsiaTheme="minorEastAsia" w:cstheme="minorEastAsia"/>
          <w:color w:val="auto"/>
          <w:highlight w:val="none"/>
        </w:rPr>
      </w:pPr>
    </w:p>
    <w:bookmarkEnd w:id="496"/>
    <w:p w14:paraId="11BB651E">
      <w:pPr>
        <w:pStyle w:val="3"/>
        <w:spacing w:before="120"/>
        <w:rPr>
          <w:rFonts w:hint="default" w:asciiTheme="minorEastAsia" w:hAnsiTheme="minorEastAsia" w:eastAsiaTheme="minorEastAsia" w:cstheme="minorEastAsia"/>
          <w:b/>
          <w:snapToGrid w:val="0"/>
          <w:color w:val="auto"/>
          <w:szCs w:val="24"/>
          <w:highlight w:val="none"/>
        </w:rPr>
      </w:pPr>
      <w:bookmarkStart w:id="499" w:name="_附件一：对招标文件条款自愿接受承诺书"/>
      <w:bookmarkEnd w:id="499"/>
      <w:bookmarkStart w:id="500" w:name="_附件二：近三年度主要施工项目（竣工及在建）一览表"/>
      <w:bookmarkEnd w:id="500"/>
      <w:bookmarkStart w:id="501" w:name="_附件二：工期承诺书"/>
      <w:bookmarkEnd w:id="501"/>
      <w:bookmarkStart w:id="502" w:name="_附件一：投标函"/>
      <w:bookmarkEnd w:id="502"/>
      <w:bookmarkStart w:id="503" w:name="_附件四：工期承诺书"/>
      <w:bookmarkEnd w:id="503"/>
      <w:bookmarkStart w:id="504" w:name="_附件五：综合评审合理低价法"/>
      <w:bookmarkEnd w:id="504"/>
      <w:bookmarkStart w:id="505" w:name="_Toc2902"/>
      <w:bookmarkStart w:id="506" w:name="_Toc23231"/>
      <w:bookmarkStart w:id="507" w:name="_Toc12406"/>
      <w:bookmarkStart w:id="508" w:name="_Toc3855"/>
      <w:bookmarkStart w:id="509" w:name="_Toc12527"/>
      <w:bookmarkStart w:id="510" w:name="_Toc39136360"/>
      <w:bookmarkStart w:id="511" w:name="_Toc142468134"/>
      <w:bookmarkStart w:id="512" w:name="_Toc132687128"/>
      <w:bookmarkStart w:id="513" w:name="_Toc133160683"/>
      <w:bookmarkStart w:id="514" w:name="_Toc137444778"/>
      <w:bookmarkStart w:id="515" w:name="_Toc78794873"/>
      <w:bookmarkStart w:id="516" w:name="_Toc133815902"/>
      <w:r>
        <w:rPr>
          <w:rFonts w:asciiTheme="minorEastAsia" w:hAnsiTheme="minorEastAsia" w:eastAsiaTheme="minorEastAsia" w:cstheme="minorEastAsia"/>
          <w:b/>
          <w:snapToGrid w:val="0"/>
          <w:color w:val="auto"/>
          <w:szCs w:val="24"/>
          <w:highlight w:val="none"/>
        </w:rPr>
        <w:t>格式一 封面</w:t>
      </w:r>
      <w:bookmarkEnd w:id="505"/>
      <w:bookmarkEnd w:id="506"/>
      <w:bookmarkEnd w:id="507"/>
      <w:bookmarkEnd w:id="508"/>
      <w:bookmarkEnd w:id="509"/>
      <w:bookmarkEnd w:id="510"/>
    </w:p>
    <w:p w14:paraId="10EDEC5B">
      <w:pPr>
        <w:pStyle w:val="52"/>
        <w:widowControl w:val="0"/>
        <w:wordWrap w:val="0"/>
        <w:adjustRightInd w:val="0"/>
        <w:snapToGrid w:val="0"/>
        <w:rPr>
          <w:rFonts w:asciiTheme="minorEastAsia" w:hAnsiTheme="minorEastAsia" w:eastAsiaTheme="minorEastAsia" w:cstheme="minorEastAsia"/>
          <w:b/>
          <w:snapToGrid w:val="0"/>
          <w:color w:val="auto"/>
          <w:sz w:val="24"/>
          <w:szCs w:val="24"/>
          <w:highlight w:val="none"/>
        </w:rPr>
      </w:pPr>
    </w:p>
    <w:p w14:paraId="67D7BC6F">
      <w:pPr>
        <w:pStyle w:val="52"/>
        <w:widowControl w:val="0"/>
        <w:wordWrap w:val="0"/>
        <w:adjustRightInd w:val="0"/>
        <w:snapToGrid w:val="0"/>
        <w:jc w:val="right"/>
        <w:rPr>
          <w:rFonts w:asciiTheme="minorEastAsia" w:hAnsiTheme="minorEastAsia" w:eastAsiaTheme="minorEastAsia" w:cstheme="minorEastAsia"/>
          <w:b/>
          <w:snapToGrid w:val="0"/>
          <w:color w:val="auto"/>
          <w:sz w:val="24"/>
          <w:szCs w:val="24"/>
          <w:highlight w:val="none"/>
        </w:rPr>
      </w:pPr>
    </w:p>
    <w:p w14:paraId="4F99D814">
      <w:pPr>
        <w:pStyle w:val="52"/>
        <w:widowControl w:val="0"/>
        <w:wordWrap w:val="0"/>
        <w:adjustRightInd w:val="0"/>
        <w:snapToGrid w:val="0"/>
        <w:rPr>
          <w:rFonts w:asciiTheme="minorEastAsia" w:hAnsiTheme="minorEastAsia" w:eastAsiaTheme="minorEastAsia" w:cstheme="minorEastAsia"/>
          <w:b/>
          <w:snapToGrid w:val="0"/>
          <w:color w:val="auto"/>
          <w:sz w:val="24"/>
          <w:szCs w:val="24"/>
          <w:highlight w:val="none"/>
        </w:rPr>
      </w:pPr>
    </w:p>
    <w:p w14:paraId="6E25A80B">
      <w:pPr>
        <w:pStyle w:val="52"/>
        <w:widowControl w:val="0"/>
        <w:wordWrap w:val="0"/>
        <w:adjustRightInd w:val="0"/>
        <w:snapToGrid w:val="0"/>
        <w:ind w:firstLine="0"/>
        <w:rPr>
          <w:rFonts w:asciiTheme="minorEastAsia" w:hAnsiTheme="minorEastAsia" w:eastAsiaTheme="minorEastAsia" w:cstheme="minorEastAsia"/>
          <w:b/>
          <w:snapToGrid w:val="0"/>
          <w:color w:val="auto"/>
          <w:sz w:val="24"/>
          <w:highlight w:val="none"/>
        </w:rPr>
      </w:pPr>
      <w:bookmarkStart w:id="517" w:name="_附件二十五：综合评审合理低价法"/>
      <w:bookmarkEnd w:id="517"/>
      <w:bookmarkStart w:id="518" w:name="_Hlt68774664"/>
      <w:bookmarkEnd w:id="518"/>
      <w:bookmarkStart w:id="519" w:name="_Hlt69116778"/>
      <w:bookmarkEnd w:id="519"/>
      <w:bookmarkStart w:id="520" w:name="_附件二十四：技术标提问单"/>
      <w:bookmarkEnd w:id="520"/>
      <w:bookmarkStart w:id="521" w:name="_附件十：单项工程费汇总表"/>
      <w:bookmarkEnd w:id="521"/>
      <w:bookmarkStart w:id="522" w:name="_Toc15791"/>
      <w:bookmarkStart w:id="523" w:name="_Toc26795"/>
      <w:bookmarkStart w:id="524" w:name="_Toc39136361"/>
      <w:bookmarkStart w:id="525" w:name="_Toc5872"/>
      <w:bookmarkStart w:id="526" w:name="_Toc28483"/>
      <w:bookmarkStart w:id="527" w:name="_Toc106418843"/>
      <w:bookmarkStart w:id="528" w:name="_Hlt66847557"/>
      <w:bookmarkStart w:id="529" w:name="_Toc466640620"/>
      <w:bookmarkStart w:id="530" w:name="_Toc104711098"/>
      <w:bookmarkStart w:id="531" w:name="_Toc66849200"/>
    </w:p>
    <w:p w14:paraId="753CDA75">
      <w:pPr>
        <w:pStyle w:val="52"/>
        <w:widowControl w:val="0"/>
        <w:wordWrap w:val="0"/>
        <w:adjustRightInd w:val="0"/>
        <w:snapToGrid w:val="0"/>
        <w:rPr>
          <w:rFonts w:asciiTheme="minorEastAsia" w:hAnsiTheme="minorEastAsia" w:eastAsiaTheme="minorEastAsia" w:cstheme="minorEastAsia"/>
          <w:b/>
          <w:snapToGrid w:val="0"/>
          <w:color w:val="auto"/>
          <w:sz w:val="24"/>
          <w:highlight w:val="none"/>
        </w:rPr>
      </w:pPr>
    </w:p>
    <w:p w14:paraId="26616D2B">
      <w:pPr>
        <w:pStyle w:val="52"/>
        <w:widowControl w:val="0"/>
        <w:wordWrap w:val="0"/>
        <w:adjustRightInd w:val="0"/>
        <w:snapToGrid w:val="0"/>
        <w:ind w:firstLine="0"/>
        <w:jc w:val="center"/>
        <w:rPr>
          <w:rFonts w:asciiTheme="minorEastAsia" w:hAnsiTheme="minorEastAsia" w:eastAsiaTheme="minorEastAsia" w:cstheme="minorEastAsia"/>
          <w:b/>
          <w:snapToGrid w:val="0"/>
          <w:color w:val="auto"/>
          <w:sz w:val="48"/>
          <w:szCs w:val="48"/>
          <w:highlight w:val="none"/>
        </w:rPr>
      </w:pPr>
      <w:r>
        <w:rPr>
          <w:rFonts w:hint="eastAsia" w:asciiTheme="minorEastAsia" w:hAnsiTheme="minorEastAsia" w:eastAsiaTheme="minorEastAsia" w:cstheme="minorEastAsia"/>
          <w:b/>
          <w:snapToGrid w:val="0"/>
          <w:color w:val="auto"/>
          <w:sz w:val="48"/>
          <w:szCs w:val="48"/>
          <w:highlight w:val="none"/>
          <w:u w:val="single"/>
        </w:rPr>
        <w:t xml:space="preserve">   （项目名称）   </w:t>
      </w:r>
      <w:r>
        <w:rPr>
          <w:rFonts w:hint="eastAsia" w:asciiTheme="minorEastAsia" w:hAnsiTheme="minorEastAsia" w:eastAsiaTheme="minorEastAsia" w:cstheme="minorEastAsia"/>
          <w:b/>
          <w:snapToGrid w:val="0"/>
          <w:color w:val="auto"/>
          <w:sz w:val="48"/>
          <w:szCs w:val="48"/>
          <w:highlight w:val="none"/>
        </w:rPr>
        <w:t>招标</w:t>
      </w:r>
    </w:p>
    <w:p w14:paraId="7606EDBF">
      <w:pPr>
        <w:pStyle w:val="52"/>
        <w:widowControl w:val="0"/>
        <w:wordWrap w:val="0"/>
        <w:adjustRightInd w:val="0"/>
        <w:snapToGrid w:val="0"/>
        <w:ind w:firstLine="0"/>
        <w:jc w:val="center"/>
        <w:rPr>
          <w:rFonts w:asciiTheme="minorEastAsia" w:hAnsiTheme="minorEastAsia" w:eastAsiaTheme="minorEastAsia" w:cstheme="minorEastAsia"/>
          <w:b/>
          <w:snapToGrid w:val="0"/>
          <w:color w:val="auto"/>
          <w:sz w:val="32"/>
          <w:highlight w:val="none"/>
        </w:rPr>
      </w:pPr>
    </w:p>
    <w:p w14:paraId="0C569779">
      <w:pPr>
        <w:pStyle w:val="52"/>
        <w:widowControl w:val="0"/>
        <w:wordWrap w:val="0"/>
        <w:adjustRightInd w:val="0"/>
        <w:snapToGrid w:val="0"/>
        <w:ind w:firstLine="0"/>
        <w:jc w:val="center"/>
        <w:rPr>
          <w:rFonts w:asciiTheme="minorEastAsia" w:hAnsiTheme="minorEastAsia" w:eastAsiaTheme="minorEastAsia" w:cstheme="minorEastAsia"/>
          <w:b/>
          <w:snapToGrid w:val="0"/>
          <w:color w:val="auto"/>
          <w:sz w:val="32"/>
          <w:highlight w:val="none"/>
        </w:rPr>
      </w:pPr>
    </w:p>
    <w:p w14:paraId="37EE3E71">
      <w:pPr>
        <w:pStyle w:val="52"/>
        <w:widowControl w:val="0"/>
        <w:wordWrap w:val="0"/>
        <w:adjustRightInd w:val="0"/>
        <w:snapToGrid w:val="0"/>
        <w:ind w:firstLine="0"/>
        <w:jc w:val="center"/>
        <w:rPr>
          <w:rFonts w:asciiTheme="minorEastAsia" w:hAnsiTheme="minorEastAsia" w:eastAsiaTheme="minorEastAsia" w:cstheme="minorEastAsia"/>
          <w:b/>
          <w:snapToGrid w:val="0"/>
          <w:color w:val="auto"/>
          <w:sz w:val="32"/>
          <w:highlight w:val="none"/>
        </w:rPr>
      </w:pPr>
    </w:p>
    <w:p w14:paraId="4A0F7CEC">
      <w:pPr>
        <w:pStyle w:val="52"/>
        <w:widowControl w:val="0"/>
        <w:wordWrap w:val="0"/>
        <w:adjustRightInd w:val="0"/>
        <w:snapToGrid w:val="0"/>
        <w:ind w:firstLine="0"/>
        <w:jc w:val="center"/>
        <w:rPr>
          <w:rFonts w:asciiTheme="minorEastAsia" w:hAnsiTheme="minorEastAsia" w:eastAsiaTheme="minorEastAsia" w:cstheme="minorEastAsia"/>
          <w:b/>
          <w:snapToGrid w:val="0"/>
          <w:color w:val="auto"/>
          <w:sz w:val="32"/>
          <w:highlight w:val="none"/>
        </w:rPr>
      </w:pPr>
    </w:p>
    <w:p w14:paraId="3C60CA53">
      <w:pPr>
        <w:pStyle w:val="52"/>
        <w:widowControl w:val="0"/>
        <w:wordWrap w:val="0"/>
        <w:adjustRightInd w:val="0"/>
        <w:snapToGrid w:val="0"/>
        <w:ind w:firstLine="0"/>
        <w:jc w:val="center"/>
        <w:rPr>
          <w:rFonts w:hint="default" w:asciiTheme="minorEastAsia" w:hAnsiTheme="minorEastAsia" w:eastAsiaTheme="minorEastAsia" w:cstheme="minorEastAsia"/>
          <w:b/>
          <w:snapToGrid w:val="0"/>
          <w:color w:val="auto"/>
          <w:sz w:val="72"/>
          <w:highlight w:val="none"/>
          <w:lang w:val="en-US" w:eastAsia="zh-CN"/>
        </w:rPr>
      </w:pPr>
      <w:r>
        <w:rPr>
          <w:rFonts w:hint="eastAsia" w:asciiTheme="minorEastAsia" w:hAnsiTheme="minorEastAsia" w:eastAsiaTheme="minorEastAsia" w:cstheme="minorEastAsia"/>
          <w:b/>
          <w:snapToGrid w:val="0"/>
          <w:color w:val="auto"/>
          <w:sz w:val="72"/>
          <w:highlight w:val="none"/>
        </w:rPr>
        <w:t>投标文件</w:t>
      </w:r>
      <w:r>
        <w:rPr>
          <w:rFonts w:hint="eastAsia" w:asciiTheme="minorEastAsia" w:hAnsiTheme="minorEastAsia" w:eastAsiaTheme="minorEastAsia" w:cstheme="minorEastAsia"/>
          <w:b/>
          <w:snapToGrid w:val="0"/>
          <w:color w:val="auto"/>
          <w:sz w:val="72"/>
          <w:highlight w:val="none"/>
          <w:lang w:val="en-US" w:eastAsia="zh-CN"/>
        </w:rPr>
        <w:t>/定标文件</w:t>
      </w:r>
    </w:p>
    <w:p w14:paraId="76E96434">
      <w:pPr>
        <w:pStyle w:val="52"/>
        <w:widowControl w:val="0"/>
        <w:wordWrap w:val="0"/>
        <w:adjustRightInd w:val="0"/>
        <w:snapToGrid w:val="0"/>
        <w:ind w:firstLine="0"/>
        <w:jc w:val="center"/>
        <w:rPr>
          <w:rFonts w:asciiTheme="minorEastAsia" w:hAnsiTheme="minorEastAsia" w:eastAsiaTheme="minorEastAsia" w:cstheme="minorEastAsia"/>
          <w:b/>
          <w:snapToGrid w:val="0"/>
          <w:color w:val="auto"/>
          <w:sz w:val="32"/>
          <w:highlight w:val="none"/>
        </w:rPr>
      </w:pPr>
    </w:p>
    <w:p w14:paraId="2B4A7237">
      <w:pPr>
        <w:pStyle w:val="52"/>
        <w:widowControl w:val="0"/>
        <w:wordWrap w:val="0"/>
        <w:adjustRightInd w:val="0"/>
        <w:snapToGrid w:val="0"/>
        <w:ind w:firstLine="0"/>
        <w:rPr>
          <w:rFonts w:asciiTheme="minorEastAsia" w:hAnsiTheme="minorEastAsia" w:eastAsiaTheme="minorEastAsia" w:cstheme="minorEastAsia"/>
          <w:b/>
          <w:snapToGrid w:val="0"/>
          <w:color w:val="auto"/>
          <w:sz w:val="32"/>
          <w:highlight w:val="none"/>
        </w:rPr>
      </w:pPr>
    </w:p>
    <w:p w14:paraId="419B93DA">
      <w:pPr>
        <w:pStyle w:val="52"/>
        <w:widowControl w:val="0"/>
        <w:wordWrap w:val="0"/>
        <w:adjustRightInd w:val="0"/>
        <w:snapToGrid w:val="0"/>
        <w:ind w:firstLine="0"/>
        <w:rPr>
          <w:rFonts w:asciiTheme="minorEastAsia" w:hAnsiTheme="minorEastAsia" w:eastAsiaTheme="minorEastAsia" w:cstheme="minorEastAsia"/>
          <w:b/>
          <w:snapToGrid w:val="0"/>
          <w:color w:val="auto"/>
          <w:sz w:val="32"/>
          <w:highlight w:val="none"/>
        </w:rPr>
      </w:pPr>
    </w:p>
    <w:p w14:paraId="0FA07B19">
      <w:pPr>
        <w:pStyle w:val="52"/>
        <w:widowControl w:val="0"/>
        <w:wordWrap w:val="0"/>
        <w:adjustRightInd w:val="0"/>
        <w:snapToGrid w:val="0"/>
        <w:rPr>
          <w:rFonts w:asciiTheme="minorEastAsia" w:hAnsiTheme="minorEastAsia" w:eastAsiaTheme="minorEastAsia" w:cstheme="minorEastAsia"/>
          <w:b/>
          <w:snapToGrid w:val="0"/>
          <w:color w:val="auto"/>
          <w:sz w:val="32"/>
          <w:highlight w:val="none"/>
        </w:rPr>
      </w:pPr>
    </w:p>
    <w:p w14:paraId="7366D3AD">
      <w:pPr>
        <w:pStyle w:val="52"/>
        <w:widowControl w:val="0"/>
        <w:wordWrap w:val="0"/>
        <w:adjustRightInd w:val="0"/>
        <w:snapToGrid w:val="0"/>
        <w:rPr>
          <w:rFonts w:asciiTheme="minorEastAsia" w:hAnsiTheme="minorEastAsia" w:eastAsiaTheme="minorEastAsia" w:cstheme="minorEastAsia"/>
          <w:b/>
          <w:snapToGrid w:val="0"/>
          <w:color w:val="auto"/>
          <w:sz w:val="32"/>
          <w:highlight w:val="none"/>
        </w:rPr>
      </w:pPr>
    </w:p>
    <w:p w14:paraId="642AD9F8">
      <w:pPr>
        <w:pStyle w:val="52"/>
        <w:widowControl w:val="0"/>
        <w:wordWrap w:val="0"/>
        <w:adjustRightInd w:val="0"/>
        <w:snapToGrid w:val="0"/>
        <w:ind w:firstLine="0"/>
        <w:jc w:val="center"/>
        <w:rPr>
          <w:rFonts w:hAnsi="宋体" w:eastAsia="宋体" w:cs="宋体"/>
          <w:bCs/>
          <w:snapToGrid w:val="0"/>
          <w:color w:val="auto"/>
          <w:sz w:val="32"/>
          <w:highlight w:val="none"/>
        </w:rPr>
      </w:pPr>
      <w:r>
        <w:rPr>
          <w:rFonts w:hint="eastAsia" w:hAnsi="宋体" w:eastAsia="宋体" w:cs="宋体"/>
          <w:bCs/>
          <w:snapToGrid w:val="0"/>
          <w:color w:val="auto"/>
          <w:sz w:val="32"/>
          <w:highlight w:val="none"/>
        </w:rPr>
        <w:t>投标人：</w:t>
      </w:r>
      <w:r>
        <w:rPr>
          <w:rFonts w:hint="eastAsia" w:hAnsi="宋体" w:eastAsia="宋体" w:cs="宋体"/>
          <w:bCs/>
          <w:snapToGrid w:val="0"/>
          <w:color w:val="auto"/>
          <w:sz w:val="32"/>
          <w:highlight w:val="none"/>
          <w:u w:val="single"/>
        </w:rPr>
        <w:t xml:space="preserve">                                    </w:t>
      </w:r>
      <w:r>
        <w:rPr>
          <w:rFonts w:hint="eastAsia" w:hAnsi="宋体" w:eastAsia="宋体" w:cs="宋体"/>
          <w:bCs/>
          <w:snapToGrid w:val="0"/>
          <w:color w:val="auto"/>
          <w:sz w:val="32"/>
          <w:highlight w:val="none"/>
        </w:rPr>
        <w:t>（盖单位章）</w:t>
      </w:r>
    </w:p>
    <w:p w14:paraId="595282D3">
      <w:pPr>
        <w:pStyle w:val="52"/>
        <w:widowControl w:val="0"/>
        <w:wordWrap w:val="0"/>
        <w:adjustRightInd w:val="0"/>
        <w:snapToGrid w:val="0"/>
        <w:ind w:firstLine="0"/>
        <w:jc w:val="center"/>
        <w:rPr>
          <w:rFonts w:hAnsi="宋体" w:eastAsia="宋体" w:cs="宋体"/>
          <w:bCs/>
          <w:snapToGrid w:val="0"/>
          <w:color w:val="auto"/>
          <w:sz w:val="32"/>
          <w:highlight w:val="none"/>
        </w:rPr>
      </w:pPr>
    </w:p>
    <w:p w14:paraId="27F3DF38">
      <w:pPr>
        <w:pStyle w:val="52"/>
        <w:widowControl w:val="0"/>
        <w:wordWrap w:val="0"/>
        <w:adjustRightInd w:val="0"/>
        <w:snapToGrid w:val="0"/>
        <w:ind w:firstLine="0"/>
        <w:jc w:val="center"/>
        <w:rPr>
          <w:rFonts w:hAnsi="宋体" w:eastAsia="宋体" w:cs="宋体"/>
          <w:bCs/>
          <w:snapToGrid w:val="0"/>
          <w:color w:val="auto"/>
          <w:sz w:val="32"/>
          <w:highlight w:val="none"/>
        </w:rPr>
      </w:pPr>
    </w:p>
    <w:p w14:paraId="1301FF1C">
      <w:pPr>
        <w:pStyle w:val="52"/>
        <w:widowControl w:val="0"/>
        <w:wordWrap w:val="0"/>
        <w:adjustRightInd w:val="0"/>
        <w:snapToGrid w:val="0"/>
        <w:ind w:firstLine="0"/>
        <w:jc w:val="center"/>
        <w:rPr>
          <w:rFonts w:hAnsi="宋体" w:eastAsia="宋体" w:cs="宋体"/>
          <w:bCs/>
          <w:snapToGrid w:val="0"/>
          <w:color w:val="auto"/>
          <w:sz w:val="32"/>
          <w:highlight w:val="none"/>
        </w:rPr>
      </w:pPr>
    </w:p>
    <w:p w14:paraId="4D7514B7">
      <w:pPr>
        <w:pStyle w:val="52"/>
        <w:widowControl w:val="0"/>
        <w:wordWrap w:val="0"/>
        <w:adjustRightInd w:val="0"/>
        <w:snapToGrid w:val="0"/>
        <w:ind w:firstLine="0"/>
        <w:jc w:val="center"/>
        <w:rPr>
          <w:rFonts w:hAnsi="宋体" w:eastAsia="宋体" w:cs="宋体"/>
          <w:bCs/>
          <w:snapToGrid w:val="0"/>
          <w:color w:val="auto"/>
          <w:sz w:val="32"/>
          <w:highlight w:val="none"/>
        </w:rPr>
      </w:pPr>
      <w:r>
        <w:rPr>
          <w:rFonts w:hint="eastAsia" w:hAnsi="宋体" w:eastAsia="宋体" w:cs="宋体"/>
          <w:bCs/>
          <w:snapToGrid w:val="0"/>
          <w:color w:val="auto"/>
          <w:sz w:val="32"/>
          <w:highlight w:val="none"/>
        </w:rPr>
        <w:t>法定代表人或其委托代理人：</w:t>
      </w:r>
      <w:r>
        <w:rPr>
          <w:rFonts w:hint="eastAsia" w:hAnsi="宋体" w:eastAsia="宋体" w:cs="宋体"/>
          <w:bCs/>
          <w:snapToGrid w:val="0"/>
          <w:color w:val="auto"/>
          <w:sz w:val="32"/>
          <w:highlight w:val="none"/>
          <w:u w:val="single"/>
        </w:rPr>
        <w:t xml:space="preserve">                 </w:t>
      </w:r>
      <w:r>
        <w:rPr>
          <w:rFonts w:hint="eastAsia" w:hAnsi="宋体" w:eastAsia="宋体" w:cs="宋体"/>
          <w:bCs/>
          <w:snapToGrid w:val="0"/>
          <w:color w:val="auto"/>
          <w:sz w:val="32"/>
          <w:highlight w:val="none"/>
        </w:rPr>
        <w:t>（签字或盖章）</w:t>
      </w:r>
    </w:p>
    <w:p w14:paraId="44EE4B27">
      <w:pPr>
        <w:pStyle w:val="52"/>
        <w:widowControl w:val="0"/>
        <w:wordWrap w:val="0"/>
        <w:adjustRightInd w:val="0"/>
        <w:snapToGrid w:val="0"/>
        <w:ind w:firstLine="0"/>
        <w:jc w:val="center"/>
        <w:rPr>
          <w:rFonts w:hAnsi="宋体" w:eastAsia="宋体" w:cs="宋体"/>
          <w:bCs/>
          <w:snapToGrid w:val="0"/>
          <w:color w:val="auto"/>
          <w:sz w:val="32"/>
          <w:highlight w:val="none"/>
        </w:rPr>
      </w:pPr>
    </w:p>
    <w:p w14:paraId="2A9A0A71">
      <w:pPr>
        <w:pStyle w:val="52"/>
        <w:widowControl w:val="0"/>
        <w:wordWrap w:val="0"/>
        <w:adjustRightInd w:val="0"/>
        <w:snapToGrid w:val="0"/>
        <w:ind w:firstLine="0"/>
        <w:jc w:val="center"/>
        <w:rPr>
          <w:rFonts w:hAnsi="宋体" w:eastAsia="宋体" w:cs="宋体"/>
          <w:bCs/>
          <w:snapToGrid w:val="0"/>
          <w:color w:val="auto"/>
          <w:sz w:val="32"/>
          <w:highlight w:val="none"/>
          <w:u w:val="single"/>
        </w:rPr>
      </w:pPr>
    </w:p>
    <w:p w14:paraId="574E98A2">
      <w:pPr>
        <w:pStyle w:val="52"/>
        <w:widowControl w:val="0"/>
        <w:wordWrap w:val="0"/>
        <w:adjustRightInd w:val="0"/>
        <w:snapToGrid w:val="0"/>
        <w:ind w:firstLine="0"/>
        <w:jc w:val="center"/>
        <w:rPr>
          <w:rFonts w:hAnsi="宋体" w:eastAsia="宋体" w:cs="宋体"/>
          <w:b/>
          <w:snapToGrid w:val="0"/>
          <w:color w:val="auto"/>
          <w:highlight w:val="none"/>
        </w:rPr>
      </w:pPr>
      <w:r>
        <w:rPr>
          <w:rFonts w:hint="eastAsia" w:hAnsi="宋体" w:eastAsia="宋体" w:cs="宋体"/>
          <w:bCs/>
          <w:snapToGrid w:val="0"/>
          <w:color w:val="auto"/>
          <w:sz w:val="32"/>
          <w:highlight w:val="none"/>
          <w:u w:val="single"/>
        </w:rPr>
        <w:t xml:space="preserve">         </w:t>
      </w:r>
      <w:r>
        <w:rPr>
          <w:rFonts w:hint="eastAsia" w:hAnsi="宋体" w:eastAsia="宋体" w:cs="宋体"/>
          <w:bCs/>
          <w:snapToGrid w:val="0"/>
          <w:color w:val="auto"/>
          <w:sz w:val="32"/>
          <w:highlight w:val="none"/>
        </w:rPr>
        <w:t>年</w:t>
      </w:r>
      <w:r>
        <w:rPr>
          <w:rFonts w:hint="eastAsia" w:hAnsi="宋体" w:eastAsia="宋体" w:cs="宋体"/>
          <w:bCs/>
          <w:snapToGrid w:val="0"/>
          <w:color w:val="auto"/>
          <w:sz w:val="32"/>
          <w:highlight w:val="none"/>
          <w:u w:val="single"/>
        </w:rPr>
        <w:t xml:space="preserve">      </w:t>
      </w:r>
      <w:r>
        <w:rPr>
          <w:rFonts w:hint="eastAsia" w:hAnsi="宋体" w:eastAsia="宋体" w:cs="宋体"/>
          <w:bCs/>
          <w:snapToGrid w:val="0"/>
          <w:color w:val="auto"/>
          <w:sz w:val="32"/>
          <w:highlight w:val="none"/>
        </w:rPr>
        <w:t>月</w:t>
      </w:r>
      <w:r>
        <w:rPr>
          <w:rFonts w:hint="eastAsia" w:hAnsi="宋体" w:eastAsia="宋体" w:cs="宋体"/>
          <w:bCs/>
          <w:snapToGrid w:val="0"/>
          <w:color w:val="auto"/>
          <w:sz w:val="32"/>
          <w:highlight w:val="none"/>
          <w:u w:val="single"/>
        </w:rPr>
        <w:t xml:space="preserve">      </w:t>
      </w:r>
      <w:r>
        <w:rPr>
          <w:rFonts w:hint="eastAsia" w:hAnsi="宋体" w:eastAsia="宋体" w:cs="宋体"/>
          <w:bCs/>
          <w:snapToGrid w:val="0"/>
          <w:color w:val="auto"/>
          <w:sz w:val="32"/>
          <w:highlight w:val="none"/>
        </w:rPr>
        <w:t>日</w:t>
      </w:r>
    </w:p>
    <w:p w14:paraId="2CD8A661">
      <w:pPr>
        <w:spacing w:before="120"/>
        <w:rPr>
          <w:rFonts w:hint="default" w:asciiTheme="minorEastAsia" w:hAnsiTheme="minorEastAsia" w:eastAsiaTheme="minorEastAsia" w:cstheme="minorEastAsia"/>
          <w:b/>
          <w:bCs/>
          <w:color w:val="auto"/>
          <w:szCs w:val="24"/>
          <w:highlight w:val="none"/>
        </w:rPr>
      </w:pPr>
    </w:p>
    <w:p w14:paraId="642EE229">
      <w:pPr>
        <w:spacing w:before="120"/>
        <w:rPr>
          <w:rFonts w:hint="default" w:asciiTheme="minorEastAsia" w:hAnsiTheme="minorEastAsia" w:eastAsiaTheme="minorEastAsia" w:cstheme="minorEastAsia"/>
          <w:b/>
          <w:bCs/>
          <w:color w:val="auto"/>
          <w:szCs w:val="24"/>
          <w:highlight w:val="none"/>
        </w:rPr>
      </w:pPr>
    </w:p>
    <w:p w14:paraId="1FEDB02D">
      <w:pPr>
        <w:spacing w:before="120"/>
        <w:rPr>
          <w:rFonts w:hint="default" w:asciiTheme="minorEastAsia" w:hAnsiTheme="minorEastAsia" w:eastAsiaTheme="minorEastAsia" w:cstheme="minorEastAsia"/>
          <w:b/>
          <w:bCs/>
          <w:color w:val="auto"/>
          <w:szCs w:val="24"/>
          <w:highlight w:val="none"/>
        </w:rPr>
      </w:pPr>
    </w:p>
    <w:p w14:paraId="2BB13E0D">
      <w:pPr>
        <w:rPr>
          <w:rFonts w:hint="default" w:asciiTheme="minorEastAsia" w:hAnsiTheme="minorEastAsia" w:eastAsiaTheme="minorEastAsia" w:cstheme="minorEastAsia"/>
          <w:b/>
          <w:bCs/>
          <w:color w:val="auto"/>
          <w:szCs w:val="24"/>
          <w:highlight w:val="none"/>
        </w:rPr>
      </w:pPr>
      <w:r>
        <w:rPr>
          <w:rFonts w:hint="default" w:asciiTheme="minorEastAsia" w:hAnsiTheme="minorEastAsia" w:eastAsiaTheme="minorEastAsia" w:cstheme="minorEastAsia"/>
          <w:b/>
          <w:bCs/>
          <w:color w:val="auto"/>
          <w:szCs w:val="24"/>
          <w:highlight w:val="none"/>
        </w:rPr>
        <w:br w:type="page"/>
      </w:r>
    </w:p>
    <w:p w14:paraId="6684B685">
      <w:pPr>
        <w:pStyle w:val="5"/>
        <w:rPr>
          <w:rFonts w:hint="default"/>
          <w:color w:val="auto"/>
          <w:highlight w:val="none"/>
        </w:rPr>
      </w:pPr>
    </w:p>
    <w:p w14:paraId="54929F3A">
      <w:pPr>
        <w:pStyle w:val="3"/>
        <w:spacing w:before="120"/>
        <w:rPr>
          <w:rFonts w:hint="default" w:asciiTheme="minorEastAsia" w:hAnsiTheme="minorEastAsia" w:eastAsiaTheme="minorEastAsia" w:cstheme="minorEastAsia"/>
          <w:b/>
          <w:bCs/>
          <w:color w:val="auto"/>
          <w:szCs w:val="24"/>
          <w:highlight w:val="none"/>
        </w:rPr>
      </w:pPr>
      <w:bookmarkStart w:id="532" w:name="_Toc19303"/>
      <w:r>
        <w:rPr>
          <w:rFonts w:asciiTheme="minorEastAsia" w:hAnsiTheme="minorEastAsia" w:eastAsiaTheme="minorEastAsia" w:cstheme="minorEastAsia"/>
          <w:b/>
          <w:bCs/>
          <w:color w:val="auto"/>
          <w:szCs w:val="24"/>
          <w:highlight w:val="none"/>
        </w:rPr>
        <w:t xml:space="preserve">格式二 </w:t>
      </w:r>
      <w:bookmarkEnd w:id="522"/>
      <w:bookmarkEnd w:id="523"/>
      <w:bookmarkEnd w:id="524"/>
      <w:r>
        <w:rPr>
          <w:rFonts w:asciiTheme="minorEastAsia" w:hAnsiTheme="minorEastAsia" w:eastAsiaTheme="minorEastAsia" w:cstheme="minorEastAsia"/>
          <w:b/>
          <w:bCs/>
          <w:color w:val="auto"/>
          <w:szCs w:val="24"/>
          <w:highlight w:val="none"/>
        </w:rPr>
        <w:t>《投标函》及《工程项目总价表》</w:t>
      </w:r>
      <w:bookmarkEnd w:id="525"/>
      <w:bookmarkEnd w:id="526"/>
      <w:bookmarkEnd w:id="532"/>
    </w:p>
    <w:p w14:paraId="2B17F3B4">
      <w:pPr>
        <w:wordWrap w:val="0"/>
        <w:adjustRightInd w:val="0"/>
        <w:snapToGrid w:val="0"/>
        <w:spacing w:line="440" w:lineRule="exact"/>
        <w:ind w:firstLine="570"/>
        <w:rPr>
          <w:rFonts w:hint="default" w:asciiTheme="minorEastAsia" w:hAnsiTheme="minorEastAsia" w:eastAsiaTheme="minorEastAsia" w:cstheme="minorEastAsia"/>
          <w:color w:val="auto"/>
          <w:szCs w:val="22"/>
          <w:highlight w:val="none"/>
        </w:rPr>
      </w:pPr>
      <w:bookmarkStart w:id="533" w:name="_Toc39136362"/>
      <w:bookmarkStart w:id="534" w:name="_Toc18294"/>
      <w:bookmarkStart w:id="535" w:name="_Toc10604"/>
      <w:bookmarkStart w:id="536" w:name="_Toc29375"/>
      <w:bookmarkStart w:id="537" w:name="_Toc27121"/>
      <w:bookmarkStart w:id="538" w:name="_Toc21577"/>
      <w:bookmarkStart w:id="539" w:name="_Toc9280"/>
      <w:bookmarkStart w:id="540" w:name="_Toc28636"/>
      <w:bookmarkStart w:id="541" w:name="_Toc8657"/>
    </w:p>
    <w:p w14:paraId="6710D312">
      <w:pPr>
        <w:wordWrap w:val="0"/>
        <w:adjustRightInd w:val="0"/>
        <w:snapToGrid w:val="0"/>
        <w:spacing w:line="440" w:lineRule="exact"/>
        <w:jc w:val="center"/>
        <w:rPr>
          <w:rFonts w:hint="default" w:asciiTheme="minorEastAsia" w:hAnsiTheme="minorEastAsia" w:eastAsiaTheme="minorEastAsia" w:cstheme="minorEastAsia"/>
          <w:b/>
          <w:bCs/>
          <w:color w:val="auto"/>
          <w:szCs w:val="22"/>
          <w:highlight w:val="none"/>
        </w:rPr>
      </w:pPr>
      <w:r>
        <w:rPr>
          <w:rFonts w:asciiTheme="minorEastAsia" w:hAnsiTheme="minorEastAsia" w:eastAsiaTheme="minorEastAsia" w:cstheme="minorEastAsia"/>
          <w:b/>
          <w:bCs/>
          <w:color w:val="auto"/>
          <w:szCs w:val="22"/>
          <w:highlight w:val="none"/>
        </w:rPr>
        <w:t>投  标  函</w:t>
      </w:r>
      <w:bookmarkEnd w:id="533"/>
      <w:bookmarkEnd w:id="534"/>
      <w:bookmarkEnd w:id="535"/>
      <w:bookmarkEnd w:id="536"/>
      <w:bookmarkEnd w:id="537"/>
      <w:bookmarkEnd w:id="538"/>
      <w:bookmarkEnd w:id="539"/>
      <w:bookmarkEnd w:id="540"/>
      <w:bookmarkEnd w:id="541"/>
    </w:p>
    <w:p w14:paraId="6238AABE">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p>
    <w:p w14:paraId="39505D5A">
      <w:pPr>
        <w:wordWrap w:val="0"/>
        <w:adjustRightInd w:val="0"/>
        <w:snapToGrid w:val="0"/>
        <w:spacing w:line="440" w:lineRule="exact"/>
        <w:rPr>
          <w:rFonts w:hint="default"/>
          <w:color w:val="auto"/>
          <w:sz w:val="21"/>
          <w:szCs w:val="21"/>
          <w:highlight w:val="none"/>
        </w:rPr>
      </w:pPr>
      <w:r>
        <w:rPr>
          <w:rFonts w:asciiTheme="minorEastAsia" w:hAnsiTheme="minorEastAsia" w:eastAsiaTheme="minorEastAsia" w:cstheme="minorEastAsia"/>
          <w:snapToGrid w:val="0"/>
          <w:color w:val="auto"/>
          <w:kern w:val="0"/>
          <w:sz w:val="21"/>
          <w:szCs w:val="21"/>
          <w:highlight w:val="none"/>
        </w:rPr>
        <w:t>致：</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（招标人名称）</w:t>
      </w:r>
    </w:p>
    <w:p w14:paraId="0336B6D7">
      <w:pPr>
        <w:wordWrap w:val="0"/>
        <w:adjustRightInd w:val="0"/>
        <w:snapToGrid w:val="0"/>
        <w:spacing w:line="440" w:lineRule="exact"/>
        <w:ind w:firstLine="57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1.在研</w:t>
      </w:r>
      <w:r>
        <w:rPr>
          <w:rFonts w:asciiTheme="minorEastAsia" w:hAnsiTheme="minorEastAsia" w:eastAsiaTheme="minorEastAsia" w:cstheme="minorEastAsia"/>
          <w:color w:val="auto"/>
          <w:sz w:val="21"/>
          <w:szCs w:val="21"/>
          <w:highlight w:val="none"/>
          <w:u w:val="single"/>
        </w:rPr>
        <w:t xml:space="preserve">究        （项目名称）        </w:t>
      </w:r>
      <w:r>
        <w:rPr>
          <w:rFonts w:asciiTheme="minorEastAsia" w:hAnsiTheme="minorEastAsia" w:eastAsiaTheme="minorEastAsia" w:cstheme="minorEastAsia"/>
          <w:color w:val="auto"/>
          <w:sz w:val="21"/>
          <w:szCs w:val="21"/>
          <w:highlight w:val="none"/>
        </w:rPr>
        <w:t>招标文件和其它相关文件，并对现场进行深入了解后，我方（即文末签名人），考虑了本企业的实力和特点，愿意接受招标文件的全部内容和条件，兹以人民币（大写）：</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小写：（¥</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）的投标总价竞投本项目。</w:t>
      </w:r>
    </w:p>
    <w:p w14:paraId="491D9339">
      <w:pPr>
        <w:wordWrap w:val="0"/>
        <w:adjustRightInd w:val="0"/>
        <w:snapToGrid w:val="0"/>
        <w:spacing w:line="440" w:lineRule="exact"/>
        <w:ind w:firstLine="57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2. </w:t>
      </w:r>
      <w:r>
        <w:rPr>
          <w:rFonts w:asciiTheme="minorEastAsia" w:hAnsiTheme="minorEastAsia" w:eastAsiaTheme="minorEastAsia" w:cstheme="minorEastAsia"/>
          <w:color w:val="auto"/>
          <w:sz w:val="21"/>
          <w:szCs w:val="21"/>
          <w:highlight w:val="none"/>
        </w:rPr>
        <w:t>如果我方中标，我方保证按照合同约定的开工日期开始本项目的设计、施工，本工程设计、施工工期为</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个日历天（其中：设计工期为</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日历天，施工工期为</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日历天）内竣工，并确保工程质量达到</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标准和维修其中的任何缺陷</w:t>
      </w:r>
      <w:r>
        <w:rPr>
          <w:rFonts w:asciiTheme="minorEastAsia" w:hAnsiTheme="minorEastAsia" w:eastAsiaTheme="minorEastAsia" w:cstheme="minorEastAsia"/>
          <w:snapToGrid w:val="0"/>
          <w:color w:val="auto"/>
          <w:kern w:val="0"/>
          <w:sz w:val="21"/>
          <w:szCs w:val="21"/>
          <w:highlight w:val="none"/>
        </w:rPr>
        <w:t>。</w:t>
      </w:r>
    </w:p>
    <w:p w14:paraId="64FC03A5">
      <w:pPr>
        <w:wordWrap w:val="0"/>
        <w:adjustRightInd w:val="0"/>
        <w:snapToGrid w:val="0"/>
        <w:spacing w:line="440" w:lineRule="exact"/>
        <w:ind w:firstLine="57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3. 本投标函在你方接收我方递交的投标文件之日起、到招标文件规定的投标有效期期满前对我方具有约束力。我方随时准备接受你方发出的中标通知书。</w:t>
      </w:r>
    </w:p>
    <w:p w14:paraId="195498F2">
      <w:pPr>
        <w:wordWrap w:val="0"/>
        <w:adjustRightInd w:val="0"/>
        <w:snapToGrid w:val="0"/>
        <w:spacing w:line="440" w:lineRule="exact"/>
        <w:ind w:firstLine="57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4．我方在此声明，我方不存在本工程招标文件所列示的“禁止投标条款”所列出的任何一种情形，并愿意承担因我方就此弄虚作假所引起的一切法律后果。</w:t>
      </w:r>
    </w:p>
    <w:p w14:paraId="668B3E20">
      <w:pPr>
        <w:wordWrap w:val="0"/>
        <w:adjustRightInd w:val="0"/>
        <w:snapToGrid w:val="0"/>
        <w:spacing w:line="440" w:lineRule="exact"/>
        <w:ind w:firstLine="57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5．我方在此承诺，所递交投标文件的全部内容均为真实、有效、准确的，并愿意承担因我方就此弄虚作假所引起的一切法律后果，同时理解和同意有可能被要求提供更多的资料。</w:t>
      </w:r>
    </w:p>
    <w:p w14:paraId="092BE797">
      <w:pPr>
        <w:wordWrap w:val="0"/>
        <w:adjustRightInd w:val="0"/>
        <w:snapToGrid w:val="0"/>
        <w:spacing w:line="440" w:lineRule="exact"/>
        <w:ind w:firstLine="57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6. 我方理解你方不一定要接纳收到的最低投标总价或任何投标总价的投标人中标，也不要求你方解释我方是否中标的原因。</w:t>
      </w:r>
    </w:p>
    <w:p w14:paraId="16FC5FAE">
      <w:pPr>
        <w:wordWrap w:val="0"/>
        <w:adjustRightInd w:val="0"/>
        <w:snapToGrid w:val="0"/>
        <w:spacing w:line="440" w:lineRule="exact"/>
        <w:ind w:firstLine="57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w:t>
      </w:r>
    </w:p>
    <w:p w14:paraId="10564728">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投标人：</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（盖单位章）</w:t>
      </w:r>
    </w:p>
    <w:p w14:paraId="6E5A772E">
      <w:pPr>
        <w:wordWrap w:val="0"/>
        <w:adjustRightInd w:val="0"/>
        <w:snapToGrid w:val="0"/>
        <w:spacing w:line="440" w:lineRule="exact"/>
        <w:ind w:firstLine="420" w:firstLineChars="200"/>
        <w:jc w:val="righ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法定代表人或其委托代理人：</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（签字或盖章）</w:t>
      </w:r>
    </w:p>
    <w:p w14:paraId="6DEF82EA">
      <w:pPr>
        <w:wordWrap w:val="0"/>
        <w:adjustRightInd w:val="0"/>
        <w:snapToGrid w:val="0"/>
        <w:spacing w:line="440" w:lineRule="exact"/>
        <w:ind w:firstLine="3570" w:firstLineChars="1700"/>
        <w:jc w:val="righ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 w:val="21"/>
          <w:szCs w:val="21"/>
          <w:highlight w:val="none"/>
        </w:rPr>
        <w:t xml:space="preserve">       </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年</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月</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日</w:t>
      </w:r>
    </w:p>
    <w:p w14:paraId="79724D3E">
      <w:pPr>
        <w:jc w:val="lef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br w:type="page"/>
      </w:r>
    </w:p>
    <w:p w14:paraId="35AC2EE7">
      <w:pPr>
        <w:jc w:val="left"/>
        <w:rPr>
          <w:rFonts w:hint="default" w:asciiTheme="minorEastAsia" w:hAnsiTheme="minorEastAsia" w:eastAsiaTheme="minorEastAsia" w:cstheme="minorEastAsia"/>
          <w:snapToGrid w:val="0"/>
          <w:color w:val="auto"/>
          <w:kern w:val="0"/>
          <w:szCs w:val="24"/>
          <w:highlight w:val="none"/>
        </w:rPr>
      </w:pPr>
    </w:p>
    <w:p w14:paraId="2D8BE9E9">
      <w:pPr>
        <w:wordWrap w:val="0"/>
        <w:adjustRightInd w:val="0"/>
        <w:snapToGrid w:val="0"/>
        <w:spacing w:line="440" w:lineRule="exact"/>
        <w:jc w:val="center"/>
        <w:rPr>
          <w:rFonts w:hint="default" w:asciiTheme="minorEastAsia" w:hAnsiTheme="minorEastAsia" w:eastAsiaTheme="minorEastAsia" w:cstheme="minorEastAsia"/>
          <w:b/>
          <w:bCs/>
          <w:color w:val="auto"/>
          <w:szCs w:val="22"/>
          <w:highlight w:val="none"/>
        </w:rPr>
      </w:pPr>
      <w:bookmarkStart w:id="542" w:name="_Toc25829"/>
      <w:bookmarkStart w:id="543" w:name="_Toc20338"/>
      <w:bookmarkStart w:id="544" w:name="_Toc453"/>
      <w:bookmarkStart w:id="545" w:name="_Toc25629"/>
      <w:bookmarkStart w:id="546" w:name="_Toc5052"/>
      <w:bookmarkStart w:id="547" w:name="_Toc39136364"/>
      <w:bookmarkStart w:id="548" w:name="_Toc7915"/>
      <w:r>
        <w:rPr>
          <w:rFonts w:asciiTheme="minorEastAsia" w:hAnsiTheme="minorEastAsia" w:eastAsiaTheme="minorEastAsia" w:cstheme="minorEastAsia"/>
          <w:b/>
          <w:bCs/>
          <w:color w:val="auto"/>
          <w:szCs w:val="22"/>
          <w:highlight w:val="none"/>
        </w:rPr>
        <w:t>工程项目总价表</w:t>
      </w:r>
      <w:bookmarkEnd w:id="542"/>
      <w:bookmarkEnd w:id="543"/>
      <w:bookmarkEnd w:id="544"/>
      <w:bookmarkEnd w:id="545"/>
      <w:bookmarkEnd w:id="546"/>
    </w:p>
    <w:p w14:paraId="1DF6E24D">
      <w:pPr>
        <w:spacing w:line="360" w:lineRule="auto"/>
        <w:ind w:firstLine="480" w:firstLineChars="200"/>
        <w:rPr>
          <w:rFonts w:hint="default" w:hAnsi="宋体" w:eastAsia="宋体" w:cs="宋体"/>
          <w:color w:val="auto"/>
          <w:highlight w:val="none"/>
        </w:rPr>
      </w:pPr>
    </w:p>
    <w:tbl>
      <w:tblPr>
        <w:tblStyle w:val="24"/>
        <w:tblW w:w="9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4"/>
        <w:gridCol w:w="1225"/>
        <w:gridCol w:w="1617"/>
        <w:gridCol w:w="2291"/>
        <w:gridCol w:w="1105"/>
        <w:gridCol w:w="2846"/>
      </w:tblGrid>
      <w:tr w14:paraId="16591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474" w:type="dxa"/>
            <w:vAlign w:val="center"/>
          </w:tcPr>
          <w:p w14:paraId="506F23EA">
            <w:pPr>
              <w:widowControl/>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序号</w:t>
            </w:r>
          </w:p>
        </w:tc>
        <w:tc>
          <w:tcPr>
            <w:tcW w:w="1225" w:type="dxa"/>
            <w:vAlign w:val="center"/>
          </w:tcPr>
          <w:p w14:paraId="1687C4C0">
            <w:pPr>
              <w:widowControl/>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项目名称</w:t>
            </w:r>
          </w:p>
        </w:tc>
        <w:tc>
          <w:tcPr>
            <w:tcW w:w="1617" w:type="dxa"/>
            <w:vAlign w:val="center"/>
          </w:tcPr>
          <w:p w14:paraId="51F92A89">
            <w:pPr>
              <w:widowControl/>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报价基数（元）</w:t>
            </w:r>
          </w:p>
        </w:tc>
        <w:tc>
          <w:tcPr>
            <w:tcW w:w="2291" w:type="dxa"/>
            <w:vAlign w:val="center"/>
          </w:tcPr>
          <w:p w14:paraId="60405262">
            <w:pPr>
              <w:widowControl/>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1"/>
                <w:sz w:val="21"/>
                <w:szCs w:val="21"/>
                <w:highlight w:val="none"/>
                <w:lang w:val="zh-CN"/>
              </w:rPr>
              <w:t>投标费率</w:t>
            </w:r>
            <w:r>
              <w:rPr>
                <w:rFonts w:asciiTheme="minorEastAsia" w:hAnsiTheme="minorEastAsia" w:eastAsiaTheme="minorEastAsia" w:cstheme="minorEastAsia"/>
                <w:color w:val="auto"/>
                <w:kern w:val="1"/>
                <w:sz w:val="21"/>
                <w:szCs w:val="21"/>
                <w:highlight w:val="none"/>
              </w:rPr>
              <w:t>/</w:t>
            </w:r>
            <w:r>
              <w:rPr>
                <w:rFonts w:asciiTheme="minorEastAsia" w:hAnsiTheme="minorEastAsia" w:eastAsiaTheme="minorEastAsia" w:cstheme="minorEastAsia"/>
                <w:color w:val="auto"/>
                <w:kern w:val="0"/>
                <w:sz w:val="21"/>
                <w:szCs w:val="21"/>
                <w:highlight w:val="none"/>
              </w:rPr>
              <w:t>投标下浮率</w:t>
            </w:r>
          </w:p>
        </w:tc>
        <w:tc>
          <w:tcPr>
            <w:tcW w:w="1105" w:type="dxa"/>
            <w:vAlign w:val="center"/>
          </w:tcPr>
          <w:p w14:paraId="0FBEA992">
            <w:pPr>
              <w:widowControl/>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投标报价（元）</w:t>
            </w:r>
          </w:p>
        </w:tc>
        <w:tc>
          <w:tcPr>
            <w:tcW w:w="2846" w:type="dxa"/>
            <w:vAlign w:val="center"/>
          </w:tcPr>
          <w:p w14:paraId="17DC01EF">
            <w:pPr>
              <w:widowControl/>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备注</w:t>
            </w:r>
          </w:p>
        </w:tc>
      </w:tr>
      <w:tr w14:paraId="67341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474" w:type="dxa"/>
            <w:vAlign w:val="center"/>
          </w:tcPr>
          <w:p w14:paraId="1AF61C0B">
            <w:pPr>
              <w:widowControl/>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1</w:t>
            </w:r>
          </w:p>
        </w:tc>
        <w:tc>
          <w:tcPr>
            <w:tcW w:w="1225" w:type="dxa"/>
            <w:vAlign w:val="center"/>
          </w:tcPr>
          <w:p w14:paraId="7BFD34FE">
            <w:pPr>
              <w:widowControl/>
              <w:ind w:right="-122" w:rightChars="-51"/>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设计费</w:t>
            </w:r>
          </w:p>
        </w:tc>
        <w:tc>
          <w:tcPr>
            <w:tcW w:w="1617" w:type="dxa"/>
            <w:vAlign w:val="center"/>
          </w:tcPr>
          <w:p w14:paraId="00AEE77E">
            <w:pPr>
              <w:widowControl/>
              <w:jc w:val="center"/>
              <w:rPr>
                <w:rFonts w:hint="default" w:asciiTheme="minorEastAsia" w:hAnsiTheme="minorEastAsia" w:eastAsiaTheme="minorEastAsia" w:cstheme="minorEastAsia"/>
                <w:color w:val="auto"/>
                <w:sz w:val="21"/>
                <w:szCs w:val="21"/>
                <w:highlight w:val="none"/>
              </w:rPr>
            </w:pPr>
          </w:p>
        </w:tc>
        <w:tc>
          <w:tcPr>
            <w:tcW w:w="2291" w:type="dxa"/>
            <w:vAlign w:val="center"/>
          </w:tcPr>
          <w:p w14:paraId="0FCD2D5F">
            <w:pPr>
              <w:widowControl/>
              <w:jc w:val="center"/>
              <w:rPr>
                <w:rFonts w:hint="default" w:asciiTheme="minorEastAsia" w:hAnsiTheme="minorEastAsia" w:eastAsiaTheme="minorEastAsia" w:cstheme="minorEastAsia"/>
                <w:color w:val="auto"/>
                <w:kern w:val="1"/>
                <w:sz w:val="21"/>
                <w:szCs w:val="21"/>
                <w:highlight w:val="none"/>
                <w:lang w:val="zh-CN"/>
              </w:rPr>
            </w:pPr>
            <w:r>
              <w:rPr>
                <w:rFonts w:asciiTheme="minorEastAsia" w:hAnsiTheme="minorEastAsia" w:eastAsiaTheme="minorEastAsia" w:cstheme="minorEastAsia"/>
                <w:color w:val="auto"/>
                <w:kern w:val="1"/>
                <w:sz w:val="21"/>
                <w:szCs w:val="21"/>
                <w:highlight w:val="none"/>
                <w:lang w:val="zh-CN"/>
              </w:rPr>
              <w:t>投标费</w:t>
            </w:r>
            <w:r>
              <w:rPr>
                <w:rFonts w:asciiTheme="minorEastAsia" w:hAnsiTheme="minorEastAsia" w:eastAsiaTheme="minorEastAsia" w:cstheme="minorEastAsia"/>
                <w:color w:val="auto"/>
                <w:kern w:val="1"/>
                <w:sz w:val="21"/>
                <w:szCs w:val="21"/>
                <w:highlight w:val="none"/>
              </w:rPr>
              <w:t>率</w:t>
            </w:r>
            <w:r>
              <w:rPr>
                <w:rFonts w:asciiTheme="minorEastAsia" w:hAnsiTheme="minorEastAsia" w:eastAsiaTheme="minorEastAsia" w:cstheme="minorEastAsia"/>
                <w:color w:val="auto"/>
                <w:kern w:val="1"/>
                <w:sz w:val="21"/>
                <w:szCs w:val="21"/>
                <w:highlight w:val="none"/>
                <w:u w:val="single"/>
              </w:rPr>
              <w:t xml:space="preserve">  </w:t>
            </w:r>
            <w:r>
              <w:rPr>
                <w:rFonts w:asciiTheme="minorEastAsia" w:hAnsiTheme="minorEastAsia" w:eastAsiaTheme="minorEastAsia" w:cstheme="minorEastAsia"/>
                <w:color w:val="auto"/>
                <w:kern w:val="0"/>
                <w:sz w:val="21"/>
                <w:szCs w:val="21"/>
                <w:highlight w:val="none"/>
                <w:u w:val="single"/>
              </w:rPr>
              <w:t xml:space="preserve"> </w:t>
            </w:r>
            <w:r>
              <w:rPr>
                <w:rFonts w:asciiTheme="minorEastAsia" w:hAnsiTheme="minorEastAsia" w:eastAsiaTheme="minorEastAsia" w:cstheme="minorEastAsia"/>
                <w:color w:val="auto"/>
                <w:kern w:val="0"/>
                <w:sz w:val="21"/>
                <w:szCs w:val="21"/>
                <w:highlight w:val="none"/>
              </w:rPr>
              <w:t>%</w:t>
            </w:r>
          </w:p>
        </w:tc>
        <w:tc>
          <w:tcPr>
            <w:tcW w:w="1105" w:type="dxa"/>
            <w:vAlign w:val="center"/>
          </w:tcPr>
          <w:p w14:paraId="47823F20">
            <w:pPr>
              <w:widowControl/>
              <w:rPr>
                <w:rFonts w:hint="default" w:asciiTheme="minorEastAsia" w:hAnsiTheme="minorEastAsia" w:eastAsiaTheme="minorEastAsia" w:cstheme="minorEastAsia"/>
                <w:color w:val="auto"/>
                <w:kern w:val="0"/>
                <w:sz w:val="21"/>
                <w:szCs w:val="21"/>
                <w:highlight w:val="none"/>
              </w:rPr>
            </w:pPr>
          </w:p>
        </w:tc>
        <w:tc>
          <w:tcPr>
            <w:tcW w:w="2846" w:type="dxa"/>
            <w:vAlign w:val="center"/>
          </w:tcPr>
          <w:p w14:paraId="574667E6">
            <w:pPr>
              <w:widowControl/>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按最高投标限价范围内自行报总价及投标费率。报价基数作为暂定量，仅作为投标报价编制依据，不作为结算依据。</w:t>
            </w:r>
          </w:p>
        </w:tc>
      </w:tr>
      <w:tr w14:paraId="617C9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9" w:hRule="atLeast"/>
          <w:jc w:val="center"/>
        </w:trPr>
        <w:tc>
          <w:tcPr>
            <w:tcW w:w="474" w:type="dxa"/>
            <w:vAlign w:val="center"/>
          </w:tcPr>
          <w:p w14:paraId="23F9F24F">
            <w:pPr>
              <w:widowControl/>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2</w:t>
            </w:r>
          </w:p>
        </w:tc>
        <w:tc>
          <w:tcPr>
            <w:tcW w:w="1225" w:type="dxa"/>
            <w:vAlign w:val="center"/>
          </w:tcPr>
          <w:p w14:paraId="7ACDFFEC">
            <w:pPr>
              <w:widowControl/>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建安工程费</w:t>
            </w:r>
          </w:p>
        </w:tc>
        <w:tc>
          <w:tcPr>
            <w:tcW w:w="1617" w:type="dxa"/>
            <w:vAlign w:val="center"/>
          </w:tcPr>
          <w:p w14:paraId="6E7DF31A">
            <w:pPr>
              <w:widowControl/>
              <w:jc w:val="center"/>
              <w:rPr>
                <w:rFonts w:hint="default" w:asciiTheme="minorEastAsia" w:hAnsiTheme="minorEastAsia" w:eastAsiaTheme="minorEastAsia" w:cstheme="minorEastAsia"/>
                <w:color w:val="auto"/>
                <w:kern w:val="0"/>
                <w:sz w:val="21"/>
                <w:szCs w:val="21"/>
                <w:highlight w:val="none"/>
              </w:rPr>
            </w:pPr>
          </w:p>
        </w:tc>
        <w:tc>
          <w:tcPr>
            <w:tcW w:w="2291" w:type="dxa"/>
            <w:vAlign w:val="center"/>
          </w:tcPr>
          <w:p w14:paraId="6030069A">
            <w:pPr>
              <w:widowControl/>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投标下浮率</w:t>
            </w:r>
            <w:r>
              <w:rPr>
                <w:rFonts w:asciiTheme="minorEastAsia" w:hAnsiTheme="minorEastAsia" w:eastAsiaTheme="minorEastAsia" w:cstheme="minorEastAsia"/>
                <w:color w:val="auto"/>
                <w:kern w:val="0"/>
                <w:sz w:val="21"/>
                <w:szCs w:val="21"/>
                <w:highlight w:val="none"/>
                <w:u w:val="single"/>
              </w:rPr>
              <w:t xml:space="preserve">   </w:t>
            </w:r>
            <w:r>
              <w:rPr>
                <w:rFonts w:asciiTheme="minorEastAsia" w:hAnsiTheme="minorEastAsia" w:eastAsiaTheme="minorEastAsia" w:cstheme="minorEastAsia"/>
                <w:color w:val="auto"/>
                <w:kern w:val="0"/>
                <w:sz w:val="21"/>
                <w:szCs w:val="21"/>
                <w:highlight w:val="none"/>
              </w:rPr>
              <w:t>%</w:t>
            </w:r>
          </w:p>
        </w:tc>
        <w:tc>
          <w:tcPr>
            <w:tcW w:w="1105" w:type="dxa"/>
            <w:vAlign w:val="center"/>
          </w:tcPr>
          <w:p w14:paraId="34E2F1D3">
            <w:pPr>
              <w:widowControl/>
              <w:jc w:val="center"/>
              <w:rPr>
                <w:rFonts w:hint="default" w:asciiTheme="minorEastAsia" w:hAnsiTheme="minorEastAsia" w:eastAsiaTheme="minorEastAsia" w:cstheme="minorEastAsia"/>
                <w:color w:val="auto"/>
                <w:kern w:val="0"/>
                <w:sz w:val="21"/>
                <w:szCs w:val="21"/>
                <w:highlight w:val="none"/>
              </w:rPr>
            </w:pPr>
          </w:p>
        </w:tc>
        <w:tc>
          <w:tcPr>
            <w:tcW w:w="2846" w:type="dxa"/>
            <w:vAlign w:val="center"/>
          </w:tcPr>
          <w:p w14:paraId="0EBAFF52">
            <w:pPr>
              <w:widowControl/>
              <w:jc w:val="center"/>
              <w:rPr>
                <w:rFonts w:hint="default"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本项目</w:t>
            </w:r>
            <w:r>
              <w:rPr>
                <w:rFonts w:asciiTheme="minorEastAsia" w:hAnsiTheme="minorEastAsia" w:eastAsiaTheme="minorEastAsia" w:cstheme="minorEastAsia"/>
                <w:color w:val="auto"/>
                <w:kern w:val="0"/>
                <w:sz w:val="21"/>
                <w:szCs w:val="21"/>
                <w:highlight w:val="none"/>
              </w:rPr>
              <w:t>工程结算价未超过建安工程费中标价的按实结算，超过建安工程费中标价的则按建安工程费中标价结算。建安工程投标报价=报价基数×（1-投标下浮率）</w:t>
            </w:r>
          </w:p>
        </w:tc>
      </w:tr>
      <w:tr w14:paraId="29D43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699" w:type="dxa"/>
            <w:gridSpan w:val="2"/>
            <w:vAlign w:val="center"/>
          </w:tcPr>
          <w:p w14:paraId="450F14FE">
            <w:pPr>
              <w:widowControl/>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合计（1+2）</w:t>
            </w:r>
          </w:p>
        </w:tc>
        <w:tc>
          <w:tcPr>
            <w:tcW w:w="1617" w:type="dxa"/>
            <w:vAlign w:val="center"/>
          </w:tcPr>
          <w:p w14:paraId="734B06AA">
            <w:pPr>
              <w:widowControl/>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w:t>
            </w:r>
          </w:p>
        </w:tc>
        <w:tc>
          <w:tcPr>
            <w:tcW w:w="2291" w:type="dxa"/>
            <w:vAlign w:val="center"/>
          </w:tcPr>
          <w:p w14:paraId="78417505">
            <w:pPr>
              <w:widowControl/>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w:t>
            </w:r>
          </w:p>
        </w:tc>
        <w:tc>
          <w:tcPr>
            <w:tcW w:w="1105" w:type="dxa"/>
            <w:vAlign w:val="center"/>
          </w:tcPr>
          <w:p w14:paraId="413A93D2">
            <w:pPr>
              <w:widowControl/>
              <w:rPr>
                <w:rFonts w:hint="default" w:asciiTheme="minorEastAsia" w:hAnsiTheme="minorEastAsia" w:eastAsiaTheme="minorEastAsia" w:cstheme="minorEastAsia"/>
                <w:color w:val="auto"/>
                <w:kern w:val="0"/>
                <w:sz w:val="21"/>
                <w:szCs w:val="21"/>
                <w:highlight w:val="none"/>
              </w:rPr>
            </w:pPr>
          </w:p>
        </w:tc>
        <w:tc>
          <w:tcPr>
            <w:tcW w:w="2846" w:type="dxa"/>
            <w:vAlign w:val="center"/>
          </w:tcPr>
          <w:p w14:paraId="4D7D1EFD">
            <w:pPr>
              <w:widowControl/>
              <w:jc w:val="left"/>
              <w:rPr>
                <w:rFonts w:hint="default" w:asciiTheme="minorEastAsia" w:hAnsiTheme="minorEastAsia" w:eastAsiaTheme="minorEastAsia" w:cstheme="minorEastAsia"/>
                <w:color w:val="auto"/>
                <w:kern w:val="0"/>
                <w:sz w:val="21"/>
                <w:szCs w:val="21"/>
                <w:highlight w:val="none"/>
              </w:rPr>
            </w:pPr>
          </w:p>
        </w:tc>
      </w:tr>
    </w:tbl>
    <w:p w14:paraId="777CFD34">
      <w:pPr>
        <w:pStyle w:val="36"/>
        <w:rPr>
          <w:rFonts w:ascii="宋体" w:hAnsi="宋体" w:cs="宋体"/>
          <w:color w:val="auto"/>
          <w:sz w:val="24"/>
          <w:highlight w:val="none"/>
          <w:lang w:val="zh-CN"/>
        </w:rPr>
      </w:pPr>
    </w:p>
    <w:p w14:paraId="59B8FB65">
      <w:pPr>
        <w:pStyle w:val="6"/>
        <w:ind w:firstLine="0"/>
        <w:rPr>
          <w:rFonts w:hint="default" w:asciiTheme="minorEastAsia" w:hAnsiTheme="minorEastAsia" w:eastAsiaTheme="minorEastAsia" w:cstheme="minorEastAsia"/>
          <w:snapToGrid w:val="0"/>
          <w:color w:val="auto"/>
          <w:sz w:val="21"/>
          <w:szCs w:val="21"/>
          <w:highlight w:val="none"/>
        </w:rPr>
      </w:pPr>
      <w:r>
        <w:rPr>
          <w:rFonts w:hAnsi="宋体" w:eastAsia="宋体" w:cs="宋体"/>
          <w:color w:val="auto"/>
          <w:sz w:val="21"/>
          <w:szCs w:val="21"/>
          <w:highlight w:val="none"/>
        </w:rPr>
        <w:t>注：投标报价、投标下浮率均保留至小数点后两位，投标费率保留至小数点后三位。</w:t>
      </w:r>
    </w:p>
    <w:p w14:paraId="06C0083B">
      <w:pPr>
        <w:wordWrap w:val="0"/>
        <w:adjustRightInd w:val="0"/>
        <w:snapToGrid w:val="0"/>
        <w:spacing w:line="276" w:lineRule="auto"/>
        <w:jc w:val="right"/>
        <w:rPr>
          <w:rFonts w:hint="default" w:asciiTheme="minorEastAsia" w:hAnsiTheme="minorEastAsia" w:eastAsiaTheme="minorEastAsia" w:cstheme="minorEastAsia"/>
          <w:snapToGrid w:val="0"/>
          <w:color w:val="auto"/>
          <w:kern w:val="0"/>
          <w:sz w:val="21"/>
          <w:szCs w:val="21"/>
          <w:highlight w:val="none"/>
        </w:rPr>
      </w:pPr>
    </w:p>
    <w:p w14:paraId="6D255DBC">
      <w:pPr>
        <w:rPr>
          <w:rFonts w:hint="default" w:asciiTheme="minorEastAsia" w:hAnsiTheme="minorEastAsia" w:eastAsiaTheme="minorEastAsia" w:cstheme="minorEastAsia"/>
          <w:color w:val="auto"/>
          <w:sz w:val="21"/>
          <w:szCs w:val="21"/>
          <w:highlight w:val="none"/>
        </w:rPr>
      </w:pPr>
    </w:p>
    <w:p w14:paraId="5CB6EA44">
      <w:pPr>
        <w:wordWrap w:val="0"/>
        <w:adjustRightInd w:val="0"/>
        <w:snapToGrid w:val="0"/>
        <w:spacing w:line="276" w:lineRule="auto"/>
        <w:jc w:val="right"/>
        <w:rPr>
          <w:rFonts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w:t>
      </w:r>
    </w:p>
    <w:p w14:paraId="03879CDF">
      <w:pPr>
        <w:wordWrap w:val="0"/>
        <w:adjustRightInd w:val="0"/>
        <w:snapToGrid w:val="0"/>
        <w:spacing w:line="276" w:lineRule="auto"/>
        <w:jc w:val="right"/>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投标人：</w:t>
      </w:r>
      <w:r>
        <w:rPr>
          <w:rFonts w:hAnsi="宋体" w:eastAsia="宋体" w:cs="宋体"/>
          <w:snapToGrid w:val="0"/>
          <w:color w:val="auto"/>
          <w:kern w:val="0"/>
          <w:sz w:val="21"/>
          <w:szCs w:val="21"/>
          <w:highlight w:val="none"/>
          <w:u w:val="single"/>
        </w:rPr>
        <w:t xml:space="preserve">                              </w:t>
      </w:r>
      <w:r>
        <w:rPr>
          <w:rFonts w:hAnsi="宋体" w:eastAsia="宋体" w:cs="宋体"/>
          <w:snapToGrid w:val="0"/>
          <w:color w:val="auto"/>
          <w:kern w:val="0"/>
          <w:sz w:val="21"/>
          <w:szCs w:val="21"/>
          <w:highlight w:val="none"/>
        </w:rPr>
        <w:t>（盖单位章）</w:t>
      </w:r>
    </w:p>
    <w:p w14:paraId="6E885E2A">
      <w:pPr>
        <w:wordWrap w:val="0"/>
        <w:adjustRightInd w:val="0"/>
        <w:snapToGrid w:val="0"/>
        <w:spacing w:line="276" w:lineRule="auto"/>
        <w:jc w:val="right"/>
        <w:rPr>
          <w:rFonts w:hint="default" w:hAnsi="宋体" w:eastAsia="宋体" w:cs="宋体"/>
          <w:snapToGrid w:val="0"/>
          <w:color w:val="auto"/>
          <w:kern w:val="0"/>
          <w:sz w:val="21"/>
          <w:szCs w:val="21"/>
          <w:highlight w:val="none"/>
        </w:rPr>
      </w:pPr>
    </w:p>
    <w:p w14:paraId="4EFE269A">
      <w:pPr>
        <w:wordWrap w:val="0"/>
        <w:adjustRightInd w:val="0"/>
        <w:snapToGrid w:val="0"/>
        <w:spacing w:line="276" w:lineRule="auto"/>
        <w:ind w:firstLine="420" w:firstLineChars="200"/>
        <w:jc w:val="right"/>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法定代表人或其委托代理人：</w:t>
      </w:r>
      <w:r>
        <w:rPr>
          <w:rFonts w:hAnsi="宋体" w:eastAsia="宋体" w:cs="宋体"/>
          <w:snapToGrid w:val="0"/>
          <w:color w:val="auto"/>
          <w:kern w:val="0"/>
          <w:sz w:val="21"/>
          <w:szCs w:val="21"/>
          <w:highlight w:val="none"/>
          <w:u w:val="single"/>
        </w:rPr>
        <w:t xml:space="preserve">          </w:t>
      </w:r>
      <w:r>
        <w:rPr>
          <w:rFonts w:hAnsi="宋体" w:eastAsia="宋体" w:cs="宋体"/>
          <w:snapToGrid w:val="0"/>
          <w:color w:val="auto"/>
          <w:kern w:val="0"/>
          <w:sz w:val="21"/>
          <w:szCs w:val="21"/>
          <w:highlight w:val="none"/>
        </w:rPr>
        <w:t>（签字或盖章）</w:t>
      </w:r>
    </w:p>
    <w:p w14:paraId="771FAEC0">
      <w:pPr>
        <w:wordWrap w:val="0"/>
        <w:adjustRightInd w:val="0"/>
        <w:snapToGrid w:val="0"/>
        <w:spacing w:line="276" w:lineRule="auto"/>
        <w:ind w:firstLine="420" w:firstLineChars="200"/>
        <w:jc w:val="right"/>
        <w:rPr>
          <w:rFonts w:hint="default" w:hAnsi="宋体" w:eastAsia="宋体" w:cs="宋体"/>
          <w:snapToGrid w:val="0"/>
          <w:color w:val="auto"/>
          <w:kern w:val="0"/>
          <w:sz w:val="21"/>
          <w:szCs w:val="21"/>
          <w:highlight w:val="none"/>
        </w:rPr>
      </w:pPr>
    </w:p>
    <w:p w14:paraId="4DE0F7A7">
      <w:pPr>
        <w:spacing w:line="276" w:lineRule="auto"/>
        <w:jc w:val="right"/>
        <w:rPr>
          <w:rFonts w:hint="default" w:hAnsi="宋体" w:eastAsia="宋体" w:cs="宋体"/>
          <w:snapToGrid w:val="0"/>
          <w:color w:val="auto"/>
          <w:kern w:val="0"/>
          <w:szCs w:val="24"/>
          <w:highlight w:val="none"/>
        </w:rPr>
      </w:pPr>
      <w:r>
        <w:rPr>
          <w:rFonts w:hAnsi="宋体" w:eastAsia="宋体" w:cs="宋体"/>
          <w:snapToGrid w:val="0"/>
          <w:color w:val="auto"/>
          <w:kern w:val="0"/>
          <w:sz w:val="21"/>
          <w:szCs w:val="21"/>
          <w:highlight w:val="none"/>
        </w:rPr>
        <w:t xml:space="preserve">                                       </w:t>
      </w:r>
      <w:r>
        <w:rPr>
          <w:rFonts w:hAnsi="宋体" w:eastAsia="宋体" w:cs="宋体"/>
          <w:snapToGrid w:val="0"/>
          <w:color w:val="auto"/>
          <w:kern w:val="0"/>
          <w:sz w:val="21"/>
          <w:szCs w:val="21"/>
          <w:highlight w:val="none"/>
          <w:u w:val="single"/>
        </w:rPr>
        <w:t xml:space="preserve">       </w:t>
      </w:r>
      <w:r>
        <w:rPr>
          <w:rFonts w:hAnsi="宋体" w:eastAsia="宋体" w:cs="宋体"/>
          <w:snapToGrid w:val="0"/>
          <w:color w:val="auto"/>
          <w:kern w:val="0"/>
          <w:sz w:val="21"/>
          <w:szCs w:val="21"/>
          <w:highlight w:val="none"/>
        </w:rPr>
        <w:t>年</w:t>
      </w:r>
      <w:r>
        <w:rPr>
          <w:rFonts w:hAnsi="宋体" w:eastAsia="宋体" w:cs="宋体"/>
          <w:snapToGrid w:val="0"/>
          <w:color w:val="auto"/>
          <w:kern w:val="0"/>
          <w:sz w:val="21"/>
          <w:szCs w:val="21"/>
          <w:highlight w:val="none"/>
          <w:u w:val="single"/>
        </w:rPr>
        <w:t xml:space="preserve">     </w:t>
      </w:r>
      <w:r>
        <w:rPr>
          <w:rFonts w:hAnsi="宋体" w:eastAsia="宋体" w:cs="宋体"/>
          <w:snapToGrid w:val="0"/>
          <w:color w:val="auto"/>
          <w:kern w:val="0"/>
          <w:sz w:val="21"/>
          <w:szCs w:val="21"/>
          <w:highlight w:val="none"/>
        </w:rPr>
        <w:t>月</w:t>
      </w:r>
      <w:r>
        <w:rPr>
          <w:rFonts w:hAnsi="宋体" w:eastAsia="宋体" w:cs="宋体"/>
          <w:snapToGrid w:val="0"/>
          <w:color w:val="auto"/>
          <w:kern w:val="0"/>
          <w:sz w:val="21"/>
          <w:szCs w:val="21"/>
          <w:highlight w:val="none"/>
          <w:u w:val="single"/>
        </w:rPr>
        <w:t xml:space="preserve">     </w:t>
      </w:r>
      <w:r>
        <w:rPr>
          <w:rFonts w:hAnsi="宋体" w:eastAsia="宋体" w:cs="宋体"/>
          <w:snapToGrid w:val="0"/>
          <w:color w:val="auto"/>
          <w:kern w:val="0"/>
          <w:sz w:val="21"/>
          <w:szCs w:val="21"/>
          <w:highlight w:val="none"/>
        </w:rPr>
        <w:t>日</w:t>
      </w:r>
    </w:p>
    <w:p w14:paraId="32F0332D">
      <w:pPr>
        <w:pStyle w:val="5"/>
        <w:rPr>
          <w:rFonts w:hint="default"/>
          <w:color w:val="auto"/>
          <w:highlight w:val="none"/>
        </w:rPr>
        <w:sectPr>
          <w:endnotePr>
            <w:numFmt w:val="decimal"/>
          </w:endnotePr>
          <w:pgSz w:w="11906" w:h="16838"/>
          <w:pgMar w:top="1440" w:right="1080" w:bottom="1440" w:left="1080" w:header="850" w:footer="992" w:gutter="0"/>
          <w:cols w:space="720" w:num="1"/>
          <w:docGrid w:linePitch="327" w:charSpace="0"/>
        </w:sectPr>
      </w:pPr>
    </w:p>
    <w:p w14:paraId="3E2D2630">
      <w:pPr>
        <w:pStyle w:val="3"/>
        <w:spacing w:before="120"/>
        <w:rPr>
          <w:rStyle w:val="64"/>
          <w:rFonts w:hint="default" w:asciiTheme="minorEastAsia" w:hAnsiTheme="minorEastAsia" w:eastAsiaTheme="minorEastAsia" w:cstheme="minorEastAsia"/>
          <w:color w:val="auto"/>
          <w:sz w:val="24"/>
          <w:szCs w:val="24"/>
          <w:highlight w:val="none"/>
        </w:rPr>
      </w:pPr>
      <w:bookmarkStart w:id="549" w:name="_Toc20987"/>
      <w:bookmarkStart w:id="550" w:name="_Toc32091"/>
      <w:bookmarkStart w:id="551" w:name="_Toc28529"/>
      <w:bookmarkStart w:id="552" w:name="_Toc919"/>
      <w:bookmarkStart w:id="553" w:name="_Toc21928"/>
      <w:bookmarkStart w:id="554" w:name="_Toc1017"/>
      <w:bookmarkStart w:id="555" w:name="_Toc32555"/>
      <w:r>
        <w:rPr>
          <w:rStyle w:val="64"/>
          <w:rFonts w:asciiTheme="minorEastAsia" w:hAnsiTheme="minorEastAsia" w:eastAsiaTheme="minorEastAsia" w:cstheme="minorEastAsia"/>
          <w:color w:val="auto"/>
          <w:sz w:val="24"/>
          <w:szCs w:val="24"/>
          <w:highlight w:val="none"/>
        </w:rPr>
        <w:t>格式三 各项</w:t>
      </w:r>
      <w:r>
        <w:rPr>
          <w:rFonts w:asciiTheme="minorEastAsia" w:hAnsiTheme="minorEastAsia" w:eastAsiaTheme="minorEastAsia" w:cstheme="minorEastAsia"/>
          <w:b/>
          <w:bCs/>
          <w:color w:val="auto"/>
          <w:szCs w:val="24"/>
          <w:highlight w:val="none"/>
        </w:rPr>
        <w:t>承诺</w:t>
      </w:r>
      <w:r>
        <w:rPr>
          <w:rStyle w:val="64"/>
          <w:rFonts w:asciiTheme="minorEastAsia" w:hAnsiTheme="minorEastAsia" w:eastAsiaTheme="minorEastAsia" w:cstheme="minorEastAsia"/>
          <w:color w:val="auto"/>
          <w:sz w:val="24"/>
          <w:szCs w:val="24"/>
          <w:highlight w:val="none"/>
        </w:rPr>
        <w:t>一览表</w:t>
      </w:r>
      <w:bookmarkEnd w:id="547"/>
      <w:bookmarkEnd w:id="548"/>
      <w:bookmarkEnd w:id="549"/>
      <w:bookmarkEnd w:id="550"/>
      <w:bookmarkEnd w:id="551"/>
      <w:bookmarkEnd w:id="552"/>
    </w:p>
    <w:bookmarkEnd w:id="553"/>
    <w:bookmarkEnd w:id="554"/>
    <w:bookmarkEnd w:id="555"/>
    <w:p w14:paraId="14C9F973">
      <w:pPr>
        <w:spacing w:line="480" w:lineRule="auto"/>
        <w:jc w:val="center"/>
        <w:rPr>
          <w:rFonts w:hint="default" w:asciiTheme="minorEastAsia" w:hAnsiTheme="minorEastAsia" w:eastAsiaTheme="minorEastAsia" w:cstheme="minorEastAsia"/>
          <w:b/>
          <w:bCs/>
          <w:color w:val="auto"/>
          <w:szCs w:val="24"/>
          <w:highlight w:val="none"/>
        </w:rPr>
      </w:pPr>
      <w:bookmarkStart w:id="556" w:name="_Toc39136365"/>
      <w:bookmarkStart w:id="557" w:name="_Toc30877"/>
      <w:bookmarkStart w:id="558" w:name="_Toc21521"/>
      <w:bookmarkStart w:id="559" w:name="_Toc20729"/>
      <w:bookmarkStart w:id="560" w:name="_Toc15279"/>
      <w:bookmarkStart w:id="561" w:name="_Toc16438"/>
      <w:bookmarkStart w:id="562" w:name="_Toc31113"/>
      <w:bookmarkStart w:id="563" w:name="_Toc18136"/>
      <w:r>
        <w:rPr>
          <w:rFonts w:asciiTheme="minorEastAsia" w:hAnsiTheme="minorEastAsia" w:eastAsiaTheme="minorEastAsia" w:cstheme="minorEastAsia"/>
          <w:b/>
          <w:bCs/>
          <w:color w:val="auto"/>
          <w:szCs w:val="24"/>
          <w:highlight w:val="none"/>
        </w:rPr>
        <w:t>各项承诺一览表</w:t>
      </w:r>
      <w:bookmarkEnd w:id="556"/>
      <w:bookmarkEnd w:id="557"/>
      <w:bookmarkEnd w:id="558"/>
      <w:bookmarkEnd w:id="559"/>
    </w:p>
    <w:bookmarkEnd w:id="560"/>
    <w:bookmarkEnd w:id="561"/>
    <w:bookmarkEnd w:id="562"/>
    <w:bookmarkEnd w:id="563"/>
    <w:tbl>
      <w:tblPr>
        <w:tblStyle w:val="24"/>
        <w:tblW w:w="97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6"/>
        <w:gridCol w:w="1234"/>
        <w:gridCol w:w="3073"/>
        <w:gridCol w:w="4796"/>
      </w:tblGrid>
      <w:tr w14:paraId="2643A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tcPr>
          <w:p w14:paraId="78E3B3CC">
            <w:pPr>
              <w:pStyle w:val="42"/>
              <w:spacing w:line="380" w:lineRule="exact"/>
              <w:jc w:val="center"/>
              <w:rPr>
                <w:rFonts w:hAnsi="宋体" w:cs="宋体"/>
                <w:b/>
                <w:color w:val="auto"/>
                <w:sz w:val="21"/>
                <w:szCs w:val="21"/>
                <w:highlight w:val="none"/>
              </w:rPr>
            </w:pPr>
            <w:r>
              <w:rPr>
                <w:rFonts w:hint="eastAsia" w:hAnsi="宋体" w:cs="宋体"/>
                <w:b/>
                <w:color w:val="auto"/>
                <w:sz w:val="21"/>
                <w:szCs w:val="21"/>
                <w:highlight w:val="none"/>
              </w:rPr>
              <w:t>序号</w:t>
            </w:r>
          </w:p>
        </w:tc>
        <w:tc>
          <w:tcPr>
            <w:tcW w:w="1234" w:type="dxa"/>
          </w:tcPr>
          <w:p w14:paraId="219FB77F">
            <w:pPr>
              <w:pStyle w:val="42"/>
              <w:spacing w:line="380" w:lineRule="exact"/>
              <w:jc w:val="center"/>
              <w:rPr>
                <w:rFonts w:hAnsi="宋体" w:cs="宋体"/>
                <w:b/>
                <w:color w:val="auto"/>
                <w:sz w:val="21"/>
                <w:szCs w:val="21"/>
                <w:highlight w:val="none"/>
              </w:rPr>
            </w:pPr>
            <w:r>
              <w:rPr>
                <w:rFonts w:hint="eastAsia" w:hAnsi="宋体" w:cs="宋体"/>
                <w:b/>
                <w:color w:val="auto"/>
                <w:sz w:val="21"/>
                <w:szCs w:val="21"/>
                <w:highlight w:val="none"/>
              </w:rPr>
              <w:t>承诺标题</w:t>
            </w:r>
          </w:p>
        </w:tc>
        <w:tc>
          <w:tcPr>
            <w:tcW w:w="3073" w:type="dxa"/>
          </w:tcPr>
          <w:p w14:paraId="7942194A">
            <w:pPr>
              <w:pStyle w:val="42"/>
              <w:spacing w:line="380" w:lineRule="exact"/>
              <w:jc w:val="center"/>
              <w:rPr>
                <w:rFonts w:hAnsi="宋体" w:cs="宋体"/>
                <w:b/>
                <w:color w:val="auto"/>
                <w:sz w:val="21"/>
                <w:szCs w:val="21"/>
                <w:highlight w:val="none"/>
              </w:rPr>
            </w:pPr>
            <w:r>
              <w:rPr>
                <w:rFonts w:hint="eastAsia" w:hAnsi="宋体" w:cs="宋体"/>
                <w:b/>
                <w:color w:val="auto"/>
                <w:sz w:val="21"/>
                <w:szCs w:val="21"/>
                <w:highlight w:val="none"/>
              </w:rPr>
              <w:t>承诺内容</w:t>
            </w:r>
          </w:p>
        </w:tc>
        <w:tc>
          <w:tcPr>
            <w:tcW w:w="4796" w:type="dxa"/>
            <w:tcBorders>
              <w:bottom w:val="single" w:color="auto" w:sz="4" w:space="0"/>
            </w:tcBorders>
          </w:tcPr>
          <w:p w14:paraId="677CBCEB">
            <w:pPr>
              <w:pStyle w:val="42"/>
              <w:spacing w:line="380" w:lineRule="exact"/>
              <w:jc w:val="center"/>
              <w:rPr>
                <w:rFonts w:hAnsi="宋体" w:cs="宋体"/>
                <w:b/>
                <w:color w:val="auto"/>
                <w:sz w:val="21"/>
                <w:szCs w:val="21"/>
                <w:highlight w:val="none"/>
              </w:rPr>
            </w:pPr>
            <w:r>
              <w:rPr>
                <w:rFonts w:hint="eastAsia" w:hAnsi="宋体" w:cs="宋体"/>
                <w:b/>
                <w:color w:val="auto"/>
                <w:sz w:val="21"/>
                <w:szCs w:val="21"/>
                <w:highlight w:val="none"/>
              </w:rPr>
              <w:t>违约承诺</w:t>
            </w:r>
          </w:p>
        </w:tc>
      </w:tr>
      <w:tr w14:paraId="0E24D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26C74C79">
            <w:pPr>
              <w:pStyle w:val="42"/>
              <w:spacing w:line="380" w:lineRule="exact"/>
              <w:jc w:val="center"/>
              <w:rPr>
                <w:rFonts w:hAnsi="宋体" w:cs="宋体"/>
                <w:color w:val="auto"/>
                <w:sz w:val="21"/>
                <w:szCs w:val="21"/>
                <w:highlight w:val="none"/>
              </w:rPr>
            </w:pPr>
            <w:r>
              <w:rPr>
                <w:rFonts w:hint="eastAsia" w:hAnsi="宋体" w:cs="宋体"/>
                <w:color w:val="auto"/>
                <w:sz w:val="21"/>
                <w:szCs w:val="21"/>
                <w:highlight w:val="none"/>
              </w:rPr>
              <w:t>1</w:t>
            </w:r>
          </w:p>
        </w:tc>
        <w:tc>
          <w:tcPr>
            <w:tcW w:w="1234" w:type="dxa"/>
            <w:vAlign w:val="center"/>
          </w:tcPr>
          <w:p w14:paraId="4A8907CE">
            <w:pPr>
              <w:pStyle w:val="66"/>
              <w:spacing w:line="380" w:lineRule="exact"/>
              <w:ind w:firstLine="0" w:firstLineChars="0"/>
              <w:jc w:val="center"/>
              <w:rPr>
                <w:rFonts w:hAnsi="宋体" w:cs="宋体"/>
                <w:color w:val="auto"/>
                <w:sz w:val="21"/>
                <w:szCs w:val="21"/>
                <w:highlight w:val="none"/>
              </w:rPr>
            </w:pPr>
            <w:r>
              <w:rPr>
                <w:rFonts w:hint="eastAsia" w:hAnsi="宋体" w:cs="宋体"/>
                <w:color w:val="auto"/>
                <w:sz w:val="21"/>
                <w:szCs w:val="21"/>
                <w:highlight w:val="none"/>
              </w:rPr>
              <w:t>对招标文件条款自愿接受承诺书</w:t>
            </w:r>
          </w:p>
        </w:tc>
        <w:tc>
          <w:tcPr>
            <w:tcW w:w="3073" w:type="dxa"/>
            <w:vAlign w:val="center"/>
          </w:tcPr>
          <w:p w14:paraId="6A088414">
            <w:pPr>
              <w:pStyle w:val="66"/>
              <w:spacing w:line="380" w:lineRule="exact"/>
              <w:ind w:firstLine="420"/>
              <w:rPr>
                <w:rFonts w:hAnsi="宋体" w:cs="宋体"/>
                <w:color w:val="auto"/>
                <w:sz w:val="21"/>
                <w:szCs w:val="21"/>
                <w:highlight w:val="none"/>
              </w:rPr>
            </w:pPr>
            <w:r>
              <w:rPr>
                <w:rFonts w:hint="eastAsia" w:hAnsi="宋体" w:cs="宋体"/>
                <w:color w:val="auto"/>
                <w:sz w:val="21"/>
                <w:szCs w:val="21"/>
                <w:highlight w:val="none"/>
              </w:rPr>
              <w:t>我方保证接受招标文件的所有条款，响应招标文件的所有要求，并同意招标文件为施工承包合同的组成部分</w:t>
            </w:r>
          </w:p>
        </w:tc>
        <w:tc>
          <w:tcPr>
            <w:tcW w:w="4796" w:type="dxa"/>
            <w:tcBorders>
              <w:tr2bl w:val="single" w:color="auto" w:sz="4" w:space="0"/>
            </w:tcBorders>
            <w:vAlign w:val="center"/>
          </w:tcPr>
          <w:p w14:paraId="5EAAFFD5">
            <w:pPr>
              <w:pStyle w:val="66"/>
              <w:spacing w:line="380" w:lineRule="exact"/>
              <w:ind w:firstLine="420"/>
              <w:rPr>
                <w:rFonts w:hAnsi="宋体" w:cs="宋体"/>
                <w:color w:val="auto"/>
                <w:sz w:val="21"/>
                <w:szCs w:val="21"/>
                <w:highlight w:val="none"/>
              </w:rPr>
            </w:pPr>
          </w:p>
        </w:tc>
      </w:tr>
      <w:tr w14:paraId="7BA64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59F1C352">
            <w:pPr>
              <w:pStyle w:val="42"/>
              <w:spacing w:line="380" w:lineRule="exact"/>
              <w:jc w:val="center"/>
              <w:rPr>
                <w:rFonts w:hAnsi="宋体" w:cs="宋体"/>
                <w:color w:val="auto"/>
                <w:sz w:val="21"/>
                <w:szCs w:val="21"/>
                <w:highlight w:val="none"/>
              </w:rPr>
            </w:pPr>
            <w:r>
              <w:rPr>
                <w:rFonts w:hint="eastAsia" w:hAnsi="宋体" w:cs="宋体"/>
                <w:color w:val="auto"/>
                <w:sz w:val="21"/>
                <w:szCs w:val="21"/>
                <w:highlight w:val="none"/>
              </w:rPr>
              <w:t>2</w:t>
            </w:r>
          </w:p>
        </w:tc>
        <w:tc>
          <w:tcPr>
            <w:tcW w:w="1234" w:type="dxa"/>
            <w:vAlign w:val="center"/>
          </w:tcPr>
          <w:p w14:paraId="70F86616">
            <w:pPr>
              <w:pStyle w:val="66"/>
              <w:wordWrap w:val="0"/>
              <w:adjustRightInd w:val="0"/>
              <w:snapToGrid w:val="0"/>
              <w:spacing w:line="380" w:lineRule="exact"/>
              <w:ind w:firstLine="0" w:firstLineChars="0"/>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无禁止投标</w:t>
            </w:r>
          </w:p>
          <w:p w14:paraId="6D51C4D1">
            <w:pPr>
              <w:pStyle w:val="66"/>
              <w:wordWrap w:val="0"/>
              <w:adjustRightInd w:val="0"/>
              <w:snapToGrid w:val="0"/>
              <w:spacing w:line="380" w:lineRule="exact"/>
              <w:ind w:firstLine="0" w:firstLineChars="0"/>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情形的承诺</w:t>
            </w:r>
          </w:p>
        </w:tc>
        <w:tc>
          <w:tcPr>
            <w:tcW w:w="3073" w:type="dxa"/>
            <w:vAlign w:val="center"/>
          </w:tcPr>
          <w:p w14:paraId="16BBF699">
            <w:pPr>
              <w:pStyle w:val="66"/>
              <w:wordWrap w:val="0"/>
              <w:adjustRightInd w:val="0"/>
              <w:snapToGrid w:val="0"/>
              <w:spacing w:line="380" w:lineRule="exact"/>
              <w:ind w:firstLine="420"/>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我方不存在招标文件第一章第三节第</w:t>
            </w:r>
            <w:r>
              <w:rPr>
                <w:rFonts w:hint="eastAsia" w:hAnsi="宋体" w:cs="宋体"/>
                <w:b/>
                <w:bCs/>
                <w:snapToGrid w:val="0"/>
                <w:color w:val="auto"/>
                <w:kern w:val="0"/>
                <w:sz w:val="21"/>
                <w:szCs w:val="21"/>
                <w:highlight w:val="none"/>
              </w:rPr>
              <w:t>2.4</w:t>
            </w:r>
            <w:r>
              <w:rPr>
                <w:rFonts w:hint="eastAsia" w:hAnsi="宋体" w:cs="宋体"/>
                <w:snapToGrid w:val="0"/>
                <w:color w:val="auto"/>
                <w:kern w:val="0"/>
                <w:sz w:val="21"/>
                <w:szCs w:val="21"/>
                <w:highlight w:val="none"/>
              </w:rPr>
              <w:t>条“禁止投标条款”规定的任何一种情形。</w:t>
            </w:r>
          </w:p>
        </w:tc>
        <w:tc>
          <w:tcPr>
            <w:tcW w:w="4796" w:type="dxa"/>
            <w:vAlign w:val="center"/>
          </w:tcPr>
          <w:p w14:paraId="6A12A54E">
            <w:pPr>
              <w:pStyle w:val="66"/>
              <w:wordWrap w:val="0"/>
              <w:adjustRightInd w:val="0"/>
              <w:snapToGrid w:val="0"/>
              <w:spacing w:line="380" w:lineRule="exact"/>
              <w:ind w:firstLine="420"/>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如果我方有招标文件第一章第三节第</w:t>
            </w:r>
            <w:r>
              <w:rPr>
                <w:rFonts w:hint="eastAsia" w:hAnsi="宋体" w:cs="宋体"/>
                <w:b/>
                <w:bCs/>
                <w:snapToGrid w:val="0"/>
                <w:color w:val="auto"/>
                <w:kern w:val="0"/>
                <w:sz w:val="21"/>
                <w:szCs w:val="21"/>
                <w:highlight w:val="none"/>
              </w:rPr>
              <w:t>2.4</w:t>
            </w:r>
            <w:r>
              <w:rPr>
                <w:rFonts w:hint="eastAsia" w:hAnsi="宋体" w:cs="宋体"/>
                <w:snapToGrid w:val="0"/>
                <w:color w:val="auto"/>
                <w:kern w:val="0"/>
                <w:sz w:val="21"/>
                <w:szCs w:val="21"/>
                <w:highlight w:val="none"/>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14:paraId="4C0F6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63A3DD76">
            <w:pPr>
              <w:pStyle w:val="42"/>
              <w:spacing w:line="380" w:lineRule="exact"/>
              <w:jc w:val="center"/>
              <w:rPr>
                <w:rFonts w:hAnsi="宋体" w:cs="宋体"/>
                <w:color w:val="auto"/>
                <w:sz w:val="21"/>
                <w:szCs w:val="21"/>
                <w:highlight w:val="none"/>
              </w:rPr>
            </w:pPr>
            <w:r>
              <w:rPr>
                <w:rFonts w:hint="eastAsia" w:hAnsi="宋体" w:cs="宋体"/>
                <w:color w:val="auto"/>
                <w:sz w:val="21"/>
                <w:szCs w:val="21"/>
                <w:highlight w:val="none"/>
              </w:rPr>
              <w:t>3</w:t>
            </w:r>
          </w:p>
        </w:tc>
        <w:tc>
          <w:tcPr>
            <w:tcW w:w="1234" w:type="dxa"/>
            <w:vAlign w:val="center"/>
          </w:tcPr>
          <w:p w14:paraId="3ADB4B61">
            <w:pPr>
              <w:pStyle w:val="66"/>
              <w:wordWrap w:val="0"/>
              <w:adjustRightInd w:val="0"/>
              <w:snapToGrid w:val="0"/>
              <w:spacing w:line="380" w:lineRule="exact"/>
              <w:ind w:firstLine="0" w:firstLineChars="0"/>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自觉抵制围标串标和弄虚作假行为的承诺</w:t>
            </w:r>
          </w:p>
        </w:tc>
        <w:tc>
          <w:tcPr>
            <w:tcW w:w="3073" w:type="dxa"/>
            <w:vAlign w:val="center"/>
          </w:tcPr>
          <w:p w14:paraId="234C5E00">
            <w:pPr>
              <w:pStyle w:val="66"/>
              <w:wordWrap w:val="0"/>
              <w:adjustRightInd w:val="0"/>
              <w:snapToGrid w:val="0"/>
              <w:spacing w:line="380" w:lineRule="exact"/>
              <w:ind w:firstLine="420"/>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我方合法正当、诚实守信地参与投标，不组织、不参加围标串标违法行为，不通过弄虚作假行为骗取中标。</w:t>
            </w:r>
          </w:p>
        </w:tc>
        <w:tc>
          <w:tcPr>
            <w:tcW w:w="4796" w:type="dxa"/>
            <w:vAlign w:val="center"/>
          </w:tcPr>
          <w:p w14:paraId="26E1DE4B">
            <w:pPr>
              <w:pStyle w:val="66"/>
              <w:wordWrap w:val="0"/>
              <w:adjustRightInd w:val="0"/>
              <w:snapToGrid w:val="0"/>
              <w:spacing w:line="380" w:lineRule="exact"/>
              <w:ind w:firstLine="420"/>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30513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7D63EB7B">
            <w:pPr>
              <w:pStyle w:val="42"/>
              <w:spacing w:line="380" w:lineRule="exact"/>
              <w:jc w:val="center"/>
              <w:rPr>
                <w:rFonts w:hAnsi="宋体" w:cs="宋体"/>
                <w:color w:val="auto"/>
                <w:sz w:val="21"/>
                <w:szCs w:val="21"/>
                <w:highlight w:val="none"/>
              </w:rPr>
            </w:pPr>
            <w:r>
              <w:rPr>
                <w:rFonts w:hint="eastAsia" w:hAnsi="宋体" w:cs="宋体"/>
                <w:color w:val="auto"/>
                <w:sz w:val="21"/>
                <w:szCs w:val="21"/>
                <w:highlight w:val="none"/>
              </w:rPr>
              <w:t>4</w:t>
            </w:r>
          </w:p>
        </w:tc>
        <w:tc>
          <w:tcPr>
            <w:tcW w:w="1234" w:type="dxa"/>
            <w:vAlign w:val="center"/>
          </w:tcPr>
          <w:p w14:paraId="10A3273C">
            <w:pPr>
              <w:jc w:val="center"/>
              <w:rPr>
                <w:rFonts w:hint="default" w:hAnsi="宋体" w:eastAsia="宋体" w:cs="宋体"/>
                <w:color w:val="auto"/>
                <w:sz w:val="21"/>
                <w:szCs w:val="21"/>
                <w:highlight w:val="none"/>
              </w:rPr>
            </w:pPr>
            <w:r>
              <w:rPr>
                <w:rFonts w:hAnsi="宋体" w:eastAsia="宋体" w:cs="宋体"/>
                <w:snapToGrid w:val="0"/>
                <w:color w:val="auto"/>
                <w:kern w:val="0"/>
                <w:sz w:val="21"/>
                <w:szCs w:val="21"/>
                <w:highlight w:val="none"/>
              </w:rPr>
              <w:t>履约保证的承诺</w:t>
            </w:r>
          </w:p>
        </w:tc>
        <w:tc>
          <w:tcPr>
            <w:tcW w:w="3073" w:type="dxa"/>
            <w:vAlign w:val="center"/>
          </w:tcPr>
          <w:p w14:paraId="391D04AA">
            <w:pPr>
              <w:pStyle w:val="66"/>
              <w:wordWrap w:val="0"/>
              <w:adjustRightInd w:val="0"/>
              <w:snapToGrid w:val="0"/>
              <w:spacing w:line="380" w:lineRule="exact"/>
              <w:ind w:firstLine="420"/>
              <w:rPr>
                <w:rFonts w:hAnsi="宋体" w:cs="宋体"/>
                <w:color w:val="auto"/>
                <w:sz w:val="21"/>
                <w:szCs w:val="21"/>
                <w:highlight w:val="none"/>
              </w:rPr>
            </w:pPr>
            <w:r>
              <w:rPr>
                <w:rFonts w:hint="eastAsia" w:hAnsi="宋体" w:cs="宋体"/>
                <w:snapToGrid w:val="0"/>
                <w:color w:val="auto"/>
                <w:kern w:val="0"/>
                <w:sz w:val="21"/>
                <w:szCs w:val="21"/>
                <w:highlight w:val="none"/>
              </w:rPr>
              <w:t>如果我方中标，我方保证在招标文件规定的时限内全额提交履约保证。</w:t>
            </w:r>
          </w:p>
        </w:tc>
        <w:tc>
          <w:tcPr>
            <w:tcW w:w="4796" w:type="dxa"/>
            <w:vAlign w:val="center"/>
          </w:tcPr>
          <w:p w14:paraId="0B495874">
            <w:pPr>
              <w:pStyle w:val="66"/>
              <w:wordWrap w:val="0"/>
              <w:adjustRightInd w:val="0"/>
              <w:snapToGrid w:val="0"/>
              <w:spacing w:line="380" w:lineRule="exact"/>
              <w:ind w:firstLine="0" w:firstLineChars="0"/>
              <w:jc w:val="left"/>
              <w:rPr>
                <w:rFonts w:hAnsi="宋体" w:cs="宋体"/>
                <w:color w:val="auto"/>
                <w:sz w:val="21"/>
                <w:szCs w:val="21"/>
                <w:highlight w:val="none"/>
              </w:rPr>
            </w:pPr>
            <w:r>
              <w:rPr>
                <w:rFonts w:hint="eastAsia" w:hAnsi="宋体" w:cs="宋体"/>
                <w:snapToGrid w:val="0"/>
                <w:color w:val="auto"/>
                <w:kern w:val="0"/>
                <w:sz w:val="21"/>
                <w:szCs w:val="21"/>
                <w:highlight w:val="none"/>
              </w:rPr>
              <w:t xml:space="preserve">    如果我方未在招标文件规定的时限内全额提交履约保证，我方接受招标人依据招标文件作出的相应处理以及有关监督部门作出的行政处罚，并承担由此引起的一切法律后果。</w:t>
            </w:r>
          </w:p>
        </w:tc>
      </w:tr>
      <w:tr w14:paraId="5FA8F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56" w:type="dxa"/>
            <w:vAlign w:val="center"/>
          </w:tcPr>
          <w:p w14:paraId="40FCAD0C">
            <w:pPr>
              <w:pStyle w:val="42"/>
              <w:spacing w:line="380" w:lineRule="exact"/>
              <w:jc w:val="center"/>
              <w:rPr>
                <w:rFonts w:hAnsi="宋体" w:cs="宋体"/>
                <w:color w:val="auto"/>
                <w:sz w:val="21"/>
                <w:szCs w:val="21"/>
                <w:highlight w:val="none"/>
              </w:rPr>
            </w:pPr>
            <w:r>
              <w:rPr>
                <w:rFonts w:hint="eastAsia" w:hAnsi="宋体" w:cs="宋体"/>
                <w:color w:val="auto"/>
                <w:sz w:val="21"/>
                <w:szCs w:val="21"/>
                <w:highlight w:val="none"/>
              </w:rPr>
              <w:t>5</w:t>
            </w:r>
          </w:p>
        </w:tc>
        <w:tc>
          <w:tcPr>
            <w:tcW w:w="1234" w:type="dxa"/>
            <w:vAlign w:val="center"/>
          </w:tcPr>
          <w:p w14:paraId="01E425DE">
            <w:pPr>
              <w:pStyle w:val="66"/>
              <w:spacing w:line="380" w:lineRule="exact"/>
              <w:ind w:firstLine="0" w:firstLineChars="0"/>
              <w:jc w:val="center"/>
              <w:rPr>
                <w:rFonts w:hAnsi="宋体" w:cs="宋体"/>
                <w:color w:val="auto"/>
                <w:sz w:val="21"/>
                <w:szCs w:val="21"/>
                <w:highlight w:val="none"/>
              </w:rPr>
            </w:pPr>
            <w:r>
              <w:rPr>
                <w:rFonts w:hint="eastAsia" w:hAnsi="宋体" w:cs="宋体"/>
                <w:color w:val="auto"/>
                <w:sz w:val="21"/>
                <w:szCs w:val="21"/>
                <w:highlight w:val="none"/>
              </w:rPr>
              <w:t>工期、进度承诺书</w:t>
            </w:r>
          </w:p>
        </w:tc>
        <w:tc>
          <w:tcPr>
            <w:tcW w:w="3073" w:type="dxa"/>
            <w:vAlign w:val="center"/>
          </w:tcPr>
          <w:p w14:paraId="3DE6686B">
            <w:pPr>
              <w:pStyle w:val="66"/>
              <w:spacing w:line="380" w:lineRule="exact"/>
              <w:ind w:firstLine="420"/>
              <w:rPr>
                <w:rFonts w:hAnsi="宋体" w:cs="宋体"/>
                <w:color w:val="auto"/>
                <w:sz w:val="21"/>
                <w:szCs w:val="21"/>
                <w:highlight w:val="none"/>
              </w:rPr>
            </w:pPr>
            <w:r>
              <w:rPr>
                <w:rFonts w:hint="eastAsia" w:hAnsi="宋体" w:cs="宋体"/>
                <w:color w:val="auto"/>
                <w:sz w:val="21"/>
                <w:szCs w:val="21"/>
                <w:highlight w:val="none"/>
              </w:rPr>
              <w:t>我方保证在</w:t>
            </w:r>
            <w:r>
              <w:rPr>
                <w:rFonts w:hint="eastAsia" w:hAnsi="宋体" w:cs="宋体"/>
                <w:b/>
                <w:bCs/>
                <w:color w:val="auto"/>
                <w:sz w:val="21"/>
                <w:szCs w:val="21"/>
                <w:highlight w:val="none"/>
                <w:u w:val="single"/>
              </w:rPr>
              <w:t xml:space="preserve">   日历天内（</w:t>
            </w:r>
            <w:r>
              <w:rPr>
                <w:rFonts w:hint="eastAsia" w:hAnsi="宋体" w:cs="宋体"/>
                <w:color w:val="auto"/>
                <w:sz w:val="21"/>
                <w:szCs w:val="21"/>
                <w:highlight w:val="none"/>
              </w:rPr>
              <w:t>其中：设计工期</w:t>
            </w:r>
            <w:r>
              <w:rPr>
                <w:rFonts w:hint="eastAsia" w:hAnsi="宋体" w:cs="宋体"/>
                <w:color w:val="auto"/>
                <w:sz w:val="21"/>
                <w:szCs w:val="21"/>
                <w:highlight w:val="none"/>
                <w:u w:val="single"/>
              </w:rPr>
              <w:t xml:space="preserve">   </w:t>
            </w:r>
            <w:r>
              <w:rPr>
                <w:rFonts w:hint="eastAsia" w:hAnsi="宋体" w:cs="宋体"/>
                <w:color w:val="auto"/>
                <w:sz w:val="21"/>
                <w:szCs w:val="21"/>
                <w:highlight w:val="none"/>
              </w:rPr>
              <w:t>日历天；施工工期</w:t>
            </w:r>
            <w:r>
              <w:rPr>
                <w:rFonts w:hint="eastAsia" w:hAnsi="宋体" w:cs="宋体"/>
                <w:color w:val="auto"/>
                <w:sz w:val="21"/>
                <w:szCs w:val="21"/>
                <w:highlight w:val="none"/>
                <w:u w:val="single"/>
              </w:rPr>
              <w:t xml:space="preserve">     </w:t>
            </w:r>
            <w:r>
              <w:rPr>
                <w:rFonts w:hint="eastAsia" w:hAnsi="宋体" w:cs="宋体"/>
                <w:color w:val="auto"/>
                <w:sz w:val="21"/>
                <w:szCs w:val="21"/>
                <w:highlight w:val="none"/>
              </w:rPr>
              <w:t>日历天</w:t>
            </w:r>
            <w:r>
              <w:rPr>
                <w:rFonts w:hint="eastAsia" w:hAnsi="宋体" w:cs="宋体"/>
                <w:b/>
                <w:bCs/>
                <w:color w:val="auto"/>
                <w:sz w:val="21"/>
                <w:szCs w:val="21"/>
                <w:highlight w:val="none"/>
              </w:rPr>
              <w:t>）</w:t>
            </w:r>
            <w:r>
              <w:rPr>
                <w:rFonts w:hint="eastAsia" w:hAnsi="宋体" w:cs="宋体"/>
                <w:color w:val="auto"/>
                <w:sz w:val="21"/>
                <w:szCs w:val="21"/>
                <w:highlight w:val="none"/>
              </w:rPr>
              <w:t>完成工程设计、施工并通过竣工验收。</w:t>
            </w:r>
          </w:p>
        </w:tc>
        <w:tc>
          <w:tcPr>
            <w:tcW w:w="4796" w:type="dxa"/>
            <w:vAlign w:val="center"/>
          </w:tcPr>
          <w:p w14:paraId="3A734C32">
            <w:pPr>
              <w:pStyle w:val="66"/>
              <w:spacing w:line="380" w:lineRule="exact"/>
              <w:ind w:firstLine="420"/>
              <w:rPr>
                <w:rFonts w:hAnsi="宋体" w:cs="宋体"/>
                <w:color w:val="auto"/>
                <w:sz w:val="21"/>
                <w:szCs w:val="21"/>
                <w:highlight w:val="none"/>
              </w:rPr>
            </w:pPr>
            <w:r>
              <w:rPr>
                <w:rFonts w:hint="eastAsia" w:hAnsi="宋体" w:cs="宋体"/>
                <w:color w:val="auto"/>
                <w:sz w:val="21"/>
                <w:szCs w:val="21"/>
                <w:highlight w:val="none"/>
              </w:rPr>
              <w:t>若因我方原因，没有按期完成勘设计工作的，我方须在逾期第壹天起每天按设计费合同价款的1‰向招标人返纳逾期违约金，设计逾期违约金的最高限额为合同设计价款的3%；工程没有按期竣工并通过验收时，我方在逾期第壹天起每天按合同价款的1‰向招标人返纳逾期竣工违约金，逾期竣工违约金的最高限额为合同施工价款的3%。</w:t>
            </w:r>
          </w:p>
        </w:tc>
      </w:tr>
      <w:tr w14:paraId="0BB95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2CC8A4D6">
            <w:pPr>
              <w:pStyle w:val="42"/>
              <w:spacing w:line="380" w:lineRule="exact"/>
              <w:jc w:val="center"/>
              <w:rPr>
                <w:rFonts w:hAnsi="宋体" w:cs="宋体"/>
                <w:color w:val="auto"/>
                <w:sz w:val="21"/>
                <w:szCs w:val="21"/>
                <w:highlight w:val="none"/>
              </w:rPr>
            </w:pPr>
            <w:r>
              <w:rPr>
                <w:rFonts w:hint="eastAsia" w:hAnsi="宋体" w:cs="宋体"/>
                <w:color w:val="auto"/>
                <w:sz w:val="21"/>
                <w:szCs w:val="21"/>
                <w:highlight w:val="none"/>
              </w:rPr>
              <w:t>6</w:t>
            </w:r>
          </w:p>
        </w:tc>
        <w:tc>
          <w:tcPr>
            <w:tcW w:w="1234" w:type="dxa"/>
            <w:vAlign w:val="center"/>
          </w:tcPr>
          <w:p w14:paraId="4BEBA769">
            <w:pPr>
              <w:pStyle w:val="66"/>
              <w:spacing w:line="380" w:lineRule="exact"/>
              <w:ind w:firstLine="0" w:firstLineChars="0"/>
              <w:jc w:val="center"/>
              <w:rPr>
                <w:rFonts w:hAnsi="宋体" w:cs="宋体"/>
                <w:color w:val="auto"/>
                <w:sz w:val="21"/>
                <w:szCs w:val="21"/>
                <w:highlight w:val="none"/>
              </w:rPr>
            </w:pPr>
            <w:r>
              <w:rPr>
                <w:rFonts w:hint="eastAsia" w:hAnsi="宋体" w:cs="宋体"/>
                <w:color w:val="auto"/>
                <w:sz w:val="21"/>
                <w:szCs w:val="21"/>
                <w:highlight w:val="none"/>
              </w:rPr>
              <w:t>安全、文明施工承诺书</w:t>
            </w:r>
          </w:p>
        </w:tc>
        <w:tc>
          <w:tcPr>
            <w:tcW w:w="3073" w:type="dxa"/>
            <w:vAlign w:val="center"/>
          </w:tcPr>
          <w:p w14:paraId="1CC910AB">
            <w:pPr>
              <w:pStyle w:val="66"/>
              <w:spacing w:line="380" w:lineRule="exact"/>
              <w:ind w:firstLine="420"/>
              <w:rPr>
                <w:rFonts w:hAnsi="宋体" w:cs="宋体"/>
                <w:color w:val="auto"/>
                <w:sz w:val="21"/>
                <w:szCs w:val="21"/>
                <w:highlight w:val="none"/>
              </w:rPr>
            </w:pPr>
            <w:r>
              <w:rPr>
                <w:rFonts w:hint="eastAsia" w:hAnsi="宋体" w:cs="宋体"/>
                <w:color w:val="auto"/>
                <w:sz w:val="21"/>
                <w:szCs w:val="21"/>
                <w:highlight w:val="none"/>
              </w:rPr>
              <w:t>我方保证在施工期间严格遵守国家、省、市有关安全、文明施工规定，确保施工安全和第三者的安全，根据施工现场情况保证安全防护、文明施工措施费投入。</w:t>
            </w:r>
          </w:p>
        </w:tc>
        <w:tc>
          <w:tcPr>
            <w:tcW w:w="4796" w:type="dxa"/>
            <w:vAlign w:val="center"/>
          </w:tcPr>
          <w:p w14:paraId="0F4246B4">
            <w:pPr>
              <w:pStyle w:val="66"/>
              <w:spacing w:line="380" w:lineRule="exact"/>
              <w:ind w:firstLine="420"/>
              <w:rPr>
                <w:rFonts w:hAnsi="宋体" w:cs="宋体"/>
                <w:color w:val="auto"/>
                <w:sz w:val="21"/>
                <w:szCs w:val="21"/>
                <w:highlight w:val="none"/>
              </w:rPr>
            </w:pPr>
            <w:r>
              <w:rPr>
                <w:rFonts w:hint="eastAsia" w:hAnsi="宋体" w:cs="宋体"/>
                <w:color w:val="auto"/>
                <w:sz w:val="21"/>
                <w:szCs w:val="21"/>
                <w:highlight w:val="none"/>
              </w:rPr>
              <w:t>若因我方原因，在施工期间发生安全事故，造成施工人员或第三者的伤亡，我方愿意承担由此造成的一切经济损失和法律责任。</w:t>
            </w:r>
          </w:p>
          <w:p w14:paraId="15D00FEA">
            <w:pPr>
              <w:pStyle w:val="66"/>
              <w:spacing w:line="380" w:lineRule="exact"/>
              <w:ind w:firstLine="420"/>
              <w:rPr>
                <w:rFonts w:hAnsi="宋体" w:cs="宋体"/>
                <w:color w:val="auto"/>
                <w:sz w:val="21"/>
                <w:szCs w:val="21"/>
                <w:highlight w:val="none"/>
              </w:rPr>
            </w:pPr>
            <w:r>
              <w:rPr>
                <w:rFonts w:hint="eastAsia" w:hAnsi="宋体" w:cs="宋体"/>
                <w:color w:val="auto"/>
                <w:sz w:val="21"/>
                <w:szCs w:val="21"/>
                <w:highlight w:val="none"/>
              </w:rPr>
              <w:t>若我方在施工中发生一般事故及以上等级生产安全事故，可扣除相当于所有“安全防护、文明施工措施费”的管理费。</w:t>
            </w:r>
          </w:p>
        </w:tc>
      </w:tr>
      <w:tr w14:paraId="1A7EC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26DE4B04">
            <w:pPr>
              <w:pStyle w:val="42"/>
              <w:spacing w:line="380" w:lineRule="exact"/>
              <w:jc w:val="center"/>
              <w:rPr>
                <w:rFonts w:hAnsi="宋体" w:cs="宋体"/>
                <w:color w:val="auto"/>
                <w:sz w:val="21"/>
                <w:szCs w:val="21"/>
                <w:highlight w:val="none"/>
              </w:rPr>
            </w:pPr>
            <w:r>
              <w:rPr>
                <w:rFonts w:hint="eastAsia" w:hAnsi="宋体" w:cs="宋体"/>
                <w:color w:val="auto"/>
                <w:sz w:val="21"/>
                <w:szCs w:val="21"/>
                <w:highlight w:val="none"/>
              </w:rPr>
              <w:t>7</w:t>
            </w:r>
          </w:p>
        </w:tc>
        <w:tc>
          <w:tcPr>
            <w:tcW w:w="1234" w:type="dxa"/>
            <w:vAlign w:val="center"/>
          </w:tcPr>
          <w:p w14:paraId="4425FC6D">
            <w:pPr>
              <w:pStyle w:val="66"/>
              <w:spacing w:line="380" w:lineRule="exact"/>
              <w:ind w:firstLine="0" w:firstLineChars="0"/>
              <w:jc w:val="center"/>
              <w:rPr>
                <w:rFonts w:hAnsi="宋体" w:cs="宋体"/>
                <w:color w:val="auto"/>
                <w:sz w:val="21"/>
                <w:szCs w:val="21"/>
                <w:highlight w:val="none"/>
              </w:rPr>
            </w:pPr>
            <w:r>
              <w:rPr>
                <w:rFonts w:hint="eastAsia" w:hAnsi="宋体" w:cs="宋体"/>
                <w:color w:val="auto"/>
                <w:sz w:val="21"/>
                <w:szCs w:val="21"/>
                <w:highlight w:val="none"/>
              </w:rPr>
              <w:t>质量承诺书</w:t>
            </w:r>
          </w:p>
        </w:tc>
        <w:tc>
          <w:tcPr>
            <w:tcW w:w="3073" w:type="dxa"/>
            <w:vAlign w:val="center"/>
          </w:tcPr>
          <w:p w14:paraId="26BD9F2E">
            <w:pPr>
              <w:pStyle w:val="42"/>
              <w:spacing w:line="380" w:lineRule="exact"/>
              <w:ind w:firstLine="560"/>
              <w:rPr>
                <w:rFonts w:hAnsi="宋体" w:cs="宋体"/>
                <w:color w:val="auto"/>
                <w:sz w:val="21"/>
                <w:szCs w:val="21"/>
                <w:highlight w:val="none"/>
              </w:rPr>
            </w:pPr>
            <w:r>
              <w:rPr>
                <w:rFonts w:hint="eastAsia" w:hAnsi="宋体" w:cs="宋体"/>
                <w:color w:val="auto"/>
                <w:sz w:val="21"/>
                <w:szCs w:val="21"/>
                <w:highlight w:val="none"/>
              </w:rPr>
              <w:t>我方保证按照现行的国家和广东省的有关施工技术规范及现行标准，达到合格标准</w:t>
            </w:r>
          </w:p>
        </w:tc>
        <w:tc>
          <w:tcPr>
            <w:tcW w:w="4796" w:type="dxa"/>
            <w:vAlign w:val="center"/>
          </w:tcPr>
          <w:p w14:paraId="7ACB3FC4">
            <w:pPr>
              <w:pStyle w:val="66"/>
              <w:spacing w:line="380" w:lineRule="exact"/>
              <w:ind w:firstLine="420"/>
              <w:rPr>
                <w:rFonts w:hAnsi="宋体" w:cs="宋体"/>
                <w:color w:val="auto"/>
                <w:sz w:val="21"/>
                <w:szCs w:val="21"/>
                <w:highlight w:val="none"/>
              </w:rPr>
            </w:pPr>
            <w:r>
              <w:rPr>
                <w:rFonts w:hint="eastAsia" w:hAnsi="宋体" w:cs="宋体"/>
                <w:color w:val="auto"/>
                <w:sz w:val="21"/>
                <w:szCs w:val="21"/>
                <w:highlight w:val="none"/>
              </w:rPr>
              <w:t>若因我方原因，工程在竣工验收或分部分项工程验收时没有达到合格标准，我方每次（每分部每分项次）验收检查时按合同价款的1％向招标人缴纳质量违约金。并达到合格标准为止，同时承担所有的责任及经济损失。</w:t>
            </w:r>
          </w:p>
          <w:p w14:paraId="3273DFD2">
            <w:pPr>
              <w:pStyle w:val="66"/>
              <w:spacing w:line="380" w:lineRule="exact"/>
              <w:ind w:firstLine="420"/>
              <w:rPr>
                <w:rFonts w:hAnsi="宋体" w:cs="宋体"/>
                <w:color w:val="auto"/>
                <w:sz w:val="21"/>
                <w:szCs w:val="21"/>
                <w:highlight w:val="none"/>
              </w:rPr>
            </w:pPr>
            <w:r>
              <w:rPr>
                <w:rFonts w:hint="eastAsia" w:hAnsi="宋体" w:cs="宋体"/>
                <w:color w:val="auto"/>
                <w:sz w:val="21"/>
                <w:szCs w:val="21"/>
                <w:highlight w:val="none"/>
              </w:rPr>
              <w:t>在建设或监理单组织的质量检查中，一次一个分项工程实测或其他项、程序不合格不符合要求的，一次向建设单位交纳质量违约金¥1000元/次项，分部工程不合格的一次、一个分部向建设（委托）单位交纳违约金¥2000元/次、项；</w:t>
            </w:r>
          </w:p>
          <w:p w14:paraId="51B32A42">
            <w:pPr>
              <w:pStyle w:val="66"/>
              <w:spacing w:line="380" w:lineRule="exact"/>
              <w:ind w:firstLine="420"/>
              <w:rPr>
                <w:rFonts w:hAnsi="宋体" w:cs="宋体"/>
                <w:color w:val="auto"/>
                <w:sz w:val="21"/>
                <w:szCs w:val="21"/>
                <w:highlight w:val="none"/>
              </w:rPr>
            </w:pPr>
            <w:r>
              <w:rPr>
                <w:rFonts w:hint="eastAsia" w:hAnsi="宋体" w:cs="宋体"/>
                <w:color w:val="auto"/>
                <w:sz w:val="21"/>
                <w:szCs w:val="21"/>
                <w:highlight w:val="none"/>
              </w:rPr>
              <w:t>在省、市监管部门抽查、巡查、专项、随机检查中，一次一个分项工程实测或其他项、程序不合格不符合要求的，一次向建设（委托）单位交纳质量违约金¥2000元/次项，分部工程不合格的一次、一个分部向建设（委托）单位交纳违约金¥5000元/次、项；</w:t>
            </w:r>
          </w:p>
          <w:p w14:paraId="2136627D">
            <w:pPr>
              <w:pStyle w:val="68"/>
              <w:spacing w:line="400" w:lineRule="exact"/>
              <w:ind w:firstLine="420"/>
              <w:rPr>
                <w:rFonts w:hAnsi="宋体" w:cs="宋体"/>
                <w:color w:val="auto"/>
                <w:sz w:val="21"/>
                <w:szCs w:val="21"/>
                <w:highlight w:val="none"/>
              </w:rPr>
            </w:pPr>
            <w:r>
              <w:rPr>
                <w:rFonts w:hint="eastAsia" w:hAnsi="宋体" w:cs="宋体"/>
                <w:color w:val="auto"/>
                <w:sz w:val="21"/>
                <w:szCs w:val="21"/>
                <w:highlight w:val="none"/>
              </w:rPr>
              <w:t>未能在限期内完成质量安全隐患整改的，每逾期一天，向建设单位交纳罚金¥1000元；</w:t>
            </w:r>
          </w:p>
          <w:p w14:paraId="7C92BE35">
            <w:pPr>
              <w:pStyle w:val="68"/>
              <w:spacing w:line="400" w:lineRule="exact"/>
              <w:ind w:firstLine="420"/>
              <w:rPr>
                <w:rFonts w:hAnsi="宋体" w:cs="宋体"/>
                <w:color w:val="auto"/>
                <w:sz w:val="21"/>
                <w:szCs w:val="21"/>
                <w:highlight w:val="none"/>
              </w:rPr>
            </w:pPr>
            <w:r>
              <w:rPr>
                <w:rFonts w:hint="eastAsia" w:hAnsi="宋体" w:cs="宋体"/>
                <w:color w:val="auto"/>
                <w:sz w:val="21"/>
                <w:szCs w:val="21"/>
                <w:highlight w:val="none"/>
              </w:rPr>
              <w:t>未按规定委派专业人员参加检验批、分部分项工程验收，不及时签署验收记录的，一次向建设（委托）单位交纳违约金¥2000元/次、项；</w:t>
            </w:r>
          </w:p>
          <w:p w14:paraId="45733F04">
            <w:pPr>
              <w:pStyle w:val="66"/>
              <w:spacing w:line="380" w:lineRule="exact"/>
              <w:ind w:firstLine="420"/>
              <w:rPr>
                <w:rFonts w:hAnsi="宋体" w:cs="宋体"/>
                <w:color w:val="auto"/>
                <w:sz w:val="21"/>
                <w:szCs w:val="21"/>
                <w:highlight w:val="none"/>
              </w:rPr>
            </w:pPr>
            <w:r>
              <w:rPr>
                <w:rFonts w:hint="eastAsia" w:hAnsi="宋体" w:cs="宋体"/>
                <w:color w:val="auto"/>
                <w:sz w:val="21"/>
                <w:szCs w:val="21"/>
                <w:highlight w:val="none"/>
              </w:rPr>
              <w:t>不按规定委派相关人员参加项目竣工验收的，一次向建设单位交纳违约金¥50000元/项，不签署意见的交纳违约金¥50000元。</w:t>
            </w:r>
          </w:p>
        </w:tc>
      </w:tr>
      <w:tr w14:paraId="1360C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 w:hRule="atLeast"/>
          <w:jc w:val="center"/>
        </w:trPr>
        <w:tc>
          <w:tcPr>
            <w:tcW w:w="656" w:type="dxa"/>
            <w:vAlign w:val="center"/>
          </w:tcPr>
          <w:p w14:paraId="603AF190">
            <w:pPr>
              <w:pStyle w:val="42"/>
              <w:spacing w:line="380" w:lineRule="exact"/>
              <w:jc w:val="center"/>
              <w:rPr>
                <w:rFonts w:hAnsi="宋体" w:cs="宋体"/>
                <w:color w:val="auto"/>
                <w:sz w:val="21"/>
                <w:szCs w:val="21"/>
                <w:highlight w:val="none"/>
              </w:rPr>
            </w:pPr>
            <w:r>
              <w:rPr>
                <w:rFonts w:hint="eastAsia" w:hAnsi="宋体" w:cs="宋体"/>
                <w:color w:val="auto"/>
                <w:sz w:val="21"/>
                <w:szCs w:val="21"/>
                <w:highlight w:val="none"/>
              </w:rPr>
              <w:t>8</w:t>
            </w:r>
          </w:p>
        </w:tc>
        <w:tc>
          <w:tcPr>
            <w:tcW w:w="1234" w:type="dxa"/>
            <w:vAlign w:val="center"/>
          </w:tcPr>
          <w:p w14:paraId="2283E413">
            <w:pPr>
              <w:pStyle w:val="66"/>
              <w:spacing w:line="380" w:lineRule="exact"/>
              <w:ind w:firstLine="0" w:firstLineChars="0"/>
              <w:jc w:val="center"/>
              <w:rPr>
                <w:rFonts w:hAnsi="宋体" w:cs="宋体"/>
                <w:color w:val="auto"/>
                <w:sz w:val="21"/>
                <w:szCs w:val="21"/>
                <w:highlight w:val="none"/>
              </w:rPr>
            </w:pPr>
            <w:r>
              <w:rPr>
                <w:rFonts w:hint="eastAsia" w:hAnsi="宋体" w:cs="宋体"/>
                <w:color w:val="auto"/>
                <w:sz w:val="21"/>
                <w:szCs w:val="21"/>
                <w:highlight w:val="none"/>
              </w:rPr>
              <w:t>账户承诺</w:t>
            </w:r>
          </w:p>
        </w:tc>
        <w:tc>
          <w:tcPr>
            <w:tcW w:w="3073" w:type="dxa"/>
            <w:vAlign w:val="center"/>
          </w:tcPr>
          <w:p w14:paraId="4E9DE533">
            <w:pPr>
              <w:pStyle w:val="68"/>
              <w:spacing w:line="400" w:lineRule="exact"/>
              <w:ind w:firstLine="420"/>
              <w:rPr>
                <w:rFonts w:hAnsi="宋体" w:cs="宋体"/>
                <w:color w:val="auto"/>
                <w:sz w:val="21"/>
                <w:szCs w:val="21"/>
                <w:highlight w:val="none"/>
              </w:rPr>
            </w:pPr>
            <w:r>
              <w:rPr>
                <w:rFonts w:hint="eastAsia" w:hAnsi="宋体" w:cs="宋体"/>
                <w:color w:val="auto"/>
                <w:sz w:val="21"/>
                <w:szCs w:val="21"/>
                <w:highlight w:val="none"/>
              </w:rPr>
              <w:t>我方保证招标人的资金随时可划入合同中规定的我方账户。</w:t>
            </w:r>
          </w:p>
        </w:tc>
        <w:tc>
          <w:tcPr>
            <w:tcW w:w="4796" w:type="dxa"/>
            <w:vAlign w:val="center"/>
          </w:tcPr>
          <w:p w14:paraId="29A6DCA6">
            <w:pPr>
              <w:pStyle w:val="66"/>
              <w:spacing w:line="380" w:lineRule="exact"/>
              <w:ind w:firstLine="412"/>
              <w:rPr>
                <w:rFonts w:hAnsi="宋体" w:cs="宋体"/>
                <w:color w:val="auto"/>
                <w:spacing w:val="-2"/>
                <w:sz w:val="21"/>
                <w:szCs w:val="21"/>
                <w:highlight w:val="none"/>
              </w:rPr>
            </w:pPr>
            <w:r>
              <w:rPr>
                <w:rFonts w:hint="eastAsia" w:hAnsi="宋体" w:cs="宋体"/>
                <w:color w:val="auto"/>
                <w:spacing w:val="-2"/>
                <w:sz w:val="21"/>
                <w:szCs w:val="21"/>
                <w:highlight w:val="none"/>
              </w:rPr>
              <w:t>若因我方原因造成招标人的资金无法划入合同中规定的我方</w:t>
            </w:r>
            <w:r>
              <w:rPr>
                <w:rFonts w:hint="eastAsia" w:hAnsi="宋体" w:cs="宋体"/>
                <w:color w:val="auto"/>
                <w:sz w:val="21"/>
                <w:szCs w:val="21"/>
                <w:highlight w:val="none"/>
              </w:rPr>
              <w:t>账</w:t>
            </w:r>
            <w:r>
              <w:rPr>
                <w:rFonts w:hint="eastAsia" w:hAnsi="宋体" w:cs="宋体"/>
                <w:color w:val="auto"/>
                <w:spacing w:val="-2"/>
                <w:sz w:val="21"/>
                <w:szCs w:val="21"/>
                <w:highlight w:val="none"/>
              </w:rPr>
              <w:t>户，如时间达到30日历天，招标人有权终止合同。我方承担由此造成的所有责任及经济损失。</w:t>
            </w:r>
          </w:p>
        </w:tc>
      </w:tr>
      <w:tr w14:paraId="4D5B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7E50AEC5">
            <w:pPr>
              <w:pStyle w:val="42"/>
              <w:spacing w:line="380" w:lineRule="exact"/>
              <w:jc w:val="center"/>
              <w:rPr>
                <w:rFonts w:hAnsi="宋体" w:cs="宋体"/>
                <w:color w:val="auto"/>
                <w:sz w:val="21"/>
                <w:szCs w:val="21"/>
                <w:highlight w:val="none"/>
              </w:rPr>
            </w:pPr>
            <w:r>
              <w:rPr>
                <w:rFonts w:hint="eastAsia" w:hAnsi="宋体" w:cs="宋体"/>
                <w:color w:val="auto"/>
                <w:sz w:val="21"/>
                <w:szCs w:val="21"/>
                <w:highlight w:val="none"/>
              </w:rPr>
              <w:t>9</w:t>
            </w:r>
          </w:p>
        </w:tc>
        <w:tc>
          <w:tcPr>
            <w:tcW w:w="1234" w:type="dxa"/>
            <w:vAlign w:val="center"/>
          </w:tcPr>
          <w:p w14:paraId="3CF7B859">
            <w:pPr>
              <w:pStyle w:val="66"/>
              <w:spacing w:line="380" w:lineRule="exact"/>
              <w:ind w:firstLine="0" w:firstLineChars="0"/>
              <w:jc w:val="center"/>
              <w:rPr>
                <w:rFonts w:hAnsi="宋体" w:cs="宋体"/>
                <w:color w:val="auto"/>
                <w:sz w:val="21"/>
                <w:szCs w:val="21"/>
                <w:highlight w:val="none"/>
              </w:rPr>
            </w:pPr>
            <w:r>
              <w:rPr>
                <w:rFonts w:hint="eastAsia" w:hAnsi="宋体" w:cs="宋体"/>
                <w:color w:val="auto"/>
                <w:sz w:val="21"/>
                <w:szCs w:val="21"/>
                <w:highlight w:val="none"/>
              </w:rPr>
              <w:t>工程的配合服务承诺</w:t>
            </w:r>
          </w:p>
        </w:tc>
        <w:tc>
          <w:tcPr>
            <w:tcW w:w="3073" w:type="dxa"/>
            <w:vAlign w:val="center"/>
          </w:tcPr>
          <w:p w14:paraId="03D12BFF">
            <w:pPr>
              <w:pStyle w:val="68"/>
              <w:spacing w:line="400" w:lineRule="exact"/>
              <w:ind w:firstLine="420"/>
              <w:rPr>
                <w:rFonts w:hAnsi="宋体" w:cs="宋体"/>
                <w:color w:val="auto"/>
                <w:sz w:val="21"/>
                <w:szCs w:val="21"/>
                <w:highlight w:val="none"/>
              </w:rPr>
            </w:pPr>
            <w:r>
              <w:rPr>
                <w:rFonts w:hint="eastAsia" w:hAnsi="宋体" w:cs="宋体"/>
                <w:color w:val="auto"/>
                <w:sz w:val="21"/>
                <w:szCs w:val="21"/>
                <w:highlight w:val="none"/>
              </w:rPr>
              <w:t>我方服从业主管理，保证配合与工程承包范围内相关的其他标段（工种、分项）工程施工单位的工程施工，不提出额外增加费用的要求。</w:t>
            </w:r>
          </w:p>
        </w:tc>
        <w:tc>
          <w:tcPr>
            <w:tcW w:w="4796" w:type="dxa"/>
            <w:vAlign w:val="center"/>
          </w:tcPr>
          <w:p w14:paraId="273369FA">
            <w:pPr>
              <w:pStyle w:val="66"/>
              <w:spacing w:line="380" w:lineRule="exact"/>
              <w:ind w:firstLine="412"/>
              <w:rPr>
                <w:rFonts w:hAnsi="宋体" w:cs="宋体"/>
                <w:color w:val="auto"/>
                <w:spacing w:val="-2"/>
                <w:sz w:val="21"/>
                <w:szCs w:val="21"/>
                <w:highlight w:val="none"/>
              </w:rPr>
            </w:pPr>
            <w:r>
              <w:rPr>
                <w:rFonts w:hint="eastAsia" w:hAnsi="宋体" w:cs="宋体"/>
                <w:color w:val="auto"/>
                <w:spacing w:val="-2"/>
                <w:sz w:val="21"/>
                <w:szCs w:val="21"/>
                <w:highlight w:val="none"/>
              </w:rPr>
              <w:t>若因我方未及时配合与工程承包范围内相关的其他标段（工种、分项）工程施工单位的工程施工，给招标人或其他施工单位造成损失的，我方承担所有的责任及经济损失。</w:t>
            </w:r>
          </w:p>
        </w:tc>
      </w:tr>
      <w:tr w14:paraId="1F51C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41469535">
            <w:pPr>
              <w:pStyle w:val="42"/>
              <w:spacing w:line="380" w:lineRule="exact"/>
              <w:jc w:val="center"/>
              <w:rPr>
                <w:rFonts w:hAnsi="宋体" w:cs="宋体"/>
                <w:color w:val="auto"/>
                <w:sz w:val="21"/>
                <w:szCs w:val="21"/>
                <w:highlight w:val="none"/>
              </w:rPr>
            </w:pPr>
            <w:r>
              <w:rPr>
                <w:rFonts w:hint="eastAsia" w:hAnsi="宋体" w:cs="宋体"/>
                <w:color w:val="auto"/>
                <w:sz w:val="21"/>
                <w:szCs w:val="21"/>
                <w:highlight w:val="none"/>
              </w:rPr>
              <w:t>10</w:t>
            </w:r>
          </w:p>
        </w:tc>
        <w:tc>
          <w:tcPr>
            <w:tcW w:w="1234" w:type="dxa"/>
            <w:vAlign w:val="center"/>
          </w:tcPr>
          <w:p w14:paraId="4D1B01A4">
            <w:pPr>
              <w:pStyle w:val="70"/>
              <w:spacing w:line="300" w:lineRule="exact"/>
              <w:jc w:val="center"/>
              <w:rPr>
                <w:rFonts w:hAnsi="宋体" w:cs="宋体"/>
                <w:color w:val="auto"/>
                <w:sz w:val="21"/>
                <w:szCs w:val="21"/>
                <w:highlight w:val="none"/>
              </w:rPr>
            </w:pPr>
            <w:r>
              <w:rPr>
                <w:rFonts w:hint="eastAsia" w:hAnsi="宋体" w:cs="宋体"/>
                <w:color w:val="auto"/>
                <w:spacing w:val="-2"/>
                <w:sz w:val="21"/>
                <w:szCs w:val="21"/>
                <w:highlight w:val="none"/>
              </w:rPr>
              <w:t>中标人员承诺</w:t>
            </w:r>
          </w:p>
        </w:tc>
        <w:tc>
          <w:tcPr>
            <w:tcW w:w="3073" w:type="dxa"/>
            <w:vAlign w:val="center"/>
          </w:tcPr>
          <w:p w14:paraId="4B320470">
            <w:pPr>
              <w:pStyle w:val="70"/>
              <w:spacing w:line="300" w:lineRule="exact"/>
              <w:ind w:firstLine="412" w:firstLineChars="200"/>
              <w:rPr>
                <w:rFonts w:hAnsi="宋体" w:cs="宋体"/>
                <w:color w:val="auto"/>
                <w:sz w:val="21"/>
                <w:szCs w:val="21"/>
                <w:highlight w:val="none"/>
              </w:rPr>
            </w:pPr>
            <w:r>
              <w:rPr>
                <w:rFonts w:hint="eastAsia" w:hAnsi="宋体" w:cs="宋体"/>
                <w:color w:val="auto"/>
                <w:spacing w:val="-2"/>
                <w:sz w:val="21"/>
                <w:szCs w:val="21"/>
                <w:highlight w:val="none"/>
              </w:rPr>
              <w:t>我方保证投标文件中所拟派的中标人员全部配合施工现场管理施工。</w:t>
            </w:r>
          </w:p>
        </w:tc>
        <w:tc>
          <w:tcPr>
            <w:tcW w:w="4796" w:type="dxa"/>
            <w:vAlign w:val="center"/>
          </w:tcPr>
          <w:p w14:paraId="5AC97EF9">
            <w:pPr>
              <w:pStyle w:val="66"/>
              <w:spacing w:line="380" w:lineRule="exact"/>
              <w:ind w:firstLine="412"/>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设计单位未能在招标人通知的时间内（提前一天通知，紧急情况随时通知）参加设计交底、处理有关设计问题、参加必要部位隐蔽验收和竣工验收等工作，每人次交纳违约金¥1000元。</w:t>
            </w:r>
          </w:p>
          <w:p w14:paraId="6669E109">
            <w:pPr>
              <w:pStyle w:val="66"/>
              <w:spacing w:line="380" w:lineRule="exact"/>
              <w:ind w:firstLine="412"/>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设计单位驻韶办公的设计负责人（即投标文件所拟派的设计负责人）必须负责本项目设计全过程（包括施工图设计审查、施工图设计修编、预算跟踪服务、图纸会审和技术交底）。设计负责人未准时参加上述环节工作的，每缺席一次交纳违约金¥2000元（以招标人发出的违约通知为准）。</w:t>
            </w:r>
          </w:p>
          <w:p w14:paraId="6402F399">
            <w:pPr>
              <w:pStyle w:val="66"/>
              <w:spacing w:line="380" w:lineRule="exact"/>
              <w:ind w:firstLine="412"/>
              <w:rPr>
                <w:rFonts w:hAnsi="宋体" w:cs="宋体"/>
                <w:color w:val="auto"/>
                <w:spacing w:val="-2"/>
                <w:sz w:val="21"/>
                <w:szCs w:val="21"/>
                <w:highlight w:val="none"/>
              </w:rPr>
            </w:pPr>
            <w:r>
              <w:rPr>
                <w:rFonts w:hint="eastAsia" w:ascii="宋体" w:hAnsi="宋体" w:eastAsia="宋体" w:cs="宋体"/>
                <w:color w:val="auto"/>
                <w:spacing w:val="-2"/>
                <w:sz w:val="21"/>
                <w:szCs w:val="21"/>
                <w:highlight w:val="none"/>
              </w:rPr>
              <w:t>设计单位应委派1名参与并熟悉本项目设计任务，有现场处理经验的设计代表常驻项目现场。中标人应为派驻现场的设计工作人员提供工作、生活及交通等方面的便利条件及准备必要的劳动保护装备。在正常施工阶段，每月应保证最少20天在现场。未经招标人书面许可，缺少1天向建设单位每人每天支付违约金¥2000元/天。</w:t>
            </w:r>
          </w:p>
        </w:tc>
      </w:tr>
      <w:tr w14:paraId="3DFB5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69807CE2">
            <w:pPr>
              <w:pStyle w:val="42"/>
              <w:spacing w:line="380" w:lineRule="exact"/>
              <w:jc w:val="center"/>
              <w:rPr>
                <w:rFonts w:hAnsi="宋体" w:cs="宋体"/>
                <w:color w:val="auto"/>
                <w:sz w:val="21"/>
                <w:szCs w:val="21"/>
                <w:highlight w:val="none"/>
              </w:rPr>
            </w:pPr>
            <w:r>
              <w:rPr>
                <w:rFonts w:hint="eastAsia" w:hAnsi="宋体" w:cs="宋体"/>
                <w:color w:val="auto"/>
                <w:sz w:val="21"/>
                <w:szCs w:val="21"/>
                <w:highlight w:val="none"/>
              </w:rPr>
              <w:t>11</w:t>
            </w:r>
          </w:p>
        </w:tc>
        <w:tc>
          <w:tcPr>
            <w:tcW w:w="1234" w:type="dxa"/>
            <w:vAlign w:val="center"/>
          </w:tcPr>
          <w:p w14:paraId="108E25F5">
            <w:pPr>
              <w:pStyle w:val="66"/>
              <w:spacing w:line="380" w:lineRule="exact"/>
              <w:ind w:firstLine="0" w:firstLineChars="0"/>
              <w:jc w:val="center"/>
              <w:rPr>
                <w:rFonts w:hAnsi="宋体" w:cs="宋体"/>
                <w:color w:val="auto"/>
                <w:sz w:val="21"/>
                <w:szCs w:val="21"/>
                <w:highlight w:val="none"/>
              </w:rPr>
            </w:pPr>
            <w:r>
              <w:rPr>
                <w:rFonts w:hint="eastAsia" w:hAnsi="宋体" w:cs="宋体"/>
                <w:color w:val="auto"/>
                <w:sz w:val="21"/>
                <w:szCs w:val="21"/>
                <w:highlight w:val="none"/>
              </w:rPr>
              <w:t>项目管理班子人员承诺</w:t>
            </w:r>
          </w:p>
        </w:tc>
        <w:tc>
          <w:tcPr>
            <w:tcW w:w="3073" w:type="dxa"/>
            <w:vAlign w:val="center"/>
          </w:tcPr>
          <w:p w14:paraId="09E071AF">
            <w:pPr>
              <w:pStyle w:val="68"/>
              <w:spacing w:line="400" w:lineRule="exact"/>
              <w:ind w:firstLine="420"/>
              <w:rPr>
                <w:rFonts w:hAnsi="宋体" w:cs="宋体"/>
                <w:color w:val="auto"/>
                <w:sz w:val="21"/>
                <w:szCs w:val="21"/>
                <w:highlight w:val="none"/>
              </w:rPr>
            </w:pPr>
            <w:r>
              <w:rPr>
                <w:rFonts w:hint="eastAsia" w:hAnsi="宋体" w:cs="宋体"/>
                <w:color w:val="auto"/>
                <w:sz w:val="21"/>
                <w:szCs w:val="21"/>
                <w:highlight w:val="none"/>
              </w:rPr>
              <w:t>我方保证投标文件中所拟派的项目经理、技术负责人、施工员、质量员、安全员等工程管理人员全部在施工现场管理施工</w:t>
            </w:r>
          </w:p>
        </w:tc>
        <w:tc>
          <w:tcPr>
            <w:tcW w:w="4796" w:type="dxa"/>
            <w:vAlign w:val="center"/>
          </w:tcPr>
          <w:p w14:paraId="40CD18A4">
            <w:pPr>
              <w:pStyle w:val="66"/>
              <w:spacing w:line="380" w:lineRule="exact"/>
              <w:ind w:firstLine="412"/>
              <w:rPr>
                <w:rFonts w:hAnsi="宋体" w:cs="宋体"/>
                <w:color w:val="auto"/>
                <w:spacing w:val="-2"/>
                <w:sz w:val="21"/>
                <w:szCs w:val="21"/>
                <w:highlight w:val="none"/>
              </w:rPr>
            </w:pPr>
            <w:r>
              <w:rPr>
                <w:rFonts w:hint="eastAsia" w:hAnsi="宋体" w:cs="宋体"/>
                <w:color w:val="auto"/>
                <w:spacing w:val="-2"/>
                <w:sz w:val="21"/>
                <w:szCs w:val="21"/>
                <w:highlight w:val="none"/>
              </w:rPr>
              <w:t>承诺施工期间如左所叙施工现场管理人员按要求每日办理签到手续，如未经招标人同意未办理签到，向建设单位每人每天支付违约金</w:t>
            </w:r>
            <w:r>
              <w:rPr>
                <w:rFonts w:hint="eastAsia" w:hAnsi="宋体" w:cs="宋体"/>
                <w:color w:val="auto"/>
                <w:sz w:val="21"/>
                <w:szCs w:val="21"/>
                <w:highlight w:val="none"/>
              </w:rPr>
              <w:t>¥</w:t>
            </w:r>
            <w:r>
              <w:rPr>
                <w:rFonts w:hint="eastAsia" w:hAnsi="宋体" w:cs="宋体"/>
                <w:color w:val="auto"/>
                <w:spacing w:val="-2"/>
                <w:sz w:val="21"/>
                <w:szCs w:val="21"/>
                <w:highlight w:val="none"/>
              </w:rPr>
              <w:t>1000元（项目经理未签到每天支付违约金</w:t>
            </w:r>
            <w:r>
              <w:rPr>
                <w:rFonts w:hint="eastAsia" w:hAnsi="宋体" w:cs="宋体"/>
                <w:color w:val="auto"/>
                <w:sz w:val="21"/>
                <w:szCs w:val="21"/>
                <w:highlight w:val="none"/>
              </w:rPr>
              <w:t>¥</w:t>
            </w:r>
            <w:r>
              <w:rPr>
                <w:rFonts w:hint="eastAsia" w:hAnsi="宋体" w:cs="宋体"/>
                <w:color w:val="auto"/>
                <w:spacing w:val="-2"/>
                <w:sz w:val="21"/>
                <w:szCs w:val="21"/>
                <w:highlight w:val="none"/>
              </w:rPr>
              <w:t>2000元）；</w:t>
            </w:r>
          </w:p>
          <w:p w14:paraId="191C50B7">
            <w:pPr>
              <w:pStyle w:val="66"/>
              <w:spacing w:line="380" w:lineRule="exact"/>
              <w:ind w:firstLine="412"/>
              <w:rPr>
                <w:rFonts w:hAnsi="宋体" w:cs="宋体"/>
                <w:color w:val="auto"/>
                <w:spacing w:val="-2"/>
                <w:sz w:val="21"/>
                <w:szCs w:val="21"/>
                <w:highlight w:val="none"/>
              </w:rPr>
            </w:pPr>
            <w:r>
              <w:rPr>
                <w:rFonts w:hint="eastAsia" w:hAnsi="宋体" w:cs="宋体"/>
                <w:color w:val="auto"/>
                <w:spacing w:val="-2"/>
                <w:sz w:val="21"/>
                <w:szCs w:val="21"/>
                <w:highlight w:val="none"/>
              </w:rPr>
              <w:t>若我方的投标文件中所拟派的如左所述任何一个管理人员未经招标人或招标人同意擅自离岗，在一个月内达到10次/人，或项目经理、技术负责人在施工过程中每月驻场少于22天的，招标人有权终止合同。我方承担由此造成的所有责任及经济损失。</w:t>
            </w:r>
          </w:p>
        </w:tc>
      </w:tr>
      <w:tr w14:paraId="23FDA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3" w:hRule="atLeast"/>
          <w:jc w:val="center"/>
        </w:trPr>
        <w:tc>
          <w:tcPr>
            <w:tcW w:w="656" w:type="dxa"/>
            <w:vAlign w:val="center"/>
          </w:tcPr>
          <w:p w14:paraId="62AE2BCA">
            <w:pPr>
              <w:pStyle w:val="42"/>
              <w:spacing w:line="380" w:lineRule="exact"/>
              <w:jc w:val="center"/>
              <w:rPr>
                <w:rFonts w:hAnsi="宋体" w:cs="宋体"/>
                <w:color w:val="auto"/>
                <w:sz w:val="21"/>
                <w:szCs w:val="21"/>
                <w:highlight w:val="none"/>
              </w:rPr>
            </w:pPr>
            <w:r>
              <w:rPr>
                <w:rFonts w:hint="eastAsia" w:hAnsi="宋体" w:cs="宋体"/>
                <w:color w:val="auto"/>
                <w:sz w:val="21"/>
                <w:szCs w:val="21"/>
                <w:highlight w:val="none"/>
              </w:rPr>
              <w:t>12</w:t>
            </w:r>
          </w:p>
        </w:tc>
        <w:tc>
          <w:tcPr>
            <w:tcW w:w="1234" w:type="dxa"/>
            <w:vAlign w:val="center"/>
          </w:tcPr>
          <w:p w14:paraId="2581EFB8">
            <w:pPr>
              <w:pStyle w:val="66"/>
              <w:spacing w:line="380" w:lineRule="exact"/>
              <w:ind w:firstLine="0" w:firstLineChars="0"/>
              <w:jc w:val="center"/>
              <w:rPr>
                <w:rFonts w:hAnsi="宋体" w:cs="宋体"/>
                <w:color w:val="auto"/>
                <w:sz w:val="21"/>
                <w:szCs w:val="21"/>
                <w:highlight w:val="none"/>
              </w:rPr>
            </w:pPr>
            <w:r>
              <w:rPr>
                <w:rFonts w:hint="eastAsia" w:hAnsi="宋体" w:cs="宋体"/>
                <w:color w:val="auto"/>
                <w:sz w:val="21"/>
                <w:szCs w:val="21"/>
                <w:highlight w:val="none"/>
              </w:rPr>
              <w:t>对支付农民工工资的承诺</w:t>
            </w:r>
          </w:p>
        </w:tc>
        <w:tc>
          <w:tcPr>
            <w:tcW w:w="3073" w:type="dxa"/>
            <w:vAlign w:val="center"/>
          </w:tcPr>
          <w:p w14:paraId="460E7DAF">
            <w:pPr>
              <w:pStyle w:val="66"/>
              <w:spacing w:line="380" w:lineRule="exact"/>
              <w:ind w:firstLine="206" w:firstLineChars="100"/>
              <w:rPr>
                <w:rFonts w:hAnsi="宋体" w:cs="宋体"/>
                <w:color w:val="auto"/>
                <w:sz w:val="21"/>
                <w:szCs w:val="21"/>
                <w:highlight w:val="none"/>
              </w:rPr>
            </w:pPr>
            <w:r>
              <w:rPr>
                <w:rFonts w:hint="eastAsia" w:hAnsi="宋体" w:cs="宋体"/>
                <w:color w:val="auto"/>
                <w:spacing w:val="-2"/>
                <w:sz w:val="21"/>
                <w:szCs w:val="21"/>
                <w:highlight w:val="none"/>
              </w:rPr>
              <w:t>如我方中标，我方无条件同意按照用工合同支付</w:t>
            </w:r>
            <w:r>
              <w:rPr>
                <w:rFonts w:hint="eastAsia" w:hAnsi="宋体" w:cs="宋体"/>
                <w:color w:val="auto"/>
                <w:sz w:val="21"/>
                <w:szCs w:val="21"/>
                <w:highlight w:val="none"/>
              </w:rPr>
              <w:t>农民工工资。</w:t>
            </w:r>
          </w:p>
        </w:tc>
        <w:tc>
          <w:tcPr>
            <w:tcW w:w="4796" w:type="dxa"/>
            <w:vAlign w:val="center"/>
          </w:tcPr>
          <w:p w14:paraId="341E2CDD">
            <w:pPr>
              <w:pStyle w:val="66"/>
              <w:spacing w:line="380" w:lineRule="exact"/>
              <w:ind w:firstLine="412"/>
              <w:rPr>
                <w:rFonts w:hAnsi="宋体" w:cs="宋体"/>
                <w:color w:val="auto"/>
                <w:sz w:val="21"/>
                <w:szCs w:val="21"/>
                <w:highlight w:val="none"/>
              </w:rPr>
            </w:pPr>
            <w:r>
              <w:rPr>
                <w:rFonts w:hint="eastAsia" w:hAnsi="宋体" w:cs="宋体"/>
                <w:color w:val="auto"/>
                <w:spacing w:val="-2"/>
                <w:sz w:val="21"/>
                <w:szCs w:val="21"/>
                <w:highlight w:val="none"/>
              </w:rPr>
              <w:t>如我方中标，我方无条件同意按照用工合同支付</w:t>
            </w:r>
            <w:r>
              <w:rPr>
                <w:rFonts w:hint="eastAsia" w:hAnsi="宋体" w:cs="宋体"/>
                <w:color w:val="auto"/>
                <w:sz w:val="21"/>
                <w:szCs w:val="21"/>
                <w:highlight w:val="none"/>
              </w:rPr>
              <w:t>农民工工资。否则，招标人有权终止合同，扣除履约保证金，并由招标人先行垫付农民工被拖欠的工资，数额以未结清的工程数为限。</w:t>
            </w:r>
          </w:p>
        </w:tc>
      </w:tr>
      <w:tr w14:paraId="1501E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2168FE62">
            <w:pPr>
              <w:pStyle w:val="42"/>
              <w:spacing w:line="380" w:lineRule="exact"/>
              <w:jc w:val="center"/>
              <w:rPr>
                <w:rFonts w:hAnsi="宋体" w:cs="宋体"/>
                <w:color w:val="auto"/>
                <w:sz w:val="21"/>
                <w:szCs w:val="21"/>
                <w:highlight w:val="none"/>
              </w:rPr>
            </w:pPr>
            <w:r>
              <w:rPr>
                <w:rFonts w:hint="eastAsia" w:hAnsi="宋体" w:cs="宋体"/>
                <w:color w:val="auto"/>
                <w:sz w:val="21"/>
                <w:szCs w:val="21"/>
                <w:highlight w:val="none"/>
              </w:rPr>
              <w:t>13</w:t>
            </w:r>
          </w:p>
        </w:tc>
        <w:tc>
          <w:tcPr>
            <w:tcW w:w="1234" w:type="dxa"/>
            <w:vAlign w:val="center"/>
          </w:tcPr>
          <w:p w14:paraId="51E98C72">
            <w:pPr>
              <w:pStyle w:val="66"/>
              <w:spacing w:line="380" w:lineRule="exact"/>
              <w:ind w:firstLine="0" w:firstLineChars="0"/>
              <w:jc w:val="center"/>
              <w:rPr>
                <w:rFonts w:hAnsi="宋体" w:cs="宋体"/>
                <w:color w:val="auto"/>
                <w:sz w:val="21"/>
                <w:szCs w:val="21"/>
                <w:highlight w:val="none"/>
              </w:rPr>
            </w:pPr>
            <w:r>
              <w:rPr>
                <w:rFonts w:hint="eastAsia" w:hAnsi="宋体" w:cs="宋体"/>
                <w:color w:val="auto"/>
                <w:sz w:val="21"/>
                <w:szCs w:val="21"/>
                <w:highlight w:val="none"/>
              </w:rPr>
              <w:t>施工组织设计承诺</w:t>
            </w:r>
          </w:p>
        </w:tc>
        <w:tc>
          <w:tcPr>
            <w:tcW w:w="3073" w:type="dxa"/>
            <w:vAlign w:val="center"/>
          </w:tcPr>
          <w:p w14:paraId="5A564A02">
            <w:pPr>
              <w:pStyle w:val="66"/>
              <w:spacing w:line="380" w:lineRule="exact"/>
              <w:ind w:firstLine="210" w:firstLineChars="100"/>
              <w:rPr>
                <w:rFonts w:hAnsi="宋体" w:cs="宋体"/>
                <w:color w:val="auto"/>
                <w:sz w:val="21"/>
                <w:szCs w:val="21"/>
                <w:highlight w:val="none"/>
              </w:rPr>
            </w:pPr>
            <w:r>
              <w:rPr>
                <w:rFonts w:hint="eastAsia" w:hAnsi="宋体" w:cs="宋体"/>
                <w:color w:val="auto"/>
                <w:sz w:val="21"/>
                <w:szCs w:val="21"/>
                <w:highlight w:val="none"/>
              </w:rPr>
              <w:t>我方保证施工组织设计按照国家省市有关规定进行编写。</w:t>
            </w:r>
          </w:p>
        </w:tc>
        <w:tc>
          <w:tcPr>
            <w:tcW w:w="4796" w:type="dxa"/>
            <w:vAlign w:val="center"/>
          </w:tcPr>
          <w:p w14:paraId="77E02CEA">
            <w:pPr>
              <w:pStyle w:val="66"/>
              <w:spacing w:line="380" w:lineRule="exact"/>
              <w:ind w:firstLine="210" w:firstLineChars="100"/>
              <w:rPr>
                <w:rFonts w:hAnsi="宋体" w:cs="宋体"/>
                <w:color w:val="auto"/>
                <w:sz w:val="21"/>
                <w:szCs w:val="21"/>
                <w:highlight w:val="none"/>
              </w:rPr>
            </w:pPr>
            <w:r>
              <w:rPr>
                <w:rFonts w:hint="eastAsia" w:hAnsi="宋体" w:cs="宋体"/>
                <w:color w:val="auto"/>
                <w:sz w:val="21"/>
                <w:szCs w:val="21"/>
                <w:highlight w:val="none"/>
              </w:rPr>
              <w:t>如我方的施工组织设计未根据招标项目情况按照国家省市有关规定进行编写的，扣除全部履约保证金。</w:t>
            </w:r>
          </w:p>
        </w:tc>
      </w:tr>
      <w:tr w14:paraId="560E9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55A88139">
            <w:pPr>
              <w:pStyle w:val="72"/>
              <w:spacing w:line="300" w:lineRule="exact"/>
              <w:jc w:val="center"/>
              <w:rPr>
                <w:rFonts w:hAnsi="宋体" w:cs="宋体"/>
                <w:color w:val="auto"/>
                <w:sz w:val="21"/>
                <w:szCs w:val="21"/>
                <w:highlight w:val="none"/>
              </w:rPr>
            </w:pPr>
            <w:r>
              <w:rPr>
                <w:rFonts w:hint="eastAsia" w:hAnsi="宋体" w:cs="宋体"/>
                <w:color w:val="auto"/>
                <w:sz w:val="21"/>
                <w:szCs w:val="21"/>
                <w:highlight w:val="none"/>
              </w:rPr>
              <w:t>14</w:t>
            </w:r>
          </w:p>
        </w:tc>
        <w:tc>
          <w:tcPr>
            <w:tcW w:w="1234" w:type="dxa"/>
            <w:vAlign w:val="center"/>
          </w:tcPr>
          <w:p w14:paraId="74DEBB7B">
            <w:pPr>
              <w:pStyle w:val="72"/>
              <w:spacing w:line="300" w:lineRule="exact"/>
              <w:jc w:val="center"/>
              <w:rPr>
                <w:rFonts w:hAnsi="宋体" w:cs="宋体"/>
                <w:color w:val="auto"/>
                <w:sz w:val="21"/>
                <w:szCs w:val="21"/>
                <w:highlight w:val="none"/>
              </w:rPr>
            </w:pPr>
            <w:r>
              <w:rPr>
                <w:rFonts w:hint="eastAsia" w:hAnsi="宋体" w:cs="宋体"/>
                <w:color w:val="auto"/>
                <w:sz w:val="21"/>
                <w:szCs w:val="21"/>
                <w:highlight w:val="none"/>
              </w:rPr>
              <w:t>设计承诺</w:t>
            </w:r>
          </w:p>
        </w:tc>
        <w:tc>
          <w:tcPr>
            <w:tcW w:w="3073" w:type="dxa"/>
            <w:vAlign w:val="center"/>
          </w:tcPr>
          <w:p w14:paraId="7C76DCE3">
            <w:pPr>
              <w:pStyle w:val="66"/>
              <w:spacing w:line="380" w:lineRule="exact"/>
              <w:ind w:firstLine="412"/>
              <w:rPr>
                <w:rFonts w:hAnsi="宋体" w:cs="宋体"/>
                <w:color w:val="auto"/>
                <w:sz w:val="21"/>
                <w:szCs w:val="21"/>
                <w:highlight w:val="none"/>
              </w:rPr>
            </w:pPr>
            <w:r>
              <w:rPr>
                <w:rFonts w:hint="eastAsia" w:ascii="宋体" w:hAnsi="宋体" w:eastAsia="宋体" w:cs="宋体"/>
                <w:color w:val="auto"/>
                <w:spacing w:val="-2"/>
                <w:sz w:val="21"/>
                <w:szCs w:val="21"/>
                <w:highlight w:val="none"/>
              </w:rPr>
              <w:t>如我方中标，我方保证按设计规范及有关法律法规进行设计，并准时提供相应设计文件经审图机构审查通过。</w:t>
            </w:r>
          </w:p>
        </w:tc>
        <w:tc>
          <w:tcPr>
            <w:tcW w:w="4796" w:type="dxa"/>
            <w:vAlign w:val="center"/>
          </w:tcPr>
          <w:p w14:paraId="58167D49">
            <w:pPr>
              <w:pStyle w:val="66"/>
              <w:spacing w:line="380" w:lineRule="exact"/>
              <w:ind w:firstLine="412"/>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如我方中标，未能按招标文件要求提供设计文件，招标人有权终止合同，扣除设计费的10%作为违约罚款，并由招标人另行委托相应资质的单位进行设计，其费用由中标人支付，施工工期不予顺延且不另外计取赶工措施费。</w:t>
            </w:r>
          </w:p>
          <w:p w14:paraId="32954EE4">
            <w:pPr>
              <w:pStyle w:val="66"/>
              <w:spacing w:line="380" w:lineRule="exact"/>
              <w:ind w:firstLine="412"/>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由于设计人设计工作错误造成工程设计质量事故，根据责任情况，负责赔偿工程损失费，但最高不超过该项目应收设计费总额，负责采取补救措施。</w:t>
            </w:r>
          </w:p>
          <w:p w14:paraId="00C3F214">
            <w:pPr>
              <w:pStyle w:val="66"/>
              <w:spacing w:line="380" w:lineRule="exact"/>
              <w:ind w:firstLine="412"/>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施工期间除发包人要求或特殊地质原因外，因设计质量和深度不够的原因引起的工程返工或需要设计变更引起工程造价增加的，每次扣减设计合同价款中设计费的2％，扣完为止。</w:t>
            </w:r>
          </w:p>
          <w:p w14:paraId="195F100E">
            <w:pPr>
              <w:pStyle w:val="66"/>
              <w:spacing w:line="380" w:lineRule="exact"/>
              <w:ind w:firstLine="412"/>
              <w:rPr>
                <w:rFonts w:hAnsi="宋体" w:cs="宋体"/>
                <w:color w:val="auto"/>
                <w:sz w:val="21"/>
                <w:szCs w:val="21"/>
                <w:highlight w:val="none"/>
              </w:rPr>
            </w:pPr>
            <w:r>
              <w:rPr>
                <w:rFonts w:hint="eastAsia" w:ascii="宋体" w:hAnsi="宋体" w:eastAsia="宋体" w:cs="宋体"/>
                <w:color w:val="auto"/>
                <w:spacing w:val="-2"/>
                <w:sz w:val="21"/>
                <w:szCs w:val="21"/>
                <w:highlight w:val="none"/>
              </w:rPr>
              <w:t>因设计单位自身原因造成工程结算超施工招标中标价的，扣除应付设计合同价款中的余款。</w:t>
            </w:r>
          </w:p>
        </w:tc>
      </w:tr>
      <w:tr w14:paraId="5870D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7219D6FD">
            <w:pPr>
              <w:pStyle w:val="42"/>
              <w:spacing w:line="380" w:lineRule="exact"/>
              <w:jc w:val="center"/>
              <w:rPr>
                <w:rFonts w:hAnsi="宋体" w:cs="宋体"/>
                <w:color w:val="auto"/>
                <w:sz w:val="21"/>
                <w:szCs w:val="21"/>
                <w:highlight w:val="none"/>
              </w:rPr>
            </w:pPr>
            <w:r>
              <w:rPr>
                <w:rFonts w:hint="eastAsia" w:hAnsi="宋体" w:cs="宋体"/>
                <w:color w:val="auto"/>
                <w:sz w:val="21"/>
                <w:szCs w:val="21"/>
                <w:highlight w:val="none"/>
              </w:rPr>
              <w:t>15</w:t>
            </w:r>
          </w:p>
        </w:tc>
        <w:tc>
          <w:tcPr>
            <w:tcW w:w="1234" w:type="dxa"/>
            <w:vAlign w:val="center"/>
          </w:tcPr>
          <w:p w14:paraId="45171FFF">
            <w:pPr>
              <w:pStyle w:val="66"/>
              <w:spacing w:line="380" w:lineRule="exact"/>
              <w:ind w:firstLine="0" w:firstLineChars="0"/>
              <w:jc w:val="center"/>
              <w:rPr>
                <w:rFonts w:hAnsi="宋体" w:cs="宋体"/>
                <w:color w:val="auto"/>
                <w:sz w:val="21"/>
                <w:szCs w:val="21"/>
                <w:highlight w:val="none"/>
              </w:rPr>
            </w:pPr>
            <w:r>
              <w:rPr>
                <w:rFonts w:hint="eastAsia" w:hAnsi="宋体" w:cs="宋体"/>
                <w:color w:val="auto"/>
                <w:sz w:val="21"/>
                <w:szCs w:val="21"/>
                <w:highlight w:val="none"/>
              </w:rPr>
              <w:t>综合服务能力承诺</w:t>
            </w:r>
          </w:p>
        </w:tc>
        <w:tc>
          <w:tcPr>
            <w:tcW w:w="3073" w:type="dxa"/>
            <w:vAlign w:val="center"/>
          </w:tcPr>
          <w:p w14:paraId="1DE0674B">
            <w:pPr>
              <w:pStyle w:val="66"/>
              <w:spacing w:line="380" w:lineRule="exact"/>
              <w:ind w:firstLine="420"/>
              <w:rPr>
                <w:rFonts w:hAnsi="宋体" w:cs="宋体"/>
                <w:color w:val="auto"/>
                <w:sz w:val="21"/>
                <w:szCs w:val="21"/>
                <w:highlight w:val="none"/>
              </w:rPr>
            </w:pPr>
            <w:r>
              <w:rPr>
                <w:rFonts w:hint="eastAsia" w:hAnsi="宋体" w:cs="宋体"/>
                <w:color w:val="auto"/>
                <w:sz w:val="21"/>
                <w:szCs w:val="21"/>
                <w:highlight w:val="none"/>
              </w:rPr>
              <w:t>我方保证中标后，自行解决施工中遇到的各种外部问题，协调周边企业、村民关系，并承担由此产生的所以责任及损失。</w:t>
            </w:r>
          </w:p>
        </w:tc>
        <w:tc>
          <w:tcPr>
            <w:tcW w:w="4796" w:type="dxa"/>
            <w:vAlign w:val="center"/>
          </w:tcPr>
          <w:p w14:paraId="03FDEAE9">
            <w:pPr>
              <w:pStyle w:val="66"/>
              <w:spacing w:line="380" w:lineRule="exact"/>
              <w:ind w:firstLine="420"/>
              <w:jc w:val="left"/>
              <w:rPr>
                <w:rFonts w:hAnsi="宋体" w:cs="宋体"/>
                <w:color w:val="auto"/>
                <w:sz w:val="21"/>
                <w:szCs w:val="21"/>
                <w:highlight w:val="none"/>
              </w:rPr>
            </w:pPr>
            <w:r>
              <w:rPr>
                <w:rFonts w:hint="eastAsia" w:hAnsi="宋体" w:cs="宋体"/>
                <w:color w:val="auto"/>
                <w:sz w:val="21"/>
                <w:szCs w:val="21"/>
                <w:highlight w:val="none"/>
              </w:rPr>
              <w:t>若我方未能按招标文件所承诺的各项承诺完成时，我方同意按比例扣除相应履约保证金，并承担由此引起的所有责任。</w:t>
            </w:r>
          </w:p>
        </w:tc>
      </w:tr>
      <w:tr w14:paraId="2A65D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07C8C08E">
            <w:pPr>
              <w:pStyle w:val="42"/>
              <w:spacing w:line="380" w:lineRule="exact"/>
              <w:jc w:val="center"/>
              <w:rPr>
                <w:rFonts w:hAnsi="宋体" w:cs="宋体"/>
                <w:color w:val="auto"/>
                <w:sz w:val="21"/>
                <w:szCs w:val="21"/>
                <w:highlight w:val="none"/>
              </w:rPr>
            </w:pPr>
            <w:r>
              <w:rPr>
                <w:rFonts w:hint="eastAsia" w:hAnsi="宋体" w:cs="宋体"/>
                <w:color w:val="auto"/>
                <w:sz w:val="21"/>
                <w:szCs w:val="21"/>
                <w:highlight w:val="none"/>
              </w:rPr>
              <w:t>16</w:t>
            </w:r>
          </w:p>
        </w:tc>
        <w:tc>
          <w:tcPr>
            <w:tcW w:w="1234" w:type="dxa"/>
            <w:vAlign w:val="center"/>
          </w:tcPr>
          <w:p w14:paraId="0A31A17C">
            <w:pPr>
              <w:pStyle w:val="66"/>
              <w:spacing w:line="380" w:lineRule="exact"/>
              <w:ind w:firstLine="0" w:firstLineChars="0"/>
              <w:jc w:val="center"/>
              <w:rPr>
                <w:rFonts w:hAnsi="宋体" w:cs="宋体"/>
                <w:color w:val="auto"/>
                <w:sz w:val="21"/>
                <w:szCs w:val="21"/>
                <w:highlight w:val="none"/>
              </w:rPr>
            </w:pPr>
            <w:r>
              <w:rPr>
                <w:rFonts w:hint="eastAsia" w:hAnsi="宋体" w:cs="宋体"/>
                <w:color w:val="auto"/>
                <w:sz w:val="21"/>
                <w:szCs w:val="21"/>
                <w:highlight w:val="none"/>
              </w:rPr>
              <w:t>廉政承诺</w:t>
            </w:r>
          </w:p>
        </w:tc>
        <w:tc>
          <w:tcPr>
            <w:tcW w:w="3073" w:type="dxa"/>
            <w:vAlign w:val="center"/>
          </w:tcPr>
          <w:p w14:paraId="6292D401">
            <w:pPr>
              <w:pStyle w:val="66"/>
              <w:spacing w:line="380" w:lineRule="exact"/>
              <w:ind w:firstLine="420"/>
              <w:rPr>
                <w:rFonts w:hAnsi="宋体" w:cs="宋体"/>
                <w:color w:val="auto"/>
                <w:sz w:val="21"/>
                <w:szCs w:val="21"/>
                <w:highlight w:val="none"/>
              </w:rPr>
            </w:pPr>
            <w:r>
              <w:rPr>
                <w:rFonts w:hint="eastAsia" w:hAnsi="宋体" w:cs="宋体"/>
                <w:color w:val="auto"/>
                <w:sz w:val="21"/>
                <w:szCs w:val="21"/>
                <w:highlight w:val="none"/>
              </w:rPr>
              <w:t>如我方中标，我方将严格执行国家、广东省、韶关市有关工程建设廉政的有关法律法规及双方签订的廉政合同。</w:t>
            </w:r>
          </w:p>
        </w:tc>
        <w:tc>
          <w:tcPr>
            <w:tcW w:w="4796" w:type="dxa"/>
            <w:vAlign w:val="center"/>
          </w:tcPr>
          <w:p w14:paraId="3A35C4B9">
            <w:pPr>
              <w:pStyle w:val="66"/>
              <w:spacing w:line="380" w:lineRule="exact"/>
              <w:ind w:firstLine="420"/>
              <w:jc w:val="left"/>
              <w:rPr>
                <w:rFonts w:hAnsi="宋体" w:cs="宋体"/>
                <w:color w:val="auto"/>
                <w:sz w:val="21"/>
                <w:szCs w:val="21"/>
                <w:highlight w:val="none"/>
              </w:rPr>
            </w:pPr>
            <w:r>
              <w:rPr>
                <w:rFonts w:hint="eastAsia" w:hAnsi="宋体" w:cs="宋体"/>
                <w:color w:val="auto"/>
                <w:sz w:val="21"/>
                <w:szCs w:val="21"/>
                <w:highlight w:val="none"/>
              </w:rPr>
              <w:t>如我方违反国家、广东省、韶关市有关工程建设廉政的有关法律法规及双方签订的廉政合同，受到相关主管部门的通报或查处，招标人可按规定对我方进行处罚，情节严重时招标人可终止合同，我方承担由此造成的所有责任和经济损失。</w:t>
            </w:r>
          </w:p>
        </w:tc>
      </w:tr>
      <w:tr w14:paraId="0AAF7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0E7AA770">
            <w:pPr>
              <w:pStyle w:val="42"/>
              <w:spacing w:line="380" w:lineRule="exact"/>
              <w:jc w:val="center"/>
              <w:rPr>
                <w:rFonts w:hAnsi="宋体" w:cs="宋体"/>
                <w:color w:val="auto"/>
                <w:sz w:val="21"/>
                <w:szCs w:val="21"/>
                <w:highlight w:val="none"/>
              </w:rPr>
            </w:pPr>
            <w:r>
              <w:rPr>
                <w:rFonts w:hint="eastAsia" w:hAnsi="宋体" w:cs="宋体"/>
                <w:color w:val="auto"/>
                <w:sz w:val="21"/>
                <w:szCs w:val="21"/>
                <w:highlight w:val="none"/>
              </w:rPr>
              <w:t>17</w:t>
            </w:r>
          </w:p>
        </w:tc>
        <w:tc>
          <w:tcPr>
            <w:tcW w:w="1234" w:type="dxa"/>
            <w:vAlign w:val="center"/>
          </w:tcPr>
          <w:p w14:paraId="18E000EE">
            <w:pPr>
              <w:spacing w:line="300" w:lineRule="exact"/>
              <w:jc w:val="center"/>
              <w:rPr>
                <w:rFonts w:hint="default" w:hAnsi="宋体" w:eastAsia="宋体" w:cs="宋体"/>
                <w:color w:val="auto"/>
                <w:sz w:val="21"/>
                <w:szCs w:val="21"/>
                <w:highlight w:val="none"/>
              </w:rPr>
            </w:pPr>
            <w:r>
              <w:rPr>
                <w:rFonts w:hAnsi="宋体" w:eastAsia="宋体" w:cs="宋体"/>
                <w:color w:val="auto"/>
                <w:sz w:val="21"/>
                <w:szCs w:val="21"/>
                <w:highlight w:val="none"/>
              </w:rPr>
              <w:t>对外协调关系承诺</w:t>
            </w:r>
          </w:p>
        </w:tc>
        <w:tc>
          <w:tcPr>
            <w:tcW w:w="3073" w:type="dxa"/>
            <w:vAlign w:val="center"/>
          </w:tcPr>
          <w:p w14:paraId="72C16216">
            <w:pPr>
              <w:pStyle w:val="66"/>
              <w:spacing w:line="380" w:lineRule="exact"/>
              <w:ind w:firstLine="420"/>
              <w:rPr>
                <w:rFonts w:hint="default" w:ascii="宋体" w:hAnsi="宋体" w:eastAsia="宋体" w:cs="宋体"/>
                <w:color w:val="auto"/>
                <w:sz w:val="21"/>
                <w:szCs w:val="21"/>
                <w:highlight w:val="none"/>
              </w:rPr>
            </w:pPr>
            <w:r>
              <w:rPr>
                <w:rFonts w:hint="eastAsia" w:ascii="宋体" w:hAnsi="宋体" w:eastAsia="宋体" w:cs="宋体"/>
                <w:color w:val="auto"/>
                <w:sz w:val="21"/>
                <w:szCs w:val="21"/>
                <w:highlight w:val="none"/>
              </w:rPr>
              <w:t>我方保证中标后，自行解决施工中遇到的各种外部问题，协调周边企业、村民关系，并承担由此产生的所有责任及损失。</w:t>
            </w:r>
          </w:p>
        </w:tc>
        <w:tc>
          <w:tcPr>
            <w:tcW w:w="4796" w:type="dxa"/>
            <w:vAlign w:val="center"/>
          </w:tcPr>
          <w:p w14:paraId="6AD01869">
            <w:pPr>
              <w:pStyle w:val="66"/>
              <w:spacing w:line="380" w:lineRule="exact"/>
              <w:ind w:firstLine="420"/>
              <w:rPr>
                <w:rFonts w:hint="default" w:ascii="宋体" w:hAnsi="宋体" w:eastAsia="宋体" w:cs="宋体"/>
                <w:color w:val="auto"/>
                <w:sz w:val="21"/>
                <w:szCs w:val="21"/>
                <w:highlight w:val="none"/>
              </w:rPr>
            </w:pPr>
            <w:r>
              <w:rPr>
                <w:rFonts w:hint="eastAsia" w:ascii="宋体" w:hAnsi="宋体" w:eastAsia="宋体" w:cs="宋体"/>
                <w:color w:val="auto"/>
                <w:sz w:val="21"/>
                <w:szCs w:val="21"/>
                <w:highlight w:val="none"/>
              </w:rPr>
              <w:t>若我方未能按招标文件所承诺的各项承诺完成时，我方同意按比例扣除相应履约保证金，并承担由此引起的所有责任。</w:t>
            </w:r>
          </w:p>
        </w:tc>
      </w:tr>
      <w:tr w14:paraId="61BB8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3B8BF664">
            <w:pPr>
              <w:pStyle w:val="42"/>
              <w:spacing w:line="240" w:lineRule="auto"/>
              <w:jc w:val="center"/>
              <w:rPr>
                <w:rFonts w:hAnsi="宋体" w:cs="宋体"/>
                <w:color w:val="auto"/>
                <w:sz w:val="21"/>
                <w:szCs w:val="21"/>
                <w:highlight w:val="none"/>
              </w:rPr>
            </w:pPr>
            <w:r>
              <w:rPr>
                <w:rFonts w:hint="eastAsia" w:hAnsi="宋体" w:cs="宋体"/>
                <w:color w:val="auto"/>
                <w:sz w:val="21"/>
                <w:szCs w:val="21"/>
                <w:highlight w:val="none"/>
              </w:rPr>
              <w:t>18</w:t>
            </w:r>
          </w:p>
        </w:tc>
        <w:tc>
          <w:tcPr>
            <w:tcW w:w="1234" w:type="dxa"/>
            <w:vAlign w:val="center"/>
          </w:tcPr>
          <w:p w14:paraId="1535869F">
            <w:pPr>
              <w:pStyle w:val="66"/>
              <w:wordWrap w:val="0"/>
              <w:adjustRightInd w:val="0"/>
              <w:snapToGrid w:val="0"/>
              <w:spacing w:line="380" w:lineRule="exact"/>
              <w:ind w:firstLine="0" w:firstLineChars="0"/>
              <w:jc w:val="center"/>
              <w:rPr>
                <w:rFonts w:hAnsi="宋体" w:cs="宋体"/>
                <w:color w:val="auto"/>
                <w:sz w:val="21"/>
                <w:szCs w:val="21"/>
                <w:highlight w:val="none"/>
              </w:rPr>
            </w:pPr>
            <w:r>
              <w:rPr>
                <w:rFonts w:hint="eastAsia" w:hAnsi="宋体" w:cs="宋体"/>
                <w:snapToGrid w:val="0"/>
                <w:color w:val="auto"/>
                <w:kern w:val="0"/>
                <w:sz w:val="21"/>
                <w:szCs w:val="21"/>
                <w:highlight w:val="none"/>
              </w:rPr>
              <w:t>投标文件信息公开承诺</w:t>
            </w:r>
          </w:p>
        </w:tc>
        <w:tc>
          <w:tcPr>
            <w:tcW w:w="3073" w:type="dxa"/>
            <w:vAlign w:val="center"/>
          </w:tcPr>
          <w:p w14:paraId="51013166">
            <w:pPr>
              <w:pStyle w:val="66"/>
              <w:wordWrap w:val="0"/>
              <w:adjustRightInd w:val="0"/>
              <w:snapToGrid w:val="0"/>
              <w:spacing w:line="380" w:lineRule="exact"/>
              <w:ind w:firstLine="420"/>
              <w:rPr>
                <w:rFonts w:hAnsi="宋体" w:cs="宋体"/>
                <w:color w:val="auto"/>
                <w:sz w:val="21"/>
                <w:szCs w:val="21"/>
                <w:highlight w:val="none"/>
              </w:rPr>
            </w:pPr>
            <w:r>
              <w:rPr>
                <w:rFonts w:hint="eastAsia" w:hAnsi="宋体" w:cs="宋体"/>
                <w:color w:val="auto"/>
                <w:sz w:val="21"/>
                <w:szCs w:val="21"/>
                <w:highlight w:val="none"/>
              </w:rPr>
              <w:t>我方提供完整的电子文件。如果我方成为本项目中标候选人，我方同意并授权招标人在评标结果公示期内公开我方商务部分的全部内容。</w:t>
            </w:r>
          </w:p>
        </w:tc>
        <w:tc>
          <w:tcPr>
            <w:tcW w:w="4796" w:type="dxa"/>
            <w:tcBorders>
              <w:tr2bl w:val="single" w:color="auto" w:sz="4" w:space="0"/>
            </w:tcBorders>
            <w:vAlign w:val="center"/>
          </w:tcPr>
          <w:p w14:paraId="0844D38A">
            <w:pPr>
              <w:pStyle w:val="66"/>
              <w:wordWrap w:val="0"/>
              <w:adjustRightInd w:val="0"/>
              <w:snapToGrid w:val="0"/>
              <w:spacing w:line="380" w:lineRule="exact"/>
              <w:ind w:firstLine="0" w:firstLineChars="0"/>
              <w:jc w:val="left"/>
              <w:rPr>
                <w:rFonts w:hAnsi="宋体" w:cs="宋体"/>
                <w:color w:val="auto"/>
                <w:sz w:val="21"/>
                <w:szCs w:val="21"/>
                <w:highlight w:val="none"/>
              </w:rPr>
            </w:pPr>
            <w:r>
              <w:rPr>
                <w:rFonts w:hint="eastAsia" w:hAnsi="宋体" w:cs="宋体"/>
                <w:snapToGrid w:val="0"/>
                <w:color w:val="auto"/>
                <w:kern w:val="0"/>
                <w:sz w:val="21"/>
                <w:szCs w:val="21"/>
                <w:highlight w:val="none"/>
              </w:rPr>
              <w:t xml:space="preserve">   </w:t>
            </w:r>
          </w:p>
        </w:tc>
      </w:tr>
      <w:tr w14:paraId="719B6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12CAC7D8">
            <w:pPr>
              <w:pStyle w:val="7"/>
              <w:spacing w:line="380" w:lineRule="exact"/>
              <w:jc w:val="center"/>
              <w:rPr>
                <w:rFonts w:ascii="宋体" w:hAnsi="宋体" w:cs="宋体"/>
                <w:color w:val="auto"/>
                <w:szCs w:val="21"/>
                <w:highlight w:val="none"/>
              </w:rPr>
            </w:pPr>
            <w:r>
              <w:rPr>
                <w:rFonts w:hint="eastAsia" w:ascii="宋体" w:hAnsi="宋体" w:cs="宋体"/>
                <w:color w:val="auto"/>
                <w:szCs w:val="21"/>
                <w:highlight w:val="none"/>
              </w:rPr>
              <w:t>19</w:t>
            </w:r>
          </w:p>
        </w:tc>
        <w:tc>
          <w:tcPr>
            <w:tcW w:w="1234" w:type="dxa"/>
            <w:vAlign w:val="center"/>
          </w:tcPr>
          <w:p w14:paraId="716E09BC">
            <w:pPr>
              <w:jc w:val="center"/>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按时签订合同的承诺</w:t>
            </w:r>
          </w:p>
        </w:tc>
        <w:tc>
          <w:tcPr>
            <w:tcW w:w="3073" w:type="dxa"/>
            <w:vAlign w:val="center"/>
          </w:tcPr>
          <w:p w14:paraId="60F31B95">
            <w:pPr>
              <w:pStyle w:val="66"/>
              <w:wordWrap w:val="0"/>
              <w:adjustRightInd w:val="0"/>
              <w:snapToGrid w:val="0"/>
              <w:spacing w:line="380" w:lineRule="exact"/>
              <w:ind w:firstLine="420"/>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如果我方中标，我方保证在招标文件规定的时限内与招标人签订合同，不提出违背或超出招标文件、中标文件的要求。</w:t>
            </w:r>
          </w:p>
        </w:tc>
        <w:tc>
          <w:tcPr>
            <w:tcW w:w="4796" w:type="dxa"/>
            <w:vAlign w:val="center"/>
          </w:tcPr>
          <w:p w14:paraId="478CFC79">
            <w:pPr>
              <w:pStyle w:val="66"/>
              <w:wordWrap w:val="0"/>
              <w:adjustRightInd w:val="0"/>
              <w:snapToGrid w:val="0"/>
              <w:spacing w:line="380" w:lineRule="exact"/>
              <w:ind w:firstLine="420"/>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r w14:paraId="4B531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73922AFB">
            <w:pPr>
              <w:pStyle w:val="7"/>
              <w:spacing w:line="380" w:lineRule="exact"/>
              <w:jc w:val="center"/>
              <w:rPr>
                <w:rFonts w:ascii="宋体" w:hAnsi="宋体" w:cs="宋体"/>
                <w:color w:val="auto"/>
                <w:szCs w:val="21"/>
                <w:highlight w:val="none"/>
              </w:rPr>
            </w:pPr>
            <w:r>
              <w:rPr>
                <w:rFonts w:hint="eastAsia" w:ascii="宋体" w:hAnsi="宋体" w:cs="宋体"/>
                <w:color w:val="auto"/>
                <w:szCs w:val="21"/>
                <w:highlight w:val="none"/>
              </w:rPr>
              <w:t>20</w:t>
            </w:r>
          </w:p>
        </w:tc>
        <w:tc>
          <w:tcPr>
            <w:tcW w:w="1234" w:type="dxa"/>
            <w:vAlign w:val="center"/>
          </w:tcPr>
          <w:p w14:paraId="55C34BB3">
            <w:pPr>
              <w:pStyle w:val="66"/>
              <w:snapToGrid w:val="0"/>
              <w:spacing w:line="400" w:lineRule="exact"/>
              <w:ind w:firstLine="0" w:firstLineChars="0"/>
              <w:jc w:val="center"/>
              <w:rPr>
                <w:rFonts w:hAnsi="宋体" w:cs="宋体"/>
                <w:color w:val="auto"/>
                <w:sz w:val="21"/>
                <w:szCs w:val="21"/>
                <w:highlight w:val="none"/>
              </w:rPr>
            </w:pPr>
            <w:r>
              <w:rPr>
                <w:rFonts w:hint="eastAsia" w:hAnsi="宋体" w:cs="宋体"/>
                <w:color w:val="auto"/>
                <w:sz w:val="21"/>
                <w:szCs w:val="21"/>
                <w:highlight w:val="none"/>
              </w:rPr>
              <w:t>质量安全受检承诺</w:t>
            </w:r>
          </w:p>
        </w:tc>
        <w:tc>
          <w:tcPr>
            <w:tcW w:w="3073" w:type="dxa"/>
            <w:vAlign w:val="center"/>
          </w:tcPr>
          <w:p w14:paraId="3F279BB6">
            <w:pPr>
              <w:pStyle w:val="66"/>
              <w:snapToGrid w:val="0"/>
              <w:spacing w:line="400" w:lineRule="exact"/>
              <w:ind w:firstLine="420"/>
              <w:rPr>
                <w:rFonts w:hAnsi="宋体" w:cs="宋体"/>
                <w:color w:val="auto"/>
                <w:sz w:val="21"/>
                <w:szCs w:val="21"/>
                <w:highlight w:val="none"/>
              </w:rPr>
            </w:pPr>
            <w:r>
              <w:rPr>
                <w:rFonts w:hint="eastAsia" w:hAnsi="宋体" w:cs="宋体"/>
                <w:color w:val="auto"/>
                <w:sz w:val="21"/>
                <w:szCs w:val="21"/>
                <w:highlight w:val="none"/>
              </w:rPr>
              <w:t>若我方中标，我方承诺本项目在建设过程中，设计及施工的质量安全等相关实施内容按照业主单位、发包单位的相关管理规定和质量安全考核要求，随时接受业主单位、发包单位自行或委托的第三方的监督检查及考核，我方保证无条件配合。</w:t>
            </w:r>
          </w:p>
        </w:tc>
        <w:tc>
          <w:tcPr>
            <w:tcW w:w="4796" w:type="dxa"/>
            <w:vAlign w:val="center"/>
          </w:tcPr>
          <w:p w14:paraId="29CBCDD6">
            <w:pPr>
              <w:pStyle w:val="66"/>
              <w:snapToGrid w:val="0"/>
              <w:spacing w:line="400" w:lineRule="exact"/>
              <w:ind w:firstLine="420"/>
              <w:rPr>
                <w:rFonts w:hAnsi="宋体" w:cs="宋体"/>
                <w:snapToGrid w:val="0"/>
                <w:color w:val="auto"/>
                <w:kern w:val="0"/>
                <w:sz w:val="21"/>
                <w:szCs w:val="21"/>
                <w:highlight w:val="none"/>
              </w:rPr>
            </w:pPr>
            <w:r>
              <w:rPr>
                <w:rFonts w:hint="eastAsia" w:hAnsi="宋体" w:cs="宋体"/>
                <w:color w:val="auto"/>
                <w:sz w:val="21"/>
                <w:szCs w:val="21"/>
                <w:highlight w:val="none"/>
              </w:rPr>
              <w:t>如我方不配合或未通过相关的监督检查及考核，我方承诺接受业主单位、发包单位的相关管理规定和处罚，并承担相应的责任。</w:t>
            </w:r>
          </w:p>
        </w:tc>
      </w:tr>
      <w:tr w14:paraId="54644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5A28A705">
            <w:pPr>
              <w:pStyle w:val="7"/>
              <w:spacing w:line="380" w:lineRule="exact"/>
              <w:jc w:val="center"/>
              <w:rPr>
                <w:rFonts w:ascii="宋体" w:hAnsi="宋体" w:cs="宋体"/>
                <w:color w:val="auto"/>
                <w:szCs w:val="21"/>
                <w:highlight w:val="none"/>
              </w:rPr>
            </w:pPr>
            <w:r>
              <w:rPr>
                <w:rFonts w:hint="eastAsia" w:ascii="宋体" w:hAnsi="宋体" w:cs="宋体"/>
                <w:color w:val="auto"/>
                <w:szCs w:val="21"/>
                <w:highlight w:val="none"/>
              </w:rPr>
              <w:t>21</w:t>
            </w:r>
          </w:p>
        </w:tc>
        <w:tc>
          <w:tcPr>
            <w:tcW w:w="1234" w:type="dxa"/>
            <w:vAlign w:val="center"/>
          </w:tcPr>
          <w:p w14:paraId="2211934B">
            <w:pPr>
              <w:pStyle w:val="66"/>
              <w:snapToGrid w:val="0"/>
              <w:spacing w:line="400" w:lineRule="exact"/>
              <w:ind w:firstLine="0" w:firstLineChars="0"/>
              <w:jc w:val="center"/>
              <w:rPr>
                <w:rFonts w:hAnsi="宋体" w:cs="宋体"/>
                <w:snapToGrid w:val="0"/>
                <w:color w:val="auto"/>
                <w:kern w:val="0"/>
                <w:sz w:val="21"/>
                <w:szCs w:val="21"/>
                <w:highlight w:val="none"/>
              </w:rPr>
            </w:pPr>
            <w:r>
              <w:rPr>
                <w:rFonts w:hint="eastAsia" w:hAnsi="宋体" w:cs="宋体"/>
                <w:color w:val="auto"/>
                <w:sz w:val="21"/>
                <w:szCs w:val="21"/>
                <w:highlight w:val="none"/>
              </w:rPr>
              <w:t>对工程预付款的使用承诺</w:t>
            </w:r>
          </w:p>
        </w:tc>
        <w:tc>
          <w:tcPr>
            <w:tcW w:w="3073" w:type="dxa"/>
            <w:vAlign w:val="center"/>
          </w:tcPr>
          <w:p w14:paraId="054D6ADA">
            <w:pPr>
              <w:pStyle w:val="66"/>
              <w:snapToGrid w:val="0"/>
              <w:spacing w:line="400" w:lineRule="exact"/>
              <w:ind w:firstLine="420"/>
              <w:rPr>
                <w:rFonts w:hAnsi="宋体" w:cs="宋体"/>
                <w:snapToGrid w:val="0"/>
                <w:color w:val="auto"/>
                <w:kern w:val="0"/>
                <w:sz w:val="21"/>
                <w:szCs w:val="21"/>
                <w:highlight w:val="none"/>
              </w:rPr>
            </w:pPr>
            <w:r>
              <w:rPr>
                <w:rFonts w:hint="eastAsia" w:hAnsi="宋体" w:cs="宋体"/>
                <w:color w:val="auto"/>
                <w:sz w:val="21"/>
                <w:szCs w:val="21"/>
                <w:highlight w:val="none"/>
              </w:rPr>
              <w:t>我方保证工程预付款用于主要建筑材料的备料及支付工人工资。</w:t>
            </w:r>
          </w:p>
        </w:tc>
        <w:tc>
          <w:tcPr>
            <w:tcW w:w="4796" w:type="dxa"/>
            <w:tcBorders>
              <w:tr2bl w:val="single" w:color="auto" w:sz="4" w:space="0"/>
            </w:tcBorders>
            <w:vAlign w:val="center"/>
          </w:tcPr>
          <w:p w14:paraId="3335822A">
            <w:pPr>
              <w:pStyle w:val="66"/>
              <w:wordWrap w:val="0"/>
              <w:adjustRightInd w:val="0"/>
              <w:snapToGrid w:val="0"/>
              <w:spacing w:line="380" w:lineRule="exact"/>
              <w:ind w:firstLine="420"/>
              <w:rPr>
                <w:rFonts w:hAnsi="宋体" w:cs="宋体"/>
                <w:snapToGrid w:val="0"/>
                <w:color w:val="auto"/>
                <w:kern w:val="0"/>
                <w:sz w:val="21"/>
                <w:szCs w:val="21"/>
                <w:highlight w:val="none"/>
              </w:rPr>
            </w:pPr>
          </w:p>
        </w:tc>
      </w:tr>
    </w:tbl>
    <w:p w14:paraId="7E5418A3">
      <w:pPr>
        <w:pStyle w:val="74"/>
        <w:rPr>
          <w:rFonts w:asciiTheme="minorEastAsia" w:hAnsiTheme="minorEastAsia" w:eastAsiaTheme="minorEastAsia" w:cstheme="minorEastAsia"/>
          <w:color w:val="auto"/>
          <w:szCs w:val="24"/>
          <w:highlight w:val="none"/>
        </w:rPr>
      </w:pPr>
    </w:p>
    <w:p w14:paraId="1BD08828">
      <w:pPr>
        <w:pStyle w:val="74"/>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注：所有违约金均从中标人的进度款中扣除，最终结算以扣除违约金总数后的金额为准。</w:t>
      </w:r>
    </w:p>
    <w:p w14:paraId="38E05130">
      <w:pPr>
        <w:pStyle w:val="42"/>
        <w:spacing w:line="400" w:lineRule="exact"/>
        <w:jc w:val="left"/>
        <w:rPr>
          <w:rFonts w:asciiTheme="minorEastAsia" w:hAnsiTheme="minorEastAsia" w:eastAsiaTheme="minorEastAsia" w:cstheme="minorEastAsia"/>
          <w:color w:val="auto"/>
          <w:sz w:val="21"/>
          <w:szCs w:val="21"/>
          <w:highlight w:val="none"/>
        </w:rPr>
      </w:pPr>
    </w:p>
    <w:p w14:paraId="15DDCD47">
      <w:pPr>
        <w:pStyle w:val="13"/>
        <w:wordWrap w:val="0"/>
        <w:adjustRightInd w:val="0"/>
        <w:snapToGrid w:val="0"/>
        <w:spacing w:line="420" w:lineRule="exact"/>
        <w:ind w:firstLine="420" w:firstLineChars="200"/>
        <w:jc w:val="right"/>
        <w:rPr>
          <w:rFonts w:hAnsi="宋体" w:eastAsia="宋体" w:cs="宋体"/>
          <w:snapToGrid w:val="0"/>
          <w:color w:val="auto"/>
          <w:kern w:val="0"/>
          <w:sz w:val="21"/>
          <w:szCs w:val="21"/>
          <w:highlight w:val="none"/>
        </w:rPr>
      </w:pPr>
    </w:p>
    <w:p w14:paraId="408556D6">
      <w:pPr>
        <w:pStyle w:val="13"/>
        <w:wordWrap w:val="0"/>
        <w:adjustRightInd w:val="0"/>
        <w:snapToGrid w:val="0"/>
        <w:spacing w:line="420" w:lineRule="exact"/>
        <w:ind w:firstLine="420" w:firstLineChars="200"/>
        <w:jc w:val="right"/>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投标人：</w:t>
      </w:r>
      <w:r>
        <w:rPr>
          <w:rFonts w:hAnsi="宋体" w:eastAsia="宋体" w:cs="宋体"/>
          <w:snapToGrid w:val="0"/>
          <w:color w:val="auto"/>
          <w:kern w:val="0"/>
          <w:sz w:val="21"/>
          <w:szCs w:val="21"/>
          <w:highlight w:val="none"/>
          <w:u w:val="single"/>
        </w:rPr>
        <w:t xml:space="preserve">                                   </w:t>
      </w:r>
      <w:r>
        <w:rPr>
          <w:rFonts w:hAnsi="宋体" w:eastAsia="宋体" w:cs="宋体"/>
          <w:snapToGrid w:val="0"/>
          <w:color w:val="auto"/>
          <w:kern w:val="0"/>
          <w:sz w:val="21"/>
          <w:szCs w:val="21"/>
          <w:highlight w:val="none"/>
        </w:rPr>
        <w:t>（盖单位章）</w:t>
      </w:r>
    </w:p>
    <w:p w14:paraId="65DDBF26">
      <w:pPr>
        <w:pStyle w:val="13"/>
        <w:wordWrap w:val="0"/>
        <w:adjustRightInd w:val="0"/>
        <w:snapToGrid w:val="0"/>
        <w:spacing w:line="420" w:lineRule="exact"/>
        <w:ind w:firstLine="420" w:firstLineChars="200"/>
        <w:jc w:val="right"/>
        <w:rPr>
          <w:rFonts w:hint="default" w:hAnsi="宋体" w:eastAsia="宋体" w:cs="宋体"/>
          <w:snapToGrid w:val="0"/>
          <w:color w:val="auto"/>
          <w:kern w:val="0"/>
          <w:sz w:val="21"/>
          <w:szCs w:val="21"/>
          <w:highlight w:val="none"/>
        </w:rPr>
      </w:pPr>
    </w:p>
    <w:p w14:paraId="2FBB95AA">
      <w:pPr>
        <w:pStyle w:val="13"/>
        <w:wordWrap w:val="0"/>
        <w:adjustRightInd w:val="0"/>
        <w:snapToGrid w:val="0"/>
        <w:spacing w:line="420" w:lineRule="exact"/>
        <w:ind w:firstLine="420" w:firstLineChars="200"/>
        <w:jc w:val="right"/>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法定代表人或其委托代理人：</w:t>
      </w:r>
      <w:r>
        <w:rPr>
          <w:rFonts w:hAnsi="宋体" w:eastAsia="宋体" w:cs="宋体"/>
          <w:snapToGrid w:val="0"/>
          <w:color w:val="auto"/>
          <w:kern w:val="0"/>
          <w:sz w:val="21"/>
          <w:szCs w:val="21"/>
          <w:highlight w:val="none"/>
          <w:u w:val="single"/>
        </w:rPr>
        <w:t xml:space="preserve">               </w:t>
      </w:r>
      <w:r>
        <w:rPr>
          <w:rFonts w:hAnsi="宋体" w:eastAsia="宋体" w:cs="宋体"/>
          <w:snapToGrid w:val="0"/>
          <w:color w:val="auto"/>
          <w:kern w:val="0"/>
          <w:sz w:val="21"/>
          <w:szCs w:val="21"/>
          <w:highlight w:val="none"/>
        </w:rPr>
        <w:t>（签字或盖章）</w:t>
      </w:r>
    </w:p>
    <w:p w14:paraId="3CA6C263">
      <w:pPr>
        <w:pStyle w:val="13"/>
        <w:wordWrap w:val="0"/>
        <w:adjustRightInd w:val="0"/>
        <w:snapToGrid w:val="0"/>
        <w:spacing w:line="420" w:lineRule="exact"/>
        <w:ind w:firstLine="420" w:firstLineChars="200"/>
        <w:jc w:val="right"/>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 xml:space="preserve">                     </w:t>
      </w:r>
    </w:p>
    <w:p w14:paraId="50986D1A">
      <w:pPr>
        <w:widowControl/>
        <w:jc w:val="right"/>
        <w:rPr>
          <w:rFonts w:hint="default" w:asciiTheme="minorEastAsia" w:hAnsiTheme="minorEastAsia" w:eastAsiaTheme="minorEastAsia" w:cstheme="minorEastAsia"/>
          <w:b/>
          <w:bCs/>
          <w:snapToGrid w:val="0"/>
          <w:color w:val="auto"/>
          <w:kern w:val="0"/>
          <w:szCs w:val="24"/>
          <w:highlight w:val="none"/>
        </w:rPr>
      </w:pPr>
      <w:r>
        <w:rPr>
          <w:rFonts w:hAnsi="宋体" w:eastAsia="宋体" w:cs="宋体"/>
          <w:snapToGrid w:val="0"/>
          <w:color w:val="auto"/>
          <w:kern w:val="0"/>
          <w:sz w:val="21"/>
          <w:szCs w:val="21"/>
          <w:highlight w:val="none"/>
        </w:rPr>
        <w:t xml:space="preserve">        </w:t>
      </w:r>
      <w:r>
        <w:rPr>
          <w:rFonts w:hAnsi="宋体" w:eastAsia="宋体" w:cs="宋体"/>
          <w:snapToGrid w:val="0"/>
          <w:color w:val="auto"/>
          <w:kern w:val="0"/>
          <w:sz w:val="21"/>
          <w:szCs w:val="21"/>
          <w:highlight w:val="none"/>
          <w:u w:val="single"/>
        </w:rPr>
        <w:t xml:space="preserve">        </w:t>
      </w:r>
      <w:r>
        <w:rPr>
          <w:rFonts w:hAnsi="宋体" w:eastAsia="宋体" w:cs="宋体"/>
          <w:snapToGrid w:val="0"/>
          <w:color w:val="auto"/>
          <w:kern w:val="0"/>
          <w:sz w:val="21"/>
          <w:szCs w:val="21"/>
          <w:highlight w:val="none"/>
        </w:rPr>
        <w:t>年</w:t>
      </w:r>
      <w:r>
        <w:rPr>
          <w:rFonts w:hAnsi="宋体" w:eastAsia="宋体" w:cs="宋体"/>
          <w:snapToGrid w:val="0"/>
          <w:color w:val="auto"/>
          <w:kern w:val="0"/>
          <w:sz w:val="21"/>
          <w:szCs w:val="21"/>
          <w:highlight w:val="none"/>
          <w:u w:val="single"/>
        </w:rPr>
        <w:t xml:space="preserve">    </w:t>
      </w:r>
      <w:r>
        <w:rPr>
          <w:rFonts w:hAnsi="宋体" w:eastAsia="宋体" w:cs="宋体"/>
          <w:snapToGrid w:val="0"/>
          <w:color w:val="auto"/>
          <w:kern w:val="0"/>
          <w:sz w:val="21"/>
          <w:szCs w:val="21"/>
          <w:highlight w:val="none"/>
        </w:rPr>
        <w:t>月</w:t>
      </w:r>
      <w:r>
        <w:rPr>
          <w:rFonts w:hAnsi="宋体" w:eastAsia="宋体" w:cs="宋体"/>
          <w:snapToGrid w:val="0"/>
          <w:color w:val="auto"/>
          <w:kern w:val="0"/>
          <w:sz w:val="21"/>
          <w:szCs w:val="21"/>
          <w:highlight w:val="none"/>
          <w:u w:val="single"/>
        </w:rPr>
        <w:t xml:space="preserve">    </w:t>
      </w:r>
      <w:r>
        <w:rPr>
          <w:rFonts w:hAnsi="宋体" w:eastAsia="宋体" w:cs="宋体"/>
          <w:snapToGrid w:val="0"/>
          <w:color w:val="auto"/>
          <w:kern w:val="0"/>
          <w:sz w:val="21"/>
          <w:szCs w:val="21"/>
          <w:highlight w:val="none"/>
        </w:rPr>
        <w:t>日</w:t>
      </w:r>
      <w:r>
        <w:rPr>
          <w:rFonts w:asciiTheme="minorEastAsia" w:hAnsiTheme="minorEastAsia" w:eastAsiaTheme="minorEastAsia" w:cstheme="minorEastAsia"/>
          <w:b/>
          <w:bCs/>
          <w:snapToGrid w:val="0"/>
          <w:color w:val="auto"/>
          <w:kern w:val="0"/>
          <w:szCs w:val="24"/>
          <w:highlight w:val="none"/>
        </w:rPr>
        <w:br w:type="page"/>
      </w:r>
    </w:p>
    <w:p w14:paraId="1B9D52BD">
      <w:pPr>
        <w:pStyle w:val="3"/>
        <w:spacing w:before="120"/>
        <w:rPr>
          <w:rFonts w:hint="default" w:asciiTheme="minorEastAsia" w:hAnsiTheme="minorEastAsia" w:eastAsiaTheme="minorEastAsia" w:cstheme="minorEastAsia"/>
          <w:b/>
          <w:bCs/>
          <w:color w:val="auto"/>
          <w:szCs w:val="24"/>
          <w:highlight w:val="none"/>
        </w:rPr>
      </w:pPr>
      <w:bookmarkStart w:id="564" w:name="_Toc14377"/>
      <w:bookmarkStart w:id="565" w:name="_Toc30764"/>
      <w:bookmarkStart w:id="566" w:name="_Toc6896"/>
      <w:bookmarkStart w:id="567" w:name="_Toc10981"/>
      <w:bookmarkStart w:id="568" w:name="_Toc30463"/>
      <w:r>
        <w:rPr>
          <w:rFonts w:asciiTheme="minorEastAsia" w:hAnsiTheme="minorEastAsia" w:eastAsiaTheme="minorEastAsia" w:cstheme="minorEastAsia"/>
          <w:b/>
          <w:bCs/>
          <w:color w:val="auto"/>
          <w:szCs w:val="24"/>
          <w:highlight w:val="none"/>
        </w:rPr>
        <w:t>格式四 授权委托书</w:t>
      </w:r>
      <w:bookmarkEnd w:id="564"/>
      <w:bookmarkEnd w:id="565"/>
      <w:bookmarkEnd w:id="566"/>
      <w:bookmarkEnd w:id="567"/>
      <w:bookmarkEnd w:id="568"/>
    </w:p>
    <w:p w14:paraId="156A0480">
      <w:pPr>
        <w:wordWrap w:val="0"/>
        <w:adjustRightInd w:val="0"/>
        <w:snapToGrid w:val="0"/>
        <w:spacing w:line="440" w:lineRule="exact"/>
        <w:rPr>
          <w:rFonts w:hint="default" w:asciiTheme="minorEastAsia" w:hAnsiTheme="minorEastAsia" w:eastAsiaTheme="minorEastAsia" w:cstheme="minorEastAsia"/>
          <w:b/>
          <w:bCs/>
          <w:snapToGrid w:val="0"/>
          <w:color w:val="auto"/>
          <w:kern w:val="0"/>
          <w:szCs w:val="24"/>
          <w:highlight w:val="none"/>
        </w:rPr>
      </w:pPr>
    </w:p>
    <w:p w14:paraId="32CFC655">
      <w:pPr>
        <w:wordWrap w:val="0"/>
        <w:adjustRightInd w:val="0"/>
        <w:snapToGrid w:val="0"/>
        <w:spacing w:before="260" w:after="260" w:line="440" w:lineRule="exact"/>
        <w:jc w:val="center"/>
        <w:rPr>
          <w:rFonts w:hint="default" w:asciiTheme="minorEastAsia" w:hAnsiTheme="minorEastAsia" w:eastAsiaTheme="minorEastAsia" w:cstheme="minorEastAsia"/>
          <w:b/>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授权委托书</w:t>
      </w:r>
    </w:p>
    <w:p w14:paraId="2577E74A">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p>
    <w:p w14:paraId="70E1F069">
      <w:pPr>
        <w:wordWrap w:val="0"/>
        <w:adjustRightInd w:val="0"/>
        <w:snapToGrid w:val="0"/>
        <w:spacing w:line="440" w:lineRule="exact"/>
        <w:ind w:firstLine="420"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本人</w:t>
      </w:r>
      <w:r>
        <w:rPr>
          <w:rFonts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u w:val="single"/>
          <w:lang w:val="en-US" w:eastAsia="zh-CN"/>
        </w:rPr>
        <w:t xml:space="preserve"> </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（姓名）系</w:t>
      </w:r>
      <w:r>
        <w:rPr>
          <w:rFonts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u w:val="single"/>
          <w:lang w:val="en-US" w:eastAsia="zh-CN"/>
        </w:rPr>
        <w:t xml:space="preserve"> </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（投标人名称）的法定代表人，现委托</w:t>
      </w:r>
      <w:r>
        <w:rPr>
          <w:rFonts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u w:val="single"/>
          <w:lang w:val="en-US" w:eastAsia="zh-CN"/>
        </w:rPr>
        <w:t xml:space="preserve">  </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（姓名）为我方代理人。代理人根据授权，以我方名义签署、澄清、说明、补正、递交、撤回、修改</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（项目名称）投标文件、签订合同和处理有关事宜，其法律后果由我方承担。</w:t>
      </w:r>
    </w:p>
    <w:p w14:paraId="624FBB82">
      <w:pPr>
        <w:wordWrap w:val="0"/>
        <w:adjustRightInd w:val="0"/>
        <w:snapToGrid w:val="0"/>
        <w:spacing w:line="440" w:lineRule="exact"/>
        <w:ind w:firstLine="420"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委托期限：至</w:t>
      </w:r>
      <w:r>
        <w:rPr>
          <w:rFonts w:asciiTheme="minorEastAsia" w:hAnsiTheme="minorEastAsia" w:eastAsiaTheme="minorEastAsia" w:cstheme="minorEastAsia"/>
          <w:snapToGrid w:val="0"/>
          <w:color w:val="auto"/>
          <w:kern w:val="0"/>
          <w:sz w:val="21"/>
          <w:szCs w:val="21"/>
          <w:highlight w:val="none"/>
          <w:u w:val="single"/>
        </w:rPr>
        <w:t xml:space="preserve">     年   月   日</w:t>
      </w:r>
      <w:r>
        <w:rPr>
          <w:rFonts w:asciiTheme="minorEastAsia" w:hAnsiTheme="minorEastAsia" w:eastAsiaTheme="minorEastAsia" w:cstheme="minorEastAsia"/>
          <w:i/>
          <w:iCs/>
          <w:snapToGrid w:val="0"/>
          <w:color w:val="auto"/>
          <w:kern w:val="0"/>
          <w:sz w:val="21"/>
          <w:szCs w:val="21"/>
          <w:highlight w:val="none"/>
          <w:u w:val="single"/>
        </w:rPr>
        <w:t>（不得短于招标文件规定的投标有效期）</w:t>
      </w:r>
      <w:r>
        <w:rPr>
          <w:rFonts w:asciiTheme="minorEastAsia" w:hAnsiTheme="minorEastAsia" w:eastAsiaTheme="minorEastAsia" w:cstheme="minorEastAsia"/>
          <w:snapToGrid w:val="0"/>
          <w:color w:val="auto"/>
          <w:kern w:val="0"/>
          <w:sz w:val="21"/>
          <w:szCs w:val="21"/>
          <w:highlight w:val="none"/>
        </w:rPr>
        <w:t xml:space="preserve"> 。</w:t>
      </w:r>
    </w:p>
    <w:p w14:paraId="405F3F7E">
      <w:pPr>
        <w:wordWrap w:val="0"/>
        <w:adjustRightInd w:val="0"/>
        <w:snapToGrid w:val="0"/>
        <w:spacing w:line="44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代理人无转委托权。</w:t>
      </w:r>
    </w:p>
    <w:p w14:paraId="4BFB7CF1">
      <w:pPr>
        <w:wordWrap w:val="0"/>
        <w:adjustRightInd w:val="0"/>
        <w:snapToGrid w:val="0"/>
        <w:spacing w:line="440" w:lineRule="exact"/>
        <w:ind w:firstLine="420" w:firstLineChars="200"/>
        <w:rPr>
          <w:rFonts w:hint="default" w:asciiTheme="minorEastAsia" w:hAnsiTheme="minorEastAsia" w:eastAsiaTheme="minorEastAsia" w:cstheme="minorEastAsia"/>
          <w:snapToGrid w:val="0"/>
          <w:color w:val="auto"/>
          <w:kern w:val="0"/>
          <w:sz w:val="21"/>
          <w:szCs w:val="21"/>
          <w:highlight w:val="none"/>
        </w:rPr>
      </w:pPr>
    </w:p>
    <w:p w14:paraId="6CE49693">
      <w:pPr>
        <w:wordWrap w:val="0"/>
        <w:adjustRightInd w:val="0"/>
        <w:snapToGrid w:val="0"/>
        <w:spacing w:line="440" w:lineRule="exact"/>
        <w:ind w:firstLine="420" w:firstLineChars="200"/>
        <w:rPr>
          <w:rFonts w:hint="default" w:asciiTheme="minorEastAsia" w:hAnsiTheme="minorEastAsia" w:eastAsiaTheme="minorEastAsia" w:cstheme="minorEastAsia"/>
          <w:snapToGrid w:val="0"/>
          <w:color w:val="auto"/>
          <w:kern w:val="0"/>
          <w:sz w:val="21"/>
          <w:szCs w:val="21"/>
          <w:highlight w:val="none"/>
        </w:rPr>
      </w:pPr>
    </w:p>
    <w:p w14:paraId="7303795A">
      <w:pPr>
        <w:wordWrap w:val="0"/>
        <w:adjustRightInd w:val="0"/>
        <w:snapToGrid w:val="0"/>
        <w:spacing w:line="440" w:lineRule="exact"/>
        <w:ind w:firstLine="420" w:firstLineChars="200"/>
        <w:jc w:val="righ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投  标  人：</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（盖单位章）</w:t>
      </w:r>
    </w:p>
    <w:p w14:paraId="77BD815A">
      <w:pPr>
        <w:wordWrap w:val="0"/>
        <w:adjustRightInd w:val="0"/>
        <w:snapToGrid w:val="0"/>
        <w:spacing w:line="440" w:lineRule="exact"/>
        <w:ind w:firstLine="420" w:firstLineChars="200"/>
        <w:jc w:val="right"/>
        <w:rPr>
          <w:rFonts w:hint="default" w:asciiTheme="minorEastAsia" w:hAnsiTheme="minorEastAsia" w:eastAsiaTheme="minorEastAsia" w:cstheme="minorEastAsia"/>
          <w:snapToGrid w:val="0"/>
          <w:color w:val="auto"/>
          <w:kern w:val="0"/>
          <w:sz w:val="21"/>
          <w:szCs w:val="21"/>
          <w:highlight w:val="none"/>
        </w:rPr>
      </w:pPr>
    </w:p>
    <w:p w14:paraId="7FAE8FA4">
      <w:pPr>
        <w:wordWrap w:val="0"/>
        <w:adjustRightInd w:val="0"/>
        <w:snapToGrid w:val="0"/>
        <w:spacing w:line="440" w:lineRule="exact"/>
        <w:ind w:firstLine="420" w:firstLineChars="200"/>
        <w:jc w:val="righ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法定代表人：</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（签字或盖章）</w:t>
      </w:r>
    </w:p>
    <w:p w14:paraId="11B8B546">
      <w:pPr>
        <w:wordWrap w:val="0"/>
        <w:adjustRightInd w:val="0"/>
        <w:snapToGrid w:val="0"/>
        <w:spacing w:line="440" w:lineRule="exact"/>
        <w:ind w:firstLine="420" w:firstLineChars="200"/>
        <w:jc w:val="right"/>
        <w:rPr>
          <w:rFonts w:hint="default" w:asciiTheme="minorEastAsia" w:hAnsiTheme="minorEastAsia" w:eastAsiaTheme="minorEastAsia" w:cstheme="minorEastAsia"/>
          <w:snapToGrid w:val="0"/>
          <w:color w:val="auto"/>
          <w:kern w:val="0"/>
          <w:sz w:val="21"/>
          <w:szCs w:val="21"/>
          <w:highlight w:val="none"/>
        </w:rPr>
      </w:pPr>
    </w:p>
    <w:p w14:paraId="4AF85299">
      <w:pPr>
        <w:wordWrap w:val="0"/>
        <w:adjustRightInd w:val="0"/>
        <w:snapToGrid w:val="0"/>
        <w:spacing w:line="440" w:lineRule="exact"/>
        <w:ind w:firstLine="420" w:firstLineChars="200"/>
        <w:jc w:val="righ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委托代理人：</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（签字或盖章）</w:t>
      </w:r>
    </w:p>
    <w:p w14:paraId="2F1C585A">
      <w:pPr>
        <w:wordWrap w:val="0"/>
        <w:adjustRightInd w:val="0"/>
        <w:snapToGrid w:val="0"/>
        <w:spacing w:line="440" w:lineRule="exact"/>
        <w:ind w:firstLine="420" w:firstLineChars="200"/>
        <w:jc w:val="right"/>
        <w:rPr>
          <w:rFonts w:asciiTheme="minorEastAsia" w:hAnsiTheme="minorEastAsia" w:eastAsiaTheme="minorEastAsia" w:cstheme="minorEastAsia"/>
          <w:snapToGrid w:val="0"/>
          <w:color w:val="auto"/>
          <w:kern w:val="0"/>
          <w:sz w:val="21"/>
          <w:szCs w:val="21"/>
          <w:highlight w:val="none"/>
          <w:u w:val="single"/>
        </w:rPr>
      </w:pPr>
    </w:p>
    <w:p w14:paraId="4F72FD12">
      <w:pPr>
        <w:wordWrap w:val="0"/>
        <w:adjustRightInd w:val="0"/>
        <w:snapToGrid w:val="0"/>
        <w:spacing w:line="440" w:lineRule="exact"/>
        <w:ind w:firstLine="420" w:firstLineChars="200"/>
        <w:jc w:val="righ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年</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月</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日</w:t>
      </w:r>
    </w:p>
    <w:p w14:paraId="5827A2DF">
      <w:pPr>
        <w:wordWrap w:val="0"/>
        <w:adjustRightInd w:val="0"/>
        <w:snapToGrid w:val="0"/>
        <w:spacing w:line="440" w:lineRule="exact"/>
        <w:ind w:firstLine="480" w:firstLineChars="200"/>
        <w:rPr>
          <w:rFonts w:hint="default" w:asciiTheme="minorEastAsia" w:hAnsiTheme="minorEastAsia" w:eastAsiaTheme="minorEastAsia" w:cstheme="minorEastAsia"/>
          <w:snapToGrid w:val="0"/>
          <w:color w:val="auto"/>
          <w:kern w:val="0"/>
          <w:szCs w:val="24"/>
          <w:highlight w:val="none"/>
        </w:rPr>
      </w:pPr>
    </w:p>
    <w:p w14:paraId="2F5B9B53">
      <w:pPr>
        <w:wordWrap w:val="0"/>
        <w:adjustRightInd w:val="0"/>
        <w:snapToGrid w:val="0"/>
        <w:spacing w:line="440" w:lineRule="exact"/>
        <w:ind w:firstLine="480" w:firstLineChars="200"/>
        <w:rPr>
          <w:rFonts w:hint="default" w:asciiTheme="minorEastAsia" w:hAnsiTheme="minorEastAsia" w:eastAsiaTheme="minorEastAsia" w:cstheme="minorEastAsia"/>
          <w:snapToGrid w:val="0"/>
          <w:color w:val="auto"/>
          <w:kern w:val="0"/>
          <w:szCs w:val="24"/>
          <w:highlight w:val="none"/>
        </w:rPr>
      </w:pPr>
    </w:p>
    <w:p w14:paraId="67812B96">
      <w:pPr>
        <w:wordWrap w:val="0"/>
        <w:adjustRightInd w:val="0"/>
        <w:snapToGrid w:val="0"/>
        <w:spacing w:line="440" w:lineRule="exact"/>
        <w:ind w:firstLine="480" w:firstLineChars="200"/>
        <w:rPr>
          <w:rFonts w:hint="default" w:asciiTheme="minorEastAsia" w:hAnsiTheme="minorEastAsia" w:eastAsiaTheme="minorEastAsia" w:cstheme="minorEastAsia"/>
          <w:snapToGrid w:val="0"/>
          <w:color w:val="auto"/>
          <w:kern w:val="0"/>
          <w:szCs w:val="24"/>
          <w:highlight w:val="none"/>
        </w:rPr>
      </w:pPr>
    </w:p>
    <w:p w14:paraId="3C94B5AF">
      <w:pPr>
        <w:wordWrap w:val="0"/>
        <w:adjustRightInd w:val="0"/>
        <w:snapToGrid w:val="0"/>
        <w:ind w:firstLine="5520" w:firstLineChars="2300"/>
        <w:rPr>
          <w:rFonts w:hint="default" w:asciiTheme="minorEastAsia" w:hAnsiTheme="minorEastAsia" w:eastAsiaTheme="minorEastAsia" w:cstheme="minorEastAsia"/>
          <w:snapToGrid w:val="0"/>
          <w:color w:val="auto"/>
          <w:kern w:val="0"/>
          <w:szCs w:val="24"/>
          <w:highlight w:val="none"/>
        </w:rPr>
      </w:pPr>
      <w:r>
        <w:rPr>
          <w:rFonts w:hint="default" w:asciiTheme="minorEastAsia" w:hAnsiTheme="minorEastAsia" w:eastAsiaTheme="minorEastAsia" w:cstheme="minorEastAsia"/>
          <w:snapToGrid w:val="0"/>
          <w:color w:val="auto"/>
          <w:kern w:val="0"/>
          <w:szCs w:val="24"/>
          <w:highlight w:val="none"/>
          <w:u w:val="single"/>
        </w:rPr>
        <w:pict>
          <v:shape id="_x0000_s1026" o:spid="_x0000_s1026" o:spt="176" type="#_x0000_t176" style="position:absolute;left:0pt;margin-left:115.5pt;margin-top:2.6pt;height:124.75pt;width:251.25pt;z-index:251663360;mso-width-relative:page;mso-height-relative:page;" coordsize="21600,21600" o:gfxdata="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rJ9Os2AAAAAkBAAAPAAAAAAAAAAEAIAAAACIAAABkcnMvZG93&#10;bnJldi54bWxQSwECFAAUAAAACACHTuJAsfZZWzkCAABuBAAADgAAAAAAAAABACAAAAAnAQAAZHJz&#10;L2Uyb0RvYy54bWxQSwUGAAAAAAYABgBZAQAA0gUAAAAA&#10;">
            <v:path/>
            <v:fill focussize="0,0"/>
            <v:stroke joinstyle="miter"/>
            <v:imagedata o:title=""/>
            <o:lock v:ext="edit"/>
            <v:textbox>
              <w:txbxContent>
                <w:p w14:paraId="0C587914">
                  <w:pPr>
                    <w:jc w:val="center"/>
                    <w:rPr>
                      <w:rFonts w:hint="default"/>
                      <w:szCs w:val="21"/>
                    </w:rPr>
                  </w:pPr>
                </w:p>
                <w:p w14:paraId="74AFAE34">
                  <w:pPr>
                    <w:jc w:val="center"/>
                    <w:rPr>
                      <w:rFonts w:hint="default"/>
                      <w:szCs w:val="21"/>
                    </w:rPr>
                  </w:pPr>
                </w:p>
                <w:p w14:paraId="573135F1">
                  <w:pPr>
                    <w:jc w:val="center"/>
                    <w:rPr>
                      <w:rFonts w:hint="default"/>
                      <w:szCs w:val="21"/>
                    </w:rPr>
                  </w:pPr>
                </w:p>
                <w:p w14:paraId="239D34DC">
                  <w:pPr>
                    <w:jc w:val="center"/>
                    <w:rPr>
                      <w:rFonts w:hint="default" w:hAnsi="宋体" w:eastAsia="宋体" w:cs="宋体"/>
                      <w:szCs w:val="21"/>
                    </w:rPr>
                  </w:pPr>
                  <w:r>
                    <w:rPr>
                      <w:rFonts w:hAnsi="宋体" w:eastAsia="宋体" w:cs="宋体"/>
                      <w:szCs w:val="21"/>
                    </w:rPr>
                    <w:t>委托代理人身份证彩色扫描件正、反面</w:t>
                  </w:r>
                </w:p>
              </w:txbxContent>
            </v:textbox>
          </v:shape>
        </w:pict>
      </w:r>
    </w:p>
    <w:p w14:paraId="250C7D83">
      <w:pPr>
        <w:pStyle w:val="8"/>
        <w:wordWrap w:val="0"/>
        <w:adjustRightInd w:val="0"/>
        <w:snapToGrid w:val="0"/>
        <w:rPr>
          <w:rFonts w:hint="default" w:asciiTheme="minorEastAsia" w:hAnsiTheme="minorEastAsia" w:eastAsiaTheme="minorEastAsia" w:cstheme="minorEastAsia"/>
          <w:snapToGrid w:val="0"/>
          <w:color w:val="auto"/>
          <w:kern w:val="0"/>
          <w:szCs w:val="24"/>
          <w:highlight w:val="none"/>
        </w:rPr>
      </w:pPr>
    </w:p>
    <w:p w14:paraId="784AF1F3">
      <w:pPr>
        <w:rPr>
          <w:rFonts w:hint="default" w:asciiTheme="minorEastAsia" w:hAnsiTheme="minorEastAsia" w:eastAsiaTheme="minorEastAsia" w:cstheme="minorEastAsia"/>
          <w:color w:val="auto"/>
          <w:szCs w:val="24"/>
          <w:highlight w:val="none"/>
        </w:rPr>
      </w:pPr>
    </w:p>
    <w:p w14:paraId="10AB7255">
      <w:pPr>
        <w:wordWrap w:val="0"/>
        <w:adjustRightInd w:val="0"/>
        <w:snapToGrid w:val="0"/>
        <w:rPr>
          <w:rFonts w:hint="default" w:asciiTheme="minorEastAsia" w:hAnsiTheme="minorEastAsia" w:eastAsiaTheme="minorEastAsia" w:cstheme="minorEastAsia"/>
          <w:snapToGrid w:val="0"/>
          <w:color w:val="auto"/>
          <w:kern w:val="0"/>
          <w:szCs w:val="24"/>
          <w:highlight w:val="none"/>
        </w:rPr>
        <w:sectPr>
          <w:headerReference r:id="rId5" w:type="default"/>
          <w:footerReference r:id="rId6" w:type="default"/>
          <w:endnotePr>
            <w:numFmt w:val="decimal"/>
          </w:endnotePr>
          <w:pgSz w:w="11906" w:h="16838"/>
          <w:pgMar w:top="1440" w:right="1080" w:bottom="1440" w:left="1080" w:header="850" w:footer="737" w:gutter="0"/>
          <w:cols w:space="720" w:num="1"/>
          <w:docGrid w:linePitch="327" w:charSpace="0"/>
        </w:sectPr>
      </w:pPr>
    </w:p>
    <w:p w14:paraId="6117732D">
      <w:pPr>
        <w:pStyle w:val="3"/>
        <w:spacing w:before="120"/>
        <w:rPr>
          <w:rFonts w:hint="default" w:asciiTheme="minorEastAsia" w:hAnsiTheme="minorEastAsia" w:eastAsiaTheme="minorEastAsia" w:cstheme="minorEastAsia"/>
          <w:b/>
          <w:bCs/>
          <w:color w:val="auto"/>
          <w:szCs w:val="24"/>
          <w:highlight w:val="none"/>
        </w:rPr>
      </w:pPr>
      <w:bookmarkStart w:id="569" w:name="_Toc12031"/>
      <w:bookmarkStart w:id="570" w:name="_Toc16495"/>
      <w:r>
        <w:rPr>
          <w:rFonts w:asciiTheme="minorEastAsia" w:hAnsiTheme="minorEastAsia" w:eastAsiaTheme="minorEastAsia" w:cstheme="minorEastAsia"/>
          <w:b/>
          <w:bCs/>
          <w:color w:val="auto"/>
          <w:szCs w:val="24"/>
          <w:highlight w:val="none"/>
        </w:rPr>
        <w:t>格式五 法定代表人身份证明</w:t>
      </w:r>
      <w:bookmarkEnd w:id="569"/>
      <w:bookmarkEnd w:id="570"/>
    </w:p>
    <w:p w14:paraId="6EE565FD">
      <w:pPr>
        <w:wordWrap w:val="0"/>
        <w:adjustRightInd w:val="0"/>
        <w:snapToGrid w:val="0"/>
        <w:spacing w:line="440" w:lineRule="exact"/>
        <w:rPr>
          <w:rFonts w:hint="default" w:asciiTheme="minorEastAsia" w:hAnsiTheme="minorEastAsia" w:eastAsiaTheme="minorEastAsia" w:cstheme="minorEastAsia"/>
          <w:b/>
          <w:snapToGrid w:val="0"/>
          <w:color w:val="auto"/>
          <w:kern w:val="0"/>
          <w:szCs w:val="24"/>
          <w:highlight w:val="none"/>
        </w:rPr>
      </w:pPr>
    </w:p>
    <w:p w14:paraId="1117947A">
      <w:pPr>
        <w:wordWrap w:val="0"/>
        <w:adjustRightInd w:val="0"/>
        <w:snapToGrid w:val="0"/>
        <w:spacing w:before="260" w:after="260" w:line="440" w:lineRule="exact"/>
        <w:jc w:val="center"/>
        <w:rPr>
          <w:rFonts w:hint="default" w:asciiTheme="minorEastAsia" w:hAnsiTheme="minorEastAsia" w:eastAsiaTheme="minorEastAsia" w:cstheme="minorEastAsia"/>
          <w:b/>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法定代表人身份证明</w:t>
      </w:r>
    </w:p>
    <w:p w14:paraId="122F8457">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p>
    <w:p w14:paraId="4CE7470A">
      <w:pPr>
        <w:wordWrap w:val="0"/>
        <w:adjustRightInd w:val="0"/>
        <w:snapToGrid w:val="0"/>
        <w:spacing w:line="440" w:lineRule="exact"/>
        <w:rPr>
          <w:rFonts w:hint="default" w:asciiTheme="minorEastAsia" w:hAnsiTheme="minorEastAsia" w:eastAsiaTheme="minorEastAsia" w:cstheme="minorEastAsia"/>
          <w:snapToGrid w:val="0"/>
          <w:color w:val="auto"/>
          <w:kern w:val="0"/>
          <w:sz w:val="21"/>
          <w:szCs w:val="21"/>
          <w:highlight w:val="none"/>
          <w:u w:val="single"/>
        </w:rPr>
      </w:pPr>
      <w:r>
        <w:rPr>
          <w:rFonts w:asciiTheme="minorEastAsia" w:hAnsiTheme="minorEastAsia" w:eastAsiaTheme="minorEastAsia" w:cstheme="minorEastAsia"/>
          <w:snapToGrid w:val="0"/>
          <w:color w:val="auto"/>
          <w:kern w:val="0"/>
          <w:sz w:val="21"/>
          <w:szCs w:val="21"/>
          <w:highlight w:val="none"/>
        </w:rPr>
        <w:t>投标人名称：</w:t>
      </w:r>
      <w:r>
        <w:rPr>
          <w:rFonts w:asciiTheme="minorEastAsia" w:hAnsiTheme="minorEastAsia" w:eastAsiaTheme="minorEastAsia" w:cstheme="minorEastAsia"/>
          <w:snapToGrid w:val="0"/>
          <w:color w:val="auto"/>
          <w:kern w:val="0"/>
          <w:sz w:val="21"/>
          <w:szCs w:val="21"/>
          <w:highlight w:val="none"/>
          <w:u w:val="single"/>
        </w:rPr>
        <w:t xml:space="preserve">                  </w:t>
      </w:r>
    </w:p>
    <w:p w14:paraId="2E1E184E">
      <w:pPr>
        <w:wordWrap w:val="0"/>
        <w:adjustRightInd w:val="0"/>
        <w:snapToGrid w:val="0"/>
        <w:spacing w:line="440" w:lineRule="exact"/>
        <w:rPr>
          <w:rFonts w:hint="default" w:asciiTheme="minorEastAsia" w:hAnsiTheme="minorEastAsia" w:eastAsiaTheme="minorEastAsia" w:cstheme="minorEastAsia"/>
          <w:snapToGrid w:val="0"/>
          <w:color w:val="auto"/>
          <w:kern w:val="0"/>
          <w:sz w:val="21"/>
          <w:szCs w:val="21"/>
          <w:highlight w:val="none"/>
          <w:u w:val="single"/>
        </w:rPr>
      </w:pPr>
      <w:r>
        <w:rPr>
          <w:rFonts w:asciiTheme="minorEastAsia" w:hAnsiTheme="minorEastAsia" w:eastAsiaTheme="minorEastAsia" w:cstheme="minorEastAsia"/>
          <w:snapToGrid w:val="0"/>
          <w:color w:val="auto"/>
          <w:kern w:val="0"/>
          <w:sz w:val="21"/>
          <w:szCs w:val="21"/>
          <w:highlight w:val="none"/>
        </w:rPr>
        <w:t>姓名：</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性别：</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年龄：</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职务：</w:t>
      </w:r>
      <w:r>
        <w:rPr>
          <w:rFonts w:asciiTheme="minorEastAsia" w:hAnsiTheme="minorEastAsia" w:eastAsiaTheme="minorEastAsia" w:cstheme="minorEastAsia"/>
          <w:snapToGrid w:val="0"/>
          <w:color w:val="auto"/>
          <w:kern w:val="0"/>
          <w:sz w:val="21"/>
          <w:szCs w:val="21"/>
          <w:highlight w:val="none"/>
          <w:u w:val="single"/>
        </w:rPr>
        <w:t xml:space="preserve">           </w:t>
      </w:r>
    </w:p>
    <w:p w14:paraId="00625538">
      <w:pPr>
        <w:wordWrap w:val="0"/>
        <w:adjustRightInd w:val="0"/>
        <w:snapToGrid w:val="0"/>
        <w:spacing w:line="44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系</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（投标人名称）的法定代表人。</w:t>
      </w:r>
    </w:p>
    <w:p w14:paraId="58F193F0">
      <w:pPr>
        <w:wordWrap w:val="0"/>
        <w:adjustRightInd w:val="0"/>
        <w:snapToGrid w:val="0"/>
        <w:spacing w:line="44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特此证明。</w:t>
      </w:r>
    </w:p>
    <w:p w14:paraId="60249A02">
      <w:pPr>
        <w:wordWrap w:val="0"/>
        <w:adjustRightInd w:val="0"/>
        <w:snapToGrid w:val="0"/>
        <w:spacing w:line="440" w:lineRule="exact"/>
        <w:rPr>
          <w:rFonts w:hint="default" w:asciiTheme="minorEastAsia" w:hAnsiTheme="minorEastAsia" w:eastAsiaTheme="minorEastAsia" w:cstheme="minorEastAsia"/>
          <w:snapToGrid w:val="0"/>
          <w:color w:val="auto"/>
          <w:kern w:val="0"/>
          <w:sz w:val="21"/>
          <w:szCs w:val="21"/>
          <w:highlight w:val="none"/>
        </w:rPr>
      </w:pPr>
    </w:p>
    <w:p w14:paraId="6D8B9062">
      <w:pPr>
        <w:wordWrap w:val="0"/>
        <w:adjustRightInd w:val="0"/>
        <w:snapToGrid w:val="0"/>
        <w:spacing w:line="440" w:lineRule="exact"/>
        <w:rPr>
          <w:rFonts w:hint="default" w:asciiTheme="minorEastAsia" w:hAnsiTheme="minorEastAsia" w:eastAsiaTheme="minorEastAsia" w:cstheme="minorEastAsia"/>
          <w:snapToGrid w:val="0"/>
          <w:color w:val="auto"/>
          <w:kern w:val="0"/>
          <w:sz w:val="21"/>
          <w:szCs w:val="21"/>
          <w:highlight w:val="none"/>
        </w:rPr>
      </w:pPr>
    </w:p>
    <w:p w14:paraId="763AFCD2">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投标人：</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（盖单位章）</w:t>
      </w:r>
    </w:p>
    <w:p w14:paraId="3BC2EB80">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 w:val="21"/>
          <w:szCs w:val="21"/>
          <w:highlight w:val="none"/>
        </w:rPr>
      </w:pPr>
    </w:p>
    <w:p w14:paraId="1BE3085B">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 w:val="21"/>
          <w:szCs w:val="21"/>
          <w:highlight w:val="none"/>
        </w:rPr>
      </w:pPr>
    </w:p>
    <w:p w14:paraId="78879CBA">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法定代表人：</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（签字或盖章）</w:t>
      </w:r>
    </w:p>
    <w:p w14:paraId="4CBBBF04">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 w:val="21"/>
          <w:szCs w:val="21"/>
          <w:highlight w:val="none"/>
        </w:rPr>
      </w:pPr>
    </w:p>
    <w:p w14:paraId="359FC2DD">
      <w:pPr>
        <w:wordWrap w:val="0"/>
        <w:adjustRightInd w:val="0"/>
        <w:snapToGrid w:val="0"/>
        <w:spacing w:line="440" w:lineRule="exact"/>
        <w:jc w:val="right"/>
        <w:rPr>
          <w:rFonts w:asciiTheme="minorEastAsia" w:hAnsiTheme="minorEastAsia" w:eastAsiaTheme="minorEastAsia" w:cstheme="minorEastAsia"/>
          <w:snapToGrid w:val="0"/>
          <w:color w:val="auto"/>
          <w:kern w:val="0"/>
          <w:sz w:val="21"/>
          <w:szCs w:val="21"/>
          <w:highlight w:val="none"/>
        </w:rPr>
      </w:pPr>
    </w:p>
    <w:p w14:paraId="14670907">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 w:val="21"/>
          <w:szCs w:val="21"/>
          <w:highlight w:val="none"/>
        </w:rPr>
        <w:t xml:space="preserve"> </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年</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月</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 xml:space="preserve">日      </w:t>
      </w:r>
      <w:r>
        <w:rPr>
          <w:rFonts w:asciiTheme="minorEastAsia" w:hAnsiTheme="minorEastAsia" w:eastAsiaTheme="minorEastAsia" w:cstheme="minorEastAsia"/>
          <w:snapToGrid w:val="0"/>
          <w:color w:val="auto"/>
          <w:kern w:val="0"/>
          <w:szCs w:val="24"/>
          <w:highlight w:val="none"/>
        </w:rPr>
        <w:t xml:space="preserve"> </w:t>
      </w:r>
    </w:p>
    <w:p w14:paraId="0DDAF957">
      <w:pPr>
        <w:wordWrap w:val="0"/>
        <w:adjustRightInd w:val="0"/>
        <w:snapToGrid w:val="0"/>
        <w:spacing w:line="440" w:lineRule="exact"/>
        <w:ind w:firstLine="720" w:firstLineChars="300"/>
        <w:rPr>
          <w:rFonts w:hint="default" w:asciiTheme="minorEastAsia" w:hAnsiTheme="minorEastAsia" w:eastAsiaTheme="minorEastAsia" w:cstheme="minorEastAsia"/>
          <w:i/>
          <w:iCs/>
          <w:snapToGrid w:val="0"/>
          <w:color w:val="auto"/>
          <w:kern w:val="0"/>
          <w:szCs w:val="24"/>
          <w:highlight w:val="none"/>
        </w:rPr>
      </w:pPr>
    </w:p>
    <w:p w14:paraId="16075A44">
      <w:pPr>
        <w:wordWrap w:val="0"/>
        <w:adjustRightInd w:val="0"/>
        <w:snapToGrid w:val="0"/>
        <w:spacing w:line="440" w:lineRule="exact"/>
        <w:ind w:firstLine="720" w:firstLineChars="300"/>
        <w:rPr>
          <w:rFonts w:hint="default" w:asciiTheme="minorEastAsia" w:hAnsiTheme="minorEastAsia" w:eastAsiaTheme="minorEastAsia" w:cstheme="minorEastAsia"/>
          <w:i/>
          <w:iCs/>
          <w:snapToGrid w:val="0"/>
          <w:color w:val="auto"/>
          <w:kern w:val="0"/>
          <w:szCs w:val="24"/>
          <w:highlight w:val="none"/>
        </w:rPr>
      </w:pPr>
    </w:p>
    <w:p w14:paraId="2C462B9D">
      <w:pPr>
        <w:wordWrap w:val="0"/>
        <w:adjustRightInd w:val="0"/>
        <w:snapToGrid w:val="0"/>
        <w:rPr>
          <w:rFonts w:hint="default" w:asciiTheme="minorEastAsia" w:hAnsiTheme="minorEastAsia" w:eastAsiaTheme="minorEastAsia" w:cstheme="minorEastAsia"/>
          <w:b/>
          <w:snapToGrid w:val="0"/>
          <w:color w:val="auto"/>
          <w:kern w:val="0"/>
          <w:szCs w:val="24"/>
          <w:highlight w:val="none"/>
        </w:rPr>
      </w:pPr>
      <w:r>
        <w:rPr>
          <w:rFonts w:hint="default" w:asciiTheme="minorEastAsia" w:hAnsiTheme="minorEastAsia" w:eastAsiaTheme="minorEastAsia" w:cstheme="minorEastAsia"/>
          <w:b/>
          <w:snapToGrid w:val="0"/>
          <w:color w:val="auto"/>
          <w:kern w:val="0"/>
          <w:szCs w:val="24"/>
          <w:highlight w:val="none"/>
        </w:rPr>
        <w:pict>
          <v:shape id="_x0000_s1027" o:spid="_x0000_s1027" o:spt="176" type="#_x0000_t176" style="position:absolute;left:0pt;margin-left:127.5pt;margin-top:1.6pt;height:124.75pt;width:222.45pt;z-index:251662336;mso-width-relative:page;mso-height-relative:page;" coordsize="21600,21600" o:gfxdata="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HhXUptgAAAAJAQAADwAAAAAAAAABACAAAAAiAAAAZHJzL2Rvd25y&#10;ZXYueG1sUEsBAhQAFAAAAAgAh07iQEz7asY3AgAAbAQAAA4AAAAAAAAAAQAgAAAAJwEAAGRycy9l&#10;Mm9Eb2MueG1sUEsFBgAAAAAGAAYAWQEAANAFAAAAAA==&#10;">
            <v:path/>
            <v:fill focussize="0,0"/>
            <v:stroke joinstyle="miter"/>
            <v:imagedata o:title=""/>
            <o:lock v:ext="edit"/>
            <v:textbox>
              <w:txbxContent>
                <w:p w14:paraId="61A317E6">
                  <w:pPr>
                    <w:jc w:val="center"/>
                    <w:rPr>
                      <w:rFonts w:hint="default"/>
                      <w:szCs w:val="21"/>
                    </w:rPr>
                  </w:pPr>
                </w:p>
                <w:p w14:paraId="0DF030C7">
                  <w:pPr>
                    <w:jc w:val="center"/>
                    <w:rPr>
                      <w:rFonts w:hint="default"/>
                      <w:szCs w:val="21"/>
                    </w:rPr>
                  </w:pPr>
                </w:p>
                <w:p w14:paraId="2E728B9D">
                  <w:pPr>
                    <w:jc w:val="center"/>
                    <w:rPr>
                      <w:rFonts w:hint="default"/>
                      <w:szCs w:val="21"/>
                    </w:rPr>
                  </w:pPr>
                </w:p>
                <w:p w14:paraId="2E44F743">
                  <w:pPr>
                    <w:jc w:val="center"/>
                    <w:rPr>
                      <w:rFonts w:hint="default" w:hAnsi="宋体" w:eastAsia="宋体" w:cs="宋体"/>
                      <w:sz w:val="21"/>
                      <w:szCs w:val="21"/>
                    </w:rPr>
                  </w:pPr>
                  <w:r>
                    <w:rPr>
                      <w:rFonts w:hAnsi="宋体" w:eastAsia="宋体" w:cs="宋体"/>
                      <w:sz w:val="21"/>
                      <w:szCs w:val="21"/>
                    </w:rPr>
                    <w:t>法定代表人身份证彩色扫描件正、反面</w:t>
                  </w:r>
                </w:p>
              </w:txbxContent>
            </v:textbox>
          </v:shape>
        </w:pict>
      </w:r>
    </w:p>
    <w:p w14:paraId="3FC46A96">
      <w:pPr>
        <w:tabs>
          <w:tab w:val="left" w:pos="654"/>
          <w:tab w:val="left" w:pos="1734"/>
          <w:tab w:val="left" w:pos="2814"/>
          <w:tab w:val="left" w:pos="3894"/>
          <w:tab w:val="left" w:pos="5334"/>
          <w:tab w:val="left" w:pos="6414"/>
          <w:tab w:val="left" w:pos="7254"/>
          <w:tab w:val="left" w:pos="8574"/>
          <w:tab w:val="left" w:pos="9654"/>
        </w:tabs>
        <w:wordWrap w:val="0"/>
        <w:adjustRightInd w:val="0"/>
        <w:snapToGrid w:val="0"/>
        <w:rPr>
          <w:rFonts w:hint="default" w:asciiTheme="minorEastAsia" w:hAnsiTheme="minorEastAsia" w:eastAsiaTheme="minorEastAsia" w:cstheme="minorEastAsia"/>
          <w:snapToGrid w:val="0"/>
          <w:color w:val="auto"/>
          <w:kern w:val="0"/>
          <w:szCs w:val="24"/>
          <w:highlight w:val="none"/>
        </w:rPr>
      </w:pPr>
    </w:p>
    <w:p w14:paraId="19C86464">
      <w:pPr>
        <w:wordWrap w:val="0"/>
        <w:adjustRightInd w:val="0"/>
        <w:snapToGrid w:val="0"/>
        <w:spacing w:line="480" w:lineRule="exact"/>
        <w:jc w:val="center"/>
        <w:rPr>
          <w:rFonts w:hint="default" w:asciiTheme="minorEastAsia" w:hAnsiTheme="minorEastAsia" w:eastAsiaTheme="minorEastAsia" w:cstheme="minorEastAsia"/>
          <w:b/>
          <w:snapToGrid w:val="0"/>
          <w:color w:val="auto"/>
          <w:kern w:val="0"/>
          <w:szCs w:val="24"/>
          <w:highlight w:val="none"/>
        </w:rPr>
      </w:pPr>
    </w:p>
    <w:p w14:paraId="741CBC2C">
      <w:pPr>
        <w:wordWrap w:val="0"/>
        <w:adjustRightInd w:val="0"/>
        <w:snapToGrid w:val="0"/>
        <w:spacing w:line="480" w:lineRule="exact"/>
        <w:jc w:val="center"/>
        <w:rPr>
          <w:rFonts w:hint="default" w:asciiTheme="minorEastAsia" w:hAnsiTheme="minorEastAsia" w:eastAsiaTheme="minorEastAsia" w:cstheme="minorEastAsia"/>
          <w:b/>
          <w:snapToGrid w:val="0"/>
          <w:color w:val="auto"/>
          <w:kern w:val="0"/>
          <w:szCs w:val="24"/>
          <w:highlight w:val="none"/>
        </w:rPr>
      </w:pPr>
    </w:p>
    <w:p w14:paraId="23E17FDE">
      <w:pPr>
        <w:wordWrap w:val="0"/>
        <w:adjustRightInd w:val="0"/>
        <w:snapToGrid w:val="0"/>
        <w:spacing w:line="480" w:lineRule="exact"/>
        <w:jc w:val="center"/>
        <w:rPr>
          <w:rFonts w:hint="default" w:asciiTheme="minorEastAsia" w:hAnsiTheme="minorEastAsia" w:eastAsiaTheme="minorEastAsia" w:cstheme="minorEastAsia"/>
          <w:b/>
          <w:snapToGrid w:val="0"/>
          <w:color w:val="auto"/>
          <w:kern w:val="0"/>
          <w:szCs w:val="24"/>
          <w:highlight w:val="none"/>
        </w:rPr>
        <w:sectPr>
          <w:endnotePr>
            <w:numFmt w:val="decimal"/>
          </w:endnotePr>
          <w:pgSz w:w="11906" w:h="16838"/>
          <w:pgMar w:top="1701" w:right="1531" w:bottom="1417" w:left="1531" w:header="850" w:footer="992" w:gutter="0"/>
          <w:cols w:space="720" w:num="1"/>
          <w:docGrid w:linePitch="327" w:charSpace="0"/>
        </w:sectPr>
      </w:pPr>
    </w:p>
    <w:p w14:paraId="2B8B7C13">
      <w:pPr>
        <w:pStyle w:val="3"/>
        <w:spacing w:before="120"/>
        <w:rPr>
          <w:rFonts w:hint="default" w:asciiTheme="minorEastAsia" w:hAnsiTheme="minorEastAsia" w:eastAsiaTheme="minorEastAsia" w:cstheme="minorEastAsia"/>
          <w:b/>
          <w:bCs/>
          <w:color w:val="auto"/>
          <w:szCs w:val="24"/>
          <w:highlight w:val="none"/>
        </w:rPr>
      </w:pPr>
      <w:bookmarkStart w:id="571" w:name="_Toc26875"/>
      <w:bookmarkStart w:id="572" w:name="_Toc16430"/>
      <w:bookmarkStart w:id="573" w:name="_Toc15742"/>
      <w:bookmarkStart w:id="574" w:name="_Toc26395"/>
      <w:bookmarkStart w:id="575" w:name="_Toc30665"/>
      <w:r>
        <w:rPr>
          <w:rFonts w:asciiTheme="minorEastAsia" w:hAnsiTheme="minorEastAsia" w:eastAsiaTheme="minorEastAsia" w:cstheme="minorEastAsia"/>
          <w:b/>
          <w:bCs/>
          <w:color w:val="auto"/>
          <w:szCs w:val="24"/>
          <w:highlight w:val="none"/>
        </w:rPr>
        <w:t>格式六 联合体协议书</w:t>
      </w:r>
      <w:bookmarkEnd w:id="571"/>
      <w:bookmarkEnd w:id="572"/>
      <w:bookmarkEnd w:id="573"/>
      <w:bookmarkEnd w:id="574"/>
      <w:bookmarkEnd w:id="575"/>
    </w:p>
    <w:p w14:paraId="4675788B">
      <w:pPr>
        <w:pStyle w:val="52"/>
        <w:widowControl w:val="0"/>
        <w:wordWrap w:val="0"/>
        <w:adjustRightInd w:val="0"/>
        <w:snapToGrid w:val="0"/>
        <w:spacing w:before="240" w:after="240" w:line="440" w:lineRule="exact"/>
        <w:ind w:firstLine="0"/>
        <w:jc w:val="center"/>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b/>
          <w:snapToGrid w:val="0"/>
          <w:color w:val="auto"/>
          <w:sz w:val="24"/>
          <w:szCs w:val="24"/>
          <w:highlight w:val="none"/>
        </w:rPr>
        <w:t>联合体协议书</w:t>
      </w:r>
    </w:p>
    <w:p w14:paraId="35810D6A">
      <w:pPr>
        <w:pStyle w:val="52"/>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1416378B">
      <w:pPr>
        <w:pStyle w:val="52"/>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54B35438">
      <w:pPr>
        <w:pStyle w:val="52"/>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u w:val="single"/>
        </w:rPr>
      </w:pPr>
      <w:r>
        <w:rPr>
          <w:rFonts w:hint="eastAsia" w:asciiTheme="minorEastAsia" w:hAnsiTheme="minorEastAsia" w:eastAsiaTheme="minorEastAsia" w:cstheme="minorEastAsia"/>
          <w:snapToGrid w:val="0"/>
          <w:color w:val="auto"/>
          <w:sz w:val="21"/>
          <w:szCs w:val="21"/>
          <w:highlight w:val="none"/>
        </w:rPr>
        <w:t>牵头人名称：</w:t>
      </w:r>
      <w:r>
        <w:rPr>
          <w:rFonts w:hint="eastAsia" w:asciiTheme="minorEastAsia" w:hAnsiTheme="minorEastAsia" w:eastAsiaTheme="minorEastAsia" w:cstheme="minorEastAsia"/>
          <w:snapToGrid w:val="0"/>
          <w:color w:val="auto"/>
          <w:sz w:val="21"/>
          <w:szCs w:val="21"/>
          <w:highlight w:val="none"/>
          <w:u w:val="single"/>
        </w:rPr>
        <w:t xml:space="preserve">                                                  </w:t>
      </w:r>
    </w:p>
    <w:p w14:paraId="5241F4E2">
      <w:pPr>
        <w:pStyle w:val="52"/>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u w:val="single"/>
        </w:rPr>
      </w:pPr>
      <w:r>
        <w:rPr>
          <w:rFonts w:hint="eastAsia" w:asciiTheme="minorEastAsia" w:hAnsiTheme="minorEastAsia" w:eastAsiaTheme="minorEastAsia" w:cstheme="minorEastAsia"/>
          <w:snapToGrid w:val="0"/>
          <w:color w:val="auto"/>
          <w:sz w:val="21"/>
          <w:szCs w:val="21"/>
          <w:highlight w:val="none"/>
        </w:rPr>
        <w:t>法定代表人：</w:t>
      </w:r>
      <w:r>
        <w:rPr>
          <w:rFonts w:hint="eastAsia" w:asciiTheme="minorEastAsia" w:hAnsiTheme="minorEastAsia" w:eastAsiaTheme="minorEastAsia" w:cstheme="minorEastAsia"/>
          <w:snapToGrid w:val="0"/>
          <w:color w:val="auto"/>
          <w:sz w:val="21"/>
          <w:szCs w:val="21"/>
          <w:highlight w:val="none"/>
          <w:u w:val="single"/>
        </w:rPr>
        <w:t xml:space="preserve">                                                  </w:t>
      </w:r>
    </w:p>
    <w:p w14:paraId="67171D13">
      <w:pPr>
        <w:pStyle w:val="52"/>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法定住所：</w:t>
      </w:r>
      <w:r>
        <w:rPr>
          <w:rFonts w:hint="eastAsia" w:asciiTheme="minorEastAsia" w:hAnsiTheme="minorEastAsia" w:eastAsiaTheme="minorEastAsia" w:cstheme="minorEastAsia"/>
          <w:snapToGrid w:val="0"/>
          <w:color w:val="auto"/>
          <w:sz w:val="21"/>
          <w:szCs w:val="21"/>
          <w:highlight w:val="none"/>
          <w:u w:val="single"/>
        </w:rPr>
        <w:t xml:space="preserve">                                                    </w:t>
      </w:r>
    </w:p>
    <w:p w14:paraId="4C7BCAB8">
      <w:pPr>
        <w:pStyle w:val="52"/>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rPr>
      </w:pPr>
    </w:p>
    <w:p w14:paraId="7EF372E6">
      <w:pPr>
        <w:pStyle w:val="52"/>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u w:val="single"/>
        </w:rPr>
      </w:pPr>
      <w:r>
        <w:rPr>
          <w:rFonts w:hint="eastAsia" w:asciiTheme="minorEastAsia" w:hAnsiTheme="minorEastAsia" w:eastAsiaTheme="minorEastAsia" w:cstheme="minorEastAsia"/>
          <w:snapToGrid w:val="0"/>
          <w:color w:val="auto"/>
          <w:sz w:val="21"/>
          <w:szCs w:val="21"/>
          <w:highlight w:val="none"/>
        </w:rPr>
        <w:t>成员</w:t>
      </w:r>
      <w:r>
        <w:rPr>
          <w:rFonts w:hint="eastAsia" w:asciiTheme="minorEastAsia" w:hAnsiTheme="minorEastAsia" w:eastAsiaTheme="minorEastAsia" w:cstheme="minorEastAsia"/>
          <w:snapToGrid w:val="0"/>
          <w:color w:val="auto"/>
          <w:sz w:val="21"/>
          <w:szCs w:val="21"/>
          <w:highlight w:val="none"/>
          <w:lang w:val="en-US" w:eastAsia="zh-CN"/>
        </w:rPr>
        <w:t>一</w:t>
      </w:r>
      <w:r>
        <w:rPr>
          <w:rFonts w:hint="eastAsia" w:asciiTheme="minorEastAsia" w:hAnsiTheme="minorEastAsia" w:eastAsiaTheme="minorEastAsia" w:cstheme="minorEastAsia"/>
          <w:snapToGrid w:val="0"/>
          <w:color w:val="auto"/>
          <w:sz w:val="21"/>
          <w:szCs w:val="21"/>
          <w:highlight w:val="none"/>
        </w:rPr>
        <w:t>名称：</w:t>
      </w:r>
      <w:r>
        <w:rPr>
          <w:rFonts w:hint="eastAsia" w:asciiTheme="minorEastAsia" w:hAnsiTheme="minorEastAsia" w:eastAsiaTheme="minorEastAsia" w:cstheme="minorEastAsia"/>
          <w:snapToGrid w:val="0"/>
          <w:color w:val="auto"/>
          <w:sz w:val="21"/>
          <w:szCs w:val="21"/>
          <w:highlight w:val="none"/>
          <w:u w:val="single"/>
        </w:rPr>
        <w:t xml:space="preserve">                                                  </w:t>
      </w:r>
    </w:p>
    <w:p w14:paraId="327EFDB0">
      <w:pPr>
        <w:pStyle w:val="52"/>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u w:val="single"/>
        </w:rPr>
      </w:pPr>
      <w:r>
        <w:rPr>
          <w:rFonts w:hint="eastAsia" w:asciiTheme="minorEastAsia" w:hAnsiTheme="minorEastAsia" w:eastAsiaTheme="minorEastAsia" w:cstheme="minorEastAsia"/>
          <w:snapToGrid w:val="0"/>
          <w:color w:val="auto"/>
          <w:sz w:val="21"/>
          <w:szCs w:val="21"/>
          <w:highlight w:val="none"/>
        </w:rPr>
        <w:t>法定代表人：</w:t>
      </w:r>
      <w:r>
        <w:rPr>
          <w:rFonts w:hint="eastAsia" w:asciiTheme="minorEastAsia" w:hAnsiTheme="minorEastAsia" w:eastAsiaTheme="minorEastAsia" w:cstheme="minorEastAsia"/>
          <w:snapToGrid w:val="0"/>
          <w:color w:val="auto"/>
          <w:sz w:val="21"/>
          <w:szCs w:val="21"/>
          <w:highlight w:val="none"/>
          <w:u w:val="single"/>
        </w:rPr>
        <w:t xml:space="preserve">                                                  </w:t>
      </w:r>
    </w:p>
    <w:p w14:paraId="697680DB">
      <w:pPr>
        <w:pStyle w:val="52"/>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u w:val="single"/>
        </w:rPr>
      </w:pPr>
      <w:r>
        <w:rPr>
          <w:rFonts w:hint="eastAsia" w:asciiTheme="minorEastAsia" w:hAnsiTheme="minorEastAsia" w:eastAsiaTheme="minorEastAsia" w:cstheme="minorEastAsia"/>
          <w:snapToGrid w:val="0"/>
          <w:color w:val="auto"/>
          <w:sz w:val="21"/>
          <w:szCs w:val="21"/>
          <w:highlight w:val="none"/>
        </w:rPr>
        <w:t>法定住所：</w:t>
      </w:r>
      <w:r>
        <w:rPr>
          <w:rFonts w:hint="eastAsia" w:asciiTheme="minorEastAsia" w:hAnsiTheme="minorEastAsia" w:eastAsiaTheme="minorEastAsia" w:cstheme="minorEastAsia"/>
          <w:snapToGrid w:val="0"/>
          <w:color w:val="auto"/>
          <w:sz w:val="21"/>
          <w:szCs w:val="21"/>
          <w:highlight w:val="none"/>
          <w:u w:val="single"/>
        </w:rPr>
        <w:t xml:space="preserve">                                                    </w:t>
      </w:r>
    </w:p>
    <w:p w14:paraId="76AB6E42">
      <w:pPr>
        <w:pStyle w:val="52"/>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rPr>
      </w:pPr>
    </w:p>
    <w:p w14:paraId="00D525DA">
      <w:pPr>
        <w:pStyle w:val="52"/>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rPr>
      </w:pPr>
    </w:p>
    <w:p w14:paraId="61336E1C">
      <w:pPr>
        <w:pStyle w:val="52"/>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w:t>
      </w:r>
    </w:p>
    <w:p w14:paraId="4AE3B40C">
      <w:pPr>
        <w:pStyle w:val="52"/>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上述各成员单位经过友好协商，自愿组成联合体，共同参加</w:t>
      </w:r>
      <w:r>
        <w:rPr>
          <w:rFonts w:hint="eastAsia" w:asciiTheme="minorEastAsia" w:hAnsiTheme="minorEastAsia" w:eastAsiaTheme="minorEastAsia" w:cstheme="minorEastAsia"/>
          <w:snapToGrid w:val="0"/>
          <w:color w:val="auto"/>
          <w:sz w:val="21"/>
          <w:szCs w:val="21"/>
          <w:highlight w:val="none"/>
          <w:u w:val="single"/>
        </w:rPr>
        <w:t xml:space="preserve">          </w:t>
      </w:r>
      <w:r>
        <w:rPr>
          <w:rFonts w:hint="eastAsia" w:asciiTheme="minorEastAsia" w:hAnsiTheme="minorEastAsia" w:eastAsiaTheme="minorEastAsia" w:cstheme="minorEastAsia"/>
          <w:snapToGrid w:val="0"/>
          <w:color w:val="auto"/>
          <w:sz w:val="21"/>
          <w:szCs w:val="21"/>
          <w:highlight w:val="none"/>
        </w:rPr>
        <w:t>（项目名称）（以下简称“本项目”）的投标并争取赢得本项目EPC总承包合同（以下简称合同）。现就联合体投标事宜订立如下协议：</w:t>
      </w:r>
    </w:p>
    <w:p w14:paraId="1D965FAC">
      <w:pPr>
        <w:pStyle w:val="52"/>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 xml:space="preserve">    1．</w:t>
      </w:r>
      <w:r>
        <w:rPr>
          <w:rFonts w:hint="eastAsia" w:asciiTheme="minorEastAsia" w:hAnsiTheme="minorEastAsia" w:eastAsiaTheme="minorEastAsia" w:cstheme="minorEastAsia"/>
          <w:snapToGrid w:val="0"/>
          <w:color w:val="auto"/>
          <w:sz w:val="21"/>
          <w:szCs w:val="21"/>
          <w:highlight w:val="none"/>
          <w:u w:val="single"/>
        </w:rPr>
        <w:t xml:space="preserve">              </w:t>
      </w:r>
      <w:r>
        <w:rPr>
          <w:rFonts w:hint="eastAsia" w:asciiTheme="minorEastAsia" w:hAnsiTheme="minorEastAsia" w:eastAsiaTheme="minorEastAsia" w:cstheme="minorEastAsia"/>
          <w:snapToGrid w:val="0"/>
          <w:color w:val="auto"/>
          <w:sz w:val="21"/>
          <w:szCs w:val="21"/>
          <w:highlight w:val="none"/>
        </w:rPr>
        <w:t>（某成员单位名称）为联合体牵头人。</w:t>
      </w:r>
    </w:p>
    <w:p w14:paraId="7F9839E2">
      <w:pPr>
        <w:pStyle w:val="52"/>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 xml:space="preserve">    2．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18E31749">
      <w:pPr>
        <w:pStyle w:val="52"/>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 xml:space="preserve">    3．联合体将严格按照招标文件的各项要求，递交投标文件，履行投标义务和中标后的合同，共同承担合同规定的一切义务和责任，联合体各成员单位按照内部职责的部分，承担各自所负的责任和风险，并向招标人承担相关责任。</w:t>
      </w:r>
    </w:p>
    <w:p w14:paraId="5176576D">
      <w:pPr>
        <w:pStyle w:val="52"/>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 xml:space="preserve">    4．联合体各成员单位内部的职责分工如下：</w:t>
      </w:r>
      <w:r>
        <w:rPr>
          <w:rFonts w:hint="eastAsia" w:asciiTheme="minorEastAsia" w:hAnsiTheme="minorEastAsia" w:eastAsiaTheme="minorEastAsia" w:cstheme="minorEastAsia"/>
          <w:snapToGrid w:val="0"/>
          <w:color w:val="auto"/>
          <w:sz w:val="21"/>
          <w:szCs w:val="21"/>
          <w:highlight w:val="none"/>
          <w:u w:val="single"/>
        </w:rPr>
        <w:t xml:space="preserve">                  </w:t>
      </w:r>
      <w:r>
        <w:rPr>
          <w:rFonts w:hint="eastAsia" w:asciiTheme="minorEastAsia" w:hAnsiTheme="minorEastAsia" w:eastAsiaTheme="minorEastAsia" w:cstheme="minorEastAsia"/>
          <w:snapToGrid w:val="0"/>
          <w:color w:val="auto"/>
          <w:sz w:val="21"/>
          <w:szCs w:val="21"/>
          <w:highlight w:val="none"/>
        </w:rPr>
        <w:t>。</w:t>
      </w:r>
    </w:p>
    <w:p w14:paraId="3981FD4E">
      <w:pPr>
        <w:pStyle w:val="52"/>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 xml:space="preserve">    5．投标工作和联合体在中标后工程实施过程中的有关费用按各自承担的工作量分摊。</w:t>
      </w:r>
    </w:p>
    <w:p w14:paraId="591549A8">
      <w:pPr>
        <w:pStyle w:val="52"/>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 xml:space="preserve">    6．联合体中标后，本联合体协议是合同的附件，对联合体各成员单位有合同约束力。</w:t>
      </w:r>
    </w:p>
    <w:p w14:paraId="6CCAC770">
      <w:pPr>
        <w:pStyle w:val="52"/>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 xml:space="preserve">    7．本协议书自签署之日起生效，联合体未中标或者中标时合同履行完毕后自动失效。</w:t>
      </w:r>
    </w:p>
    <w:p w14:paraId="2CCA4565">
      <w:pPr>
        <w:pStyle w:val="52"/>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 xml:space="preserve">    8．本协议书一式</w:t>
      </w:r>
      <w:r>
        <w:rPr>
          <w:rFonts w:hint="eastAsia" w:asciiTheme="minorEastAsia" w:hAnsiTheme="minorEastAsia" w:eastAsiaTheme="minorEastAsia" w:cstheme="minorEastAsia"/>
          <w:snapToGrid w:val="0"/>
          <w:color w:val="auto"/>
          <w:sz w:val="21"/>
          <w:szCs w:val="21"/>
          <w:highlight w:val="none"/>
          <w:u w:val="single"/>
        </w:rPr>
        <w:t xml:space="preserve">    </w:t>
      </w:r>
      <w:r>
        <w:rPr>
          <w:rFonts w:hint="eastAsia" w:asciiTheme="minorEastAsia" w:hAnsiTheme="minorEastAsia" w:eastAsiaTheme="minorEastAsia" w:cstheme="minorEastAsia"/>
          <w:snapToGrid w:val="0"/>
          <w:color w:val="auto"/>
          <w:sz w:val="21"/>
          <w:szCs w:val="21"/>
          <w:highlight w:val="none"/>
        </w:rPr>
        <w:t>份，联合体成员和招标人各执一份。</w:t>
      </w:r>
    </w:p>
    <w:p w14:paraId="7D588FD4">
      <w:pPr>
        <w:pStyle w:val="52"/>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rPr>
      </w:pPr>
    </w:p>
    <w:p w14:paraId="02BF9936">
      <w:pPr>
        <w:pStyle w:val="52"/>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rPr>
      </w:pPr>
    </w:p>
    <w:p w14:paraId="74C29931">
      <w:pPr>
        <w:pStyle w:val="52"/>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牵头人名称：</w:t>
      </w:r>
      <w:r>
        <w:rPr>
          <w:rFonts w:hint="eastAsia" w:asciiTheme="minorEastAsia" w:hAnsiTheme="minorEastAsia" w:eastAsiaTheme="minorEastAsia" w:cstheme="minorEastAsia"/>
          <w:snapToGrid w:val="0"/>
          <w:color w:val="auto"/>
          <w:sz w:val="21"/>
          <w:szCs w:val="21"/>
          <w:highlight w:val="none"/>
          <w:u w:val="single"/>
        </w:rPr>
        <w:t xml:space="preserve">                               </w:t>
      </w:r>
      <w:r>
        <w:rPr>
          <w:rFonts w:hint="eastAsia" w:asciiTheme="minorEastAsia" w:hAnsiTheme="minorEastAsia" w:eastAsiaTheme="minorEastAsia" w:cstheme="minorEastAsia"/>
          <w:snapToGrid w:val="0"/>
          <w:color w:val="auto"/>
          <w:sz w:val="21"/>
          <w:szCs w:val="21"/>
          <w:highlight w:val="none"/>
        </w:rPr>
        <w:t>（盖单位章）</w:t>
      </w:r>
    </w:p>
    <w:p w14:paraId="786C4461">
      <w:pPr>
        <w:pStyle w:val="52"/>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　　　　　　　　</w:t>
      </w:r>
    </w:p>
    <w:p w14:paraId="59C06936">
      <w:pPr>
        <w:pStyle w:val="52"/>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法定代表人或其委托代理人：</w:t>
      </w:r>
      <w:r>
        <w:rPr>
          <w:rFonts w:hint="eastAsia" w:asciiTheme="minorEastAsia" w:hAnsiTheme="minorEastAsia" w:eastAsiaTheme="minorEastAsia" w:cstheme="minorEastAsia"/>
          <w:snapToGrid w:val="0"/>
          <w:color w:val="auto"/>
          <w:sz w:val="21"/>
          <w:szCs w:val="21"/>
          <w:highlight w:val="none"/>
          <w:u w:val="single"/>
        </w:rPr>
        <w:t xml:space="preserve">               </w:t>
      </w:r>
      <w:r>
        <w:rPr>
          <w:rFonts w:hint="eastAsia" w:asciiTheme="minorEastAsia" w:hAnsiTheme="minorEastAsia" w:eastAsiaTheme="minorEastAsia" w:cstheme="minorEastAsia"/>
          <w:snapToGrid w:val="0"/>
          <w:color w:val="auto"/>
          <w:sz w:val="21"/>
          <w:szCs w:val="21"/>
          <w:highlight w:val="none"/>
        </w:rPr>
        <w:t>（签字或盖章）</w:t>
      </w:r>
    </w:p>
    <w:p w14:paraId="32B2439E">
      <w:pPr>
        <w:pStyle w:val="52"/>
        <w:widowControl w:val="0"/>
        <w:wordWrap w:val="0"/>
        <w:adjustRightInd w:val="0"/>
        <w:snapToGrid w:val="0"/>
        <w:spacing w:line="440" w:lineRule="exact"/>
        <w:ind w:firstLine="0"/>
        <w:jc w:val="both"/>
        <w:rPr>
          <w:rFonts w:asciiTheme="minorEastAsia" w:hAnsiTheme="minorEastAsia" w:eastAsiaTheme="minorEastAsia" w:cstheme="minorEastAsia"/>
          <w:snapToGrid w:val="0"/>
          <w:color w:val="auto"/>
          <w:sz w:val="21"/>
          <w:szCs w:val="21"/>
          <w:highlight w:val="none"/>
        </w:rPr>
      </w:pPr>
    </w:p>
    <w:p w14:paraId="65639337">
      <w:pPr>
        <w:pStyle w:val="52"/>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成员</w:t>
      </w:r>
      <w:r>
        <w:rPr>
          <w:rFonts w:hint="eastAsia" w:asciiTheme="minorEastAsia" w:hAnsiTheme="minorEastAsia" w:eastAsiaTheme="minorEastAsia" w:cstheme="minorEastAsia"/>
          <w:snapToGrid w:val="0"/>
          <w:color w:val="auto"/>
          <w:sz w:val="21"/>
          <w:szCs w:val="21"/>
          <w:highlight w:val="none"/>
          <w:lang w:val="en-US" w:eastAsia="zh-CN"/>
        </w:rPr>
        <w:t>一</w:t>
      </w:r>
      <w:r>
        <w:rPr>
          <w:rFonts w:hint="eastAsia" w:asciiTheme="minorEastAsia" w:hAnsiTheme="minorEastAsia" w:eastAsiaTheme="minorEastAsia" w:cstheme="minorEastAsia"/>
          <w:snapToGrid w:val="0"/>
          <w:color w:val="auto"/>
          <w:sz w:val="21"/>
          <w:szCs w:val="21"/>
          <w:highlight w:val="none"/>
        </w:rPr>
        <w:t>名称：</w:t>
      </w:r>
      <w:r>
        <w:rPr>
          <w:rFonts w:hint="eastAsia" w:asciiTheme="minorEastAsia" w:hAnsiTheme="minorEastAsia" w:eastAsiaTheme="minorEastAsia" w:cstheme="minorEastAsia"/>
          <w:snapToGrid w:val="0"/>
          <w:color w:val="auto"/>
          <w:sz w:val="21"/>
          <w:szCs w:val="21"/>
          <w:highlight w:val="none"/>
          <w:u w:val="single"/>
        </w:rPr>
        <w:t xml:space="preserve">                               </w:t>
      </w:r>
      <w:r>
        <w:rPr>
          <w:rFonts w:hint="eastAsia" w:asciiTheme="minorEastAsia" w:hAnsiTheme="minorEastAsia" w:eastAsiaTheme="minorEastAsia" w:cstheme="minorEastAsia"/>
          <w:snapToGrid w:val="0"/>
          <w:color w:val="auto"/>
          <w:sz w:val="21"/>
          <w:szCs w:val="21"/>
          <w:highlight w:val="none"/>
        </w:rPr>
        <w:t>（盖单位章）</w:t>
      </w:r>
    </w:p>
    <w:p w14:paraId="4613F14D">
      <w:pPr>
        <w:pStyle w:val="52"/>
        <w:widowControl w:val="0"/>
        <w:wordWrap w:val="0"/>
        <w:adjustRightInd w:val="0"/>
        <w:snapToGrid w:val="0"/>
        <w:spacing w:line="440" w:lineRule="exact"/>
        <w:ind w:firstLine="0"/>
        <w:jc w:val="both"/>
        <w:rPr>
          <w:rFonts w:asciiTheme="minorEastAsia" w:hAnsiTheme="minorEastAsia" w:eastAsiaTheme="minorEastAsia" w:cstheme="minorEastAsia"/>
          <w:snapToGrid w:val="0"/>
          <w:color w:val="auto"/>
          <w:sz w:val="21"/>
          <w:szCs w:val="21"/>
          <w:highlight w:val="none"/>
        </w:rPr>
      </w:pPr>
    </w:p>
    <w:p w14:paraId="03273002">
      <w:pPr>
        <w:pStyle w:val="52"/>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法定代表人或其委托代理人：</w:t>
      </w:r>
      <w:r>
        <w:rPr>
          <w:rFonts w:hint="eastAsia" w:asciiTheme="minorEastAsia" w:hAnsiTheme="minorEastAsia" w:eastAsiaTheme="minorEastAsia" w:cstheme="minorEastAsia"/>
          <w:snapToGrid w:val="0"/>
          <w:color w:val="auto"/>
          <w:sz w:val="21"/>
          <w:szCs w:val="21"/>
          <w:highlight w:val="none"/>
          <w:u w:val="single"/>
        </w:rPr>
        <w:t xml:space="preserve">               </w:t>
      </w:r>
      <w:r>
        <w:rPr>
          <w:rFonts w:hint="eastAsia" w:asciiTheme="minorEastAsia" w:hAnsiTheme="minorEastAsia" w:eastAsiaTheme="minorEastAsia" w:cstheme="minorEastAsia"/>
          <w:snapToGrid w:val="0"/>
          <w:color w:val="auto"/>
          <w:sz w:val="21"/>
          <w:szCs w:val="21"/>
          <w:highlight w:val="none"/>
        </w:rPr>
        <w:t>（签字或盖章）</w:t>
      </w:r>
    </w:p>
    <w:p w14:paraId="1BD098ED">
      <w:pPr>
        <w:pStyle w:val="52"/>
        <w:widowControl w:val="0"/>
        <w:adjustRightInd w:val="0"/>
        <w:snapToGrid w:val="0"/>
        <w:spacing w:line="440" w:lineRule="exact"/>
        <w:jc w:val="right"/>
        <w:rPr>
          <w:rFonts w:asciiTheme="minorEastAsia" w:hAnsiTheme="minorEastAsia" w:eastAsiaTheme="minorEastAsia" w:cstheme="minorEastAsia"/>
          <w:snapToGrid w:val="0"/>
          <w:color w:val="auto"/>
          <w:sz w:val="21"/>
          <w:szCs w:val="21"/>
          <w:highlight w:val="none"/>
        </w:rPr>
      </w:pPr>
    </w:p>
    <w:p w14:paraId="0D8D0269">
      <w:pPr>
        <w:pStyle w:val="52"/>
        <w:widowControl w:val="0"/>
        <w:wordWrap w:val="0"/>
        <w:adjustRightInd w:val="0"/>
        <w:snapToGrid w:val="0"/>
        <w:spacing w:line="440" w:lineRule="exact"/>
        <w:ind w:firstLine="3360" w:firstLineChars="1600"/>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 xml:space="preserve"> ……</w:t>
      </w:r>
    </w:p>
    <w:p w14:paraId="2EC98679">
      <w:pPr>
        <w:pStyle w:val="52"/>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rPr>
      </w:pPr>
    </w:p>
    <w:p w14:paraId="04A9EC86">
      <w:pPr>
        <w:pStyle w:val="52"/>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u w:val="single"/>
        </w:rPr>
        <w:t xml:space="preserve">     </w:t>
      </w:r>
      <w:r>
        <w:rPr>
          <w:rFonts w:hint="eastAsia" w:asciiTheme="minorEastAsia" w:hAnsiTheme="minorEastAsia" w:eastAsiaTheme="minorEastAsia" w:cstheme="minorEastAsia"/>
          <w:snapToGrid w:val="0"/>
          <w:color w:val="auto"/>
          <w:sz w:val="21"/>
          <w:szCs w:val="21"/>
          <w:highlight w:val="none"/>
        </w:rPr>
        <w:t>年</w:t>
      </w:r>
      <w:r>
        <w:rPr>
          <w:rFonts w:hint="eastAsia" w:asciiTheme="minorEastAsia" w:hAnsiTheme="minorEastAsia" w:eastAsiaTheme="minorEastAsia" w:cstheme="minorEastAsia"/>
          <w:snapToGrid w:val="0"/>
          <w:color w:val="auto"/>
          <w:sz w:val="21"/>
          <w:szCs w:val="21"/>
          <w:highlight w:val="none"/>
          <w:u w:val="single"/>
        </w:rPr>
        <w:t xml:space="preserve">     </w:t>
      </w:r>
      <w:r>
        <w:rPr>
          <w:rFonts w:hint="eastAsia" w:asciiTheme="minorEastAsia" w:hAnsiTheme="minorEastAsia" w:eastAsiaTheme="minorEastAsia" w:cstheme="minorEastAsia"/>
          <w:snapToGrid w:val="0"/>
          <w:color w:val="auto"/>
          <w:sz w:val="21"/>
          <w:szCs w:val="21"/>
          <w:highlight w:val="none"/>
        </w:rPr>
        <w:t>月</w:t>
      </w:r>
      <w:r>
        <w:rPr>
          <w:rFonts w:hint="eastAsia" w:asciiTheme="minorEastAsia" w:hAnsiTheme="minorEastAsia" w:eastAsiaTheme="minorEastAsia" w:cstheme="minorEastAsia"/>
          <w:snapToGrid w:val="0"/>
          <w:color w:val="auto"/>
          <w:sz w:val="21"/>
          <w:szCs w:val="21"/>
          <w:highlight w:val="none"/>
          <w:u w:val="single"/>
        </w:rPr>
        <w:t xml:space="preserve">    日</w:t>
      </w:r>
    </w:p>
    <w:p w14:paraId="643584FC">
      <w:pPr>
        <w:pStyle w:val="52"/>
        <w:widowControl w:val="0"/>
        <w:wordWrap w:val="0"/>
        <w:adjustRightInd w:val="0"/>
        <w:snapToGrid w:val="0"/>
        <w:spacing w:line="440" w:lineRule="exact"/>
        <w:jc w:val="center"/>
        <w:rPr>
          <w:rFonts w:asciiTheme="minorEastAsia" w:hAnsiTheme="minorEastAsia" w:eastAsiaTheme="minorEastAsia" w:cstheme="minorEastAsia"/>
          <w:snapToGrid w:val="0"/>
          <w:color w:val="auto"/>
          <w:sz w:val="21"/>
          <w:szCs w:val="21"/>
          <w:highlight w:val="none"/>
        </w:rPr>
      </w:pPr>
    </w:p>
    <w:p w14:paraId="1BAECD33">
      <w:pPr>
        <w:pStyle w:val="52"/>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rPr>
      </w:pPr>
    </w:p>
    <w:p w14:paraId="535AC8E0">
      <w:pPr>
        <w:pStyle w:val="52"/>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rPr>
      </w:pPr>
    </w:p>
    <w:p w14:paraId="4E2C1DF8">
      <w:pPr>
        <w:pStyle w:val="52"/>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rPr>
      </w:pPr>
    </w:p>
    <w:p w14:paraId="5D3A58D1">
      <w:pPr>
        <w:pStyle w:val="52"/>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1"/>
          <w:szCs w:val="21"/>
          <w:highlight w:val="none"/>
        </w:rPr>
        <w:t>说明：《联合体协议书》由委托代理人签字或盖章的，应附法定代表人签字或盖章的授权委托书。</w:t>
      </w:r>
    </w:p>
    <w:p w14:paraId="0851B064">
      <w:pPr>
        <w:pStyle w:val="52"/>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sectPr>
          <w:endnotePr>
            <w:numFmt w:val="decimal"/>
          </w:endnotePr>
          <w:pgSz w:w="11906" w:h="16838"/>
          <w:pgMar w:top="1701" w:right="1531" w:bottom="1417" w:left="1531" w:header="850" w:footer="992" w:gutter="0"/>
          <w:cols w:space="720" w:num="1"/>
          <w:docGrid w:linePitch="327" w:charSpace="0"/>
        </w:sectPr>
      </w:pPr>
    </w:p>
    <w:p w14:paraId="527D4E27">
      <w:pPr>
        <w:pStyle w:val="3"/>
        <w:spacing w:before="120"/>
        <w:rPr>
          <w:rFonts w:hint="default" w:asciiTheme="minorEastAsia" w:hAnsiTheme="minorEastAsia" w:eastAsiaTheme="minorEastAsia" w:cstheme="minorEastAsia"/>
          <w:b/>
          <w:bCs/>
          <w:color w:val="auto"/>
          <w:szCs w:val="24"/>
          <w:highlight w:val="none"/>
        </w:rPr>
      </w:pPr>
      <w:bookmarkStart w:id="576" w:name="_Toc1243"/>
      <w:bookmarkStart w:id="577" w:name="_Toc31264"/>
      <w:r>
        <w:rPr>
          <w:rFonts w:asciiTheme="minorEastAsia" w:hAnsiTheme="minorEastAsia" w:eastAsiaTheme="minorEastAsia" w:cstheme="minorEastAsia"/>
          <w:b/>
          <w:bCs/>
          <w:color w:val="auto"/>
          <w:szCs w:val="24"/>
          <w:highlight w:val="none"/>
        </w:rPr>
        <w:t>格式七 投标人基本情况表</w:t>
      </w:r>
      <w:bookmarkEnd w:id="576"/>
      <w:bookmarkEnd w:id="577"/>
    </w:p>
    <w:p w14:paraId="79F49300">
      <w:pPr>
        <w:pStyle w:val="52"/>
        <w:widowControl w:val="0"/>
        <w:wordWrap w:val="0"/>
        <w:adjustRightInd w:val="0"/>
        <w:snapToGrid w:val="0"/>
        <w:spacing w:before="260" w:after="260" w:line="400" w:lineRule="exact"/>
        <w:ind w:firstLine="0"/>
        <w:jc w:val="center"/>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b/>
          <w:snapToGrid w:val="0"/>
          <w:color w:val="auto"/>
          <w:sz w:val="24"/>
          <w:szCs w:val="24"/>
          <w:highlight w:val="none"/>
        </w:rPr>
        <w:t>投标人基本情况表</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1541"/>
        <w:gridCol w:w="1140"/>
        <w:gridCol w:w="833"/>
        <w:gridCol w:w="460"/>
        <w:gridCol w:w="832"/>
        <w:gridCol w:w="269"/>
        <w:gridCol w:w="735"/>
        <w:gridCol w:w="1470"/>
      </w:tblGrid>
      <w:tr w14:paraId="3B136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36F63F62">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投标人名称</w:t>
            </w:r>
          </w:p>
        </w:tc>
        <w:tc>
          <w:tcPr>
            <w:tcW w:w="7280" w:type="dxa"/>
            <w:gridSpan w:val="8"/>
            <w:noWrap/>
            <w:vAlign w:val="center"/>
          </w:tcPr>
          <w:p w14:paraId="018C25DC">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r>
      <w:tr w14:paraId="65440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409A5670">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注册地址</w:t>
            </w:r>
          </w:p>
        </w:tc>
        <w:tc>
          <w:tcPr>
            <w:tcW w:w="3514" w:type="dxa"/>
            <w:gridSpan w:val="3"/>
            <w:noWrap/>
            <w:vAlign w:val="center"/>
          </w:tcPr>
          <w:p w14:paraId="77CD43CB">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c>
          <w:tcPr>
            <w:tcW w:w="1292" w:type="dxa"/>
            <w:gridSpan w:val="2"/>
            <w:noWrap/>
            <w:vAlign w:val="center"/>
          </w:tcPr>
          <w:p w14:paraId="714998F7">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邮政编码</w:t>
            </w:r>
          </w:p>
        </w:tc>
        <w:tc>
          <w:tcPr>
            <w:tcW w:w="2474" w:type="dxa"/>
            <w:gridSpan w:val="3"/>
            <w:noWrap/>
            <w:vAlign w:val="center"/>
          </w:tcPr>
          <w:p w14:paraId="7EF4CD82">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r>
      <w:tr w14:paraId="4C908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Merge w:val="restart"/>
            <w:noWrap/>
            <w:vAlign w:val="center"/>
          </w:tcPr>
          <w:p w14:paraId="7EE1FCCB">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联系方式</w:t>
            </w:r>
          </w:p>
        </w:tc>
        <w:tc>
          <w:tcPr>
            <w:tcW w:w="1541" w:type="dxa"/>
            <w:noWrap/>
            <w:vAlign w:val="center"/>
          </w:tcPr>
          <w:p w14:paraId="3EA28491">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联系人</w:t>
            </w:r>
          </w:p>
        </w:tc>
        <w:tc>
          <w:tcPr>
            <w:tcW w:w="1973" w:type="dxa"/>
            <w:gridSpan w:val="2"/>
            <w:noWrap/>
            <w:vAlign w:val="center"/>
          </w:tcPr>
          <w:p w14:paraId="53C50C87">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c>
          <w:tcPr>
            <w:tcW w:w="1292" w:type="dxa"/>
            <w:gridSpan w:val="2"/>
            <w:noWrap/>
            <w:vAlign w:val="center"/>
          </w:tcPr>
          <w:p w14:paraId="2E2F778F">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电  话</w:t>
            </w:r>
          </w:p>
        </w:tc>
        <w:tc>
          <w:tcPr>
            <w:tcW w:w="2474" w:type="dxa"/>
            <w:gridSpan w:val="3"/>
            <w:noWrap/>
            <w:vAlign w:val="center"/>
          </w:tcPr>
          <w:p w14:paraId="730BF1FC">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r>
      <w:tr w14:paraId="0890B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Merge w:val="continue"/>
            <w:noWrap/>
            <w:vAlign w:val="center"/>
          </w:tcPr>
          <w:p w14:paraId="71992F0C">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c>
          <w:tcPr>
            <w:tcW w:w="1541" w:type="dxa"/>
            <w:noWrap/>
            <w:vAlign w:val="center"/>
          </w:tcPr>
          <w:p w14:paraId="537CF85D">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传  真</w:t>
            </w:r>
          </w:p>
        </w:tc>
        <w:tc>
          <w:tcPr>
            <w:tcW w:w="1973" w:type="dxa"/>
            <w:gridSpan w:val="2"/>
            <w:noWrap/>
            <w:vAlign w:val="center"/>
          </w:tcPr>
          <w:p w14:paraId="7DA63EE4">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c>
          <w:tcPr>
            <w:tcW w:w="1292" w:type="dxa"/>
            <w:gridSpan w:val="2"/>
            <w:noWrap/>
            <w:vAlign w:val="center"/>
          </w:tcPr>
          <w:p w14:paraId="47CA7711">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电子邮箱</w:t>
            </w:r>
          </w:p>
        </w:tc>
        <w:tc>
          <w:tcPr>
            <w:tcW w:w="2474" w:type="dxa"/>
            <w:gridSpan w:val="3"/>
            <w:noWrap/>
            <w:vAlign w:val="center"/>
          </w:tcPr>
          <w:p w14:paraId="3B5BAB92">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r>
      <w:tr w14:paraId="7574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10C01BFD">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单位性质</w:t>
            </w:r>
          </w:p>
        </w:tc>
        <w:tc>
          <w:tcPr>
            <w:tcW w:w="7280" w:type="dxa"/>
            <w:gridSpan w:val="8"/>
            <w:noWrap/>
            <w:vAlign w:val="center"/>
          </w:tcPr>
          <w:p w14:paraId="456E3889">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r>
      <w:tr w14:paraId="1CDD5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3D163A54">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法定代表人</w:t>
            </w:r>
          </w:p>
        </w:tc>
        <w:tc>
          <w:tcPr>
            <w:tcW w:w="1541" w:type="dxa"/>
            <w:noWrap/>
            <w:vAlign w:val="center"/>
          </w:tcPr>
          <w:p w14:paraId="67B4EF42">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姓名</w:t>
            </w:r>
          </w:p>
        </w:tc>
        <w:tc>
          <w:tcPr>
            <w:tcW w:w="1140" w:type="dxa"/>
            <w:noWrap/>
            <w:vAlign w:val="center"/>
          </w:tcPr>
          <w:p w14:paraId="0A445CA4">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c>
          <w:tcPr>
            <w:tcW w:w="1293" w:type="dxa"/>
            <w:gridSpan w:val="2"/>
            <w:noWrap/>
            <w:vAlign w:val="center"/>
          </w:tcPr>
          <w:p w14:paraId="382620D8">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技术职称</w:t>
            </w:r>
          </w:p>
        </w:tc>
        <w:tc>
          <w:tcPr>
            <w:tcW w:w="1101" w:type="dxa"/>
            <w:gridSpan w:val="2"/>
            <w:noWrap/>
            <w:vAlign w:val="center"/>
          </w:tcPr>
          <w:p w14:paraId="15AEA157">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c>
          <w:tcPr>
            <w:tcW w:w="735" w:type="dxa"/>
            <w:noWrap/>
            <w:vAlign w:val="center"/>
          </w:tcPr>
          <w:p w14:paraId="432C069D">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电话</w:t>
            </w:r>
          </w:p>
        </w:tc>
        <w:tc>
          <w:tcPr>
            <w:tcW w:w="1470" w:type="dxa"/>
            <w:noWrap/>
            <w:vAlign w:val="center"/>
          </w:tcPr>
          <w:p w14:paraId="15DE8BC6">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r>
      <w:tr w14:paraId="1E5C3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03CBE9EC">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成立时间</w:t>
            </w:r>
          </w:p>
        </w:tc>
        <w:tc>
          <w:tcPr>
            <w:tcW w:w="2681" w:type="dxa"/>
            <w:gridSpan w:val="2"/>
            <w:noWrap/>
            <w:vAlign w:val="center"/>
          </w:tcPr>
          <w:p w14:paraId="421FF7E7">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c>
          <w:tcPr>
            <w:tcW w:w="4599" w:type="dxa"/>
            <w:gridSpan w:val="6"/>
            <w:noWrap/>
            <w:vAlign w:val="center"/>
          </w:tcPr>
          <w:p w14:paraId="43D124EE">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员工总人数（个）：</w:t>
            </w:r>
          </w:p>
        </w:tc>
      </w:tr>
      <w:tr w14:paraId="20F5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exact"/>
          <w:jc w:val="center"/>
        </w:trPr>
        <w:tc>
          <w:tcPr>
            <w:tcW w:w="1540" w:type="dxa"/>
            <w:noWrap/>
            <w:vAlign w:val="center"/>
          </w:tcPr>
          <w:p w14:paraId="6248D5AE">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企业资质</w:t>
            </w:r>
          </w:p>
          <w:p w14:paraId="32D044FD">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类型和等级</w:t>
            </w:r>
          </w:p>
        </w:tc>
        <w:tc>
          <w:tcPr>
            <w:tcW w:w="2681" w:type="dxa"/>
            <w:gridSpan w:val="2"/>
            <w:noWrap/>
            <w:vAlign w:val="center"/>
          </w:tcPr>
          <w:p w14:paraId="0A87DD79">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c>
          <w:tcPr>
            <w:tcW w:w="1293" w:type="dxa"/>
            <w:gridSpan w:val="2"/>
            <w:vMerge w:val="restart"/>
            <w:noWrap/>
            <w:vAlign w:val="center"/>
          </w:tcPr>
          <w:p w14:paraId="3BEE1700">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其中</w:t>
            </w:r>
          </w:p>
        </w:tc>
        <w:tc>
          <w:tcPr>
            <w:tcW w:w="1836" w:type="dxa"/>
            <w:gridSpan w:val="3"/>
            <w:noWrap/>
            <w:vAlign w:val="center"/>
          </w:tcPr>
          <w:p w14:paraId="1D4261CE">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项目经理</w:t>
            </w:r>
          </w:p>
        </w:tc>
        <w:tc>
          <w:tcPr>
            <w:tcW w:w="1470" w:type="dxa"/>
            <w:noWrap/>
            <w:vAlign w:val="center"/>
          </w:tcPr>
          <w:p w14:paraId="0B1B740D">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r>
      <w:tr w14:paraId="7324A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7BC8F180">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营业执照号</w:t>
            </w:r>
          </w:p>
        </w:tc>
        <w:tc>
          <w:tcPr>
            <w:tcW w:w="2681" w:type="dxa"/>
            <w:gridSpan w:val="2"/>
            <w:noWrap/>
            <w:vAlign w:val="center"/>
          </w:tcPr>
          <w:p w14:paraId="3061B574">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c>
          <w:tcPr>
            <w:tcW w:w="1293" w:type="dxa"/>
            <w:gridSpan w:val="2"/>
            <w:vMerge w:val="continue"/>
            <w:noWrap/>
            <w:vAlign w:val="center"/>
          </w:tcPr>
          <w:p w14:paraId="405B07A5">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c>
          <w:tcPr>
            <w:tcW w:w="1836" w:type="dxa"/>
            <w:gridSpan w:val="3"/>
            <w:noWrap/>
            <w:vAlign w:val="center"/>
          </w:tcPr>
          <w:p w14:paraId="6BC1F3E3">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高级职称人员</w:t>
            </w:r>
          </w:p>
        </w:tc>
        <w:tc>
          <w:tcPr>
            <w:tcW w:w="1470" w:type="dxa"/>
            <w:noWrap/>
            <w:vAlign w:val="center"/>
          </w:tcPr>
          <w:p w14:paraId="68AD1A9F">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r>
      <w:tr w14:paraId="31890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773D9A8A">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注册资金</w:t>
            </w:r>
          </w:p>
        </w:tc>
        <w:tc>
          <w:tcPr>
            <w:tcW w:w="2681" w:type="dxa"/>
            <w:gridSpan w:val="2"/>
            <w:noWrap/>
            <w:vAlign w:val="center"/>
          </w:tcPr>
          <w:p w14:paraId="3DCD43D1">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c>
          <w:tcPr>
            <w:tcW w:w="1293" w:type="dxa"/>
            <w:gridSpan w:val="2"/>
            <w:vMerge w:val="continue"/>
            <w:noWrap/>
            <w:vAlign w:val="center"/>
          </w:tcPr>
          <w:p w14:paraId="2CDFE827">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c>
          <w:tcPr>
            <w:tcW w:w="1836" w:type="dxa"/>
            <w:gridSpan w:val="3"/>
            <w:noWrap/>
            <w:vAlign w:val="center"/>
          </w:tcPr>
          <w:p w14:paraId="1346C8E1">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中级职称人员</w:t>
            </w:r>
          </w:p>
        </w:tc>
        <w:tc>
          <w:tcPr>
            <w:tcW w:w="1470" w:type="dxa"/>
            <w:noWrap/>
            <w:vAlign w:val="center"/>
          </w:tcPr>
          <w:p w14:paraId="172ABAFA">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r>
      <w:tr w14:paraId="68675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exact"/>
          <w:jc w:val="center"/>
        </w:trPr>
        <w:tc>
          <w:tcPr>
            <w:tcW w:w="1540" w:type="dxa"/>
            <w:noWrap/>
            <w:vAlign w:val="center"/>
          </w:tcPr>
          <w:p w14:paraId="583162F1">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基本账户</w:t>
            </w:r>
          </w:p>
          <w:p w14:paraId="7742D9FF">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开户银行</w:t>
            </w:r>
          </w:p>
        </w:tc>
        <w:tc>
          <w:tcPr>
            <w:tcW w:w="2681" w:type="dxa"/>
            <w:gridSpan w:val="2"/>
            <w:noWrap/>
            <w:vAlign w:val="center"/>
          </w:tcPr>
          <w:p w14:paraId="6D158909">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c>
          <w:tcPr>
            <w:tcW w:w="1293" w:type="dxa"/>
            <w:gridSpan w:val="2"/>
            <w:vMerge w:val="continue"/>
            <w:noWrap/>
            <w:vAlign w:val="center"/>
          </w:tcPr>
          <w:p w14:paraId="725FB4DC">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c>
          <w:tcPr>
            <w:tcW w:w="1836" w:type="dxa"/>
            <w:gridSpan w:val="3"/>
            <w:noWrap/>
            <w:vAlign w:val="center"/>
          </w:tcPr>
          <w:p w14:paraId="0266AE36">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初级职称人员</w:t>
            </w:r>
          </w:p>
        </w:tc>
        <w:tc>
          <w:tcPr>
            <w:tcW w:w="1470" w:type="dxa"/>
            <w:noWrap/>
            <w:vAlign w:val="center"/>
          </w:tcPr>
          <w:p w14:paraId="06875F7E">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r>
      <w:tr w14:paraId="5C3B4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exact"/>
          <w:jc w:val="center"/>
        </w:trPr>
        <w:tc>
          <w:tcPr>
            <w:tcW w:w="1540" w:type="dxa"/>
            <w:noWrap/>
            <w:vAlign w:val="center"/>
          </w:tcPr>
          <w:p w14:paraId="6D6667FB">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基本账户</w:t>
            </w:r>
          </w:p>
          <w:p w14:paraId="62C28685">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银行账号</w:t>
            </w:r>
          </w:p>
        </w:tc>
        <w:tc>
          <w:tcPr>
            <w:tcW w:w="2681" w:type="dxa"/>
            <w:gridSpan w:val="2"/>
            <w:noWrap/>
            <w:vAlign w:val="center"/>
          </w:tcPr>
          <w:p w14:paraId="4D29E327">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c>
          <w:tcPr>
            <w:tcW w:w="1293" w:type="dxa"/>
            <w:gridSpan w:val="2"/>
            <w:vMerge w:val="continue"/>
            <w:noWrap/>
            <w:vAlign w:val="center"/>
          </w:tcPr>
          <w:p w14:paraId="70DC6CC4">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c>
          <w:tcPr>
            <w:tcW w:w="1836" w:type="dxa"/>
            <w:gridSpan w:val="3"/>
            <w:noWrap/>
            <w:vAlign w:val="center"/>
          </w:tcPr>
          <w:p w14:paraId="661BC6CA">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技术员</w:t>
            </w:r>
          </w:p>
        </w:tc>
        <w:tc>
          <w:tcPr>
            <w:tcW w:w="1470" w:type="dxa"/>
            <w:noWrap/>
            <w:vAlign w:val="center"/>
          </w:tcPr>
          <w:p w14:paraId="3E686D63">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r>
      <w:tr w14:paraId="42EFD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exact"/>
          <w:jc w:val="center"/>
        </w:trPr>
        <w:tc>
          <w:tcPr>
            <w:tcW w:w="1540" w:type="dxa"/>
            <w:noWrap/>
            <w:vAlign w:val="center"/>
          </w:tcPr>
          <w:p w14:paraId="601403C1">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经营范围</w:t>
            </w:r>
          </w:p>
        </w:tc>
        <w:tc>
          <w:tcPr>
            <w:tcW w:w="7280" w:type="dxa"/>
            <w:gridSpan w:val="8"/>
            <w:noWrap/>
            <w:vAlign w:val="center"/>
          </w:tcPr>
          <w:p w14:paraId="622DC098">
            <w:pPr>
              <w:pStyle w:val="48"/>
              <w:wordWrap w:val="0"/>
              <w:adjustRightInd w:val="0"/>
              <w:snapToGrid w:val="0"/>
              <w:jc w:val="left"/>
              <w:rPr>
                <w:rFonts w:asciiTheme="minorEastAsia" w:hAnsiTheme="minorEastAsia" w:eastAsiaTheme="minorEastAsia" w:cstheme="minorEastAsia"/>
                <w:snapToGrid w:val="0"/>
                <w:color w:val="auto"/>
                <w:kern w:val="0"/>
                <w:sz w:val="21"/>
                <w:szCs w:val="21"/>
                <w:highlight w:val="none"/>
              </w:rPr>
            </w:pPr>
          </w:p>
        </w:tc>
      </w:tr>
      <w:tr w14:paraId="6B132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1540" w:type="dxa"/>
            <w:noWrap/>
            <w:vAlign w:val="center"/>
          </w:tcPr>
          <w:p w14:paraId="60941CB4">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关联企业情况</w:t>
            </w:r>
          </w:p>
        </w:tc>
        <w:tc>
          <w:tcPr>
            <w:tcW w:w="7280" w:type="dxa"/>
            <w:gridSpan w:val="8"/>
            <w:noWrap/>
            <w:vAlign w:val="center"/>
          </w:tcPr>
          <w:p w14:paraId="27F287F7">
            <w:pPr>
              <w:pStyle w:val="48"/>
              <w:wordWrap w:val="0"/>
              <w:adjustRightInd w:val="0"/>
              <w:snapToGrid w:val="0"/>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包括但不限于与投标人存在以下关系的不同单位：</w:t>
            </w:r>
          </w:p>
          <w:p w14:paraId="6BF42B67">
            <w:pPr>
              <w:pStyle w:val="48"/>
              <w:wordWrap w:val="0"/>
              <w:adjustRightInd w:val="0"/>
              <w:snapToGrid w:val="0"/>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1．法定代表人为同一人的。</w:t>
            </w:r>
          </w:p>
          <w:p w14:paraId="3C091C06">
            <w:pPr>
              <w:pStyle w:val="48"/>
              <w:wordWrap w:val="0"/>
              <w:adjustRightInd w:val="0"/>
              <w:snapToGrid w:val="0"/>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2．存在控股、管理关系的。</w:t>
            </w:r>
          </w:p>
          <w:p w14:paraId="094DD6B1">
            <w:pPr>
              <w:pStyle w:val="48"/>
              <w:wordWrap w:val="0"/>
              <w:adjustRightInd w:val="0"/>
              <w:snapToGrid w:val="0"/>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3．主要人员相互任职的。</w:t>
            </w:r>
          </w:p>
        </w:tc>
      </w:tr>
      <w:tr w14:paraId="09A51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540" w:type="dxa"/>
            <w:noWrap/>
            <w:vAlign w:val="center"/>
          </w:tcPr>
          <w:p w14:paraId="5A906129">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备注</w:t>
            </w:r>
          </w:p>
        </w:tc>
        <w:tc>
          <w:tcPr>
            <w:tcW w:w="7280" w:type="dxa"/>
            <w:gridSpan w:val="8"/>
            <w:noWrap/>
            <w:vAlign w:val="center"/>
          </w:tcPr>
          <w:p w14:paraId="721E66DB">
            <w:pPr>
              <w:pStyle w:val="48"/>
              <w:wordWrap w:val="0"/>
              <w:adjustRightInd w:val="0"/>
              <w:snapToGrid w:val="0"/>
              <w:jc w:val="center"/>
              <w:rPr>
                <w:rFonts w:asciiTheme="minorEastAsia" w:hAnsiTheme="minorEastAsia" w:eastAsiaTheme="minorEastAsia" w:cstheme="minorEastAsia"/>
                <w:snapToGrid w:val="0"/>
                <w:color w:val="auto"/>
                <w:kern w:val="0"/>
                <w:sz w:val="21"/>
                <w:szCs w:val="21"/>
                <w:highlight w:val="none"/>
              </w:rPr>
            </w:pPr>
          </w:p>
        </w:tc>
      </w:tr>
    </w:tbl>
    <w:p w14:paraId="297A1838">
      <w:pPr>
        <w:pStyle w:val="48"/>
        <w:wordWrap w:val="0"/>
        <w:adjustRightInd w:val="0"/>
        <w:snapToGrid w:val="0"/>
        <w:spacing w:line="400" w:lineRule="exact"/>
        <w:ind w:firstLine="420" w:firstLineChars="200"/>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说明：</w:t>
      </w:r>
    </w:p>
    <w:bookmarkEnd w:id="527"/>
    <w:bookmarkEnd w:id="528"/>
    <w:bookmarkEnd w:id="529"/>
    <w:bookmarkEnd w:id="530"/>
    <w:bookmarkEnd w:id="531"/>
    <w:p w14:paraId="2F6102B1">
      <w:pPr>
        <w:pStyle w:val="52"/>
        <w:widowControl w:val="0"/>
        <w:wordWrap w:val="0"/>
        <w:adjustRightInd w:val="0"/>
        <w:snapToGrid w:val="0"/>
        <w:spacing w:line="400" w:lineRule="exact"/>
        <w:rPr>
          <w:rFonts w:asciiTheme="minorEastAsia" w:hAnsiTheme="minorEastAsia" w:eastAsiaTheme="minorEastAsia" w:cstheme="minorEastAsia"/>
          <w:snapToGrid w:val="0"/>
          <w:color w:val="auto"/>
          <w:sz w:val="21"/>
          <w:szCs w:val="21"/>
          <w:highlight w:val="none"/>
        </w:rPr>
      </w:pPr>
      <w:bookmarkStart w:id="578" w:name="_Toc1659"/>
      <w:bookmarkStart w:id="579" w:name="_Toc118541763"/>
      <w:bookmarkStart w:id="580" w:name="_Toc48547015"/>
      <w:bookmarkStart w:id="581" w:name="_Toc534641863"/>
      <w:bookmarkStart w:id="582" w:name="_Toc210101349"/>
      <w:bookmarkStart w:id="583" w:name="_Toc535300004"/>
      <w:r>
        <w:rPr>
          <w:rFonts w:hint="eastAsia" w:asciiTheme="minorEastAsia" w:hAnsiTheme="minorEastAsia" w:eastAsiaTheme="minorEastAsia" w:cstheme="minorEastAsia"/>
          <w:snapToGrid w:val="0"/>
          <w:color w:val="auto"/>
          <w:sz w:val="21"/>
          <w:szCs w:val="21"/>
          <w:highlight w:val="none"/>
        </w:rPr>
        <w:t>1．《投标人基本情况表》后应附以下资料：</w:t>
      </w:r>
    </w:p>
    <w:p w14:paraId="362058EB">
      <w:pPr>
        <w:pStyle w:val="52"/>
        <w:widowControl w:val="0"/>
        <w:wordWrap w:val="0"/>
        <w:adjustRightInd w:val="0"/>
        <w:snapToGrid w:val="0"/>
        <w:spacing w:line="400" w:lineRule="exac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（1）企业营业执照、资质证书、安全生产许可证（施工企业提供）的扫描件（因推行电子证照，企业的营业执照、资质证书等可以提供电子证照。为实时掌握项目</w:t>
      </w:r>
      <w:r>
        <w:rPr>
          <w:rFonts w:hint="eastAsia" w:asciiTheme="minorEastAsia" w:hAnsiTheme="minorEastAsia" w:eastAsiaTheme="minorEastAsia" w:cstheme="minorEastAsia"/>
          <w:b/>
          <w:bCs/>
          <w:snapToGrid w:val="0"/>
          <w:color w:val="auto"/>
          <w:sz w:val="21"/>
          <w:szCs w:val="21"/>
          <w:highlight w:val="none"/>
        </w:rPr>
        <w:t>投标单位的是否具备企业安全生产条件，企业的安全生产许可证需提供企业实时网页查询页，实时查询页的打印时间应在项目招标公告发布之日起至开标前。如中标后，投标单位安全生产许可证发生被暂扣情形，需双方另行协商）；</w:t>
      </w:r>
    </w:p>
    <w:p w14:paraId="6E848F6E">
      <w:pPr>
        <w:pStyle w:val="52"/>
        <w:widowControl w:val="0"/>
        <w:wordWrap w:val="0"/>
        <w:adjustRightInd w:val="0"/>
        <w:snapToGrid w:val="0"/>
        <w:spacing w:line="400" w:lineRule="exac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（2）外省建筑企业须提供“进粤企业和人员诚信信息登记平台”企业信息情况打印页。</w:t>
      </w:r>
    </w:p>
    <w:p w14:paraId="0A2A8C03">
      <w:pPr>
        <w:pStyle w:val="52"/>
        <w:widowControl w:val="0"/>
        <w:wordWrap w:val="0"/>
        <w:adjustRightInd w:val="0"/>
        <w:snapToGrid w:val="0"/>
        <w:spacing w:line="400" w:lineRule="exac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2．联合体投标的，联合体成员单位均应填写《投标人基本情况表》并提供以上所需资料。</w:t>
      </w:r>
    </w:p>
    <w:p w14:paraId="5622149A">
      <w:pPr>
        <w:pStyle w:val="52"/>
        <w:widowControl w:val="0"/>
        <w:wordWrap w:val="0"/>
        <w:adjustRightInd w:val="0"/>
        <w:snapToGrid w:val="0"/>
        <w:spacing w:line="400" w:lineRule="exact"/>
        <w:rPr>
          <w:rFonts w:asciiTheme="minorEastAsia" w:hAnsiTheme="minorEastAsia" w:eastAsiaTheme="minorEastAsia" w:cstheme="minorEastAsia"/>
          <w:snapToGrid w:val="0"/>
          <w:color w:val="auto"/>
          <w:sz w:val="21"/>
          <w:szCs w:val="21"/>
          <w:highlight w:val="none"/>
        </w:rPr>
        <w:sectPr>
          <w:endnotePr>
            <w:numFmt w:val="decimal"/>
          </w:endnotePr>
          <w:pgSz w:w="11906" w:h="16838"/>
          <w:pgMar w:top="1221" w:right="1531" w:bottom="1417" w:left="1531" w:header="850" w:footer="992" w:gutter="0"/>
          <w:cols w:space="720" w:num="1"/>
          <w:docGrid w:linePitch="327" w:charSpace="0"/>
        </w:sectPr>
      </w:pPr>
      <w:r>
        <w:rPr>
          <w:rFonts w:hint="eastAsia" w:asciiTheme="minorEastAsia" w:hAnsiTheme="minorEastAsia" w:eastAsiaTheme="minorEastAsia" w:cstheme="minorEastAsia"/>
          <w:snapToGrid w:val="0"/>
          <w:color w:val="auto"/>
          <w:sz w:val="21"/>
          <w:szCs w:val="21"/>
          <w:highlight w:val="none"/>
        </w:rPr>
        <w:t>3.《法人和非法人组织公共信用信息报告》打印件（在“信用中国”网站企业查询界面中下载）。</w:t>
      </w:r>
    </w:p>
    <w:p w14:paraId="61D964B2">
      <w:pPr>
        <w:pStyle w:val="3"/>
        <w:spacing w:before="120"/>
        <w:rPr>
          <w:rFonts w:hint="default" w:asciiTheme="minorEastAsia" w:hAnsiTheme="minorEastAsia" w:eastAsiaTheme="minorEastAsia" w:cstheme="minorEastAsia"/>
          <w:b/>
          <w:bCs/>
          <w:color w:val="auto"/>
          <w:szCs w:val="24"/>
          <w:highlight w:val="none"/>
        </w:rPr>
      </w:pPr>
      <w:bookmarkStart w:id="584" w:name="_Toc12951"/>
      <w:r>
        <w:rPr>
          <w:rFonts w:asciiTheme="minorEastAsia" w:hAnsiTheme="minorEastAsia" w:eastAsiaTheme="minorEastAsia" w:cstheme="minorEastAsia"/>
          <w:b/>
          <w:bCs/>
          <w:color w:val="auto"/>
          <w:szCs w:val="24"/>
          <w:highlight w:val="none"/>
        </w:rPr>
        <w:t>格式八 项目经理简历表</w:t>
      </w:r>
      <w:bookmarkEnd w:id="578"/>
      <w:bookmarkEnd w:id="584"/>
    </w:p>
    <w:p w14:paraId="7AFCD36A">
      <w:pPr>
        <w:wordWrap w:val="0"/>
        <w:adjustRightInd w:val="0"/>
        <w:snapToGrid w:val="0"/>
        <w:spacing w:line="440" w:lineRule="exact"/>
        <w:jc w:val="center"/>
        <w:rPr>
          <w:rFonts w:hint="default" w:asciiTheme="minorEastAsia" w:hAnsiTheme="minorEastAsia" w:eastAsiaTheme="minorEastAsia" w:cstheme="minorEastAsia"/>
          <w:b/>
          <w:bCs/>
          <w:snapToGrid w:val="0"/>
          <w:color w:val="auto"/>
          <w:kern w:val="0"/>
          <w:sz w:val="21"/>
          <w:szCs w:val="21"/>
          <w:highlight w:val="none"/>
        </w:rPr>
      </w:pPr>
      <w:r>
        <w:rPr>
          <w:rFonts w:asciiTheme="minorEastAsia" w:hAnsiTheme="minorEastAsia" w:eastAsiaTheme="minorEastAsia" w:cstheme="minorEastAsia"/>
          <w:b/>
          <w:snapToGrid w:val="0"/>
          <w:color w:val="auto"/>
          <w:kern w:val="0"/>
          <w:sz w:val="21"/>
          <w:szCs w:val="21"/>
          <w:highlight w:val="none"/>
        </w:rPr>
        <w:t>项目经理简历表</w:t>
      </w:r>
    </w:p>
    <w:p w14:paraId="48E66495">
      <w:pPr>
        <w:wordWrap w:val="0"/>
        <w:adjustRightInd w:val="0"/>
        <w:snapToGrid w:val="0"/>
        <w:spacing w:line="440" w:lineRule="exact"/>
        <w:jc w:val="left"/>
        <w:rPr>
          <w:rFonts w:hint="default" w:asciiTheme="minorEastAsia" w:hAnsiTheme="minorEastAsia" w:eastAsiaTheme="minorEastAsia" w:cstheme="minorEastAsia"/>
          <w:b/>
          <w:bCs/>
          <w:snapToGrid w:val="0"/>
          <w:color w:val="auto"/>
          <w:kern w:val="0"/>
          <w:szCs w:val="24"/>
          <w:highlight w:val="none"/>
        </w:rPr>
      </w:pPr>
    </w:p>
    <w:tbl>
      <w:tblPr>
        <w:tblStyle w:val="24"/>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340A4A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4B9FF8AA">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4269EB01">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569A51F4">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性  别</w:t>
            </w:r>
          </w:p>
        </w:tc>
        <w:tc>
          <w:tcPr>
            <w:tcW w:w="1946" w:type="dxa"/>
            <w:tcBorders>
              <w:top w:val="single" w:color="auto" w:sz="6" w:space="0"/>
              <w:left w:val="single" w:color="auto" w:sz="6" w:space="0"/>
              <w:bottom w:val="single" w:color="auto" w:sz="6" w:space="0"/>
              <w:right w:val="single" w:color="auto" w:sz="6" w:space="0"/>
            </w:tcBorders>
            <w:noWrap/>
            <w:vAlign w:val="center"/>
          </w:tcPr>
          <w:p w14:paraId="6FFACF39">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1A392415">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年   龄</w:t>
            </w:r>
          </w:p>
        </w:tc>
        <w:tc>
          <w:tcPr>
            <w:tcW w:w="1327" w:type="dxa"/>
            <w:tcBorders>
              <w:top w:val="single" w:color="auto" w:sz="6" w:space="0"/>
              <w:left w:val="single" w:color="auto" w:sz="6" w:space="0"/>
              <w:bottom w:val="single" w:color="auto" w:sz="6" w:space="0"/>
              <w:right w:val="single" w:color="auto" w:sz="6" w:space="0"/>
            </w:tcBorders>
            <w:noWrap/>
            <w:vAlign w:val="center"/>
          </w:tcPr>
          <w:p w14:paraId="6DFEC799">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23B499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5F00489B">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64A536BD">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08A45AFB">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职  称</w:t>
            </w:r>
          </w:p>
        </w:tc>
        <w:tc>
          <w:tcPr>
            <w:tcW w:w="1946" w:type="dxa"/>
            <w:tcBorders>
              <w:top w:val="single" w:color="auto" w:sz="6" w:space="0"/>
              <w:left w:val="single" w:color="auto" w:sz="6" w:space="0"/>
              <w:bottom w:val="single" w:color="auto" w:sz="6" w:space="0"/>
              <w:right w:val="single" w:color="auto" w:sz="6" w:space="0"/>
            </w:tcBorders>
            <w:noWrap/>
            <w:vAlign w:val="center"/>
          </w:tcPr>
          <w:p w14:paraId="2BAA23C6">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5A770E24">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学   历</w:t>
            </w:r>
          </w:p>
        </w:tc>
        <w:tc>
          <w:tcPr>
            <w:tcW w:w="1327" w:type="dxa"/>
            <w:tcBorders>
              <w:top w:val="single" w:color="auto" w:sz="6" w:space="0"/>
              <w:left w:val="single" w:color="auto" w:sz="6" w:space="0"/>
              <w:bottom w:val="single" w:color="auto" w:sz="6" w:space="0"/>
              <w:right w:val="single" w:color="auto" w:sz="6" w:space="0"/>
            </w:tcBorders>
            <w:noWrap/>
            <w:vAlign w:val="center"/>
          </w:tcPr>
          <w:p w14:paraId="70F13B8B">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1C3AF0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7C46D438">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ign w:val="center"/>
          </w:tcPr>
          <w:p w14:paraId="2C49E0E9">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3679" w:type="dxa"/>
            <w:gridSpan w:val="3"/>
            <w:tcBorders>
              <w:top w:val="single" w:color="auto" w:sz="6" w:space="0"/>
              <w:left w:val="single" w:color="auto" w:sz="6" w:space="0"/>
              <w:bottom w:val="single" w:color="auto" w:sz="6" w:space="0"/>
              <w:right w:val="single" w:color="auto" w:sz="6" w:space="0"/>
            </w:tcBorders>
            <w:noWrap/>
            <w:vAlign w:val="center"/>
          </w:tcPr>
          <w:p w14:paraId="21ED4059">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ign w:val="center"/>
          </w:tcPr>
          <w:p w14:paraId="0826AC23">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5283CB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ign w:val="center"/>
          </w:tcPr>
          <w:p w14:paraId="0EA2F521">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以项目经理身份参与过的主要业绩（已完工项目）</w:t>
            </w:r>
          </w:p>
        </w:tc>
      </w:tr>
      <w:tr w14:paraId="5B83F9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3C426794">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438EA8BE">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32337861">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0B43C2FD">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noWrap/>
            <w:vAlign w:val="center"/>
          </w:tcPr>
          <w:p w14:paraId="0D56F75A">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开、竣工日期</w:t>
            </w:r>
          </w:p>
        </w:tc>
        <w:tc>
          <w:tcPr>
            <w:tcW w:w="1327" w:type="dxa"/>
            <w:tcBorders>
              <w:top w:val="single" w:color="auto" w:sz="6" w:space="0"/>
              <w:left w:val="single" w:color="auto" w:sz="6" w:space="0"/>
              <w:bottom w:val="single" w:color="auto" w:sz="6" w:space="0"/>
              <w:right w:val="single" w:color="auto" w:sz="6" w:space="0"/>
            </w:tcBorders>
            <w:noWrap/>
            <w:vAlign w:val="center"/>
          </w:tcPr>
          <w:p w14:paraId="5F738D2C">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质量等级</w:t>
            </w:r>
          </w:p>
        </w:tc>
      </w:tr>
      <w:tr w14:paraId="72EEE1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18FF856E">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33CDE343">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645429FE">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4842540A">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6D70AF1E">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6C8BD77E">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2C0A78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15E2F97C">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2</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583023D3">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41507561">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5BAC0D2D">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278B47B2">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0F7B7CB2">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2E79BD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3A4CDB8A">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3</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62A937A5">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44C2D67F">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646DBD84">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151EAB48">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3FD32A2E">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4B7ECE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58BC91FC">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127F6B21">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42ECC564">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0553FBAA">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774ABE8A">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5EFAA8F6">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bl>
    <w:p w14:paraId="63639B94">
      <w:pPr>
        <w:wordWrap w:val="0"/>
        <w:adjustRightInd w:val="0"/>
        <w:snapToGrid w:val="0"/>
        <w:spacing w:line="440" w:lineRule="exact"/>
        <w:ind w:firstLine="570"/>
        <w:rPr>
          <w:rFonts w:hint="default" w:asciiTheme="minorEastAsia" w:hAnsiTheme="minorEastAsia" w:eastAsiaTheme="minorEastAsia" w:cstheme="minorEastAsia"/>
          <w:snapToGrid w:val="0"/>
          <w:color w:val="auto"/>
          <w:kern w:val="0"/>
          <w:sz w:val="21"/>
          <w:szCs w:val="21"/>
          <w:highlight w:val="none"/>
        </w:rPr>
      </w:pPr>
    </w:p>
    <w:p w14:paraId="177C8C9E">
      <w:pPr>
        <w:pStyle w:val="53"/>
        <w:wordWrap w:val="0"/>
        <w:adjustRightInd w:val="0"/>
        <w:snapToGrid w:val="0"/>
        <w:spacing w:line="440" w:lineRule="exact"/>
        <w:jc w:val="right"/>
        <w:rPr>
          <w:rFonts w:asciiTheme="minorEastAsia" w:hAnsiTheme="minorEastAsia" w:eastAsiaTheme="minorEastAsia" w:cstheme="minorEastAsia"/>
          <w:snapToGrid w:val="0"/>
          <w:color w:val="auto"/>
          <w:kern w:val="0"/>
          <w:sz w:val="21"/>
          <w:szCs w:val="21"/>
          <w:highlight w:val="none"/>
        </w:rPr>
      </w:pPr>
    </w:p>
    <w:p w14:paraId="34482013">
      <w:pPr>
        <w:pStyle w:val="53"/>
        <w:wordWrap w:val="0"/>
        <w:adjustRightInd w:val="0"/>
        <w:snapToGrid w:val="0"/>
        <w:spacing w:line="440" w:lineRule="exact"/>
        <w:jc w:val="right"/>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项目经理：</w:t>
      </w:r>
      <w:r>
        <w:rPr>
          <w:rFonts w:hint="eastAsia"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rPr>
        <w:t>（签字）</w:t>
      </w:r>
    </w:p>
    <w:p w14:paraId="1B92D76D">
      <w:pPr>
        <w:pStyle w:val="53"/>
        <w:wordWrap w:val="0"/>
        <w:adjustRightInd w:val="0"/>
        <w:snapToGrid w:val="0"/>
        <w:spacing w:line="440" w:lineRule="exact"/>
        <w:jc w:val="right"/>
        <w:rPr>
          <w:rFonts w:asciiTheme="minorEastAsia" w:hAnsiTheme="minorEastAsia" w:eastAsiaTheme="minorEastAsia" w:cstheme="minorEastAsia"/>
          <w:snapToGrid w:val="0"/>
          <w:color w:val="auto"/>
          <w:kern w:val="0"/>
          <w:sz w:val="21"/>
          <w:szCs w:val="21"/>
          <w:highlight w:val="none"/>
        </w:rPr>
      </w:pPr>
    </w:p>
    <w:p w14:paraId="31DB573C">
      <w:pPr>
        <w:wordWrap w:val="0"/>
        <w:adjustRightInd w:val="0"/>
        <w:snapToGrid w:val="0"/>
        <w:spacing w:line="400" w:lineRule="exact"/>
        <w:ind w:firstLine="57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年</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月</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日</w:t>
      </w:r>
    </w:p>
    <w:p w14:paraId="7EE9682D">
      <w:pPr>
        <w:rPr>
          <w:rFonts w:hint="default"/>
          <w:color w:val="auto"/>
          <w:sz w:val="21"/>
          <w:szCs w:val="21"/>
          <w:highlight w:val="none"/>
        </w:rPr>
      </w:pPr>
    </w:p>
    <w:p w14:paraId="66367DEF">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说明：《项目经理简历表》后应附拟派项目经理以下资料：</w:t>
      </w:r>
    </w:p>
    <w:p w14:paraId="5230C63D">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1．身份证彩色扫描件；</w:t>
      </w:r>
    </w:p>
    <w:p w14:paraId="750CF8E9">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2．建造师电子注册证书（在使用有效期内的有效电子证书）彩色扫描件；</w:t>
      </w:r>
    </w:p>
    <w:p w14:paraId="05535046">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3．B类安全生产考核合格证书彩色扫描件或广东省建筑施工企业管理人员安全生产考核系统考核合格信息彩色扫描件；</w:t>
      </w:r>
    </w:p>
    <w:p w14:paraId="6EF80273">
      <w:pPr>
        <w:wordWrap w:val="0"/>
        <w:adjustRightInd w:val="0"/>
        <w:snapToGrid w:val="0"/>
        <w:spacing w:line="400" w:lineRule="exact"/>
        <w:ind w:firstLine="42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 w:val="21"/>
          <w:szCs w:val="21"/>
          <w:highlight w:val="none"/>
        </w:rPr>
        <w:t>4．在本单位缴纳社保的证明（至少3个月，其中必须中202</w:t>
      </w:r>
      <w:r>
        <w:rPr>
          <w:rFonts w:hint="eastAsia" w:asciiTheme="minorEastAsia" w:hAnsiTheme="minorEastAsia" w:eastAsiaTheme="minorEastAsia" w:cstheme="minorEastAsia"/>
          <w:snapToGrid w:val="0"/>
          <w:color w:val="auto"/>
          <w:kern w:val="0"/>
          <w:sz w:val="21"/>
          <w:szCs w:val="21"/>
          <w:highlight w:val="none"/>
          <w:lang w:val="en-US" w:eastAsia="zh-CN"/>
        </w:rPr>
        <w:t>6</w:t>
      </w:r>
      <w:r>
        <w:rPr>
          <w:rFonts w:asciiTheme="minorEastAsia" w:hAnsiTheme="minorEastAsia" w:eastAsiaTheme="minorEastAsia" w:cstheme="minorEastAsia"/>
          <w:snapToGrid w:val="0"/>
          <w:color w:val="auto"/>
          <w:kern w:val="0"/>
          <w:sz w:val="21"/>
          <w:szCs w:val="21"/>
          <w:highlight w:val="none"/>
        </w:rPr>
        <w:t>年</w:t>
      </w:r>
      <w:r>
        <w:rPr>
          <w:rFonts w:hint="eastAsia" w:asciiTheme="minorEastAsia" w:hAnsiTheme="minorEastAsia" w:eastAsiaTheme="minorEastAsia" w:cstheme="minorEastAsia"/>
          <w:snapToGrid w:val="0"/>
          <w:color w:val="auto"/>
          <w:kern w:val="0"/>
          <w:sz w:val="21"/>
          <w:szCs w:val="21"/>
          <w:highlight w:val="none"/>
          <w:lang w:val="en-US" w:eastAsia="zh-CN"/>
        </w:rPr>
        <w:t>8</w:t>
      </w:r>
      <w:r>
        <w:rPr>
          <w:rFonts w:asciiTheme="minorEastAsia" w:hAnsiTheme="minorEastAsia" w:eastAsiaTheme="minorEastAsia" w:cstheme="minorEastAsia"/>
          <w:snapToGrid w:val="0"/>
          <w:color w:val="auto"/>
          <w:kern w:val="0"/>
          <w:sz w:val="21"/>
          <w:szCs w:val="21"/>
          <w:highlight w:val="none"/>
        </w:rPr>
        <w:t>月）彩色扫描件；拟派项目经理为退休返聘人员无法提供社保证明的，提供退休证和劳动合同彩色扫描件。</w:t>
      </w:r>
    </w:p>
    <w:p w14:paraId="0F6558BC">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sectPr>
          <w:endnotePr>
            <w:numFmt w:val="decimal"/>
          </w:endnotePr>
          <w:pgSz w:w="11906" w:h="16838"/>
          <w:pgMar w:top="1701" w:right="1531" w:bottom="1417" w:left="1531" w:header="850" w:footer="992" w:gutter="0"/>
          <w:cols w:space="720" w:num="1"/>
          <w:docGrid w:linePitch="327" w:charSpace="0"/>
        </w:sectPr>
      </w:pPr>
    </w:p>
    <w:p w14:paraId="2488C9BF">
      <w:pPr>
        <w:pStyle w:val="3"/>
        <w:spacing w:before="120"/>
        <w:rPr>
          <w:rFonts w:hint="default" w:asciiTheme="minorEastAsia" w:hAnsiTheme="minorEastAsia" w:eastAsiaTheme="minorEastAsia" w:cstheme="minorEastAsia"/>
          <w:b/>
          <w:bCs/>
          <w:color w:val="auto"/>
          <w:szCs w:val="24"/>
          <w:highlight w:val="none"/>
        </w:rPr>
      </w:pPr>
      <w:bookmarkStart w:id="585" w:name="_Toc8086"/>
      <w:r>
        <w:rPr>
          <w:rFonts w:asciiTheme="minorEastAsia" w:hAnsiTheme="minorEastAsia" w:eastAsiaTheme="minorEastAsia" w:cstheme="minorEastAsia"/>
          <w:b/>
          <w:bCs/>
          <w:color w:val="auto"/>
          <w:szCs w:val="24"/>
          <w:highlight w:val="none"/>
        </w:rPr>
        <w:t>格式九 项目经理任职声明</w:t>
      </w:r>
      <w:bookmarkEnd w:id="585"/>
    </w:p>
    <w:p w14:paraId="3A0AB05B">
      <w:pPr>
        <w:wordWrap w:val="0"/>
        <w:adjustRightInd w:val="0"/>
        <w:snapToGrid w:val="0"/>
        <w:spacing w:line="440" w:lineRule="exact"/>
        <w:jc w:val="left"/>
        <w:rPr>
          <w:rFonts w:hint="default" w:asciiTheme="minorEastAsia" w:hAnsiTheme="minorEastAsia" w:eastAsiaTheme="minorEastAsia" w:cstheme="minorEastAsia"/>
          <w:b/>
          <w:snapToGrid w:val="0"/>
          <w:color w:val="auto"/>
          <w:kern w:val="0"/>
          <w:szCs w:val="24"/>
          <w:highlight w:val="none"/>
        </w:rPr>
      </w:pPr>
    </w:p>
    <w:p w14:paraId="55D181A4">
      <w:pPr>
        <w:wordWrap w:val="0"/>
        <w:adjustRightInd w:val="0"/>
        <w:snapToGrid w:val="0"/>
        <w:spacing w:before="260" w:after="260" w:line="440" w:lineRule="exact"/>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项目经理任职声明</w:t>
      </w:r>
    </w:p>
    <w:p w14:paraId="147FEDF7">
      <w:pPr>
        <w:wordWrap w:val="0"/>
        <w:adjustRightInd w:val="0"/>
        <w:snapToGrid w:val="0"/>
        <w:spacing w:line="440" w:lineRule="exact"/>
        <w:jc w:val="center"/>
        <w:rPr>
          <w:rFonts w:hint="default" w:asciiTheme="minorEastAsia" w:hAnsiTheme="minorEastAsia" w:eastAsiaTheme="minorEastAsia" w:cstheme="minorEastAsia"/>
          <w:snapToGrid w:val="0"/>
          <w:color w:val="auto"/>
          <w:kern w:val="0"/>
          <w:szCs w:val="24"/>
          <w:highlight w:val="none"/>
        </w:rPr>
      </w:pPr>
    </w:p>
    <w:p w14:paraId="0B4A7760">
      <w:pPr>
        <w:wordWrap w:val="0"/>
        <w:adjustRightInd w:val="0"/>
        <w:snapToGrid w:val="0"/>
        <w:spacing w:line="440" w:lineRule="exact"/>
        <w:rPr>
          <w:rFonts w:hint="default" w:asciiTheme="minorEastAsia" w:hAnsiTheme="minorEastAsia" w:eastAsiaTheme="minorEastAsia" w:cstheme="minorEastAsia"/>
          <w:snapToGrid w:val="0"/>
          <w:color w:val="auto"/>
          <w:kern w:val="0"/>
          <w:sz w:val="21"/>
          <w:szCs w:val="21"/>
          <w:highlight w:val="none"/>
        </w:rPr>
      </w:pPr>
      <w:bookmarkStart w:id="586" w:name="_Toc21599"/>
      <w:r>
        <w:rPr>
          <w:rFonts w:asciiTheme="minorEastAsia" w:hAnsiTheme="minorEastAsia" w:eastAsiaTheme="minorEastAsia" w:cstheme="minorEastAsia"/>
          <w:snapToGrid w:val="0"/>
          <w:color w:val="auto"/>
          <w:kern w:val="0"/>
          <w:sz w:val="21"/>
          <w:szCs w:val="21"/>
          <w:highlight w:val="none"/>
        </w:rPr>
        <w:t>致：</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（招标人名称）：</w:t>
      </w:r>
    </w:p>
    <w:p w14:paraId="7F78F13F">
      <w:pPr>
        <w:wordWrap w:val="0"/>
        <w:adjustRightInd w:val="0"/>
        <w:snapToGrid w:val="0"/>
        <w:spacing w:line="44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我方在此声明，我方拟派往</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（项目名称）的项目经理</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（项目经理姓名）现阶段没有担任任何在施（包括已中标未开工、已开工未竣工）建设工程项目的项目经理。</w:t>
      </w:r>
    </w:p>
    <w:p w14:paraId="7E756D01">
      <w:pPr>
        <w:wordWrap w:val="0"/>
        <w:adjustRightInd w:val="0"/>
        <w:snapToGrid w:val="0"/>
        <w:spacing w:line="440" w:lineRule="exact"/>
        <w:ind w:firstLine="48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我方保证上述信息的真实和准确，并愿意承担因我方就此弄虚作假所引起的一切法律后果。</w:t>
      </w:r>
    </w:p>
    <w:p w14:paraId="6AE50566">
      <w:pPr>
        <w:wordWrap w:val="0"/>
        <w:adjustRightInd w:val="0"/>
        <w:snapToGrid w:val="0"/>
        <w:spacing w:line="440" w:lineRule="exact"/>
        <w:ind w:firstLine="48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w:t>
      </w:r>
    </w:p>
    <w:p w14:paraId="61CB0CD1">
      <w:pPr>
        <w:wordWrap w:val="0"/>
        <w:adjustRightInd w:val="0"/>
        <w:snapToGrid w:val="0"/>
        <w:spacing w:line="44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特此承诺　　</w:t>
      </w:r>
    </w:p>
    <w:p w14:paraId="4C83FF17">
      <w:pPr>
        <w:wordWrap w:val="0"/>
        <w:adjustRightInd w:val="0"/>
        <w:snapToGrid w:val="0"/>
        <w:spacing w:line="44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w:t>
      </w:r>
    </w:p>
    <w:p w14:paraId="0AEC803B">
      <w:pPr>
        <w:wordWrap w:val="0"/>
        <w:adjustRightInd w:val="0"/>
        <w:snapToGrid w:val="0"/>
        <w:spacing w:line="44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w:t>
      </w:r>
    </w:p>
    <w:p w14:paraId="7EA2D7B8">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投标人：</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（盖单位章）</w:t>
      </w:r>
    </w:p>
    <w:p w14:paraId="4DFF7F73">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 w:val="21"/>
          <w:szCs w:val="21"/>
          <w:highlight w:val="none"/>
        </w:rPr>
      </w:pPr>
    </w:p>
    <w:p w14:paraId="705E6C42">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 w:val="21"/>
          <w:szCs w:val="21"/>
          <w:highlight w:val="none"/>
        </w:rPr>
      </w:pPr>
    </w:p>
    <w:p w14:paraId="0C0160AE">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法定代表人或其委托代理人：</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（签字或盖章）</w:t>
      </w:r>
    </w:p>
    <w:p w14:paraId="46A65716">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 w:val="21"/>
          <w:szCs w:val="21"/>
          <w:highlight w:val="none"/>
        </w:rPr>
      </w:pPr>
    </w:p>
    <w:p w14:paraId="6D29DD1B">
      <w:pPr>
        <w:wordWrap w:val="0"/>
        <w:adjustRightInd w:val="0"/>
        <w:snapToGrid w:val="0"/>
        <w:spacing w:line="440" w:lineRule="exact"/>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 w:val="21"/>
          <w:szCs w:val="21"/>
          <w:highlight w:val="none"/>
        </w:rPr>
        <w:t xml:space="preserve">                            </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年</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月</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日</w:t>
      </w:r>
    </w:p>
    <w:p w14:paraId="1F78C085">
      <w:pPr>
        <w:spacing w:before="120"/>
        <w:rPr>
          <w:rFonts w:hint="default" w:asciiTheme="minorEastAsia" w:hAnsiTheme="minorEastAsia" w:eastAsiaTheme="minorEastAsia" w:cstheme="minorEastAsia"/>
          <w:b/>
          <w:bCs/>
          <w:color w:val="auto"/>
          <w:szCs w:val="24"/>
          <w:highlight w:val="none"/>
        </w:rPr>
      </w:pPr>
    </w:p>
    <w:p w14:paraId="7DF1DA17">
      <w:pPr>
        <w:spacing w:before="120"/>
        <w:rPr>
          <w:rFonts w:hint="default" w:asciiTheme="minorEastAsia" w:hAnsiTheme="minorEastAsia" w:eastAsiaTheme="minorEastAsia" w:cstheme="minorEastAsia"/>
          <w:b/>
          <w:bCs/>
          <w:color w:val="auto"/>
          <w:szCs w:val="24"/>
          <w:highlight w:val="none"/>
        </w:rPr>
      </w:pPr>
    </w:p>
    <w:p w14:paraId="6D6A2F48">
      <w:pPr>
        <w:spacing w:before="120"/>
        <w:rPr>
          <w:rFonts w:hint="default" w:asciiTheme="minorEastAsia" w:hAnsiTheme="minorEastAsia" w:eastAsiaTheme="minorEastAsia" w:cstheme="minorEastAsia"/>
          <w:b/>
          <w:bCs/>
          <w:color w:val="auto"/>
          <w:szCs w:val="24"/>
          <w:highlight w:val="none"/>
        </w:rPr>
      </w:pPr>
    </w:p>
    <w:p w14:paraId="2DB4F391">
      <w:pPr>
        <w:spacing w:before="120"/>
        <w:rPr>
          <w:rFonts w:hint="default" w:asciiTheme="minorEastAsia" w:hAnsiTheme="minorEastAsia" w:eastAsiaTheme="minorEastAsia" w:cstheme="minorEastAsia"/>
          <w:b/>
          <w:bCs/>
          <w:color w:val="auto"/>
          <w:szCs w:val="24"/>
          <w:highlight w:val="none"/>
        </w:rPr>
      </w:pPr>
    </w:p>
    <w:p w14:paraId="38616594">
      <w:pPr>
        <w:spacing w:before="120"/>
        <w:rPr>
          <w:rFonts w:hint="default" w:asciiTheme="minorEastAsia" w:hAnsiTheme="minorEastAsia" w:eastAsiaTheme="minorEastAsia" w:cstheme="minorEastAsia"/>
          <w:b/>
          <w:bCs/>
          <w:color w:val="auto"/>
          <w:szCs w:val="24"/>
          <w:highlight w:val="none"/>
        </w:rPr>
      </w:pPr>
    </w:p>
    <w:p w14:paraId="5E0EE3D7">
      <w:pPr>
        <w:spacing w:before="120"/>
        <w:rPr>
          <w:rFonts w:hint="default" w:asciiTheme="minorEastAsia" w:hAnsiTheme="minorEastAsia" w:eastAsiaTheme="minorEastAsia" w:cstheme="minorEastAsia"/>
          <w:b/>
          <w:bCs/>
          <w:color w:val="auto"/>
          <w:szCs w:val="24"/>
          <w:highlight w:val="none"/>
        </w:rPr>
      </w:pPr>
    </w:p>
    <w:p w14:paraId="370920C2">
      <w:pPr>
        <w:spacing w:before="120"/>
        <w:rPr>
          <w:rFonts w:hint="default" w:asciiTheme="minorEastAsia" w:hAnsiTheme="minorEastAsia" w:eastAsiaTheme="minorEastAsia" w:cstheme="minorEastAsia"/>
          <w:b/>
          <w:bCs/>
          <w:color w:val="auto"/>
          <w:szCs w:val="24"/>
          <w:highlight w:val="none"/>
        </w:rPr>
      </w:pPr>
    </w:p>
    <w:p w14:paraId="016BDAC5">
      <w:pPr>
        <w:spacing w:before="120"/>
        <w:rPr>
          <w:rFonts w:hint="default" w:asciiTheme="minorEastAsia" w:hAnsiTheme="minorEastAsia" w:eastAsiaTheme="minorEastAsia" w:cstheme="minorEastAsia"/>
          <w:b/>
          <w:bCs/>
          <w:color w:val="auto"/>
          <w:szCs w:val="24"/>
          <w:highlight w:val="none"/>
        </w:rPr>
      </w:pPr>
    </w:p>
    <w:p w14:paraId="269572ED">
      <w:pPr>
        <w:rPr>
          <w:rFonts w:hint="default" w:asciiTheme="minorEastAsia" w:hAnsiTheme="minorEastAsia" w:eastAsiaTheme="minorEastAsia" w:cstheme="minorEastAsia"/>
          <w:b/>
          <w:bCs/>
          <w:color w:val="auto"/>
          <w:szCs w:val="24"/>
          <w:highlight w:val="none"/>
        </w:rPr>
      </w:pPr>
      <w:r>
        <w:rPr>
          <w:rFonts w:hint="default" w:asciiTheme="minorEastAsia" w:hAnsiTheme="minorEastAsia" w:eastAsiaTheme="minorEastAsia" w:cstheme="minorEastAsia"/>
          <w:b/>
          <w:bCs/>
          <w:color w:val="auto"/>
          <w:szCs w:val="24"/>
          <w:highlight w:val="none"/>
        </w:rPr>
        <w:br w:type="page"/>
      </w:r>
    </w:p>
    <w:p w14:paraId="250266F1">
      <w:pPr>
        <w:pStyle w:val="5"/>
        <w:rPr>
          <w:rFonts w:hint="default"/>
          <w:color w:val="auto"/>
          <w:highlight w:val="none"/>
        </w:rPr>
      </w:pPr>
    </w:p>
    <w:p w14:paraId="040DBCAF">
      <w:pPr>
        <w:pStyle w:val="3"/>
        <w:spacing w:before="120"/>
        <w:rPr>
          <w:rFonts w:hint="default" w:asciiTheme="minorEastAsia" w:hAnsiTheme="minorEastAsia" w:eastAsiaTheme="minorEastAsia" w:cstheme="minorEastAsia"/>
          <w:b/>
          <w:bCs/>
          <w:color w:val="auto"/>
          <w:szCs w:val="24"/>
          <w:highlight w:val="none"/>
        </w:rPr>
      </w:pPr>
      <w:bookmarkStart w:id="587" w:name="_Toc12530"/>
      <w:r>
        <w:rPr>
          <w:rFonts w:asciiTheme="minorEastAsia" w:hAnsiTheme="minorEastAsia" w:eastAsiaTheme="minorEastAsia" w:cstheme="minorEastAsia"/>
          <w:b/>
          <w:bCs/>
          <w:color w:val="auto"/>
          <w:szCs w:val="24"/>
          <w:highlight w:val="none"/>
        </w:rPr>
        <w:t>格式十 项目技术负责人简历表</w:t>
      </w:r>
      <w:bookmarkEnd w:id="586"/>
      <w:bookmarkEnd w:id="587"/>
    </w:p>
    <w:p w14:paraId="3C6FCAB7">
      <w:pPr>
        <w:wordWrap w:val="0"/>
        <w:adjustRightInd w:val="0"/>
        <w:snapToGrid w:val="0"/>
        <w:spacing w:line="440" w:lineRule="exact"/>
        <w:jc w:val="center"/>
        <w:rPr>
          <w:rFonts w:hint="default" w:asciiTheme="minorEastAsia" w:hAnsiTheme="minorEastAsia" w:eastAsiaTheme="minorEastAsia" w:cstheme="minorEastAsia"/>
          <w:b/>
          <w:bCs/>
          <w:snapToGrid w:val="0"/>
          <w:color w:val="auto"/>
          <w:kern w:val="0"/>
          <w:sz w:val="21"/>
          <w:szCs w:val="21"/>
          <w:highlight w:val="none"/>
        </w:rPr>
      </w:pPr>
      <w:r>
        <w:rPr>
          <w:rFonts w:asciiTheme="minorEastAsia" w:hAnsiTheme="minorEastAsia" w:eastAsiaTheme="minorEastAsia" w:cstheme="minorEastAsia"/>
          <w:b/>
          <w:snapToGrid w:val="0"/>
          <w:color w:val="auto"/>
          <w:kern w:val="0"/>
          <w:sz w:val="21"/>
          <w:szCs w:val="21"/>
          <w:highlight w:val="none"/>
        </w:rPr>
        <w:t>项目技术负责人简历表</w:t>
      </w:r>
    </w:p>
    <w:p w14:paraId="36CC1483">
      <w:pPr>
        <w:wordWrap w:val="0"/>
        <w:adjustRightInd w:val="0"/>
        <w:snapToGrid w:val="0"/>
        <w:spacing w:line="440" w:lineRule="exact"/>
        <w:jc w:val="left"/>
        <w:rPr>
          <w:rFonts w:hint="default" w:asciiTheme="minorEastAsia" w:hAnsiTheme="minorEastAsia" w:eastAsiaTheme="minorEastAsia" w:cstheme="minorEastAsia"/>
          <w:b/>
          <w:bCs/>
          <w:snapToGrid w:val="0"/>
          <w:color w:val="auto"/>
          <w:kern w:val="0"/>
          <w:szCs w:val="24"/>
          <w:highlight w:val="none"/>
        </w:rPr>
      </w:pPr>
    </w:p>
    <w:tbl>
      <w:tblPr>
        <w:tblStyle w:val="24"/>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2A2EE3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6E0540D2">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489B72A3">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08313CD5">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性  别</w:t>
            </w:r>
          </w:p>
        </w:tc>
        <w:tc>
          <w:tcPr>
            <w:tcW w:w="1946" w:type="dxa"/>
            <w:tcBorders>
              <w:top w:val="single" w:color="auto" w:sz="6" w:space="0"/>
              <w:left w:val="single" w:color="auto" w:sz="6" w:space="0"/>
              <w:bottom w:val="single" w:color="auto" w:sz="6" w:space="0"/>
              <w:right w:val="single" w:color="auto" w:sz="6" w:space="0"/>
            </w:tcBorders>
            <w:noWrap/>
            <w:vAlign w:val="center"/>
          </w:tcPr>
          <w:p w14:paraId="30FB9D8D">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3B0AB48E">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年   龄</w:t>
            </w:r>
          </w:p>
        </w:tc>
        <w:tc>
          <w:tcPr>
            <w:tcW w:w="1327" w:type="dxa"/>
            <w:tcBorders>
              <w:top w:val="single" w:color="auto" w:sz="6" w:space="0"/>
              <w:left w:val="single" w:color="auto" w:sz="6" w:space="0"/>
              <w:bottom w:val="single" w:color="auto" w:sz="6" w:space="0"/>
              <w:right w:val="single" w:color="auto" w:sz="6" w:space="0"/>
            </w:tcBorders>
            <w:noWrap/>
            <w:vAlign w:val="center"/>
          </w:tcPr>
          <w:p w14:paraId="2BC60222">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079512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6B34EC24">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239BA985">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6E047B82">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职  称</w:t>
            </w:r>
          </w:p>
        </w:tc>
        <w:tc>
          <w:tcPr>
            <w:tcW w:w="1946" w:type="dxa"/>
            <w:tcBorders>
              <w:top w:val="single" w:color="auto" w:sz="6" w:space="0"/>
              <w:left w:val="single" w:color="auto" w:sz="6" w:space="0"/>
              <w:bottom w:val="single" w:color="auto" w:sz="6" w:space="0"/>
              <w:right w:val="single" w:color="auto" w:sz="6" w:space="0"/>
            </w:tcBorders>
            <w:noWrap/>
            <w:vAlign w:val="center"/>
          </w:tcPr>
          <w:p w14:paraId="0DC377B7">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09459CC0">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学   历</w:t>
            </w:r>
          </w:p>
        </w:tc>
        <w:tc>
          <w:tcPr>
            <w:tcW w:w="1327" w:type="dxa"/>
            <w:tcBorders>
              <w:top w:val="single" w:color="auto" w:sz="6" w:space="0"/>
              <w:left w:val="single" w:color="auto" w:sz="6" w:space="0"/>
              <w:bottom w:val="single" w:color="auto" w:sz="6" w:space="0"/>
              <w:right w:val="single" w:color="auto" w:sz="6" w:space="0"/>
            </w:tcBorders>
            <w:noWrap/>
            <w:vAlign w:val="center"/>
          </w:tcPr>
          <w:p w14:paraId="3AB36E3F">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4BE17E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1B767EAD">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ign w:val="center"/>
          </w:tcPr>
          <w:p w14:paraId="78BF6C4C">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3679" w:type="dxa"/>
            <w:gridSpan w:val="3"/>
            <w:tcBorders>
              <w:top w:val="single" w:color="auto" w:sz="6" w:space="0"/>
              <w:left w:val="single" w:color="auto" w:sz="6" w:space="0"/>
              <w:bottom w:val="single" w:color="auto" w:sz="6" w:space="0"/>
              <w:right w:val="single" w:color="auto" w:sz="6" w:space="0"/>
            </w:tcBorders>
            <w:noWrap/>
            <w:vAlign w:val="center"/>
          </w:tcPr>
          <w:p w14:paraId="49DB905D">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ign w:val="center"/>
          </w:tcPr>
          <w:p w14:paraId="18F8B4BB">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388486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ign w:val="center"/>
          </w:tcPr>
          <w:p w14:paraId="7EEA3EDD">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以项目技术负责人身份参与过的主要业绩（已完工项目）</w:t>
            </w:r>
          </w:p>
        </w:tc>
      </w:tr>
      <w:tr w14:paraId="61406F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122BD131">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4818C069">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336FA173">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3159C864">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noWrap/>
            <w:vAlign w:val="center"/>
          </w:tcPr>
          <w:p w14:paraId="72D5C710">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开、竣工日期</w:t>
            </w:r>
          </w:p>
        </w:tc>
        <w:tc>
          <w:tcPr>
            <w:tcW w:w="1327" w:type="dxa"/>
            <w:tcBorders>
              <w:top w:val="single" w:color="auto" w:sz="6" w:space="0"/>
              <w:left w:val="single" w:color="auto" w:sz="6" w:space="0"/>
              <w:bottom w:val="single" w:color="auto" w:sz="6" w:space="0"/>
              <w:right w:val="single" w:color="auto" w:sz="6" w:space="0"/>
            </w:tcBorders>
            <w:noWrap/>
            <w:vAlign w:val="center"/>
          </w:tcPr>
          <w:p w14:paraId="42B993B9">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质量等级</w:t>
            </w:r>
          </w:p>
        </w:tc>
      </w:tr>
      <w:tr w14:paraId="7A718B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5DC2C3D5">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1738FE0F">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54601570">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52ED9652">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1D2CC5DB">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2D10E332">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4BB98C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1543E6F4">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2</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399C4788">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51A7E97F">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1B5BE1B3">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69462472">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7E94117D">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6F5A93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778BDBAF">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19E49026">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52B6A207">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31CE1B61">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1B95A9A3">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3B2B6C1B">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16DF29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0A53F2AB">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037F97D7">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138EDD83">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4394E8CE">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10462BCD">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7DEC960F">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2A4CEF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15508336">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4D306FF4">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727265E4">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749C7F73">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453164BB">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19DE562F">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bl>
    <w:p w14:paraId="62C7EA06">
      <w:pPr>
        <w:pStyle w:val="53"/>
        <w:wordWrap w:val="0"/>
        <w:adjustRightInd w:val="0"/>
        <w:snapToGrid w:val="0"/>
        <w:spacing w:line="440" w:lineRule="exact"/>
        <w:rPr>
          <w:rFonts w:asciiTheme="minorEastAsia" w:hAnsiTheme="minorEastAsia" w:eastAsiaTheme="minorEastAsia" w:cstheme="minorEastAsia"/>
          <w:snapToGrid w:val="0"/>
          <w:color w:val="auto"/>
          <w:kern w:val="0"/>
          <w:sz w:val="21"/>
          <w:szCs w:val="21"/>
          <w:highlight w:val="none"/>
        </w:rPr>
      </w:pPr>
    </w:p>
    <w:p w14:paraId="7965976A">
      <w:pPr>
        <w:pStyle w:val="53"/>
        <w:wordWrap w:val="0"/>
        <w:adjustRightInd w:val="0"/>
        <w:snapToGrid w:val="0"/>
        <w:spacing w:line="440" w:lineRule="exact"/>
        <w:jc w:val="right"/>
        <w:rPr>
          <w:rFonts w:asciiTheme="minorEastAsia" w:hAnsiTheme="minorEastAsia" w:eastAsiaTheme="minorEastAsia" w:cstheme="minorEastAsia"/>
          <w:snapToGrid w:val="0"/>
          <w:color w:val="auto"/>
          <w:kern w:val="0"/>
          <w:sz w:val="21"/>
          <w:szCs w:val="21"/>
          <w:highlight w:val="none"/>
        </w:rPr>
      </w:pPr>
    </w:p>
    <w:p w14:paraId="47E7300E">
      <w:pPr>
        <w:pStyle w:val="53"/>
        <w:wordWrap w:val="0"/>
        <w:adjustRightInd w:val="0"/>
        <w:snapToGrid w:val="0"/>
        <w:spacing w:line="440" w:lineRule="exact"/>
        <w:jc w:val="right"/>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项目技术负责人：</w:t>
      </w:r>
      <w:r>
        <w:rPr>
          <w:rFonts w:hint="eastAsia"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rPr>
        <w:t>（签字）</w:t>
      </w:r>
    </w:p>
    <w:p w14:paraId="50A57C5B">
      <w:pPr>
        <w:pStyle w:val="53"/>
        <w:wordWrap w:val="0"/>
        <w:adjustRightInd w:val="0"/>
        <w:snapToGrid w:val="0"/>
        <w:spacing w:line="440" w:lineRule="exact"/>
        <w:jc w:val="right"/>
        <w:rPr>
          <w:rFonts w:asciiTheme="minorEastAsia" w:hAnsiTheme="minorEastAsia" w:eastAsiaTheme="minorEastAsia" w:cstheme="minorEastAsia"/>
          <w:snapToGrid w:val="0"/>
          <w:color w:val="auto"/>
          <w:kern w:val="0"/>
          <w:sz w:val="21"/>
          <w:szCs w:val="21"/>
          <w:highlight w:val="none"/>
        </w:rPr>
      </w:pPr>
    </w:p>
    <w:p w14:paraId="0D8C4C62">
      <w:pPr>
        <w:pStyle w:val="53"/>
        <w:wordWrap w:val="0"/>
        <w:adjustRightInd w:val="0"/>
        <w:snapToGrid w:val="0"/>
        <w:spacing w:line="440" w:lineRule="exact"/>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 xml:space="preserve">                                                 </w:t>
      </w:r>
      <w:r>
        <w:rPr>
          <w:rFonts w:hint="eastAsia"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rPr>
        <w:t>年</w:t>
      </w:r>
      <w:r>
        <w:rPr>
          <w:rFonts w:hint="eastAsia"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rPr>
        <w:t>月</w:t>
      </w:r>
      <w:r>
        <w:rPr>
          <w:rFonts w:hint="eastAsia"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rPr>
        <w:t>日</w:t>
      </w:r>
    </w:p>
    <w:p w14:paraId="61DA0103">
      <w:pPr>
        <w:wordWrap w:val="0"/>
        <w:adjustRightInd w:val="0"/>
        <w:snapToGrid w:val="0"/>
        <w:spacing w:line="400" w:lineRule="exact"/>
        <w:ind w:firstLine="570"/>
        <w:rPr>
          <w:rFonts w:hint="default" w:asciiTheme="minorEastAsia" w:hAnsiTheme="minorEastAsia" w:eastAsiaTheme="minorEastAsia" w:cstheme="minorEastAsia"/>
          <w:snapToGrid w:val="0"/>
          <w:color w:val="auto"/>
          <w:kern w:val="0"/>
          <w:sz w:val="21"/>
          <w:szCs w:val="21"/>
          <w:highlight w:val="none"/>
        </w:rPr>
      </w:pPr>
    </w:p>
    <w:p w14:paraId="59F88DF5">
      <w:pPr>
        <w:pStyle w:val="53"/>
        <w:wordWrap w:val="0"/>
        <w:adjustRightInd w:val="0"/>
        <w:snapToGrid w:val="0"/>
        <w:spacing w:line="440" w:lineRule="exact"/>
        <w:jc w:val="center"/>
        <w:rPr>
          <w:rFonts w:asciiTheme="minorEastAsia" w:hAnsiTheme="minorEastAsia" w:eastAsiaTheme="minorEastAsia" w:cstheme="minorEastAsia"/>
          <w:snapToGrid w:val="0"/>
          <w:color w:val="auto"/>
          <w:kern w:val="0"/>
          <w:sz w:val="21"/>
          <w:szCs w:val="21"/>
          <w:highlight w:val="none"/>
        </w:rPr>
      </w:pPr>
    </w:p>
    <w:p w14:paraId="147A3861">
      <w:pPr>
        <w:wordWrap w:val="0"/>
        <w:adjustRightInd w:val="0"/>
        <w:snapToGrid w:val="0"/>
        <w:spacing w:line="400" w:lineRule="exact"/>
        <w:ind w:firstLine="570"/>
        <w:rPr>
          <w:rFonts w:hint="default" w:asciiTheme="minorEastAsia" w:hAnsiTheme="minorEastAsia" w:eastAsiaTheme="minorEastAsia" w:cstheme="minorEastAsia"/>
          <w:snapToGrid w:val="0"/>
          <w:color w:val="auto"/>
          <w:kern w:val="0"/>
          <w:sz w:val="21"/>
          <w:szCs w:val="21"/>
          <w:highlight w:val="none"/>
        </w:rPr>
      </w:pPr>
    </w:p>
    <w:p w14:paraId="17B87A63">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说明：《项目技术负责人简历表》后应附拟派项目技术负责人以下资料：</w:t>
      </w:r>
    </w:p>
    <w:p w14:paraId="1072419B">
      <w:pPr>
        <w:wordWrap w:val="0"/>
        <w:adjustRightInd w:val="0"/>
        <w:snapToGrid w:val="0"/>
        <w:spacing w:line="400" w:lineRule="exact"/>
        <w:ind w:firstLine="420"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1．身份证彩色扫描件；</w:t>
      </w:r>
    </w:p>
    <w:p w14:paraId="71BEE62C">
      <w:pPr>
        <w:wordWrap w:val="0"/>
        <w:adjustRightInd w:val="0"/>
        <w:snapToGrid w:val="0"/>
        <w:spacing w:line="400" w:lineRule="exact"/>
        <w:ind w:firstLine="420"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2．职称证彩色扫描件；</w:t>
      </w:r>
    </w:p>
    <w:p w14:paraId="7CF66021">
      <w:pPr>
        <w:wordWrap w:val="0"/>
        <w:adjustRightInd w:val="0"/>
        <w:snapToGrid w:val="0"/>
        <w:spacing w:line="400" w:lineRule="exact"/>
        <w:ind w:firstLine="420" w:firstLineChars="200"/>
        <w:rPr>
          <w:rFonts w:hint="default" w:asciiTheme="minorEastAsia" w:hAnsiTheme="minorEastAsia" w:eastAsiaTheme="minorEastAsia" w:cstheme="minorEastAsia"/>
          <w:snapToGrid w:val="0"/>
          <w:color w:val="auto"/>
          <w:sz w:val="21"/>
          <w:szCs w:val="21"/>
          <w:highlight w:val="none"/>
        </w:rPr>
        <w:sectPr>
          <w:endnotePr>
            <w:numFmt w:val="decimal"/>
          </w:endnotePr>
          <w:pgSz w:w="11906" w:h="16838"/>
          <w:pgMar w:top="1701" w:right="1531" w:bottom="1417" w:left="1531" w:header="850" w:footer="992" w:gutter="0"/>
          <w:cols w:space="720" w:num="1"/>
          <w:docGrid w:linePitch="327" w:charSpace="0"/>
        </w:sectPr>
      </w:pPr>
      <w:r>
        <w:rPr>
          <w:rFonts w:asciiTheme="minorEastAsia" w:hAnsiTheme="minorEastAsia" w:eastAsiaTheme="minorEastAsia" w:cstheme="minorEastAsia"/>
          <w:snapToGrid w:val="0"/>
          <w:color w:val="auto"/>
          <w:kern w:val="0"/>
          <w:sz w:val="21"/>
          <w:szCs w:val="21"/>
          <w:highlight w:val="none"/>
        </w:rPr>
        <w:t>3．在本单位缴纳社保的证明（至少3个月，其中必须中202</w:t>
      </w:r>
      <w:r>
        <w:rPr>
          <w:rFonts w:hint="eastAsia" w:asciiTheme="minorEastAsia" w:hAnsiTheme="minorEastAsia" w:eastAsiaTheme="minorEastAsia" w:cstheme="minorEastAsia"/>
          <w:snapToGrid w:val="0"/>
          <w:color w:val="auto"/>
          <w:kern w:val="0"/>
          <w:sz w:val="21"/>
          <w:szCs w:val="21"/>
          <w:highlight w:val="none"/>
          <w:lang w:val="en-US" w:eastAsia="zh-CN"/>
        </w:rPr>
        <w:t>6</w:t>
      </w:r>
      <w:r>
        <w:rPr>
          <w:rFonts w:asciiTheme="minorEastAsia" w:hAnsiTheme="minorEastAsia" w:eastAsiaTheme="minorEastAsia" w:cstheme="minorEastAsia"/>
          <w:snapToGrid w:val="0"/>
          <w:color w:val="auto"/>
          <w:kern w:val="0"/>
          <w:sz w:val="21"/>
          <w:szCs w:val="21"/>
          <w:highlight w:val="none"/>
        </w:rPr>
        <w:t>年</w:t>
      </w:r>
      <w:r>
        <w:rPr>
          <w:rFonts w:hint="eastAsia" w:asciiTheme="minorEastAsia" w:hAnsiTheme="minorEastAsia" w:eastAsiaTheme="minorEastAsia" w:cstheme="minorEastAsia"/>
          <w:snapToGrid w:val="0"/>
          <w:color w:val="auto"/>
          <w:kern w:val="0"/>
          <w:sz w:val="21"/>
          <w:szCs w:val="21"/>
          <w:highlight w:val="none"/>
          <w:lang w:val="en-US" w:eastAsia="zh-CN"/>
        </w:rPr>
        <w:t>8</w:t>
      </w:r>
      <w:r>
        <w:rPr>
          <w:rFonts w:asciiTheme="minorEastAsia" w:hAnsiTheme="minorEastAsia" w:eastAsiaTheme="minorEastAsia" w:cstheme="minorEastAsia"/>
          <w:snapToGrid w:val="0"/>
          <w:color w:val="auto"/>
          <w:kern w:val="0"/>
          <w:sz w:val="21"/>
          <w:szCs w:val="21"/>
          <w:highlight w:val="none"/>
        </w:rPr>
        <w:t>月）彩色扫描件；拟派技术负责人为退休返聘人员无法提供社保证明的，提供退休证和劳动合同彩色扫描件。</w:t>
      </w:r>
    </w:p>
    <w:p w14:paraId="68B1C5D8">
      <w:pPr>
        <w:pStyle w:val="3"/>
        <w:spacing w:before="120"/>
        <w:rPr>
          <w:rFonts w:hint="default" w:asciiTheme="minorEastAsia" w:hAnsiTheme="minorEastAsia" w:eastAsiaTheme="minorEastAsia" w:cstheme="minorEastAsia"/>
          <w:b/>
          <w:bCs/>
          <w:color w:val="auto"/>
          <w:sz w:val="21"/>
          <w:szCs w:val="21"/>
          <w:highlight w:val="none"/>
        </w:rPr>
      </w:pPr>
      <w:bookmarkStart w:id="588" w:name="_Toc31518"/>
      <w:bookmarkStart w:id="589" w:name="_Toc768"/>
      <w:r>
        <w:rPr>
          <w:rFonts w:asciiTheme="minorEastAsia" w:hAnsiTheme="minorEastAsia" w:eastAsiaTheme="minorEastAsia" w:cstheme="minorEastAsia"/>
          <w:b/>
          <w:bCs/>
          <w:color w:val="auto"/>
          <w:sz w:val="21"/>
          <w:szCs w:val="21"/>
          <w:highlight w:val="none"/>
        </w:rPr>
        <w:t>格式十一 项目设计负责人负责人简历表</w:t>
      </w:r>
      <w:bookmarkEnd w:id="588"/>
      <w:bookmarkEnd w:id="589"/>
    </w:p>
    <w:p w14:paraId="4C78B5B9">
      <w:pPr>
        <w:wordWrap w:val="0"/>
        <w:adjustRightInd w:val="0"/>
        <w:snapToGrid w:val="0"/>
        <w:spacing w:line="440" w:lineRule="exact"/>
        <w:jc w:val="left"/>
        <w:rPr>
          <w:rFonts w:hint="default" w:asciiTheme="minorEastAsia" w:hAnsiTheme="minorEastAsia" w:eastAsiaTheme="minorEastAsia" w:cstheme="minorEastAsia"/>
          <w:b/>
          <w:bCs/>
          <w:snapToGrid w:val="0"/>
          <w:color w:val="auto"/>
          <w:kern w:val="0"/>
          <w:sz w:val="21"/>
          <w:szCs w:val="21"/>
          <w:highlight w:val="none"/>
        </w:rPr>
      </w:pPr>
    </w:p>
    <w:p w14:paraId="42C73105">
      <w:pPr>
        <w:wordWrap w:val="0"/>
        <w:adjustRightInd w:val="0"/>
        <w:snapToGrid w:val="0"/>
        <w:spacing w:line="440" w:lineRule="exact"/>
        <w:jc w:val="center"/>
        <w:rPr>
          <w:rFonts w:hint="default" w:asciiTheme="minorEastAsia" w:hAnsiTheme="minorEastAsia" w:eastAsiaTheme="minorEastAsia" w:cstheme="minorEastAsia"/>
          <w:b/>
          <w:bCs/>
          <w:snapToGrid w:val="0"/>
          <w:color w:val="auto"/>
          <w:kern w:val="0"/>
          <w:sz w:val="21"/>
          <w:szCs w:val="21"/>
          <w:highlight w:val="none"/>
        </w:rPr>
      </w:pPr>
      <w:r>
        <w:rPr>
          <w:rFonts w:asciiTheme="minorEastAsia" w:hAnsiTheme="minorEastAsia" w:eastAsiaTheme="minorEastAsia" w:cstheme="minorEastAsia"/>
          <w:b/>
          <w:snapToGrid w:val="0"/>
          <w:color w:val="auto"/>
          <w:kern w:val="0"/>
          <w:sz w:val="21"/>
          <w:szCs w:val="21"/>
          <w:highlight w:val="none"/>
        </w:rPr>
        <w:t>项目设计负责人简历表</w:t>
      </w:r>
    </w:p>
    <w:tbl>
      <w:tblPr>
        <w:tblStyle w:val="24"/>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09695C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1CD84FC7">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0A3DD797">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1E175C6D">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性  别</w:t>
            </w:r>
          </w:p>
        </w:tc>
        <w:tc>
          <w:tcPr>
            <w:tcW w:w="1946" w:type="dxa"/>
            <w:tcBorders>
              <w:top w:val="single" w:color="auto" w:sz="6" w:space="0"/>
              <w:left w:val="single" w:color="auto" w:sz="6" w:space="0"/>
              <w:bottom w:val="single" w:color="auto" w:sz="6" w:space="0"/>
              <w:right w:val="single" w:color="auto" w:sz="6" w:space="0"/>
            </w:tcBorders>
            <w:noWrap/>
            <w:vAlign w:val="center"/>
          </w:tcPr>
          <w:p w14:paraId="755C527C">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4E65D95A">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年   龄</w:t>
            </w:r>
          </w:p>
        </w:tc>
        <w:tc>
          <w:tcPr>
            <w:tcW w:w="1327" w:type="dxa"/>
            <w:tcBorders>
              <w:top w:val="single" w:color="auto" w:sz="6" w:space="0"/>
              <w:left w:val="single" w:color="auto" w:sz="6" w:space="0"/>
              <w:bottom w:val="single" w:color="auto" w:sz="6" w:space="0"/>
              <w:right w:val="single" w:color="auto" w:sz="6" w:space="0"/>
            </w:tcBorders>
            <w:noWrap/>
            <w:vAlign w:val="center"/>
          </w:tcPr>
          <w:p w14:paraId="74A1EFFE">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1002A2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2C619903">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60DE04E9">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6ACD219E">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职  称</w:t>
            </w:r>
          </w:p>
        </w:tc>
        <w:tc>
          <w:tcPr>
            <w:tcW w:w="1946" w:type="dxa"/>
            <w:tcBorders>
              <w:top w:val="single" w:color="auto" w:sz="6" w:space="0"/>
              <w:left w:val="single" w:color="auto" w:sz="6" w:space="0"/>
              <w:bottom w:val="single" w:color="auto" w:sz="6" w:space="0"/>
              <w:right w:val="single" w:color="auto" w:sz="6" w:space="0"/>
            </w:tcBorders>
            <w:noWrap/>
            <w:vAlign w:val="center"/>
          </w:tcPr>
          <w:p w14:paraId="2971BA49">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130BDCDB">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学   历</w:t>
            </w:r>
          </w:p>
        </w:tc>
        <w:tc>
          <w:tcPr>
            <w:tcW w:w="1327" w:type="dxa"/>
            <w:tcBorders>
              <w:top w:val="single" w:color="auto" w:sz="6" w:space="0"/>
              <w:left w:val="single" w:color="auto" w:sz="6" w:space="0"/>
              <w:bottom w:val="single" w:color="auto" w:sz="6" w:space="0"/>
              <w:right w:val="single" w:color="auto" w:sz="6" w:space="0"/>
            </w:tcBorders>
            <w:noWrap/>
            <w:vAlign w:val="center"/>
          </w:tcPr>
          <w:p w14:paraId="66DE7E5A">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0019EF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4D56B18A">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ign w:val="center"/>
          </w:tcPr>
          <w:p w14:paraId="0E6EECBA">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3679" w:type="dxa"/>
            <w:gridSpan w:val="3"/>
            <w:tcBorders>
              <w:top w:val="single" w:color="auto" w:sz="6" w:space="0"/>
              <w:left w:val="single" w:color="auto" w:sz="6" w:space="0"/>
              <w:bottom w:val="single" w:color="auto" w:sz="6" w:space="0"/>
              <w:right w:val="single" w:color="auto" w:sz="6" w:space="0"/>
            </w:tcBorders>
            <w:noWrap/>
            <w:vAlign w:val="center"/>
          </w:tcPr>
          <w:p w14:paraId="2B0E8F16">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ign w:val="center"/>
          </w:tcPr>
          <w:p w14:paraId="446558BD">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0A3D05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ign w:val="center"/>
          </w:tcPr>
          <w:p w14:paraId="01A3CAFB">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以项目设计负责人身份参与过的主要业绩（已完工项目）</w:t>
            </w:r>
          </w:p>
        </w:tc>
      </w:tr>
      <w:tr w14:paraId="0F2613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01B5FF76">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4F96D358">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12BDFC97">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1BF7C74C">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noWrap/>
            <w:vAlign w:val="center"/>
          </w:tcPr>
          <w:p w14:paraId="45A9304F">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开、竣工日期</w:t>
            </w:r>
          </w:p>
        </w:tc>
        <w:tc>
          <w:tcPr>
            <w:tcW w:w="1327" w:type="dxa"/>
            <w:tcBorders>
              <w:top w:val="single" w:color="auto" w:sz="6" w:space="0"/>
              <w:left w:val="single" w:color="auto" w:sz="6" w:space="0"/>
              <w:bottom w:val="single" w:color="auto" w:sz="6" w:space="0"/>
              <w:right w:val="single" w:color="auto" w:sz="6" w:space="0"/>
            </w:tcBorders>
            <w:noWrap/>
            <w:vAlign w:val="center"/>
          </w:tcPr>
          <w:p w14:paraId="275E6458">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质量等级</w:t>
            </w:r>
          </w:p>
        </w:tc>
      </w:tr>
      <w:tr w14:paraId="03EB5C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68BB0750">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08B77560">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0EF47174">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6EF62E49">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46647527">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5BD08C60">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17D2E6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19C6B604">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2</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5F06835E">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270833C9">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1B6B9705">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367555DF">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7465A4F1">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57C6EE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02CFA567">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5A78C547">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0713E0F6">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7667FF8F">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48659D06">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11E3F3EF">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3C8A84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7D551BF0">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19B4346B">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3224F953">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328DB444">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26B9D1FA">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1663BC0F">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48DEC0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57D685B2">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59138DC4">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0A422D42">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44369806">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0A5ACE3A">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00EA7E28">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bl>
    <w:p w14:paraId="5DBC853E">
      <w:pPr>
        <w:wordWrap w:val="0"/>
        <w:adjustRightInd w:val="0"/>
        <w:snapToGrid w:val="0"/>
        <w:spacing w:line="440" w:lineRule="exact"/>
        <w:ind w:firstLine="570"/>
        <w:rPr>
          <w:rFonts w:hint="default" w:asciiTheme="minorEastAsia" w:hAnsiTheme="minorEastAsia" w:eastAsiaTheme="minorEastAsia" w:cstheme="minorEastAsia"/>
          <w:snapToGrid w:val="0"/>
          <w:color w:val="auto"/>
          <w:kern w:val="0"/>
          <w:sz w:val="21"/>
          <w:szCs w:val="21"/>
          <w:highlight w:val="none"/>
        </w:rPr>
      </w:pPr>
    </w:p>
    <w:p w14:paraId="7A967602">
      <w:pPr>
        <w:pStyle w:val="53"/>
        <w:wordWrap w:val="0"/>
        <w:adjustRightInd w:val="0"/>
        <w:snapToGrid w:val="0"/>
        <w:spacing w:line="440" w:lineRule="exact"/>
        <w:jc w:val="right"/>
        <w:rPr>
          <w:rFonts w:asciiTheme="minorEastAsia" w:hAnsiTheme="minorEastAsia" w:eastAsiaTheme="minorEastAsia" w:cstheme="minorEastAsia"/>
          <w:snapToGrid w:val="0"/>
          <w:color w:val="auto"/>
          <w:kern w:val="0"/>
          <w:sz w:val="21"/>
          <w:szCs w:val="21"/>
          <w:highlight w:val="none"/>
        </w:rPr>
      </w:pPr>
    </w:p>
    <w:p w14:paraId="6C90E778">
      <w:pPr>
        <w:pStyle w:val="53"/>
        <w:wordWrap w:val="0"/>
        <w:adjustRightInd w:val="0"/>
        <w:snapToGrid w:val="0"/>
        <w:spacing w:line="440" w:lineRule="exact"/>
        <w:jc w:val="right"/>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项目设计负责人：</w:t>
      </w:r>
      <w:r>
        <w:rPr>
          <w:rFonts w:hint="eastAsia"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rPr>
        <w:t>（签字）</w:t>
      </w:r>
    </w:p>
    <w:p w14:paraId="78C5834A">
      <w:pPr>
        <w:pStyle w:val="53"/>
        <w:wordWrap w:val="0"/>
        <w:adjustRightInd w:val="0"/>
        <w:snapToGrid w:val="0"/>
        <w:spacing w:line="440" w:lineRule="exact"/>
        <w:jc w:val="right"/>
        <w:rPr>
          <w:rFonts w:asciiTheme="minorEastAsia" w:hAnsiTheme="minorEastAsia" w:eastAsiaTheme="minorEastAsia" w:cstheme="minorEastAsia"/>
          <w:snapToGrid w:val="0"/>
          <w:color w:val="auto"/>
          <w:kern w:val="0"/>
          <w:sz w:val="21"/>
          <w:szCs w:val="21"/>
          <w:highlight w:val="none"/>
        </w:rPr>
      </w:pPr>
    </w:p>
    <w:p w14:paraId="4B027A7F">
      <w:pPr>
        <w:pStyle w:val="53"/>
        <w:wordWrap w:val="0"/>
        <w:adjustRightInd w:val="0"/>
        <w:snapToGrid w:val="0"/>
        <w:spacing w:line="440" w:lineRule="exact"/>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 xml:space="preserve">                                                 </w:t>
      </w:r>
      <w:r>
        <w:rPr>
          <w:rFonts w:hint="eastAsia"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rPr>
        <w:t>年</w:t>
      </w:r>
      <w:r>
        <w:rPr>
          <w:rFonts w:hint="eastAsia"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rPr>
        <w:t>月</w:t>
      </w:r>
      <w:r>
        <w:rPr>
          <w:rFonts w:hint="eastAsia"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rPr>
        <w:t>日</w:t>
      </w:r>
    </w:p>
    <w:p w14:paraId="57B27CFE">
      <w:pPr>
        <w:wordWrap w:val="0"/>
        <w:adjustRightInd w:val="0"/>
        <w:snapToGrid w:val="0"/>
        <w:spacing w:line="400" w:lineRule="exact"/>
        <w:ind w:firstLine="570"/>
        <w:rPr>
          <w:rFonts w:hint="default" w:asciiTheme="minorEastAsia" w:hAnsiTheme="minorEastAsia" w:eastAsiaTheme="minorEastAsia" w:cstheme="minorEastAsia"/>
          <w:snapToGrid w:val="0"/>
          <w:color w:val="auto"/>
          <w:kern w:val="0"/>
          <w:sz w:val="21"/>
          <w:szCs w:val="21"/>
          <w:highlight w:val="none"/>
        </w:rPr>
      </w:pPr>
    </w:p>
    <w:p w14:paraId="0ED42B50">
      <w:pPr>
        <w:wordWrap w:val="0"/>
        <w:adjustRightInd w:val="0"/>
        <w:snapToGrid w:val="0"/>
        <w:spacing w:line="400" w:lineRule="exact"/>
        <w:ind w:firstLine="570"/>
        <w:rPr>
          <w:rFonts w:hint="default" w:asciiTheme="minorEastAsia" w:hAnsiTheme="minorEastAsia" w:eastAsiaTheme="minorEastAsia" w:cstheme="minorEastAsia"/>
          <w:snapToGrid w:val="0"/>
          <w:color w:val="auto"/>
          <w:kern w:val="0"/>
          <w:sz w:val="21"/>
          <w:szCs w:val="21"/>
          <w:highlight w:val="none"/>
        </w:rPr>
      </w:pPr>
    </w:p>
    <w:p w14:paraId="3C9CCC5C">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说明：《项目设计负责人简历表》后应附拟派项目设计负责人以下资料：</w:t>
      </w:r>
    </w:p>
    <w:p w14:paraId="12939792">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1．身份证彩色扫描件；</w:t>
      </w:r>
    </w:p>
    <w:p w14:paraId="47570A7B">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2．注册证彩色扫描件；</w:t>
      </w:r>
    </w:p>
    <w:p w14:paraId="61729DBA">
      <w:pPr>
        <w:wordWrap w:val="0"/>
        <w:adjustRightInd w:val="0"/>
        <w:snapToGrid w:val="0"/>
        <w:spacing w:line="400" w:lineRule="exact"/>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snapToGrid w:val="0"/>
          <w:color w:val="auto"/>
          <w:kern w:val="0"/>
          <w:sz w:val="21"/>
          <w:szCs w:val="21"/>
          <w:highlight w:val="none"/>
        </w:rPr>
        <w:t>3．在本单位缴纳社保的证明（至少3个月，其中必须中202</w:t>
      </w:r>
      <w:r>
        <w:rPr>
          <w:rFonts w:hint="eastAsia" w:asciiTheme="minorEastAsia" w:hAnsiTheme="minorEastAsia" w:eastAsiaTheme="minorEastAsia" w:cstheme="minorEastAsia"/>
          <w:snapToGrid w:val="0"/>
          <w:color w:val="auto"/>
          <w:kern w:val="0"/>
          <w:sz w:val="21"/>
          <w:szCs w:val="21"/>
          <w:highlight w:val="none"/>
          <w:lang w:val="en-US" w:eastAsia="zh-CN"/>
        </w:rPr>
        <w:t>6</w:t>
      </w:r>
      <w:r>
        <w:rPr>
          <w:rFonts w:asciiTheme="minorEastAsia" w:hAnsiTheme="minorEastAsia" w:eastAsiaTheme="minorEastAsia" w:cstheme="minorEastAsia"/>
          <w:snapToGrid w:val="0"/>
          <w:color w:val="auto"/>
          <w:kern w:val="0"/>
          <w:sz w:val="21"/>
          <w:szCs w:val="21"/>
          <w:highlight w:val="none"/>
        </w:rPr>
        <w:t>年</w:t>
      </w:r>
      <w:r>
        <w:rPr>
          <w:rFonts w:hint="eastAsia" w:asciiTheme="minorEastAsia" w:hAnsiTheme="minorEastAsia" w:eastAsiaTheme="minorEastAsia" w:cstheme="minorEastAsia"/>
          <w:snapToGrid w:val="0"/>
          <w:color w:val="auto"/>
          <w:kern w:val="0"/>
          <w:sz w:val="21"/>
          <w:szCs w:val="21"/>
          <w:highlight w:val="none"/>
          <w:lang w:val="en-US" w:eastAsia="zh-CN"/>
        </w:rPr>
        <w:t>8</w:t>
      </w:r>
      <w:r>
        <w:rPr>
          <w:rFonts w:asciiTheme="minorEastAsia" w:hAnsiTheme="minorEastAsia" w:eastAsiaTheme="minorEastAsia" w:cstheme="minorEastAsia"/>
          <w:snapToGrid w:val="0"/>
          <w:color w:val="auto"/>
          <w:kern w:val="0"/>
          <w:sz w:val="21"/>
          <w:szCs w:val="21"/>
          <w:highlight w:val="none"/>
        </w:rPr>
        <w:t>月）彩色扫描件；拟派设计负责人负责人为退休返聘人员无法提供社保证明的，提供退休证和劳动合同彩色扫描件。</w:t>
      </w:r>
      <w:bookmarkEnd w:id="579"/>
      <w:bookmarkEnd w:id="580"/>
      <w:bookmarkEnd w:id="581"/>
      <w:bookmarkEnd w:id="582"/>
      <w:bookmarkEnd w:id="583"/>
    </w:p>
    <w:p w14:paraId="62A5DED0">
      <w:pPr>
        <w:wordWrap w:val="0"/>
        <w:adjustRightInd w:val="0"/>
        <w:snapToGrid w:val="0"/>
        <w:spacing w:line="400" w:lineRule="exact"/>
        <w:ind w:firstLine="420"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4．“进粤企业和人员诚信信息登记平台”个人信息情况截图。（适用于省外建筑企业）。</w:t>
      </w:r>
    </w:p>
    <w:p w14:paraId="03A30B5D">
      <w:pPr>
        <w:wordWrap w:val="0"/>
        <w:adjustRightInd w:val="0"/>
        <w:snapToGrid w:val="0"/>
        <w:spacing w:line="400" w:lineRule="exact"/>
        <w:ind w:firstLine="420"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bCs/>
          <w:color w:val="auto"/>
          <w:sz w:val="21"/>
          <w:szCs w:val="21"/>
          <w:highlight w:val="none"/>
        </w:rPr>
        <w:br w:type="page"/>
      </w:r>
      <w:bookmarkStart w:id="590" w:name="_Toc10080"/>
      <w:bookmarkStart w:id="591" w:name="_Toc8264"/>
    </w:p>
    <w:p w14:paraId="7EEA635E">
      <w:pPr>
        <w:wordWrap w:val="0"/>
        <w:adjustRightInd w:val="0"/>
        <w:snapToGrid w:val="0"/>
        <w:spacing w:line="400" w:lineRule="exact"/>
        <w:ind w:firstLine="420" w:firstLineChars="200"/>
        <w:rPr>
          <w:rFonts w:hint="default" w:asciiTheme="minorEastAsia" w:hAnsiTheme="minorEastAsia" w:eastAsiaTheme="minorEastAsia" w:cstheme="minorEastAsia"/>
          <w:snapToGrid w:val="0"/>
          <w:color w:val="auto"/>
          <w:kern w:val="0"/>
          <w:sz w:val="21"/>
          <w:szCs w:val="21"/>
          <w:highlight w:val="none"/>
        </w:rPr>
      </w:pPr>
    </w:p>
    <w:p w14:paraId="06AE2346">
      <w:pPr>
        <w:pStyle w:val="3"/>
        <w:spacing w:before="120"/>
        <w:rPr>
          <w:rFonts w:hint="default" w:asciiTheme="minorEastAsia" w:hAnsiTheme="minorEastAsia" w:eastAsiaTheme="minorEastAsia" w:cstheme="minorEastAsia"/>
          <w:bCs/>
          <w:snapToGrid w:val="0"/>
          <w:color w:val="auto"/>
          <w:sz w:val="21"/>
          <w:szCs w:val="21"/>
          <w:highlight w:val="none"/>
        </w:rPr>
      </w:pPr>
      <w:bookmarkStart w:id="592" w:name="_Toc3297"/>
      <w:r>
        <w:rPr>
          <w:rFonts w:asciiTheme="minorEastAsia" w:hAnsiTheme="minorEastAsia" w:eastAsiaTheme="minorEastAsia" w:cstheme="minorEastAsia"/>
          <w:b/>
          <w:snapToGrid w:val="0"/>
          <w:color w:val="auto"/>
          <w:sz w:val="21"/>
          <w:szCs w:val="21"/>
          <w:highlight w:val="none"/>
        </w:rPr>
        <w:t>格式十二 项目管理机构组成表</w:t>
      </w:r>
      <w:bookmarkEnd w:id="590"/>
      <w:bookmarkEnd w:id="592"/>
    </w:p>
    <w:p w14:paraId="4C14FDDC">
      <w:pPr>
        <w:wordWrap w:val="0"/>
        <w:adjustRightInd w:val="0"/>
        <w:snapToGrid w:val="0"/>
        <w:spacing w:before="260" w:after="260" w:line="440" w:lineRule="exact"/>
        <w:jc w:val="center"/>
        <w:rPr>
          <w:rFonts w:hint="default" w:asciiTheme="minorEastAsia" w:hAnsiTheme="minorEastAsia" w:eastAsiaTheme="minorEastAsia" w:cstheme="minorEastAsia"/>
          <w:b/>
          <w:snapToGrid w:val="0"/>
          <w:color w:val="auto"/>
          <w:kern w:val="0"/>
          <w:sz w:val="21"/>
          <w:szCs w:val="21"/>
          <w:highlight w:val="none"/>
        </w:rPr>
      </w:pPr>
      <w:r>
        <w:rPr>
          <w:rFonts w:asciiTheme="minorEastAsia" w:hAnsiTheme="minorEastAsia" w:eastAsiaTheme="minorEastAsia" w:cstheme="minorEastAsia"/>
          <w:b/>
          <w:snapToGrid w:val="0"/>
          <w:color w:val="auto"/>
          <w:kern w:val="0"/>
          <w:sz w:val="21"/>
          <w:szCs w:val="21"/>
          <w:highlight w:val="none"/>
        </w:rPr>
        <w:t>项目管理机构组成表</w:t>
      </w:r>
    </w:p>
    <w:tbl>
      <w:tblPr>
        <w:tblStyle w:val="24"/>
        <w:tblW w:w="8957"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44"/>
        <w:gridCol w:w="1424"/>
        <w:gridCol w:w="1358"/>
        <w:gridCol w:w="902"/>
        <w:gridCol w:w="819"/>
        <w:gridCol w:w="1541"/>
        <w:gridCol w:w="2169"/>
      </w:tblGrid>
      <w:tr w14:paraId="2CCFD6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10" w:hRule="atLeast"/>
        </w:trPr>
        <w:tc>
          <w:tcPr>
            <w:tcW w:w="744" w:type="dxa"/>
            <w:tcBorders>
              <w:top w:val="single" w:color="auto" w:sz="6" w:space="0"/>
              <w:left w:val="single" w:color="auto" w:sz="6" w:space="0"/>
              <w:bottom w:val="single" w:color="auto" w:sz="6" w:space="0"/>
              <w:right w:val="single" w:color="auto" w:sz="6" w:space="0"/>
            </w:tcBorders>
            <w:noWrap/>
            <w:vAlign w:val="center"/>
          </w:tcPr>
          <w:p w14:paraId="67439A82">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序号</w:t>
            </w:r>
          </w:p>
        </w:tc>
        <w:tc>
          <w:tcPr>
            <w:tcW w:w="1424" w:type="dxa"/>
            <w:tcBorders>
              <w:top w:val="single" w:color="auto" w:sz="6" w:space="0"/>
              <w:left w:val="single" w:color="auto" w:sz="6" w:space="0"/>
              <w:bottom w:val="single" w:color="auto" w:sz="6" w:space="0"/>
              <w:right w:val="single" w:color="auto" w:sz="6" w:space="0"/>
            </w:tcBorders>
            <w:noWrap/>
            <w:vAlign w:val="center"/>
          </w:tcPr>
          <w:p w14:paraId="45275309">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职务</w:t>
            </w:r>
          </w:p>
        </w:tc>
        <w:tc>
          <w:tcPr>
            <w:tcW w:w="1358" w:type="dxa"/>
            <w:tcBorders>
              <w:top w:val="single" w:color="auto" w:sz="6" w:space="0"/>
              <w:left w:val="single" w:color="auto" w:sz="6" w:space="0"/>
              <w:bottom w:val="single" w:color="auto" w:sz="6" w:space="0"/>
              <w:right w:val="single" w:color="auto" w:sz="6" w:space="0"/>
            </w:tcBorders>
            <w:noWrap/>
            <w:vAlign w:val="center"/>
          </w:tcPr>
          <w:p w14:paraId="7A736664">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姓名</w:t>
            </w:r>
          </w:p>
        </w:tc>
        <w:tc>
          <w:tcPr>
            <w:tcW w:w="902" w:type="dxa"/>
            <w:tcBorders>
              <w:top w:val="single" w:color="auto" w:sz="6" w:space="0"/>
              <w:left w:val="single" w:color="auto" w:sz="6" w:space="0"/>
              <w:bottom w:val="single" w:color="auto" w:sz="6" w:space="0"/>
              <w:right w:val="single" w:color="auto" w:sz="6" w:space="0"/>
            </w:tcBorders>
            <w:noWrap/>
            <w:vAlign w:val="center"/>
          </w:tcPr>
          <w:p w14:paraId="31F633BA">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性别</w:t>
            </w:r>
          </w:p>
        </w:tc>
        <w:tc>
          <w:tcPr>
            <w:tcW w:w="819" w:type="dxa"/>
            <w:tcBorders>
              <w:top w:val="single" w:color="auto" w:sz="6" w:space="0"/>
              <w:left w:val="single" w:color="auto" w:sz="6" w:space="0"/>
              <w:bottom w:val="single" w:color="auto" w:sz="6" w:space="0"/>
              <w:right w:val="single" w:color="auto" w:sz="6" w:space="0"/>
            </w:tcBorders>
            <w:noWrap/>
            <w:vAlign w:val="center"/>
          </w:tcPr>
          <w:p w14:paraId="0A4F6C9D">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年龄</w:t>
            </w:r>
          </w:p>
        </w:tc>
        <w:tc>
          <w:tcPr>
            <w:tcW w:w="1541" w:type="dxa"/>
            <w:tcBorders>
              <w:top w:val="single" w:color="auto" w:sz="6" w:space="0"/>
              <w:left w:val="single" w:color="auto" w:sz="6" w:space="0"/>
              <w:bottom w:val="single" w:color="auto" w:sz="6" w:space="0"/>
              <w:right w:val="single" w:color="auto" w:sz="6" w:space="0"/>
            </w:tcBorders>
            <w:noWrap/>
            <w:vAlign w:val="center"/>
          </w:tcPr>
          <w:p w14:paraId="30F70CD0">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职称</w:t>
            </w:r>
          </w:p>
        </w:tc>
        <w:tc>
          <w:tcPr>
            <w:tcW w:w="2169" w:type="dxa"/>
            <w:tcBorders>
              <w:top w:val="single" w:color="auto" w:sz="6" w:space="0"/>
              <w:left w:val="single" w:color="auto" w:sz="6" w:space="0"/>
              <w:bottom w:val="single" w:color="auto" w:sz="6" w:space="0"/>
              <w:right w:val="single" w:color="auto" w:sz="6" w:space="0"/>
            </w:tcBorders>
            <w:noWrap/>
            <w:vAlign w:val="center"/>
          </w:tcPr>
          <w:p w14:paraId="496955C3">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备注</w:t>
            </w:r>
          </w:p>
        </w:tc>
      </w:tr>
      <w:tr w14:paraId="452CF0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2" w:hRule="exact"/>
        </w:trPr>
        <w:tc>
          <w:tcPr>
            <w:tcW w:w="744" w:type="dxa"/>
            <w:tcBorders>
              <w:top w:val="single" w:color="auto" w:sz="6" w:space="0"/>
              <w:left w:val="single" w:color="auto" w:sz="6" w:space="0"/>
              <w:right w:val="single" w:color="auto" w:sz="6" w:space="0"/>
            </w:tcBorders>
            <w:noWrap/>
            <w:vAlign w:val="center"/>
          </w:tcPr>
          <w:p w14:paraId="063051DB">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w:t>
            </w:r>
          </w:p>
        </w:tc>
        <w:tc>
          <w:tcPr>
            <w:tcW w:w="1424" w:type="dxa"/>
            <w:tcBorders>
              <w:top w:val="single" w:color="auto" w:sz="6" w:space="0"/>
              <w:left w:val="single" w:color="auto" w:sz="6" w:space="0"/>
              <w:right w:val="single" w:color="auto" w:sz="6" w:space="0"/>
            </w:tcBorders>
            <w:noWrap/>
            <w:vAlign w:val="center"/>
          </w:tcPr>
          <w:p w14:paraId="1AADC450">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项目经理</w:t>
            </w:r>
          </w:p>
        </w:tc>
        <w:tc>
          <w:tcPr>
            <w:tcW w:w="1358" w:type="dxa"/>
            <w:tcBorders>
              <w:top w:val="single" w:color="auto" w:sz="6" w:space="0"/>
              <w:left w:val="single" w:color="auto" w:sz="6" w:space="0"/>
              <w:bottom w:val="single" w:color="auto" w:sz="6" w:space="0"/>
              <w:right w:val="single" w:color="auto" w:sz="6" w:space="0"/>
            </w:tcBorders>
            <w:noWrap/>
            <w:vAlign w:val="center"/>
          </w:tcPr>
          <w:p w14:paraId="05B9EF41">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7D653B2B">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2F82F0DA">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2EDCBC5D">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0FCB4295">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10F569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3" w:hRule="exact"/>
        </w:trPr>
        <w:tc>
          <w:tcPr>
            <w:tcW w:w="744" w:type="dxa"/>
            <w:tcBorders>
              <w:top w:val="single" w:color="auto" w:sz="6" w:space="0"/>
              <w:left w:val="single" w:color="auto" w:sz="6" w:space="0"/>
              <w:right w:val="single" w:color="auto" w:sz="6" w:space="0"/>
            </w:tcBorders>
            <w:noWrap/>
            <w:vAlign w:val="center"/>
          </w:tcPr>
          <w:p w14:paraId="4D708068">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2</w:t>
            </w:r>
          </w:p>
        </w:tc>
        <w:tc>
          <w:tcPr>
            <w:tcW w:w="1424" w:type="dxa"/>
            <w:tcBorders>
              <w:top w:val="single" w:color="auto" w:sz="6" w:space="0"/>
              <w:left w:val="single" w:color="auto" w:sz="6" w:space="0"/>
              <w:right w:val="single" w:color="auto" w:sz="6" w:space="0"/>
            </w:tcBorders>
            <w:noWrap/>
            <w:vAlign w:val="center"/>
          </w:tcPr>
          <w:p w14:paraId="09F53D07">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项目技术</w:t>
            </w:r>
          </w:p>
          <w:p w14:paraId="3E166E52">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负责人</w:t>
            </w:r>
          </w:p>
        </w:tc>
        <w:tc>
          <w:tcPr>
            <w:tcW w:w="1358" w:type="dxa"/>
            <w:tcBorders>
              <w:top w:val="single" w:color="auto" w:sz="6" w:space="0"/>
              <w:left w:val="single" w:color="auto" w:sz="6" w:space="0"/>
              <w:bottom w:val="single" w:color="auto" w:sz="6" w:space="0"/>
              <w:right w:val="single" w:color="auto" w:sz="6" w:space="0"/>
            </w:tcBorders>
            <w:noWrap/>
            <w:vAlign w:val="center"/>
          </w:tcPr>
          <w:p w14:paraId="438A6D26">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7146F948">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6AF44B4E">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4A330AC2">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451B774A">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57D45C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3" w:hRule="exact"/>
        </w:trPr>
        <w:tc>
          <w:tcPr>
            <w:tcW w:w="744" w:type="dxa"/>
            <w:tcBorders>
              <w:top w:val="single" w:color="auto" w:sz="6" w:space="0"/>
              <w:left w:val="single" w:color="auto" w:sz="6" w:space="0"/>
              <w:right w:val="single" w:color="auto" w:sz="6" w:space="0"/>
            </w:tcBorders>
            <w:noWrap/>
            <w:vAlign w:val="center"/>
          </w:tcPr>
          <w:p w14:paraId="4E33665C">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3</w:t>
            </w:r>
          </w:p>
        </w:tc>
        <w:tc>
          <w:tcPr>
            <w:tcW w:w="1424" w:type="dxa"/>
            <w:tcBorders>
              <w:top w:val="single" w:color="auto" w:sz="6" w:space="0"/>
              <w:left w:val="single" w:color="auto" w:sz="6" w:space="0"/>
              <w:right w:val="single" w:color="auto" w:sz="6" w:space="0"/>
            </w:tcBorders>
            <w:noWrap/>
            <w:vAlign w:val="center"/>
          </w:tcPr>
          <w:p w14:paraId="5F203293">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项目设计</w:t>
            </w:r>
          </w:p>
          <w:p w14:paraId="2D6FDD95">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负责人</w:t>
            </w:r>
          </w:p>
        </w:tc>
        <w:tc>
          <w:tcPr>
            <w:tcW w:w="1358" w:type="dxa"/>
            <w:tcBorders>
              <w:top w:val="single" w:color="auto" w:sz="6" w:space="0"/>
              <w:left w:val="single" w:color="auto" w:sz="6" w:space="0"/>
              <w:bottom w:val="single" w:color="auto" w:sz="6" w:space="0"/>
              <w:right w:val="single" w:color="auto" w:sz="6" w:space="0"/>
            </w:tcBorders>
            <w:noWrap/>
            <w:vAlign w:val="center"/>
          </w:tcPr>
          <w:p w14:paraId="225619C2">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266F6CBF">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59365EB8">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1246C618">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0F24B142">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327B72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right w:val="single" w:color="auto" w:sz="6" w:space="0"/>
            </w:tcBorders>
            <w:shd w:val="clear" w:color="auto" w:fill="auto"/>
            <w:noWrap/>
            <w:vAlign w:val="center"/>
          </w:tcPr>
          <w:p w14:paraId="4014C3BA">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4</w:t>
            </w:r>
          </w:p>
        </w:tc>
        <w:tc>
          <w:tcPr>
            <w:tcW w:w="1424" w:type="dxa"/>
            <w:tcBorders>
              <w:top w:val="single" w:color="auto" w:sz="6" w:space="0"/>
              <w:left w:val="single" w:color="auto" w:sz="6" w:space="0"/>
              <w:bottom w:val="single" w:color="auto" w:sz="6" w:space="0"/>
              <w:right w:val="single" w:color="auto" w:sz="6" w:space="0"/>
            </w:tcBorders>
            <w:noWrap/>
            <w:vAlign w:val="center"/>
          </w:tcPr>
          <w:p w14:paraId="6A7A2316">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专职安全员</w:t>
            </w:r>
          </w:p>
        </w:tc>
        <w:tc>
          <w:tcPr>
            <w:tcW w:w="1358" w:type="dxa"/>
            <w:tcBorders>
              <w:top w:val="single" w:color="auto" w:sz="6" w:space="0"/>
              <w:left w:val="single" w:color="auto" w:sz="6" w:space="0"/>
              <w:bottom w:val="single" w:color="auto" w:sz="6" w:space="0"/>
              <w:right w:val="single" w:color="auto" w:sz="6" w:space="0"/>
            </w:tcBorders>
            <w:noWrap/>
            <w:vAlign w:val="center"/>
          </w:tcPr>
          <w:p w14:paraId="61BBDE14">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1132B57A">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2812DABB">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5D8968BA">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193411C5">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5335F0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E9DFF8D">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5</w:t>
            </w:r>
          </w:p>
        </w:tc>
        <w:tc>
          <w:tcPr>
            <w:tcW w:w="1424" w:type="dxa"/>
            <w:tcBorders>
              <w:top w:val="single" w:color="auto" w:sz="6" w:space="0"/>
              <w:left w:val="single" w:color="auto" w:sz="6" w:space="0"/>
              <w:bottom w:val="single" w:color="auto" w:sz="6" w:space="0"/>
              <w:right w:val="single" w:color="auto" w:sz="6" w:space="0"/>
            </w:tcBorders>
            <w:noWrap/>
            <w:vAlign w:val="center"/>
          </w:tcPr>
          <w:p w14:paraId="1F7D2C35">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施工员</w:t>
            </w:r>
          </w:p>
        </w:tc>
        <w:tc>
          <w:tcPr>
            <w:tcW w:w="1358" w:type="dxa"/>
            <w:tcBorders>
              <w:top w:val="single" w:color="auto" w:sz="6" w:space="0"/>
              <w:left w:val="single" w:color="auto" w:sz="6" w:space="0"/>
              <w:bottom w:val="single" w:color="auto" w:sz="6" w:space="0"/>
              <w:right w:val="single" w:color="auto" w:sz="6" w:space="0"/>
            </w:tcBorders>
            <w:noWrap/>
            <w:vAlign w:val="center"/>
          </w:tcPr>
          <w:p w14:paraId="1D718826">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12A0034D">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69A00B4F">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2CACD695">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2728113F">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5AC35A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3152909">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6</w:t>
            </w:r>
          </w:p>
        </w:tc>
        <w:tc>
          <w:tcPr>
            <w:tcW w:w="1424" w:type="dxa"/>
            <w:tcBorders>
              <w:top w:val="single" w:color="auto" w:sz="6" w:space="0"/>
              <w:left w:val="single" w:color="auto" w:sz="6" w:space="0"/>
              <w:bottom w:val="single" w:color="auto" w:sz="6" w:space="0"/>
              <w:right w:val="single" w:color="auto" w:sz="6" w:space="0"/>
            </w:tcBorders>
            <w:noWrap/>
            <w:vAlign w:val="center"/>
          </w:tcPr>
          <w:p w14:paraId="745D9DAC">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质量员</w:t>
            </w:r>
          </w:p>
        </w:tc>
        <w:tc>
          <w:tcPr>
            <w:tcW w:w="1358" w:type="dxa"/>
            <w:tcBorders>
              <w:top w:val="single" w:color="auto" w:sz="6" w:space="0"/>
              <w:left w:val="single" w:color="auto" w:sz="6" w:space="0"/>
              <w:bottom w:val="single" w:color="auto" w:sz="6" w:space="0"/>
              <w:right w:val="single" w:color="auto" w:sz="6" w:space="0"/>
            </w:tcBorders>
            <w:noWrap/>
            <w:vAlign w:val="center"/>
          </w:tcPr>
          <w:p w14:paraId="214E2306">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6AC9E0D8">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70226C3B">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419F9ABF">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6E044668">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225E79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B7433DD">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7</w:t>
            </w:r>
          </w:p>
        </w:tc>
        <w:tc>
          <w:tcPr>
            <w:tcW w:w="1424" w:type="dxa"/>
            <w:tcBorders>
              <w:top w:val="single" w:color="auto" w:sz="6" w:space="0"/>
              <w:left w:val="single" w:color="auto" w:sz="6" w:space="0"/>
              <w:bottom w:val="single" w:color="auto" w:sz="6" w:space="0"/>
              <w:right w:val="single" w:color="auto" w:sz="6" w:space="0"/>
            </w:tcBorders>
            <w:noWrap/>
            <w:vAlign w:val="center"/>
          </w:tcPr>
          <w:p w14:paraId="2A40ACA2">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材料员</w:t>
            </w:r>
          </w:p>
        </w:tc>
        <w:tc>
          <w:tcPr>
            <w:tcW w:w="1358" w:type="dxa"/>
            <w:tcBorders>
              <w:top w:val="single" w:color="auto" w:sz="6" w:space="0"/>
              <w:left w:val="single" w:color="auto" w:sz="6" w:space="0"/>
              <w:bottom w:val="single" w:color="auto" w:sz="6" w:space="0"/>
              <w:right w:val="single" w:color="auto" w:sz="6" w:space="0"/>
            </w:tcBorders>
            <w:noWrap/>
            <w:vAlign w:val="center"/>
          </w:tcPr>
          <w:p w14:paraId="49A7CB02">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7BC2A2EF">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7540C111">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49CF4000">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56707AC9">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4BC298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97CD26C">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424" w:type="dxa"/>
            <w:tcBorders>
              <w:top w:val="single" w:color="auto" w:sz="6" w:space="0"/>
              <w:left w:val="single" w:color="auto" w:sz="6" w:space="0"/>
              <w:bottom w:val="single" w:color="auto" w:sz="6" w:space="0"/>
              <w:right w:val="single" w:color="auto" w:sz="6" w:space="0"/>
            </w:tcBorders>
            <w:noWrap/>
            <w:vAlign w:val="center"/>
          </w:tcPr>
          <w:p w14:paraId="21B66FD6">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资料员</w:t>
            </w:r>
          </w:p>
        </w:tc>
        <w:tc>
          <w:tcPr>
            <w:tcW w:w="1358" w:type="dxa"/>
            <w:tcBorders>
              <w:top w:val="single" w:color="auto" w:sz="6" w:space="0"/>
              <w:left w:val="single" w:color="auto" w:sz="6" w:space="0"/>
              <w:bottom w:val="single" w:color="auto" w:sz="6" w:space="0"/>
              <w:right w:val="single" w:color="auto" w:sz="6" w:space="0"/>
            </w:tcBorders>
            <w:noWrap/>
            <w:vAlign w:val="center"/>
          </w:tcPr>
          <w:p w14:paraId="4FD2ED81">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7A5CACCE">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21270608">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5818228C">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13325CB7">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tr w14:paraId="78361B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26" w:hRule="exact"/>
        </w:trPr>
        <w:tc>
          <w:tcPr>
            <w:tcW w:w="744" w:type="dxa"/>
            <w:tcBorders>
              <w:top w:val="single" w:color="auto" w:sz="6" w:space="0"/>
              <w:left w:val="single" w:color="auto" w:sz="6" w:space="0"/>
              <w:bottom w:val="single" w:color="auto" w:sz="6" w:space="0"/>
              <w:right w:val="single" w:color="auto" w:sz="6" w:space="0"/>
            </w:tcBorders>
            <w:noWrap/>
            <w:vAlign w:val="center"/>
          </w:tcPr>
          <w:p w14:paraId="14E5EEAF">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424" w:type="dxa"/>
            <w:tcBorders>
              <w:top w:val="single" w:color="auto" w:sz="6" w:space="0"/>
              <w:left w:val="single" w:color="auto" w:sz="6" w:space="0"/>
              <w:bottom w:val="single" w:color="auto" w:sz="6" w:space="0"/>
              <w:right w:val="single" w:color="auto" w:sz="6" w:space="0"/>
            </w:tcBorders>
            <w:noWrap/>
            <w:vAlign w:val="center"/>
          </w:tcPr>
          <w:p w14:paraId="1774BA1E">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w:t>
            </w:r>
          </w:p>
        </w:tc>
        <w:tc>
          <w:tcPr>
            <w:tcW w:w="1358" w:type="dxa"/>
            <w:tcBorders>
              <w:top w:val="single" w:color="auto" w:sz="6" w:space="0"/>
              <w:left w:val="single" w:color="auto" w:sz="6" w:space="0"/>
              <w:bottom w:val="single" w:color="auto" w:sz="6" w:space="0"/>
              <w:right w:val="single" w:color="auto" w:sz="6" w:space="0"/>
            </w:tcBorders>
            <w:noWrap/>
            <w:vAlign w:val="center"/>
          </w:tcPr>
          <w:p w14:paraId="4FC35801">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4810FC0E">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4FA6B21A">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683DFB07">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41C91517">
            <w:pPr>
              <w:wordWrap w:val="0"/>
              <w:adjustRightInd w:val="0"/>
              <w:snapToGrid w:val="0"/>
              <w:jc w:val="center"/>
              <w:rPr>
                <w:rFonts w:hint="default" w:asciiTheme="minorEastAsia" w:hAnsiTheme="minorEastAsia" w:eastAsiaTheme="minorEastAsia" w:cstheme="minorEastAsia"/>
                <w:snapToGrid w:val="0"/>
                <w:color w:val="auto"/>
                <w:kern w:val="0"/>
                <w:sz w:val="21"/>
                <w:szCs w:val="21"/>
                <w:highlight w:val="none"/>
              </w:rPr>
            </w:pPr>
          </w:p>
        </w:tc>
      </w:tr>
      <w:bookmarkEnd w:id="591"/>
    </w:tbl>
    <w:p w14:paraId="6DB0EE2A">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bookmarkStart w:id="593" w:name="_Toc25577"/>
      <w:bookmarkStart w:id="594" w:name="_Toc36804690"/>
      <w:bookmarkStart w:id="595" w:name="_Toc8648"/>
    </w:p>
    <w:p w14:paraId="04D053B7">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说明：</w:t>
      </w:r>
    </w:p>
    <w:p w14:paraId="2D93EDCC">
      <w:pPr>
        <w:wordWrap w:val="0"/>
        <w:adjustRightInd w:val="0"/>
        <w:snapToGrid w:val="0"/>
        <w:spacing w:line="400" w:lineRule="exact"/>
        <w:ind w:firstLine="420"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1．《项目管理机构组成表》后应附表中拟派人员（项目经理、项目技术负责人、项目设计负责人除外）以下资料：</w:t>
      </w:r>
    </w:p>
    <w:p w14:paraId="5B9AEA92">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（1）身份证证彩色扫描件；</w:t>
      </w:r>
    </w:p>
    <w:p w14:paraId="7C78E864">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（2）职称证或岗位证或培训证或执业证书彩色扫描件；</w:t>
      </w:r>
    </w:p>
    <w:p w14:paraId="20DBBF0A">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（3）专职安全员须提供C类安全生产考核合格证书证彩色扫描件或“广东省建筑施工企业管理人员安全生产考核系统”考核合格信息打印页；</w:t>
      </w:r>
    </w:p>
    <w:p w14:paraId="532A2265">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（4）在本单位缴纳社保的证明（至少3个月，其中必须中202</w:t>
      </w:r>
      <w:r>
        <w:rPr>
          <w:rFonts w:hint="eastAsia" w:asciiTheme="minorEastAsia" w:hAnsiTheme="minorEastAsia" w:eastAsiaTheme="minorEastAsia" w:cstheme="minorEastAsia"/>
          <w:snapToGrid w:val="0"/>
          <w:color w:val="auto"/>
          <w:kern w:val="0"/>
          <w:sz w:val="21"/>
          <w:szCs w:val="21"/>
          <w:highlight w:val="none"/>
          <w:lang w:val="en-US" w:eastAsia="zh-CN"/>
        </w:rPr>
        <w:t>6</w:t>
      </w:r>
      <w:r>
        <w:rPr>
          <w:rFonts w:asciiTheme="minorEastAsia" w:hAnsiTheme="minorEastAsia" w:eastAsiaTheme="minorEastAsia" w:cstheme="minorEastAsia"/>
          <w:snapToGrid w:val="0"/>
          <w:color w:val="auto"/>
          <w:kern w:val="0"/>
          <w:sz w:val="21"/>
          <w:szCs w:val="21"/>
          <w:highlight w:val="none"/>
        </w:rPr>
        <w:t>年</w:t>
      </w:r>
      <w:r>
        <w:rPr>
          <w:rFonts w:hint="eastAsia" w:asciiTheme="minorEastAsia" w:hAnsiTheme="minorEastAsia" w:eastAsiaTheme="minorEastAsia" w:cstheme="minorEastAsia"/>
          <w:snapToGrid w:val="0"/>
          <w:color w:val="auto"/>
          <w:kern w:val="0"/>
          <w:sz w:val="21"/>
          <w:szCs w:val="21"/>
          <w:highlight w:val="none"/>
          <w:lang w:val="en-US" w:eastAsia="zh-CN"/>
        </w:rPr>
        <w:t>8</w:t>
      </w:r>
      <w:r>
        <w:rPr>
          <w:rFonts w:asciiTheme="minorEastAsia" w:hAnsiTheme="minorEastAsia" w:eastAsiaTheme="minorEastAsia" w:cstheme="minorEastAsia"/>
          <w:snapToGrid w:val="0"/>
          <w:color w:val="auto"/>
          <w:kern w:val="0"/>
          <w:sz w:val="21"/>
          <w:szCs w:val="21"/>
          <w:highlight w:val="none"/>
        </w:rPr>
        <w:t>月）彩色扫描件；拟派人员为退休返聘人员无法提供社保证明的，提供退休证和劳动合同彩色扫描件；</w:t>
      </w:r>
    </w:p>
    <w:p w14:paraId="160ACC31">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（5）“进粤企业和人员诚信信息登记平台”个人信息情况截图。（适用于省外建筑企业）。</w:t>
      </w:r>
    </w:p>
    <w:p w14:paraId="5E15CE85">
      <w:pPr>
        <w:wordWrap w:val="0"/>
        <w:adjustRightInd w:val="0"/>
        <w:snapToGrid w:val="0"/>
        <w:spacing w:line="400" w:lineRule="exact"/>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2．联合体投标的，《项目管理机构组成表》应包括联合体成员单位参与项目管理机构的人员，并提供以上所需资料。</w:t>
      </w:r>
    </w:p>
    <w:p w14:paraId="256DEE1D">
      <w:pPr>
        <w:spacing w:before="136"/>
        <w:rPr>
          <w:rFonts w:hint="default" w:asciiTheme="minorEastAsia" w:hAnsiTheme="minorEastAsia" w:eastAsiaTheme="minorEastAsia" w:cstheme="minorEastAsia"/>
          <w:b/>
          <w:bCs/>
          <w:color w:val="auto"/>
          <w:szCs w:val="24"/>
          <w:highlight w:val="none"/>
        </w:rPr>
      </w:pPr>
    </w:p>
    <w:p w14:paraId="2F6841EE">
      <w:pPr>
        <w:rPr>
          <w:rFonts w:hint="default" w:asciiTheme="minorEastAsia" w:hAnsiTheme="minorEastAsia" w:eastAsiaTheme="minorEastAsia" w:cstheme="minorEastAsia"/>
          <w:b/>
          <w:bCs/>
          <w:color w:val="auto"/>
          <w:szCs w:val="24"/>
          <w:highlight w:val="none"/>
        </w:rPr>
      </w:pPr>
      <w:r>
        <w:rPr>
          <w:rFonts w:hint="default" w:asciiTheme="minorEastAsia" w:hAnsiTheme="minorEastAsia" w:eastAsiaTheme="minorEastAsia" w:cstheme="minorEastAsia"/>
          <w:b/>
          <w:bCs/>
          <w:color w:val="auto"/>
          <w:szCs w:val="24"/>
          <w:highlight w:val="none"/>
        </w:rPr>
        <w:br w:type="page"/>
      </w:r>
    </w:p>
    <w:p w14:paraId="31756240">
      <w:pPr>
        <w:pStyle w:val="5"/>
        <w:rPr>
          <w:rFonts w:hint="default"/>
          <w:color w:val="auto"/>
          <w:highlight w:val="none"/>
        </w:rPr>
      </w:pPr>
    </w:p>
    <w:p w14:paraId="26E80431">
      <w:pPr>
        <w:pStyle w:val="3"/>
        <w:spacing w:before="136"/>
        <w:rPr>
          <w:rFonts w:hint="default" w:asciiTheme="minorEastAsia" w:hAnsiTheme="minorEastAsia" w:eastAsiaTheme="minorEastAsia" w:cstheme="minorEastAsia"/>
          <w:b/>
          <w:bCs/>
          <w:color w:val="auto"/>
          <w:szCs w:val="24"/>
          <w:highlight w:val="none"/>
        </w:rPr>
      </w:pPr>
      <w:bookmarkStart w:id="596" w:name="_Toc193"/>
      <w:bookmarkStart w:id="597" w:name="_Toc30671"/>
      <w:r>
        <w:rPr>
          <w:rFonts w:asciiTheme="minorEastAsia" w:hAnsiTheme="minorEastAsia" w:eastAsiaTheme="minorEastAsia" w:cstheme="minorEastAsia"/>
          <w:b/>
          <w:bCs/>
          <w:color w:val="auto"/>
          <w:szCs w:val="24"/>
          <w:highlight w:val="none"/>
        </w:rPr>
        <w:t>格式十三 原件一览表</w:t>
      </w:r>
      <w:bookmarkEnd w:id="596"/>
      <w:bookmarkEnd w:id="597"/>
    </w:p>
    <w:p w14:paraId="66D9D07C">
      <w:pPr>
        <w:spacing w:line="336" w:lineRule="auto"/>
        <w:contextualSpacing/>
        <w:jc w:val="left"/>
        <w:rPr>
          <w:rFonts w:hint="default" w:asciiTheme="minorEastAsia" w:hAnsiTheme="minorEastAsia" w:eastAsiaTheme="minorEastAsia" w:cstheme="minorEastAsia"/>
          <w:color w:val="auto"/>
          <w:szCs w:val="24"/>
          <w:highlight w:val="none"/>
        </w:rPr>
      </w:pP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00"/>
        <w:gridCol w:w="1505"/>
        <w:gridCol w:w="623"/>
        <w:gridCol w:w="1369"/>
        <w:gridCol w:w="1623"/>
        <w:gridCol w:w="753"/>
        <w:gridCol w:w="957"/>
        <w:gridCol w:w="1570"/>
      </w:tblGrid>
      <w:tr w14:paraId="60387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jc w:val="center"/>
        </w:trPr>
        <w:tc>
          <w:tcPr>
            <w:tcW w:w="9100" w:type="dxa"/>
            <w:gridSpan w:val="8"/>
            <w:noWrap/>
            <w:tcMar>
              <w:left w:w="108" w:type="dxa"/>
              <w:right w:w="108" w:type="dxa"/>
            </w:tcMar>
            <w:vAlign w:val="center"/>
          </w:tcPr>
          <w:p w14:paraId="2DBEE9DA">
            <w:pPr>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b/>
                <w:color w:val="auto"/>
                <w:sz w:val="21"/>
                <w:szCs w:val="21"/>
                <w:highlight w:val="none"/>
              </w:rPr>
              <w:t>原件一览表</w:t>
            </w:r>
          </w:p>
        </w:tc>
      </w:tr>
      <w:tr w14:paraId="49AAB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jc w:val="center"/>
        </w:trPr>
        <w:tc>
          <w:tcPr>
            <w:tcW w:w="2828" w:type="dxa"/>
            <w:gridSpan w:val="3"/>
            <w:noWrap/>
            <w:tcMar>
              <w:left w:w="108" w:type="dxa"/>
              <w:right w:w="108" w:type="dxa"/>
            </w:tcMar>
            <w:vAlign w:val="center"/>
          </w:tcPr>
          <w:p w14:paraId="3FC3D31D">
            <w:pPr>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工程名称</w:t>
            </w:r>
          </w:p>
        </w:tc>
        <w:tc>
          <w:tcPr>
            <w:tcW w:w="6272" w:type="dxa"/>
            <w:gridSpan w:val="5"/>
            <w:noWrap/>
            <w:tcMar>
              <w:left w:w="108" w:type="dxa"/>
              <w:right w:w="108" w:type="dxa"/>
            </w:tcMar>
            <w:vAlign w:val="center"/>
          </w:tcPr>
          <w:p w14:paraId="7C0DB96E">
            <w:pPr>
              <w:jc w:val="center"/>
              <w:rPr>
                <w:rFonts w:hint="default" w:asciiTheme="minorEastAsia" w:hAnsiTheme="minorEastAsia" w:eastAsiaTheme="minorEastAsia" w:cstheme="minorEastAsia"/>
                <w:color w:val="auto"/>
                <w:sz w:val="21"/>
                <w:szCs w:val="21"/>
                <w:highlight w:val="none"/>
              </w:rPr>
            </w:pPr>
          </w:p>
        </w:tc>
      </w:tr>
      <w:tr w14:paraId="1F05E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jc w:val="center"/>
        </w:trPr>
        <w:tc>
          <w:tcPr>
            <w:tcW w:w="2828" w:type="dxa"/>
            <w:gridSpan w:val="3"/>
            <w:noWrap/>
            <w:tcMar>
              <w:left w:w="108" w:type="dxa"/>
              <w:right w:w="108" w:type="dxa"/>
            </w:tcMar>
            <w:vAlign w:val="center"/>
          </w:tcPr>
          <w:p w14:paraId="0EBB1ED1">
            <w:pPr>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投标人名称                （请务必填写单位全称）</w:t>
            </w:r>
          </w:p>
        </w:tc>
        <w:tc>
          <w:tcPr>
            <w:tcW w:w="6272" w:type="dxa"/>
            <w:gridSpan w:val="5"/>
            <w:noWrap/>
            <w:tcMar>
              <w:left w:w="108" w:type="dxa"/>
              <w:right w:w="108" w:type="dxa"/>
            </w:tcMar>
            <w:vAlign w:val="center"/>
          </w:tcPr>
          <w:p w14:paraId="3C931F5F">
            <w:pPr>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w:t>
            </w:r>
          </w:p>
        </w:tc>
      </w:tr>
      <w:tr w14:paraId="4D28B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jc w:val="center"/>
        </w:trPr>
        <w:tc>
          <w:tcPr>
            <w:tcW w:w="2828" w:type="dxa"/>
            <w:gridSpan w:val="3"/>
            <w:noWrap/>
            <w:tcMar>
              <w:left w:w="108" w:type="dxa"/>
              <w:right w:w="108" w:type="dxa"/>
            </w:tcMar>
            <w:vAlign w:val="center"/>
          </w:tcPr>
          <w:p w14:paraId="2F86D961">
            <w:pPr>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投标人法定代表人或其</w:t>
            </w:r>
          </w:p>
          <w:p w14:paraId="543CC689">
            <w:pPr>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委托代理人签名</w:t>
            </w:r>
          </w:p>
        </w:tc>
        <w:tc>
          <w:tcPr>
            <w:tcW w:w="2992" w:type="dxa"/>
            <w:gridSpan w:val="2"/>
            <w:noWrap/>
            <w:tcMar>
              <w:left w:w="108" w:type="dxa"/>
              <w:right w:w="108" w:type="dxa"/>
            </w:tcMar>
            <w:vAlign w:val="center"/>
          </w:tcPr>
          <w:p w14:paraId="01568343">
            <w:pPr>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w:t>
            </w:r>
          </w:p>
        </w:tc>
        <w:tc>
          <w:tcPr>
            <w:tcW w:w="753" w:type="dxa"/>
            <w:noWrap/>
            <w:tcMar>
              <w:left w:w="108" w:type="dxa"/>
              <w:right w:w="108" w:type="dxa"/>
            </w:tcMar>
            <w:vAlign w:val="center"/>
          </w:tcPr>
          <w:p w14:paraId="3ABDC4F8">
            <w:pPr>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手机号码</w:t>
            </w:r>
          </w:p>
        </w:tc>
        <w:tc>
          <w:tcPr>
            <w:tcW w:w="2527" w:type="dxa"/>
            <w:gridSpan w:val="2"/>
            <w:noWrap/>
            <w:tcMar>
              <w:left w:w="108" w:type="dxa"/>
              <w:right w:w="108" w:type="dxa"/>
            </w:tcMar>
            <w:vAlign w:val="center"/>
          </w:tcPr>
          <w:p w14:paraId="7A44998D">
            <w:pPr>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w:t>
            </w:r>
          </w:p>
        </w:tc>
      </w:tr>
      <w:tr w14:paraId="60DFB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jc w:val="center"/>
        </w:trPr>
        <w:tc>
          <w:tcPr>
            <w:tcW w:w="9100" w:type="dxa"/>
            <w:gridSpan w:val="8"/>
            <w:noWrap/>
            <w:tcMar>
              <w:left w:w="108" w:type="dxa"/>
              <w:right w:w="108" w:type="dxa"/>
            </w:tcMar>
            <w:vAlign w:val="center"/>
          </w:tcPr>
          <w:p w14:paraId="36E85AB4">
            <w:pPr>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递交的证明材料原件如下：</w:t>
            </w:r>
          </w:p>
        </w:tc>
      </w:tr>
      <w:tr w14:paraId="4C245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jc w:val="center"/>
        </w:trPr>
        <w:tc>
          <w:tcPr>
            <w:tcW w:w="700" w:type="dxa"/>
            <w:noWrap/>
            <w:tcMar>
              <w:left w:w="108" w:type="dxa"/>
              <w:right w:w="108" w:type="dxa"/>
            </w:tcMar>
            <w:vAlign w:val="center"/>
          </w:tcPr>
          <w:p w14:paraId="32381C71">
            <w:pPr>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序号</w:t>
            </w:r>
          </w:p>
        </w:tc>
        <w:tc>
          <w:tcPr>
            <w:tcW w:w="5120" w:type="dxa"/>
            <w:gridSpan w:val="4"/>
            <w:noWrap/>
            <w:tcMar>
              <w:left w:w="108" w:type="dxa"/>
              <w:right w:w="108" w:type="dxa"/>
            </w:tcMar>
            <w:vAlign w:val="center"/>
          </w:tcPr>
          <w:p w14:paraId="00EE93CE">
            <w:pPr>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证明材料原件名称</w:t>
            </w:r>
          </w:p>
        </w:tc>
        <w:tc>
          <w:tcPr>
            <w:tcW w:w="1710" w:type="dxa"/>
            <w:gridSpan w:val="2"/>
            <w:noWrap/>
            <w:tcMar>
              <w:left w:w="108" w:type="dxa"/>
              <w:right w:w="108" w:type="dxa"/>
            </w:tcMar>
            <w:vAlign w:val="center"/>
          </w:tcPr>
          <w:p w14:paraId="7414037C">
            <w:pPr>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单位</w:t>
            </w:r>
          </w:p>
        </w:tc>
        <w:tc>
          <w:tcPr>
            <w:tcW w:w="1570" w:type="dxa"/>
            <w:noWrap/>
            <w:tcMar>
              <w:left w:w="108" w:type="dxa"/>
              <w:right w:w="108" w:type="dxa"/>
            </w:tcMar>
            <w:vAlign w:val="center"/>
          </w:tcPr>
          <w:p w14:paraId="3E5A2726">
            <w:pPr>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数量</w:t>
            </w:r>
          </w:p>
        </w:tc>
      </w:tr>
      <w:tr w14:paraId="14756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jc w:val="center"/>
        </w:trPr>
        <w:tc>
          <w:tcPr>
            <w:tcW w:w="700" w:type="dxa"/>
            <w:noWrap/>
            <w:tcMar>
              <w:left w:w="108" w:type="dxa"/>
              <w:right w:w="108" w:type="dxa"/>
            </w:tcMar>
            <w:vAlign w:val="center"/>
          </w:tcPr>
          <w:p w14:paraId="7535D86B">
            <w:pPr>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1</w:t>
            </w:r>
          </w:p>
        </w:tc>
        <w:tc>
          <w:tcPr>
            <w:tcW w:w="5120" w:type="dxa"/>
            <w:gridSpan w:val="4"/>
            <w:noWrap/>
            <w:tcMar>
              <w:left w:w="108" w:type="dxa"/>
              <w:right w:w="108" w:type="dxa"/>
            </w:tcMar>
            <w:vAlign w:val="center"/>
          </w:tcPr>
          <w:p w14:paraId="428415E5">
            <w:pPr>
              <w:jc w:val="center"/>
              <w:rPr>
                <w:rFonts w:hint="default" w:asciiTheme="minorEastAsia" w:hAnsiTheme="minorEastAsia" w:eastAsiaTheme="minorEastAsia" w:cstheme="minorEastAsia"/>
                <w:color w:val="auto"/>
                <w:sz w:val="21"/>
                <w:szCs w:val="21"/>
                <w:highlight w:val="none"/>
              </w:rPr>
            </w:pPr>
          </w:p>
        </w:tc>
        <w:tc>
          <w:tcPr>
            <w:tcW w:w="1710" w:type="dxa"/>
            <w:gridSpan w:val="2"/>
            <w:noWrap/>
            <w:tcMar>
              <w:left w:w="108" w:type="dxa"/>
              <w:right w:w="108" w:type="dxa"/>
            </w:tcMar>
            <w:vAlign w:val="center"/>
          </w:tcPr>
          <w:p w14:paraId="7BC226D3">
            <w:pPr>
              <w:jc w:val="center"/>
              <w:rPr>
                <w:rFonts w:hint="default" w:asciiTheme="minorEastAsia" w:hAnsiTheme="minorEastAsia" w:eastAsiaTheme="minorEastAsia" w:cstheme="minorEastAsia"/>
                <w:color w:val="auto"/>
                <w:sz w:val="21"/>
                <w:szCs w:val="21"/>
                <w:highlight w:val="none"/>
              </w:rPr>
            </w:pPr>
          </w:p>
        </w:tc>
        <w:tc>
          <w:tcPr>
            <w:tcW w:w="1570" w:type="dxa"/>
            <w:noWrap/>
            <w:tcMar>
              <w:left w:w="108" w:type="dxa"/>
              <w:right w:w="108" w:type="dxa"/>
            </w:tcMar>
            <w:vAlign w:val="center"/>
          </w:tcPr>
          <w:p w14:paraId="7113EA92">
            <w:pPr>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w:t>
            </w:r>
          </w:p>
        </w:tc>
      </w:tr>
      <w:tr w14:paraId="67716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jc w:val="center"/>
        </w:trPr>
        <w:tc>
          <w:tcPr>
            <w:tcW w:w="700" w:type="dxa"/>
            <w:noWrap/>
            <w:tcMar>
              <w:left w:w="108" w:type="dxa"/>
              <w:right w:w="108" w:type="dxa"/>
            </w:tcMar>
            <w:vAlign w:val="center"/>
          </w:tcPr>
          <w:p w14:paraId="33E339DB">
            <w:pPr>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2</w:t>
            </w:r>
          </w:p>
        </w:tc>
        <w:tc>
          <w:tcPr>
            <w:tcW w:w="5120" w:type="dxa"/>
            <w:gridSpan w:val="4"/>
            <w:noWrap/>
            <w:tcMar>
              <w:left w:w="108" w:type="dxa"/>
              <w:right w:w="108" w:type="dxa"/>
            </w:tcMar>
            <w:vAlign w:val="center"/>
          </w:tcPr>
          <w:p w14:paraId="2F1C52A4">
            <w:pPr>
              <w:jc w:val="center"/>
              <w:rPr>
                <w:rFonts w:hint="default" w:asciiTheme="minorEastAsia" w:hAnsiTheme="minorEastAsia" w:eastAsiaTheme="minorEastAsia" w:cstheme="minorEastAsia"/>
                <w:color w:val="auto"/>
                <w:sz w:val="21"/>
                <w:szCs w:val="21"/>
                <w:highlight w:val="none"/>
              </w:rPr>
            </w:pPr>
          </w:p>
        </w:tc>
        <w:tc>
          <w:tcPr>
            <w:tcW w:w="1710" w:type="dxa"/>
            <w:gridSpan w:val="2"/>
            <w:noWrap/>
            <w:tcMar>
              <w:left w:w="108" w:type="dxa"/>
              <w:right w:w="108" w:type="dxa"/>
            </w:tcMar>
            <w:vAlign w:val="center"/>
          </w:tcPr>
          <w:p w14:paraId="1F98A8B6">
            <w:pPr>
              <w:jc w:val="center"/>
              <w:rPr>
                <w:rFonts w:hint="default" w:asciiTheme="minorEastAsia" w:hAnsiTheme="minorEastAsia" w:eastAsiaTheme="minorEastAsia" w:cstheme="minorEastAsia"/>
                <w:color w:val="auto"/>
                <w:sz w:val="21"/>
                <w:szCs w:val="21"/>
                <w:highlight w:val="none"/>
              </w:rPr>
            </w:pPr>
          </w:p>
        </w:tc>
        <w:tc>
          <w:tcPr>
            <w:tcW w:w="1570" w:type="dxa"/>
            <w:noWrap/>
            <w:tcMar>
              <w:left w:w="108" w:type="dxa"/>
              <w:right w:w="108" w:type="dxa"/>
            </w:tcMar>
            <w:vAlign w:val="center"/>
          </w:tcPr>
          <w:p w14:paraId="43C5EC16">
            <w:pPr>
              <w:jc w:val="center"/>
              <w:rPr>
                <w:rFonts w:hint="default" w:asciiTheme="minorEastAsia" w:hAnsiTheme="minorEastAsia" w:eastAsiaTheme="minorEastAsia" w:cstheme="minorEastAsia"/>
                <w:color w:val="auto"/>
                <w:sz w:val="21"/>
                <w:szCs w:val="21"/>
                <w:highlight w:val="none"/>
              </w:rPr>
            </w:pPr>
          </w:p>
        </w:tc>
      </w:tr>
      <w:tr w14:paraId="2EAF0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jc w:val="center"/>
        </w:trPr>
        <w:tc>
          <w:tcPr>
            <w:tcW w:w="700" w:type="dxa"/>
            <w:noWrap/>
            <w:tcMar>
              <w:left w:w="108" w:type="dxa"/>
              <w:right w:w="108" w:type="dxa"/>
            </w:tcMar>
            <w:vAlign w:val="center"/>
          </w:tcPr>
          <w:p w14:paraId="792109E4">
            <w:pPr>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3</w:t>
            </w:r>
          </w:p>
        </w:tc>
        <w:tc>
          <w:tcPr>
            <w:tcW w:w="5120" w:type="dxa"/>
            <w:gridSpan w:val="4"/>
            <w:noWrap/>
            <w:tcMar>
              <w:left w:w="108" w:type="dxa"/>
              <w:right w:w="108" w:type="dxa"/>
            </w:tcMar>
            <w:vAlign w:val="center"/>
          </w:tcPr>
          <w:p w14:paraId="5FB391E9">
            <w:pPr>
              <w:jc w:val="center"/>
              <w:rPr>
                <w:rFonts w:hint="default" w:asciiTheme="minorEastAsia" w:hAnsiTheme="minorEastAsia" w:eastAsiaTheme="minorEastAsia" w:cstheme="minorEastAsia"/>
                <w:color w:val="auto"/>
                <w:sz w:val="21"/>
                <w:szCs w:val="21"/>
                <w:highlight w:val="none"/>
              </w:rPr>
            </w:pPr>
          </w:p>
        </w:tc>
        <w:tc>
          <w:tcPr>
            <w:tcW w:w="1710" w:type="dxa"/>
            <w:gridSpan w:val="2"/>
            <w:noWrap/>
            <w:tcMar>
              <w:left w:w="108" w:type="dxa"/>
              <w:right w:w="108" w:type="dxa"/>
            </w:tcMar>
            <w:vAlign w:val="center"/>
          </w:tcPr>
          <w:p w14:paraId="313BD066">
            <w:pPr>
              <w:jc w:val="center"/>
              <w:rPr>
                <w:rFonts w:hint="default" w:asciiTheme="minorEastAsia" w:hAnsiTheme="minorEastAsia" w:eastAsiaTheme="minorEastAsia" w:cstheme="minorEastAsia"/>
                <w:color w:val="auto"/>
                <w:sz w:val="21"/>
                <w:szCs w:val="21"/>
                <w:highlight w:val="none"/>
              </w:rPr>
            </w:pPr>
          </w:p>
        </w:tc>
        <w:tc>
          <w:tcPr>
            <w:tcW w:w="1570" w:type="dxa"/>
            <w:noWrap/>
            <w:tcMar>
              <w:left w:w="108" w:type="dxa"/>
              <w:right w:w="108" w:type="dxa"/>
            </w:tcMar>
            <w:vAlign w:val="center"/>
          </w:tcPr>
          <w:p w14:paraId="20A3735A">
            <w:pPr>
              <w:jc w:val="center"/>
              <w:rPr>
                <w:rFonts w:hint="default" w:asciiTheme="minorEastAsia" w:hAnsiTheme="minorEastAsia" w:eastAsiaTheme="minorEastAsia" w:cstheme="minorEastAsia"/>
                <w:color w:val="auto"/>
                <w:sz w:val="21"/>
                <w:szCs w:val="21"/>
                <w:highlight w:val="none"/>
              </w:rPr>
            </w:pPr>
          </w:p>
        </w:tc>
      </w:tr>
      <w:tr w14:paraId="53C73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jc w:val="center"/>
        </w:trPr>
        <w:tc>
          <w:tcPr>
            <w:tcW w:w="700" w:type="dxa"/>
            <w:noWrap/>
            <w:tcMar>
              <w:left w:w="108" w:type="dxa"/>
              <w:right w:w="108" w:type="dxa"/>
            </w:tcMar>
            <w:vAlign w:val="center"/>
          </w:tcPr>
          <w:p w14:paraId="7471570E">
            <w:pPr>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w:t>
            </w:r>
          </w:p>
        </w:tc>
        <w:tc>
          <w:tcPr>
            <w:tcW w:w="5120" w:type="dxa"/>
            <w:gridSpan w:val="4"/>
            <w:noWrap/>
            <w:tcMar>
              <w:left w:w="108" w:type="dxa"/>
              <w:right w:w="108" w:type="dxa"/>
            </w:tcMar>
            <w:vAlign w:val="center"/>
          </w:tcPr>
          <w:p w14:paraId="5CF51B3D">
            <w:pPr>
              <w:jc w:val="center"/>
              <w:rPr>
                <w:rFonts w:hint="default" w:asciiTheme="minorEastAsia" w:hAnsiTheme="minorEastAsia" w:eastAsiaTheme="minorEastAsia" w:cstheme="minorEastAsia"/>
                <w:color w:val="auto"/>
                <w:sz w:val="21"/>
                <w:szCs w:val="21"/>
                <w:highlight w:val="none"/>
              </w:rPr>
            </w:pPr>
          </w:p>
        </w:tc>
        <w:tc>
          <w:tcPr>
            <w:tcW w:w="1710" w:type="dxa"/>
            <w:gridSpan w:val="2"/>
            <w:noWrap/>
            <w:tcMar>
              <w:left w:w="108" w:type="dxa"/>
              <w:right w:w="108" w:type="dxa"/>
            </w:tcMar>
            <w:vAlign w:val="center"/>
          </w:tcPr>
          <w:p w14:paraId="3A655DEF">
            <w:pPr>
              <w:jc w:val="center"/>
              <w:rPr>
                <w:rFonts w:hint="default" w:asciiTheme="minorEastAsia" w:hAnsiTheme="minorEastAsia" w:eastAsiaTheme="minorEastAsia" w:cstheme="minorEastAsia"/>
                <w:color w:val="auto"/>
                <w:sz w:val="21"/>
                <w:szCs w:val="21"/>
                <w:highlight w:val="none"/>
              </w:rPr>
            </w:pPr>
          </w:p>
        </w:tc>
        <w:tc>
          <w:tcPr>
            <w:tcW w:w="1570" w:type="dxa"/>
            <w:noWrap/>
            <w:tcMar>
              <w:left w:w="108" w:type="dxa"/>
              <w:right w:w="108" w:type="dxa"/>
            </w:tcMar>
            <w:vAlign w:val="center"/>
          </w:tcPr>
          <w:p w14:paraId="5FAB6CEB">
            <w:pPr>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w:t>
            </w:r>
          </w:p>
        </w:tc>
      </w:tr>
      <w:tr w14:paraId="05FC7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928" w:hRule="atLeast"/>
          <w:jc w:val="center"/>
        </w:trPr>
        <w:tc>
          <w:tcPr>
            <w:tcW w:w="700" w:type="dxa"/>
            <w:noWrap/>
            <w:tcMar>
              <w:left w:w="108" w:type="dxa"/>
              <w:right w:w="108" w:type="dxa"/>
            </w:tcMar>
            <w:vAlign w:val="center"/>
          </w:tcPr>
          <w:p w14:paraId="760885CB">
            <w:pPr>
              <w:ind w:left="8" w:hanging="94"/>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注意：</w:t>
            </w:r>
          </w:p>
        </w:tc>
        <w:tc>
          <w:tcPr>
            <w:tcW w:w="8400" w:type="dxa"/>
            <w:gridSpan w:val="7"/>
            <w:noWrap/>
            <w:tcMar>
              <w:left w:w="108" w:type="dxa"/>
              <w:right w:w="108" w:type="dxa"/>
            </w:tcMar>
            <w:vAlign w:val="center"/>
          </w:tcPr>
          <w:p w14:paraId="7AEDA0AC">
            <w:pPr>
              <w:ind w:firstLine="48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w:t>
            </w:r>
          </w:p>
        </w:tc>
      </w:tr>
      <w:tr w14:paraId="126AD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15" w:hRule="atLeast"/>
          <w:jc w:val="center"/>
        </w:trPr>
        <w:tc>
          <w:tcPr>
            <w:tcW w:w="2205" w:type="dxa"/>
            <w:gridSpan w:val="2"/>
            <w:noWrap/>
            <w:tcMar>
              <w:left w:w="108" w:type="dxa"/>
              <w:right w:w="108" w:type="dxa"/>
            </w:tcMar>
            <w:vAlign w:val="center"/>
          </w:tcPr>
          <w:p w14:paraId="50AB664A">
            <w:pPr>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接收原件经办人（招标代理）：</w:t>
            </w:r>
          </w:p>
        </w:tc>
        <w:tc>
          <w:tcPr>
            <w:tcW w:w="1992" w:type="dxa"/>
            <w:gridSpan w:val="2"/>
            <w:noWrap/>
            <w:tcMar>
              <w:left w:w="108" w:type="dxa"/>
              <w:right w:w="108" w:type="dxa"/>
            </w:tcMar>
            <w:vAlign w:val="center"/>
          </w:tcPr>
          <w:p w14:paraId="60C6BCF6">
            <w:pPr>
              <w:jc w:val="center"/>
              <w:rPr>
                <w:rFonts w:hint="default" w:asciiTheme="minorEastAsia" w:hAnsiTheme="minorEastAsia" w:eastAsiaTheme="minorEastAsia" w:cstheme="minorEastAsia"/>
                <w:color w:val="auto"/>
                <w:sz w:val="21"/>
                <w:szCs w:val="21"/>
                <w:highlight w:val="none"/>
              </w:rPr>
            </w:pPr>
          </w:p>
        </w:tc>
        <w:tc>
          <w:tcPr>
            <w:tcW w:w="1623" w:type="dxa"/>
            <w:noWrap/>
            <w:tcMar>
              <w:left w:w="108" w:type="dxa"/>
              <w:right w:w="108" w:type="dxa"/>
            </w:tcMar>
            <w:vAlign w:val="center"/>
          </w:tcPr>
          <w:p w14:paraId="72DFE711">
            <w:pPr>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接收时间：</w:t>
            </w:r>
          </w:p>
        </w:tc>
        <w:tc>
          <w:tcPr>
            <w:tcW w:w="3280" w:type="dxa"/>
            <w:gridSpan w:val="3"/>
            <w:noWrap/>
            <w:tcMar>
              <w:left w:w="108" w:type="dxa"/>
              <w:right w:w="108" w:type="dxa"/>
            </w:tcMar>
            <w:vAlign w:val="center"/>
          </w:tcPr>
          <w:p w14:paraId="776F1A7A">
            <w:pPr>
              <w:ind w:firstLine="420" w:firstLineChars="200"/>
              <w:jc w:val="left"/>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年   月   日   时  分</w:t>
            </w:r>
          </w:p>
        </w:tc>
      </w:tr>
      <w:tr w14:paraId="0195A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89" w:hRule="atLeast"/>
          <w:jc w:val="center"/>
        </w:trPr>
        <w:tc>
          <w:tcPr>
            <w:tcW w:w="2205" w:type="dxa"/>
            <w:gridSpan w:val="2"/>
            <w:noWrap/>
            <w:tcMar>
              <w:left w:w="108" w:type="dxa"/>
              <w:right w:w="108" w:type="dxa"/>
            </w:tcMar>
            <w:vAlign w:val="center"/>
          </w:tcPr>
          <w:p w14:paraId="5FB6F448">
            <w:pPr>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退还原件接收人（投标人）：</w:t>
            </w:r>
          </w:p>
        </w:tc>
        <w:tc>
          <w:tcPr>
            <w:tcW w:w="1992" w:type="dxa"/>
            <w:gridSpan w:val="2"/>
            <w:noWrap/>
            <w:tcMar>
              <w:left w:w="108" w:type="dxa"/>
              <w:right w:w="108" w:type="dxa"/>
            </w:tcMar>
            <w:vAlign w:val="center"/>
          </w:tcPr>
          <w:p w14:paraId="5884AB75">
            <w:pPr>
              <w:jc w:val="center"/>
              <w:rPr>
                <w:rFonts w:hint="default" w:asciiTheme="minorEastAsia" w:hAnsiTheme="minorEastAsia" w:eastAsiaTheme="minorEastAsia" w:cstheme="minorEastAsia"/>
                <w:color w:val="auto"/>
                <w:sz w:val="21"/>
                <w:szCs w:val="21"/>
                <w:highlight w:val="none"/>
              </w:rPr>
            </w:pPr>
          </w:p>
        </w:tc>
        <w:tc>
          <w:tcPr>
            <w:tcW w:w="1623" w:type="dxa"/>
            <w:noWrap/>
            <w:tcMar>
              <w:left w:w="108" w:type="dxa"/>
              <w:right w:w="108" w:type="dxa"/>
            </w:tcMar>
            <w:vAlign w:val="center"/>
          </w:tcPr>
          <w:p w14:paraId="611F9751">
            <w:pPr>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退还时间：</w:t>
            </w:r>
          </w:p>
        </w:tc>
        <w:tc>
          <w:tcPr>
            <w:tcW w:w="3280" w:type="dxa"/>
            <w:gridSpan w:val="3"/>
            <w:noWrap/>
            <w:tcMar>
              <w:left w:w="108" w:type="dxa"/>
              <w:right w:w="108" w:type="dxa"/>
            </w:tcMar>
            <w:vAlign w:val="center"/>
          </w:tcPr>
          <w:p w14:paraId="1F1DC91F">
            <w:pPr>
              <w:ind w:firstLine="420" w:firstLineChars="200"/>
              <w:jc w:val="left"/>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年   月   日   时  分</w:t>
            </w:r>
          </w:p>
        </w:tc>
      </w:tr>
    </w:tbl>
    <w:p w14:paraId="267AA1EE">
      <w:pPr>
        <w:snapToGrid w:val="0"/>
        <w:spacing w:line="440" w:lineRule="exact"/>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b/>
          <w:snapToGrid w:val="0"/>
          <w:color w:val="auto"/>
          <w:highlight w:val="none"/>
        </w:rPr>
        <w:br w:type="page"/>
      </w:r>
    </w:p>
    <w:p w14:paraId="09B15C70">
      <w:pPr>
        <w:pStyle w:val="84"/>
        <w:snapToGrid w:val="0"/>
        <w:spacing w:line="440" w:lineRule="exact"/>
        <w:outlineLvl w:val="1"/>
        <w:rPr>
          <w:rStyle w:val="56"/>
          <w:rFonts w:hint="eastAsia" w:ascii="Times New Roman" w:hAnsi="宋体" w:eastAsia="宋体" w:cs="Times New Roman"/>
          <w:b/>
          <w:bCs/>
          <w:color w:val="auto"/>
          <w:sz w:val="21"/>
          <w:szCs w:val="21"/>
          <w:highlight w:val="none"/>
          <w:lang w:val="en-US" w:eastAsia="zh-CN"/>
        </w:rPr>
      </w:pPr>
      <w:bookmarkStart w:id="598" w:name="_Toc26911"/>
      <w:bookmarkStart w:id="599" w:name="_Toc26323"/>
      <w:r>
        <w:rPr>
          <w:rStyle w:val="56"/>
          <w:rFonts w:hint="eastAsia" w:ascii="Times New Roman" w:hAnsi="宋体" w:eastAsia="宋体" w:cs="Times New Roman"/>
          <w:b/>
          <w:bCs/>
          <w:color w:val="auto"/>
          <w:sz w:val="21"/>
          <w:szCs w:val="21"/>
          <w:highlight w:val="none"/>
          <w:lang w:eastAsia="zh-CN"/>
        </w:rPr>
        <w:t>格式十</w:t>
      </w:r>
      <w:r>
        <w:rPr>
          <w:rStyle w:val="56"/>
          <w:rFonts w:hint="eastAsia" w:ascii="Times New Roman" w:hAnsi="宋体" w:cs="Times New Roman"/>
          <w:b/>
          <w:bCs/>
          <w:color w:val="auto"/>
          <w:sz w:val="21"/>
          <w:szCs w:val="21"/>
          <w:highlight w:val="none"/>
          <w:lang w:val="en-US" w:eastAsia="zh-CN"/>
        </w:rPr>
        <w:t xml:space="preserve">四  </w:t>
      </w:r>
      <w:r>
        <w:rPr>
          <w:rStyle w:val="56"/>
          <w:rFonts w:hint="eastAsia" w:ascii="Times New Roman" w:hAnsi="宋体" w:eastAsia="宋体" w:cs="Times New Roman"/>
          <w:b/>
          <w:bCs/>
          <w:color w:val="auto"/>
          <w:sz w:val="21"/>
          <w:szCs w:val="21"/>
          <w:highlight w:val="none"/>
          <w:lang w:val="en-US" w:eastAsia="zh-CN"/>
        </w:rPr>
        <w:t>定标因素评审资料</w:t>
      </w:r>
      <w:bookmarkEnd w:id="598"/>
      <w:bookmarkEnd w:id="599"/>
    </w:p>
    <w:p w14:paraId="1FBABC69">
      <w:pPr>
        <w:spacing w:line="50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24"/>
          <w:szCs w:val="24"/>
          <w:highlight w:val="none"/>
          <w:lang w:eastAsia="zh-CN"/>
        </w:rPr>
        <w:t>定标因素评审资料</w:t>
      </w:r>
    </w:p>
    <w:p w14:paraId="6109F8B3">
      <w:pPr>
        <w:jc w:val="left"/>
        <w:rPr>
          <w:rFonts w:hint="eastAsia" w:ascii="宋体" w:hAnsi="宋体" w:eastAsia="宋体" w:cs="宋体"/>
          <w:color w:val="auto"/>
          <w:sz w:val="24"/>
          <w:highlight w:val="none"/>
          <w:lang w:eastAsia="zh-CN"/>
        </w:rPr>
      </w:pPr>
    </w:p>
    <w:p w14:paraId="44554EC7">
      <w:pPr>
        <w:wordWrap w:val="0"/>
        <w:adjustRightInd w:val="0"/>
        <w:snapToGrid w:val="0"/>
        <w:spacing w:line="400" w:lineRule="exact"/>
        <w:jc w:val="center"/>
        <w:rPr>
          <w:rFonts w:hint="default" w:asciiTheme="minorEastAsia" w:hAnsiTheme="minorEastAsia" w:eastAsiaTheme="minorEastAsia" w:cstheme="minorEastAsia"/>
          <w:color w:val="auto"/>
          <w:szCs w:val="24"/>
          <w:highlight w:val="none"/>
        </w:rPr>
      </w:pPr>
      <w:r>
        <w:rPr>
          <w:rFonts w:hint="eastAsia" w:ascii="宋体" w:hAnsi="宋体" w:eastAsia="宋体" w:cs="宋体"/>
          <w:b/>
          <w:bCs/>
          <w:color w:val="auto"/>
          <w:sz w:val="21"/>
          <w:szCs w:val="21"/>
          <w:highlight w:val="none"/>
          <w:lang w:val="en-US" w:eastAsia="zh-CN"/>
        </w:rPr>
        <w:t>投标人根据“</w:t>
      </w:r>
      <w:r>
        <w:rPr>
          <w:rFonts w:hint="eastAsia" w:ascii="宋体" w:hAnsi="宋体" w:eastAsia="宋体" w:cs="宋体"/>
          <w:b/>
          <w:bCs/>
          <w:color w:val="auto"/>
          <w:sz w:val="21"/>
          <w:szCs w:val="21"/>
          <w:highlight w:val="none"/>
        </w:rPr>
        <w:t>第</w:t>
      </w:r>
      <w:r>
        <w:rPr>
          <w:rFonts w:hint="eastAsia" w:ascii="宋体" w:hAnsi="宋体" w:eastAsia="宋体" w:cs="宋体"/>
          <w:b/>
          <w:bCs/>
          <w:color w:val="auto"/>
          <w:sz w:val="21"/>
          <w:szCs w:val="21"/>
          <w:highlight w:val="none"/>
          <w:lang w:val="en-US" w:eastAsia="zh-CN"/>
        </w:rPr>
        <w:t>一</w:t>
      </w:r>
      <w:r>
        <w:rPr>
          <w:rFonts w:hint="eastAsia" w:ascii="宋体" w:hAnsi="宋体" w:eastAsia="宋体" w:cs="宋体"/>
          <w:b/>
          <w:bCs/>
          <w:color w:val="auto"/>
          <w:sz w:val="21"/>
          <w:szCs w:val="21"/>
          <w:highlight w:val="none"/>
        </w:rPr>
        <w:t>章 第</w:t>
      </w:r>
      <w:r>
        <w:rPr>
          <w:rFonts w:hint="eastAsia" w:ascii="宋体" w:hAnsi="宋体" w:eastAsia="宋体" w:cs="宋体"/>
          <w:b/>
          <w:bCs/>
          <w:color w:val="auto"/>
          <w:sz w:val="21"/>
          <w:szCs w:val="21"/>
          <w:highlight w:val="none"/>
          <w:lang w:val="en-US" w:eastAsia="zh-CN"/>
        </w:rPr>
        <w:t>五</w:t>
      </w:r>
      <w:r>
        <w:rPr>
          <w:rFonts w:hint="eastAsia" w:ascii="宋体" w:hAnsi="宋体" w:eastAsia="宋体" w:cs="宋体"/>
          <w:b/>
          <w:bCs/>
          <w:color w:val="auto"/>
          <w:sz w:val="21"/>
          <w:szCs w:val="21"/>
          <w:highlight w:val="none"/>
        </w:rPr>
        <w:t>节 定标</w:t>
      </w:r>
      <w:r>
        <w:rPr>
          <w:rFonts w:hint="eastAsia" w:ascii="宋体" w:hAnsi="宋体" w:eastAsia="宋体" w:cs="宋体"/>
          <w:b/>
          <w:bCs/>
          <w:color w:val="auto"/>
          <w:sz w:val="21"/>
          <w:szCs w:val="21"/>
          <w:highlight w:val="none"/>
          <w:lang w:eastAsia="zh-CN"/>
        </w:rPr>
        <w:t>规定</w:t>
      </w:r>
      <w:r>
        <w:rPr>
          <w:rFonts w:hint="eastAsia" w:ascii="宋体" w:hAnsi="宋体" w:eastAsia="宋体" w:cs="宋体"/>
          <w:b/>
          <w:bCs/>
          <w:color w:val="auto"/>
          <w:sz w:val="21"/>
          <w:szCs w:val="21"/>
          <w:highlight w:val="none"/>
          <w:lang w:val="en-US" w:eastAsia="zh-CN"/>
        </w:rPr>
        <w:t>及细则”载明的</w:t>
      </w:r>
      <w:r>
        <w:rPr>
          <w:rFonts w:hint="eastAsia" w:ascii="宋体" w:hAnsi="宋体" w:eastAsia="宋体" w:cs="宋体"/>
          <w:b/>
          <w:bCs/>
          <w:color w:val="auto"/>
          <w:sz w:val="21"/>
          <w:szCs w:val="21"/>
          <w:highlight w:val="none"/>
          <w:lang w:eastAsia="zh-CN"/>
        </w:rPr>
        <w:t>定标因素，</w:t>
      </w:r>
      <w:r>
        <w:rPr>
          <w:rFonts w:hint="eastAsia" w:ascii="宋体" w:hAnsi="宋体" w:eastAsia="宋体" w:cs="宋体"/>
          <w:b/>
          <w:bCs/>
          <w:color w:val="auto"/>
          <w:sz w:val="21"/>
          <w:szCs w:val="21"/>
          <w:highlight w:val="none"/>
          <w:lang w:val="en-US" w:eastAsia="zh-CN"/>
        </w:rPr>
        <w:t>提交</w:t>
      </w:r>
      <w:r>
        <w:rPr>
          <w:rFonts w:hint="eastAsia" w:ascii="宋体" w:hAnsi="宋体" w:eastAsia="宋体" w:cs="宋体"/>
          <w:b/>
          <w:bCs/>
          <w:color w:val="auto"/>
          <w:sz w:val="21"/>
          <w:szCs w:val="21"/>
          <w:highlight w:val="none"/>
          <w:lang w:eastAsia="zh-CN"/>
        </w:rPr>
        <w:t>评审资料</w:t>
      </w:r>
      <w:r>
        <w:rPr>
          <w:rFonts w:hint="eastAsia" w:ascii="宋体" w:hAnsi="宋体" w:eastAsia="宋体" w:cs="宋体"/>
          <w:b/>
          <w:bCs/>
          <w:color w:val="auto"/>
          <w:sz w:val="24"/>
          <w:szCs w:val="24"/>
          <w:highlight w:val="none"/>
          <w:lang w:eastAsia="zh-CN"/>
        </w:rPr>
        <w:t>。</w:t>
      </w:r>
    </w:p>
    <w:p w14:paraId="4CEFA11E">
      <w:pPr>
        <w:spacing w:before="136"/>
        <w:rPr>
          <w:rFonts w:hint="default" w:asciiTheme="minorEastAsia" w:hAnsiTheme="minorEastAsia" w:eastAsiaTheme="minorEastAsia" w:cstheme="minorEastAsia"/>
          <w:b/>
          <w:bCs/>
          <w:color w:val="auto"/>
          <w:szCs w:val="24"/>
          <w:highlight w:val="none"/>
        </w:rPr>
      </w:pPr>
    </w:p>
    <w:p w14:paraId="1CF72F36">
      <w:pPr>
        <w:rPr>
          <w:rFonts w:hint="default" w:asciiTheme="minorEastAsia" w:hAnsiTheme="minorEastAsia" w:eastAsiaTheme="minorEastAsia" w:cstheme="minorEastAsia"/>
          <w:b/>
          <w:bCs/>
          <w:color w:val="auto"/>
          <w:szCs w:val="24"/>
          <w:highlight w:val="none"/>
        </w:rPr>
      </w:pPr>
      <w:r>
        <w:rPr>
          <w:rFonts w:hint="default" w:asciiTheme="minorEastAsia" w:hAnsiTheme="minorEastAsia" w:eastAsiaTheme="minorEastAsia" w:cstheme="minorEastAsia"/>
          <w:b/>
          <w:bCs/>
          <w:color w:val="auto"/>
          <w:szCs w:val="24"/>
          <w:highlight w:val="none"/>
        </w:rPr>
        <w:br w:type="page"/>
      </w:r>
    </w:p>
    <w:p w14:paraId="2321806F">
      <w:pPr>
        <w:pStyle w:val="5"/>
        <w:rPr>
          <w:rFonts w:hint="default"/>
          <w:color w:val="auto"/>
          <w:highlight w:val="none"/>
        </w:rPr>
      </w:pPr>
    </w:p>
    <w:bookmarkEnd w:id="593"/>
    <w:bookmarkEnd w:id="594"/>
    <w:bookmarkEnd w:id="595"/>
    <w:p w14:paraId="2DB3658C">
      <w:pPr>
        <w:pStyle w:val="2"/>
        <w:jc w:val="center"/>
        <w:rPr>
          <w:rFonts w:hint="default" w:asciiTheme="minorEastAsia" w:hAnsiTheme="minorEastAsia" w:eastAsiaTheme="minorEastAsia" w:cstheme="minorEastAsia"/>
          <w:b/>
          <w:color w:val="auto"/>
          <w:kern w:val="44"/>
          <w:szCs w:val="30"/>
          <w:highlight w:val="none"/>
        </w:rPr>
      </w:pPr>
      <w:bookmarkStart w:id="600" w:name="_Toc26622"/>
      <w:bookmarkStart w:id="601" w:name="_Toc23446"/>
      <w:bookmarkStart w:id="602" w:name="_Toc8821"/>
      <w:bookmarkStart w:id="603" w:name="_Toc9816"/>
      <w:bookmarkStart w:id="604" w:name="_Toc8121"/>
      <w:bookmarkStart w:id="605" w:name="_Toc6918"/>
      <w:bookmarkStart w:id="606" w:name="_Toc22541"/>
      <w:bookmarkStart w:id="607" w:name="_Toc17220"/>
      <w:bookmarkStart w:id="608" w:name="_Toc26638"/>
      <w:r>
        <w:rPr>
          <w:rFonts w:asciiTheme="minorEastAsia" w:hAnsiTheme="minorEastAsia" w:eastAsiaTheme="minorEastAsia" w:cstheme="minorEastAsia"/>
          <w:b/>
          <w:color w:val="auto"/>
          <w:kern w:val="44"/>
          <w:szCs w:val="30"/>
          <w:highlight w:val="none"/>
        </w:rPr>
        <w:t>第七章  廉政合同、履约保函、预付款保函、支付保函</w:t>
      </w:r>
      <w:bookmarkEnd w:id="600"/>
      <w:bookmarkEnd w:id="601"/>
      <w:bookmarkEnd w:id="602"/>
      <w:bookmarkEnd w:id="603"/>
      <w:bookmarkEnd w:id="604"/>
      <w:bookmarkEnd w:id="605"/>
      <w:bookmarkEnd w:id="606"/>
      <w:bookmarkEnd w:id="607"/>
      <w:bookmarkEnd w:id="608"/>
    </w:p>
    <w:p w14:paraId="32D228D2">
      <w:pPr>
        <w:rPr>
          <w:rFonts w:hint="default" w:asciiTheme="minorEastAsia" w:hAnsiTheme="minorEastAsia" w:eastAsiaTheme="minorEastAsia" w:cstheme="minorEastAsia"/>
          <w:color w:val="auto"/>
          <w:highlight w:val="none"/>
        </w:rPr>
      </w:pPr>
    </w:p>
    <w:p w14:paraId="68F8104D">
      <w:pPr>
        <w:pStyle w:val="4"/>
        <w:ind w:left="4511" w:leftChars="174" w:hanging="4093" w:hangingChars="1274"/>
        <w:jc w:val="center"/>
        <w:rPr>
          <w:rFonts w:asciiTheme="minorEastAsia" w:hAnsiTheme="minorEastAsia" w:eastAsiaTheme="minorEastAsia" w:cstheme="minorEastAsia"/>
          <w:bCs/>
          <w:color w:val="auto"/>
          <w:sz w:val="32"/>
          <w:szCs w:val="32"/>
          <w:highlight w:val="none"/>
        </w:rPr>
      </w:pPr>
      <w:bookmarkStart w:id="609" w:name="_Toc10193"/>
      <w:bookmarkStart w:id="610" w:name="_Toc2994"/>
      <w:bookmarkStart w:id="611" w:name="_Toc16029"/>
      <w:bookmarkStart w:id="612" w:name="_Toc5870"/>
      <w:bookmarkStart w:id="613" w:name="_Toc32046"/>
      <w:bookmarkStart w:id="614" w:name="_Toc2651"/>
      <w:bookmarkStart w:id="615" w:name="_Toc5845"/>
      <w:bookmarkStart w:id="616" w:name="_Toc20232"/>
      <w:bookmarkStart w:id="617" w:name="_Toc10603"/>
      <w:bookmarkStart w:id="618" w:name="_Toc30503"/>
      <w:bookmarkStart w:id="619" w:name="_Toc29713"/>
      <w:r>
        <w:rPr>
          <w:rFonts w:hint="eastAsia" w:asciiTheme="minorEastAsia" w:hAnsiTheme="minorEastAsia" w:eastAsiaTheme="minorEastAsia" w:cstheme="minorEastAsia"/>
          <w:bCs/>
          <w:color w:val="auto"/>
          <w:sz w:val="32"/>
          <w:szCs w:val="32"/>
          <w:highlight w:val="none"/>
        </w:rPr>
        <w:t>廉政合同</w:t>
      </w:r>
      <w:bookmarkEnd w:id="609"/>
      <w:bookmarkEnd w:id="610"/>
      <w:bookmarkEnd w:id="611"/>
      <w:bookmarkEnd w:id="612"/>
      <w:bookmarkEnd w:id="613"/>
      <w:bookmarkEnd w:id="614"/>
      <w:bookmarkEnd w:id="615"/>
      <w:bookmarkEnd w:id="616"/>
      <w:bookmarkEnd w:id="617"/>
      <w:bookmarkEnd w:id="618"/>
      <w:bookmarkEnd w:id="619"/>
    </w:p>
    <w:p w14:paraId="4D5F40C7">
      <w:pPr>
        <w:tabs>
          <w:tab w:val="left" w:pos="9100"/>
        </w:tabs>
        <w:autoSpaceDE w:val="0"/>
        <w:autoSpaceDN w:val="0"/>
        <w:adjustRightInd w:val="0"/>
        <w:spacing w:line="460" w:lineRule="atLeast"/>
        <w:ind w:left="101" w:right="101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招标人：（全称）</w:t>
      </w:r>
      <w:r>
        <w:rPr>
          <w:rFonts w:asciiTheme="minorEastAsia" w:hAnsiTheme="minorEastAsia" w:eastAsiaTheme="minorEastAsia" w:cstheme="minorEastAsia"/>
          <w:color w:val="auto"/>
          <w:kern w:val="0"/>
          <w:sz w:val="21"/>
          <w:szCs w:val="21"/>
          <w:highlight w:val="none"/>
          <w:u w:val="single"/>
        </w:rPr>
        <w:tab/>
      </w:r>
    </w:p>
    <w:p w14:paraId="5E8FA097">
      <w:pPr>
        <w:tabs>
          <w:tab w:val="left" w:pos="9100"/>
        </w:tabs>
        <w:autoSpaceDE w:val="0"/>
        <w:autoSpaceDN w:val="0"/>
        <w:adjustRightInd w:val="0"/>
        <w:spacing w:line="460" w:lineRule="atLeast"/>
        <w:ind w:left="101" w:right="101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中标人：（全称）</w:t>
      </w:r>
      <w:r>
        <w:rPr>
          <w:rFonts w:asciiTheme="minorEastAsia" w:hAnsiTheme="minorEastAsia" w:eastAsiaTheme="minorEastAsia" w:cstheme="minorEastAsia"/>
          <w:color w:val="auto"/>
          <w:kern w:val="0"/>
          <w:sz w:val="21"/>
          <w:szCs w:val="21"/>
          <w:highlight w:val="none"/>
          <w:u w:val="single"/>
        </w:rPr>
        <w:tab/>
      </w:r>
    </w:p>
    <w:p w14:paraId="36E28061">
      <w:pPr>
        <w:autoSpaceDE w:val="0"/>
        <w:autoSpaceDN w:val="0"/>
        <w:adjustRightInd w:val="0"/>
        <w:spacing w:before="6" w:line="150" w:lineRule="exact"/>
        <w:jc w:val="left"/>
        <w:rPr>
          <w:rFonts w:hint="default" w:asciiTheme="minorEastAsia" w:hAnsiTheme="minorEastAsia" w:eastAsiaTheme="minorEastAsia" w:cstheme="minorEastAsia"/>
          <w:color w:val="auto"/>
          <w:kern w:val="0"/>
          <w:sz w:val="21"/>
          <w:szCs w:val="21"/>
          <w:highlight w:val="none"/>
        </w:rPr>
      </w:pPr>
    </w:p>
    <w:p w14:paraId="4110EAC9">
      <w:pPr>
        <w:autoSpaceDE w:val="0"/>
        <w:autoSpaceDN w:val="0"/>
        <w:adjustRightInd w:val="0"/>
        <w:spacing w:line="200" w:lineRule="exact"/>
        <w:jc w:val="left"/>
        <w:rPr>
          <w:rFonts w:hint="default" w:asciiTheme="minorEastAsia" w:hAnsiTheme="minorEastAsia" w:eastAsiaTheme="minorEastAsia" w:cstheme="minorEastAsia"/>
          <w:color w:val="auto"/>
          <w:kern w:val="0"/>
          <w:sz w:val="21"/>
          <w:szCs w:val="21"/>
          <w:highlight w:val="none"/>
        </w:rPr>
      </w:pPr>
    </w:p>
    <w:p w14:paraId="50299E8A">
      <w:pPr>
        <w:autoSpaceDE w:val="0"/>
        <w:autoSpaceDN w:val="0"/>
        <w:adjustRightInd w:val="0"/>
        <w:spacing w:line="200" w:lineRule="exact"/>
        <w:jc w:val="left"/>
        <w:rPr>
          <w:rFonts w:hint="default" w:asciiTheme="minorEastAsia" w:hAnsiTheme="minorEastAsia" w:eastAsiaTheme="minorEastAsia" w:cstheme="minorEastAsia"/>
          <w:color w:val="auto"/>
          <w:kern w:val="0"/>
          <w:sz w:val="21"/>
          <w:szCs w:val="21"/>
          <w:highlight w:val="none"/>
        </w:rPr>
      </w:pPr>
    </w:p>
    <w:p w14:paraId="018D9412">
      <w:pPr>
        <w:autoSpaceDE w:val="0"/>
        <w:autoSpaceDN w:val="0"/>
        <w:adjustRightInd w:val="0"/>
        <w:spacing w:line="360" w:lineRule="auto"/>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position w:val="-3"/>
          <w:sz w:val="21"/>
          <w:szCs w:val="21"/>
          <w:highlight w:val="none"/>
        </w:rPr>
        <w:t>根据国家、省有关廉政建设的规定，为做好合同工程的廉政建设，保证工程质量与施工安</w:t>
      </w:r>
      <w:r>
        <w:rPr>
          <w:rFonts w:asciiTheme="minorEastAsia" w:hAnsiTheme="minorEastAsia" w:eastAsiaTheme="minorEastAsia" w:cstheme="minorEastAsia"/>
          <w:color w:val="auto"/>
          <w:kern w:val="0"/>
          <w:sz w:val="21"/>
          <w:szCs w:val="21"/>
          <w:highlight w:val="none"/>
        </w:rPr>
        <w:t>全，提高建设资金的有效使用和投资效益，合同双方当事人就加强合同工程的廉政建设，订立本合同。</w:t>
      </w:r>
    </w:p>
    <w:p w14:paraId="1BFE79F6">
      <w:pPr>
        <w:autoSpaceDE w:val="0"/>
        <w:autoSpaceDN w:val="0"/>
        <w:adjustRightInd w:val="0"/>
        <w:spacing w:line="360" w:lineRule="auto"/>
        <w:ind w:firstLine="422" w:firstLineChars="200"/>
        <w:jc w:val="left"/>
        <w:rPr>
          <w:rFonts w:hint="default" w:asciiTheme="minorEastAsia" w:hAnsiTheme="minorEastAsia" w:eastAsiaTheme="minorEastAsia" w:cstheme="minorEastAsia"/>
          <w:b/>
          <w:bCs/>
          <w:color w:val="auto"/>
          <w:spacing w:val="1"/>
          <w:kern w:val="0"/>
          <w:sz w:val="21"/>
          <w:szCs w:val="21"/>
          <w:highlight w:val="none"/>
        </w:rPr>
      </w:pPr>
      <w:r>
        <w:rPr>
          <w:rFonts w:asciiTheme="minorEastAsia" w:hAnsiTheme="minorEastAsia" w:eastAsiaTheme="minorEastAsia" w:cstheme="minorEastAsia"/>
          <w:b/>
          <w:bCs/>
          <w:color w:val="auto"/>
          <w:kern w:val="0"/>
          <w:sz w:val="21"/>
          <w:szCs w:val="21"/>
          <w:highlight w:val="none"/>
        </w:rPr>
        <w:t>1</w:t>
      </w:r>
      <w:r>
        <w:rPr>
          <w:rFonts w:asciiTheme="minorEastAsia" w:hAnsiTheme="minorEastAsia" w:eastAsiaTheme="minorEastAsia" w:cstheme="minorEastAsia"/>
          <w:b/>
          <w:bCs/>
          <w:color w:val="auto"/>
          <w:kern w:val="0"/>
          <w:sz w:val="21"/>
          <w:szCs w:val="21"/>
          <w:highlight w:val="none"/>
        </w:rPr>
        <w:tab/>
      </w:r>
      <w:r>
        <w:rPr>
          <w:rFonts w:asciiTheme="minorEastAsia" w:hAnsiTheme="minorEastAsia" w:eastAsiaTheme="minorEastAsia" w:cstheme="minorEastAsia"/>
          <w:b/>
          <w:bCs/>
          <w:color w:val="auto"/>
          <w:spacing w:val="1"/>
          <w:kern w:val="0"/>
          <w:sz w:val="21"/>
          <w:szCs w:val="21"/>
          <w:highlight w:val="none"/>
        </w:rPr>
        <w:t>双方权利和义务</w:t>
      </w:r>
    </w:p>
    <w:p w14:paraId="56468AE5">
      <w:pPr>
        <w:autoSpaceDE w:val="0"/>
        <w:autoSpaceDN w:val="0"/>
        <w:adjustRightInd w:val="0"/>
        <w:spacing w:line="360" w:lineRule="auto"/>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1.1</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严格遵守国家、省有关法律法规的规定。</w:t>
      </w:r>
    </w:p>
    <w:p w14:paraId="6A5F6894">
      <w:pPr>
        <w:autoSpaceDE w:val="0"/>
        <w:autoSpaceDN w:val="0"/>
        <w:adjustRightInd w:val="0"/>
        <w:spacing w:line="360" w:lineRule="auto"/>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1.2</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严格执行合同工程一切合同文件，自觉按合同办事。</w:t>
      </w:r>
    </w:p>
    <w:p w14:paraId="61F884B4">
      <w:pPr>
        <w:autoSpaceDE w:val="0"/>
        <w:autoSpaceDN w:val="0"/>
        <w:adjustRightInd w:val="0"/>
        <w:spacing w:line="360" w:lineRule="auto"/>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1.3</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合同双方当事人的业务活动应坚持公平</w:t>
      </w:r>
      <w:r>
        <w:rPr>
          <w:rFonts w:asciiTheme="minorEastAsia" w:hAnsiTheme="minorEastAsia" w:eastAsiaTheme="minorEastAsia" w:cstheme="minorEastAsia"/>
          <w:color w:val="auto"/>
          <w:spacing w:val="-12"/>
          <w:kern w:val="0"/>
          <w:sz w:val="21"/>
          <w:szCs w:val="21"/>
          <w:highlight w:val="none"/>
        </w:rPr>
        <w:t>、</w:t>
      </w:r>
      <w:r>
        <w:rPr>
          <w:rFonts w:asciiTheme="minorEastAsia" w:hAnsiTheme="minorEastAsia" w:eastAsiaTheme="minorEastAsia" w:cstheme="minorEastAsia"/>
          <w:color w:val="auto"/>
          <w:kern w:val="0"/>
          <w:sz w:val="21"/>
          <w:szCs w:val="21"/>
          <w:highlight w:val="none"/>
        </w:rPr>
        <w:t>公开</w:t>
      </w:r>
      <w:r>
        <w:rPr>
          <w:rFonts w:asciiTheme="minorEastAsia" w:hAnsiTheme="minorEastAsia" w:eastAsiaTheme="minorEastAsia" w:cstheme="minorEastAsia"/>
          <w:color w:val="auto"/>
          <w:spacing w:val="-12"/>
          <w:kern w:val="0"/>
          <w:sz w:val="21"/>
          <w:szCs w:val="21"/>
          <w:highlight w:val="none"/>
        </w:rPr>
        <w:t>、</w:t>
      </w:r>
      <w:r>
        <w:rPr>
          <w:rFonts w:asciiTheme="minorEastAsia" w:hAnsiTheme="minorEastAsia" w:eastAsiaTheme="minorEastAsia" w:cstheme="minorEastAsia"/>
          <w:color w:val="auto"/>
          <w:kern w:val="0"/>
          <w:sz w:val="21"/>
          <w:szCs w:val="21"/>
          <w:highlight w:val="none"/>
        </w:rPr>
        <w:t>公正和诚信的原</w:t>
      </w:r>
      <w:r>
        <w:rPr>
          <w:rFonts w:asciiTheme="minorEastAsia" w:hAnsiTheme="minorEastAsia" w:eastAsiaTheme="minorEastAsia" w:cstheme="minorEastAsia"/>
          <w:color w:val="auto"/>
          <w:spacing w:val="-12"/>
          <w:kern w:val="0"/>
          <w:sz w:val="21"/>
          <w:szCs w:val="21"/>
          <w:highlight w:val="none"/>
        </w:rPr>
        <w:t>则</w:t>
      </w:r>
      <w:r>
        <w:rPr>
          <w:rFonts w:asciiTheme="minorEastAsia" w:hAnsiTheme="minorEastAsia" w:eastAsiaTheme="minorEastAsia" w:cstheme="minorEastAsia"/>
          <w:color w:val="auto"/>
          <w:kern w:val="0"/>
          <w:sz w:val="21"/>
          <w:szCs w:val="21"/>
          <w:highlight w:val="none"/>
        </w:rPr>
        <w:t>（法律认定的商业 秘密和合同文件另有规定除外</w:t>
      </w:r>
      <w:r>
        <w:rPr>
          <w:rFonts w:asciiTheme="minorEastAsia" w:hAnsiTheme="minorEastAsia" w:eastAsiaTheme="minorEastAsia" w:cstheme="minorEastAsia"/>
          <w:color w:val="auto"/>
          <w:spacing w:val="-120"/>
          <w:kern w:val="0"/>
          <w:sz w:val="21"/>
          <w:szCs w:val="21"/>
          <w:highlight w:val="none"/>
        </w:rPr>
        <w:t>）</w:t>
      </w:r>
      <w:r>
        <w:rPr>
          <w:rFonts w:asciiTheme="minorEastAsia" w:hAnsiTheme="minorEastAsia" w:eastAsiaTheme="minorEastAsia" w:cstheme="minorEastAsia"/>
          <w:color w:val="auto"/>
          <w:kern w:val="0"/>
          <w:sz w:val="21"/>
          <w:szCs w:val="21"/>
          <w:highlight w:val="none"/>
        </w:rPr>
        <w:t>，不得损害国家和集体利益，不得违反工程建设管理规章制度。</w:t>
      </w:r>
    </w:p>
    <w:p w14:paraId="51832CB7">
      <w:pPr>
        <w:autoSpaceDE w:val="0"/>
        <w:autoSpaceDN w:val="0"/>
        <w:adjustRightInd w:val="0"/>
        <w:spacing w:line="360" w:lineRule="auto"/>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1.4</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建立健全廉政制度</w:t>
      </w:r>
      <w:r>
        <w:rPr>
          <w:rFonts w:asciiTheme="minorEastAsia" w:hAnsiTheme="minorEastAsia" w:eastAsiaTheme="minorEastAsia" w:cstheme="minorEastAsia"/>
          <w:color w:val="auto"/>
          <w:spacing w:val="-10"/>
          <w:kern w:val="0"/>
          <w:sz w:val="21"/>
          <w:szCs w:val="21"/>
          <w:highlight w:val="none"/>
        </w:rPr>
        <w:t>，</w:t>
      </w:r>
      <w:r>
        <w:rPr>
          <w:rFonts w:asciiTheme="minorEastAsia" w:hAnsiTheme="minorEastAsia" w:eastAsiaTheme="minorEastAsia" w:cstheme="minorEastAsia"/>
          <w:color w:val="auto"/>
          <w:kern w:val="0"/>
          <w:sz w:val="21"/>
          <w:szCs w:val="21"/>
          <w:highlight w:val="none"/>
        </w:rPr>
        <w:t>开展廉政教育</w:t>
      </w:r>
      <w:r>
        <w:rPr>
          <w:rFonts w:asciiTheme="minorEastAsia" w:hAnsiTheme="minorEastAsia" w:eastAsiaTheme="minorEastAsia" w:cstheme="minorEastAsia"/>
          <w:color w:val="auto"/>
          <w:spacing w:val="-8"/>
          <w:kern w:val="0"/>
          <w:sz w:val="21"/>
          <w:szCs w:val="21"/>
          <w:highlight w:val="none"/>
        </w:rPr>
        <w:t>，</w:t>
      </w:r>
      <w:r>
        <w:rPr>
          <w:rFonts w:asciiTheme="minorEastAsia" w:hAnsiTheme="minorEastAsia" w:eastAsiaTheme="minorEastAsia" w:cstheme="minorEastAsia"/>
          <w:color w:val="auto"/>
          <w:kern w:val="0"/>
          <w:sz w:val="21"/>
          <w:szCs w:val="21"/>
          <w:highlight w:val="none"/>
        </w:rPr>
        <w:t>设立廉政告示牌</w:t>
      </w:r>
      <w:r>
        <w:rPr>
          <w:rFonts w:asciiTheme="minorEastAsia" w:hAnsiTheme="minorEastAsia" w:eastAsiaTheme="minorEastAsia" w:cstheme="minorEastAsia"/>
          <w:color w:val="auto"/>
          <w:spacing w:val="-8"/>
          <w:kern w:val="0"/>
          <w:sz w:val="21"/>
          <w:szCs w:val="21"/>
          <w:highlight w:val="none"/>
        </w:rPr>
        <w:t>，</w:t>
      </w:r>
      <w:r>
        <w:rPr>
          <w:rFonts w:asciiTheme="minorEastAsia" w:hAnsiTheme="minorEastAsia" w:eastAsiaTheme="minorEastAsia" w:cstheme="minorEastAsia"/>
          <w:color w:val="auto"/>
          <w:kern w:val="0"/>
          <w:sz w:val="21"/>
          <w:szCs w:val="21"/>
          <w:highlight w:val="none"/>
        </w:rPr>
        <w:t>公布举报电话</w:t>
      </w:r>
      <w:r>
        <w:rPr>
          <w:rFonts w:asciiTheme="minorEastAsia" w:hAnsiTheme="minorEastAsia" w:eastAsiaTheme="minorEastAsia" w:cstheme="minorEastAsia"/>
          <w:color w:val="auto"/>
          <w:spacing w:val="-8"/>
          <w:kern w:val="0"/>
          <w:sz w:val="21"/>
          <w:szCs w:val="21"/>
          <w:highlight w:val="none"/>
        </w:rPr>
        <w:t>，</w:t>
      </w:r>
      <w:r>
        <w:rPr>
          <w:rFonts w:asciiTheme="minorEastAsia" w:hAnsiTheme="minorEastAsia" w:eastAsiaTheme="minorEastAsia" w:cstheme="minorEastAsia"/>
          <w:color w:val="auto"/>
          <w:kern w:val="0"/>
          <w:sz w:val="21"/>
          <w:szCs w:val="21"/>
          <w:highlight w:val="none"/>
        </w:rPr>
        <w:t>监督并认真查 处违法违纪行为。</w:t>
      </w:r>
    </w:p>
    <w:p w14:paraId="518EEB0B">
      <w:pPr>
        <w:autoSpaceDE w:val="0"/>
        <w:autoSpaceDN w:val="0"/>
        <w:adjustRightInd w:val="0"/>
        <w:spacing w:line="360" w:lineRule="auto"/>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1.5</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发现对方在业务活动中有违反廉政建设规定的行为，应及时给予提醒和纠正。</w:t>
      </w:r>
    </w:p>
    <w:p w14:paraId="5BF7D67E">
      <w:pPr>
        <w:autoSpaceDE w:val="0"/>
        <w:autoSpaceDN w:val="0"/>
        <w:adjustRightInd w:val="0"/>
        <w:spacing w:line="360" w:lineRule="auto"/>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1.6</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发现对方严重违反合同的行为</w:t>
      </w:r>
      <w:r>
        <w:rPr>
          <w:rFonts w:asciiTheme="minorEastAsia" w:hAnsiTheme="minorEastAsia" w:eastAsiaTheme="minorEastAsia" w:cstheme="minorEastAsia"/>
          <w:color w:val="auto"/>
          <w:spacing w:val="-18"/>
          <w:kern w:val="0"/>
          <w:sz w:val="21"/>
          <w:szCs w:val="21"/>
          <w:highlight w:val="none"/>
        </w:rPr>
        <w:t>，</w:t>
      </w:r>
      <w:r>
        <w:rPr>
          <w:rFonts w:asciiTheme="minorEastAsia" w:hAnsiTheme="minorEastAsia" w:eastAsiaTheme="minorEastAsia" w:cstheme="minorEastAsia"/>
          <w:color w:val="auto"/>
          <w:kern w:val="0"/>
          <w:sz w:val="21"/>
          <w:szCs w:val="21"/>
          <w:highlight w:val="none"/>
        </w:rPr>
        <w:t>有向其上级部门举报</w:t>
      </w:r>
      <w:r>
        <w:rPr>
          <w:rFonts w:asciiTheme="minorEastAsia" w:hAnsiTheme="minorEastAsia" w:eastAsiaTheme="minorEastAsia" w:cstheme="minorEastAsia"/>
          <w:color w:val="auto"/>
          <w:spacing w:val="-18"/>
          <w:kern w:val="0"/>
          <w:sz w:val="21"/>
          <w:szCs w:val="21"/>
          <w:highlight w:val="none"/>
        </w:rPr>
        <w:t>、</w:t>
      </w:r>
      <w:r>
        <w:rPr>
          <w:rFonts w:asciiTheme="minorEastAsia" w:hAnsiTheme="minorEastAsia" w:eastAsiaTheme="minorEastAsia" w:cstheme="minorEastAsia"/>
          <w:color w:val="auto"/>
          <w:kern w:val="0"/>
          <w:sz w:val="21"/>
          <w:szCs w:val="21"/>
          <w:highlight w:val="none"/>
        </w:rPr>
        <w:t>建议给予处理并要求告知处理 结果的权利。没有上级部门的，可按本合同第二部分《通用条款》第87 条规定处理。</w:t>
      </w:r>
    </w:p>
    <w:p w14:paraId="619206CA">
      <w:pPr>
        <w:autoSpaceDE w:val="0"/>
        <w:autoSpaceDN w:val="0"/>
        <w:adjustRightInd w:val="0"/>
        <w:spacing w:line="360" w:lineRule="auto"/>
        <w:ind w:firstLine="422" w:firstLineChars="200"/>
        <w:jc w:val="left"/>
        <w:rPr>
          <w:rFonts w:hint="default" w:asciiTheme="minorEastAsia" w:hAnsiTheme="minorEastAsia" w:eastAsiaTheme="minorEastAsia" w:cstheme="minorEastAsia"/>
          <w:b/>
          <w:bCs/>
          <w:color w:val="auto"/>
          <w:spacing w:val="1"/>
          <w:kern w:val="0"/>
          <w:sz w:val="21"/>
          <w:szCs w:val="21"/>
          <w:highlight w:val="none"/>
        </w:rPr>
      </w:pPr>
      <w:r>
        <w:rPr>
          <w:rFonts w:asciiTheme="minorEastAsia" w:hAnsiTheme="minorEastAsia" w:eastAsiaTheme="minorEastAsia" w:cstheme="minorEastAsia"/>
          <w:b/>
          <w:bCs/>
          <w:color w:val="auto"/>
          <w:kern w:val="0"/>
          <w:sz w:val="21"/>
          <w:szCs w:val="21"/>
          <w:highlight w:val="none"/>
        </w:rPr>
        <w:t>2</w:t>
      </w:r>
      <w:r>
        <w:rPr>
          <w:rFonts w:asciiTheme="minorEastAsia" w:hAnsiTheme="minorEastAsia" w:eastAsiaTheme="minorEastAsia" w:cstheme="minorEastAsia"/>
          <w:b/>
          <w:bCs/>
          <w:color w:val="auto"/>
          <w:kern w:val="0"/>
          <w:sz w:val="21"/>
          <w:szCs w:val="21"/>
          <w:highlight w:val="none"/>
        </w:rPr>
        <w:tab/>
      </w:r>
      <w:r>
        <w:rPr>
          <w:rFonts w:asciiTheme="minorEastAsia" w:hAnsiTheme="minorEastAsia" w:eastAsiaTheme="minorEastAsia" w:cstheme="minorEastAsia"/>
          <w:b/>
          <w:bCs/>
          <w:color w:val="auto"/>
          <w:spacing w:val="1"/>
          <w:kern w:val="0"/>
          <w:sz w:val="21"/>
          <w:szCs w:val="21"/>
          <w:highlight w:val="none"/>
        </w:rPr>
        <w:t>招标人义务</w:t>
      </w:r>
    </w:p>
    <w:p w14:paraId="0625E6DD">
      <w:pPr>
        <w:autoSpaceDE w:val="0"/>
        <w:autoSpaceDN w:val="0"/>
        <w:adjustRightInd w:val="0"/>
        <w:spacing w:line="360" w:lineRule="auto"/>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2.1</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招标人及其工作人员不得索取或接受中标人的礼金</w:t>
      </w:r>
      <w:r>
        <w:rPr>
          <w:rFonts w:asciiTheme="minorEastAsia" w:hAnsiTheme="minorEastAsia" w:eastAsiaTheme="minorEastAsia" w:cstheme="minorEastAsia"/>
          <w:color w:val="auto"/>
          <w:spacing w:val="-18"/>
          <w:kern w:val="0"/>
          <w:sz w:val="21"/>
          <w:szCs w:val="21"/>
          <w:highlight w:val="none"/>
        </w:rPr>
        <w:t>、</w:t>
      </w:r>
      <w:r>
        <w:rPr>
          <w:rFonts w:asciiTheme="minorEastAsia" w:hAnsiTheme="minorEastAsia" w:eastAsiaTheme="minorEastAsia" w:cstheme="minorEastAsia"/>
          <w:color w:val="auto"/>
          <w:kern w:val="0"/>
          <w:sz w:val="21"/>
          <w:szCs w:val="21"/>
          <w:highlight w:val="none"/>
        </w:rPr>
        <w:t>有价证券和贵重物品</w:t>
      </w:r>
      <w:r>
        <w:rPr>
          <w:rFonts w:asciiTheme="minorEastAsia" w:hAnsiTheme="minorEastAsia" w:eastAsiaTheme="minorEastAsia" w:cstheme="minorEastAsia"/>
          <w:color w:val="auto"/>
          <w:spacing w:val="-18"/>
          <w:kern w:val="0"/>
          <w:sz w:val="21"/>
          <w:szCs w:val="21"/>
          <w:highlight w:val="none"/>
        </w:rPr>
        <w:t>，</w:t>
      </w:r>
      <w:r>
        <w:rPr>
          <w:rFonts w:asciiTheme="minorEastAsia" w:hAnsiTheme="minorEastAsia" w:eastAsiaTheme="minorEastAsia" w:cstheme="minorEastAsia"/>
          <w:color w:val="auto"/>
          <w:kern w:val="0"/>
          <w:sz w:val="21"/>
          <w:szCs w:val="21"/>
          <w:highlight w:val="none"/>
        </w:rPr>
        <w:t>不得在承 包人报销任何应由招标人或其工作人员个人支付的费用。</w:t>
      </w:r>
    </w:p>
    <w:p w14:paraId="6E1BDFEB">
      <w:pPr>
        <w:autoSpaceDE w:val="0"/>
        <w:autoSpaceDN w:val="0"/>
        <w:adjustRightInd w:val="0"/>
        <w:spacing w:line="360" w:lineRule="auto"/>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2.2</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招标人及其工作人员不得参加中标人安排的宴</w:t>
      </w:r>
      <w:r>
        <w:rPr>
          <w:rFonts w:asciiTheme="minorEastAsia" w:hAnsiTheme="minorEastAsia" w:eastAsiaTheme="minorEastAsia" w:cstheme="minorEastAsia"/>
          <w:color w:val="auto"/>
          <w:spacing w:val="-12"/>
          <w:kern w:val="0"/>
          <w:sz w:val="21"/>
          <w:szCs w:val="21"/>
          <w:highlight w:val="none"/>
        </w:rPr>
        <w:t>请</w:t>
      </w:r>
      <w:r>
        <w:rPr>
          <w:rFonts w:asciiTheme="minorEastAsia" w:hAnsiTheme="minorEastAsia" w:eastAsiaTheme="minorEastAsia" w:cstheme="minorEastAsia"/>
          <w:color w:val="auto"/>
          <w:kern w:val="0"/>
          <w:sz w:val="21"/>
          <w:szCs w:val="21"/>
          <w:highlight w:val="none"/>
        </w:rPr>
        <w:t>（工作餐除外</w:t>
      </w:r>
      <w:r>
        <w:rPr>
          <w:rFonts w:asciiTheme="minorEastAsia" w:hAnsiTheme="minorEastAsia" w:eastAsiaTheme="minorEastAsia" w:cstheme="minorEastAsia"/>
          <w:color w:val="auto"/>
          <w:spacing w:val="-12"/>
          <w:kern w:val="0"/>
          <w:sz w:val="21"/>
          <w:szCs w:val="21"/>
          <w:highlight w:val="none"/>
        </w:rPr>
        <w:t>）</w:t>
      </w:r>
      <w:r>
        <w:rPr>
          <w:rFonts w:asciiTheme="minorEastAsia" w:hAnsiTheme="minorEastAsia" w:eastAsiaTheme="minorEastAsia" w:cstheme="minorEastAsia"/>
          <w:color w:val="auto"/>
          <w:kern w:val="0"/>
          <w:sz w:val="21"/>
          <w:szCs w:val="21"/>
          <w:highlight w:val="none"/>
        </w:rPr>
        <w:t>和娱乐活动</w:t>
      </w:r>
      <w:r>
        <w:rPr>
          <w:rFonts w:asciiTheme="minorEastAsia" w:hAnsiTheme="minorEastAsia" w:eastAsiaTheme="minorEastAsia" w:cstheme="minorEastAsia"/>
          <w:color w:val="auto"/>
          <w:spacing w:val="-12"/>
          <w:kern w:val="0"/>
          <w:sz w:val="21"/>
          <w:szCs w:val="21"/>
          <w:highlight w:val="none"/>
        </w:rPr>
        <w:t>，</w:t>
      </w:r>
      <w:r>
        <w:rPr>
          <w:rFonts w:asciiTheme="minorEastAsia" w:hAnsiTheme="minorEastAsia" w:eastAsiaTheme="minorEastAsia" w:cstheme="minorEastAsia"/>
          <w:color w:val="auto"/>
          <w:kern w:val="0"/>
          <w:sz w:val="21"/>
          <w:szCs w:val="21"/>
          <w:highlight w:val="none"/>
        </w:rPr>
        <w:t>不得接受中标人提供的通讯、交通工具和高档办公用品等物品。</w:t>
      </w:r>
    </w:p>
    <w:p w14:paraId="21F22880">
      <w:pPr>
        <w:autoSpaceDE w:val="0"/>
        <w:autoSpaceDN w:val="0"/>
        <w:adjustRightInd w:val="0"/>
        <w:spacing w:line="360" w:lineRule="auto"/>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position w:val="-2"/>
          <w:sz w:val="21"/>
          <w:szCs w:val="21"/>
          <w:highlight w:val="none"/>
        </w:rPr>
        <w:t>2.3</w:t>
      </w:r>
      <w:r>
        <w:rPr>
          <w:rFonts w:asciiTheme="minorEastAsia" w:hAnsiTheme="minorEastAsia" w:eastAsiaTheme="minorEastAsia" w:cstheme="minorEastAsia"/>
          <w:color w:val="auto"/>
          <w:kern w:val="0"/>
          <w:position w:val="-2"/>
          <w:sz w:val="21"/>
          <w:szCs w:val="21"/>
          <w:highlight w:val="none"/>
        </w:rPr>
        <w:tab/>
      </w:r>
      <w:r>
        <w:rPr>
          <w:rFonts w:asciiTheme="minorEastAsia" w:hAnsiTheme="minorEastAsia" w:eastAsiaTheme="minorEastAsia" w:cstheme="minorEastAsia"/>
          <w:color w:val="auto"/>
          <w:kern w:val="0"/>
          <w:position w:val="-2"/>
          <w:sz w:val="21"/>
          <w:szCs w:val="21"/>
          <w:highlight w:val="none"/>
        </w:rPr>
        <w:t>招标人及其工作人员不得要求或者接受中标人为其住房装修</w:t>
      </w:r>
      <w:r>
        <w:rPr>
          <w:rFonts w:asciiTheme="minorEastAsia" w:hAnsiTheme="minorEastAsia" w:eastAsiaTheme="minorEastAsia" w:cstheme="minorEastAsia"/>
          <w:color w:val="auto"/>
          <w:spacing w:val="-18"/>
          <w:kern w:val="0"/>
          <w:position w:val="-2"/>
          <w:sz w:val="21"/>
          <w:szCs w:val="21"/>
          <w:highlight w:val="none"/>
        </w:rPr>
        <w:t>、</w:t>
      </w:r>
      <w:r>
        <w:rPr>
          <w:rFonts w:asciiTheme="minorEastAsia" w:hAnsiTheme="minorEastAsia" w:eastAsiaTheme="minorEastAsia" w:cstheme="minorEastAsia"/>
          <w:color w:val="auto"/>
          <w:kern w:val="0"/>
          <w:position w:val="-2"/>
          <w:sz w:val="21"/>
          <w:szCs w:val="21"/>
          <w:highlight w:val="none"/>
        </w:rPr>
        <w:t>婚丧嫁娶活动</w:t>
      </w:r>
      <w:r>
        <w:rPr>
          <w:rFonts w:asciiTheme="minorEastAsia" w:hAnsiTheme="minorEastAsia" w:eastAsiaTheme="minorEastAsia" w:cstheme="minorEastAsia"/>
          <w:color w:val="auto"/>
          <w:spacing w:val="-18"/>
          <w:kern w:val="0"/>
          <w:position w:val="-2"/>
          <w:sz w:val="21"/>
          <w:szCs w:val="21"/>
          <w:highlight w:val="none"/>
        </w:rPr>
        <w:t>、</w:t>
      </w:r>
      <w:r>
        <w:rPr>
          <w:rFonts w:asciiTheme="minorEastAsia" w:hAnsiTheme="minorEastAsia" w:eastAsiaTheme="minorEastAsia" w:cstheme="minorEastAsia"/>
          <w:color w:val="auto"/>
          <w:kern w:val="0"/>
          <w:position w:val="-2"/>
          <w:sz w:val="21"/>
          <w:szCs w:val="21"/>
          <w:highlight w:val="none"/>
        </w:rPr>
        <w:t>配偶子</w:t>
      </w:r>
      <w:r>
        <w:rPr>
          <w:rFonts w:asciiTheme="minorEastAsia" w:hAnsiTheme="minorEastAsia" w:eastAsiaTheme="minorEastAsia" w:cstheme="minorEastAsia"/>
          <w:color w:val="auto"/>
          <w:kern w:val="0"/>
          <w:sz w:val="21"/>
          <w:szCs w:val="21"/>
          <w:highlight w:val="none"/>
        </w:rPr>
        <w:t>女工作安排以及出国出境、旅游等提供方便。</w:t>
      </w:r>
    </w:p>
    <w:p w14:paraId="58F0149C">
      <w:pPr>
        <w:autoSpaceDE w:val="0"/>
        <w:autoSpaceDN w:val="0"/>
        <w:adjustRightInd w:val="0"/>
        <w:spacing w:line="360" w:lineRule="auto"/>
        <w:ind w:right="185"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 xml:space="preserve">2.4 </w:t>
      </w:r>
      <w:r>
        <w:rPr>
          <w:rFonts w:asciiTheme="minorEastAsia" w:hAnsiTheme="minorEastAsia" w:eastAsiaTheme="minorEastAsia" w:cstheme="minorEastAsia"/>
          <w:color w:val="auto"/>
          <w:spacing w:val="2"/>
          <w:kern w:val="0"/>
          <w:sz w:val="21"/>
          <w:szCs w:val="21"/>
          <w:highlight w:val="none"/>
        </w:rPr>
        <w:t>招标人及其工作人员不得以任何理由向中标人推荐</w:t>
      </w:r>
      <w:r>
        <w:rPr>
          <w:rFonts w:asciiTheme="minorEastAsia" w:hAnsiTheme="minorEastAsia" w:eastAsiaTheme="minorEastAsia" w:cstheme="minorEastAsia"/>
          <w:color w:val="auto"/>
          <w:spacing w:val="1"/>
          <w:kern w:val="0"/>
          <w:sz w:val="21"/>
          <w:szCs w:val="21"/>
          <w:highlight w:val="none"/>
        </w:rPr>
        <w:t>分</w:t>
      </w:r>
      <w:r>
        <w:rPr>
          <w:rFonts w:asciiTheme="minorEastAsia" w:hAnsiTheme="minorEastAsia" w:eastAsiaTheme="minorEastAsia" w:cstheme="minorEastAsia"/>
          <w:color w:val="auto"/>
          <w:spacing w:val="2"/>
          <w:kern w:val="0"/>
          <w:sz w:val="21"/>
          <w:szCs w:val="21"/>
          <w:highlight w:val="none"/>
        </w:rPr>
        <w:t xml:space="preserve">包人、推销材料和工程设备，不 </w:t>
      </w:r>
      <w:r>
        <w:rPr>
          <w:rFonts w:asciiTheme="minorEastAsia" w:hAnsiTheme="minorEastAsia" w:eastAsiaTheme="minorEastAsia" w:cstheme="minorEastAsia"/>
          <w:color w:val="auto"/>
          <w:kern w:val="0"/>
          <w:sz w:val="21"/>
          <w:szCs w:val="21"/>
          <w:highlight w:val="none"/>
        </w:rPr>
        <w:t>得要求中标人购买合同以外的材料和工程设备。</w:t>
      </w:r>
    </w:p>
    <w:p w14:paraId="11437CD9">
      <w:pPr>
        <w:autoSpaceDE w:val="0"/>
        <w:autoSpaceDN w:val="0"/>
        <w:adjustRightInd w:val="0"/>
        <w:spacing w:line="360" w:lineRule="auto"/>
        <w:ind w:right="185"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2.5</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招标人及其工作人员要秉公办事</w:t>
      </w:r>
      <w:r>
        <w:rPr>
          <w:rFonts w:asciiTheme="minorEastAsia" w:hAnsiTheme="minorEastAsia" w:eastAsiaTheme="minorEastAsia" w:cstheme="minorEastAsia"/>
          <w:color w:val="auto"/>
          <w:spacing w:val="-18"/>
          <w:kern w:val="0"/>
          <w:sz w:val="21"/>
          <w:szCs w:val="21"/>
          <w:highlight w:val="none"/>
        </w:rPr>
        <w:t>，</w:t>
      </w:r>
      <w:r>
        <w:rPr>
          <w:rFonts w:asciiTheme="minorEastAsia" w:hAnsiTheme="minorEastAsia" w:eastAsiaTheme="minorEastAsia" w:cstheme="minorEastAsia"/>
          <w:color w:val="auto"/>
          <w:kern w:val="0"/>
          <w:sz w:val="21"/>
          <w:szCs w:val="21"/>
          <w:highlight w:val="none"/>
        </w:rPr>
        <w:t>不准营私舞弊</w:t>
      </w:r>
      <w:r>
        <w:rPr>
          <w:rFonts w:asciiTheme="minorEastAsia" w:hAnsiTheme="minorEastAsia" w:eastAsiaTheme="minorEastAsia" w:cstheme="minorEastAsia"/>
          <w:color w:val="auto"/>
          <w:spacing w:val="-18"/>
          <w:kern w:val="0"/>
          <w:sz w:val="21"/>
          <w:szCs w:val="21"/>
          <w:highlight w:val="none"/>
        </w:rPr>
        <w:t>，</w:t>
      </w:r>
      <w:r>
        <w:rPr>
          <w:rFonts w:asciiTheme="minorEastAsia" w:hAnsiTheme="minorEastAsia" w:eastAsiaTheme="minorEastAsia" w:cstheme="minorEastAsia"/>
          <w:color w:val="auto"/>
          <w:kern w:val="0"/>
          <w:sz w:val="21"/>
          <w:szCs w:val="21"/>
          <w:highlight w:val="none"/>
        </w:rPr>
        <w:t>不准利用职权私自为合同工程安排 施工队伍，也不得从事与合同工程有关的各种有偿中介活动。</w:t>
      </w:r>
    </w:p>
    <w:p w14:paraId="60873E6D">
      <w:pPr>
        <w:autoSpaceDE w:val="0"/>
        <w:autoSpaceDN w:val="0"/>
        <w:adjustRightInd w:val="0"/>
        <w:spacing w:before="72" w:line="360" w:lineRule="auto"/>
        <w:ind w:right="185"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 xml:space="preserve">2.6 </w:t>
      </w:r>
      <w:r>
        <w:rPr>
          <w:rFonts w:asciiTheme="minorEastAsia" w:hAnsiTheme="minorEastAsia" w:eastAsiaTheme="minorEastAsia" w:cstheme="minorEastAsia"/>
          <w:color w:val="auto"/>
          <w:spacing w:val="2"/>
          <w:kern w:val="0"/>
          <w:sz w:val="21"/>
          <w:szCs w:val="21"/>
          <w:highlight w:val="none"/>
        </w:rPr>
        <w:t>招标人及其工作人员（含其配偶、子女）不得从事</w:t>
      </w:r>
      <w:r>
        <w:rPr>
          <w:rFonts w:asciiTheme="minorEastAsia" w:hAnsiTheme="minorEastAsia" w:eastAsiaTheme="minorEastAsia" w:cstheme="minorEastAsia"/>
          <w:color w:val="auto"/>
          <w:spacing w:val="1"/>
          <w:kern w:val="0"/>
          <w:sz w:val="21"/>
          <w:szCs w:val="21"/>
          <w:highlight w:val="none"/>
        </w:rPr>
        <w:t>与</w:t>
      </w:r>
      <w:r>
        <w:rPr>
          <w:rFonts w:asciiTheme="minorEastAsia" w:hAnsiTheme="minorEastAsia" w:eastAsiaTheme="minorEastAsia" w:cstheme="minorEastAsia"/>
          <w:color w:val="auto"/>
          <w:spacing w:val="2"/>
          <w:kern w:val="0"/>
          <w:sz w:val="21"/>
          <w:szCs w:val="21"/>
          <w:highlight w:val="none"/>
        </w:rPr>
        <w:t xml:space="preserve">合同工程有关的材料和工程设备 </w:t>
      </w:r>
      <w:r>
        <w:rPr>
          <w:rFonts w:asciiTheme="minorEastAsia" w:hAnsiTheme="minorEastAsia" w:eastAsiaTheme="minorEastAsia" w:cstheme="minorEastAsia"/>
          <w:color w:val="auto"/>
          <w:kern w:val="0"/>
          <w:sz w:val="21"/>
          <w:szCs w:val="21"/>
          <w:highlight w:val="none"/>
        </w:rPr>
        <w:t>供应、工程分包、劳务等经济活动。</w:t>
      </w:r>
    </w:p>
    <w:p w14:paraId="199D8C76">
      <w:pPr>
        <w:autoSpaceDE w:val="0"/>
        <w:autoSpaceDN w:val="0"/>
        <w:adjustRightInd w:val="0"/>
        <w:spacing w:before="72" w:line="360" w:lineRule="auto"/>
        <w:ind w:right="185" w:firstLine="422" w:firstLineChars="200"/>
        <w:jc w:val="left"/>
        <w:rPr>
          <w:rFonts w:hint="default" w:asciiTheme="minorEastAsia" w:hAnsiTheme="minorEastAsia" w:eastAsiaTheme="minorEastAsia" w:cstheme="minorEastAsia"/>
          <w:b/>
          <w:bCs/>
          <w:color w:val="auto"/>
          <w:spacing w:val="1"/>
          <w:kern w:val="0"/>
          <w:sz w:val="21"/>
          <w:szCs w:val="21"/>
          <w:highlight w:val="none"/>
        </w:rPr>
      </w:pPr>
      <w:r>
        <w:rPr>
          <w:rFonts w:asciiTheme="minorEastAsia" w:hAnsiTheme="minorEastAsia" w:eastAsiaTheme="minorEastAsia" w:cstheme="minorEastAsia"/>
          <w:b/>
          <w:bCs/>
          <w:color w:val="auto"/>
          <w:kern w:val="0"/>
          <w:sz w:val="21"/>
          <w:szCs w:val="21"/>
          <w:highlight w:val="none"/>
        </w:rPr>
        <w:t>3</w:t>
      </w:r>
      <w:r>
        <w:rPr>
          <w:rFonts w:asciiTheme="minorEastAsia" w:hAnsiTheme="minorEastAsia" w:eastAsiaTheme="minorEastAsia" w:cstheme="minorEastAsia"/>
          <w:b/>
          <w:bCs/>
          <w:color w:val="auto"/>
          <w:kern w:val="0"/>
          <w:sz w:val="21"/>
          <w:szCs w:val="21"/>
          <w:highlight w:val="none"/>
        </w:rPr>
        <w:tab/>
      </w:r>
      <w:r>
        <w:rPr>
          <w:rFonts w:asciiTheme="minorEastAsia" w:hAnsiTheme="minorEastAsia" w:eastAsiaTheme="minorEastAsia" w:cstheme="minorEastAsia"/>
          <w:b/>
          <w:bCs/>
          <w:color w:val="auto"/>
          <w:spacing w:val="1"/>
          <w:kern w:val="0"/>
          <w:sz w:val="21"/>
          <w:szCs w:val="21"/>
          <w:highlight w:val="none"/>
        </w:rPr>
        <w:t>中标人义务</w:t>
      </w:r>
    </w:p>
    <w:p w14:paraId="5B8CF2FF">
      <w:pPr>
        <w:autoSpaceDE w:val="0"/>
        <w:autoSpaceDN w:val="0"/>
        <w:adjustRightInd w:val="0"/>
        <w:spacing w:before="72" w:line="360" w:lineRule="auto"/>
        <w:ind w:right="185"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3.1</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中标人不得以任何理由向招标人及其工作人员行贿或馈赠礼金</w:t>
      </w:r>
      <w:r>
        <w:rPr>
          <w:rFonts w:asciiTheme="minorEastAsia" w:hAnsiTheme="minorEastAsia" w:eastAsiaTheme="minorEastAsia" w:cstheme="minorEastAsia"/>
          <w:color w:val="auto"/>
          <w:spacing w:val="-78"/>
          <w:kern w:val="0"/>
          <w:sz w:val="21"/>
          <w:szCs w:val="21"/>
          <w:highlight w:val="none"/>
        </w:rPr>
        <w:t>、</w:t>
      </w:r>
      <w:r>
        <w:rPr>
          <w:rFonts w:asciiTheme="minorEastAsia" w:hAnsiTheme="minorEastAsia" w:eastAsiaTheme="minorEastAsia" w:cstheme="minorEastAsia"/>
          <w:color w:val="auto"/>
          <w:kern w:val="0"/>
          <w:sz w:val="21"/>
          <w:szCs w:val="21"/>
          <w:highlight w:val="none"/>
        </w:rPr>
        <w:t>有价证券</w:t>
      </w:r>
      <w:r>
        <w:rPr>
          <w:rFonts w:asciiTheme="minorEastAsia" w:hAnsiTheme="minorEastAsia" w:eastAsiaTheme="minorEastAsia" w:cstheme="minorEastAsia"/>
          <w:color w:val="auto"/>
          <w:spacing w:val="-78"/>
          <w:kern w:val="0"/>
          <w:sz w:val="21"/>
          <w:szCs w:val="21"/>
          <w:highlight w:val="none"/>
        </w:rPr>
        <w:t>、</w:t>
      </w:r>
      <w:r>
        <w:rPr>
          <w:rFonts w:asciiTheme="minorEastAsia" w:hAnsiTheme="minorEastAsia" w:eastAsiaTheme="minorEastAsia" w:cstheme="minorEastAsia"/>
          <w:color w:val="auto"/>
          <w:kern w:val="0"/>
          <w:sz w:val="21"/>
          <w:szCs w:val="21"/>
          <w:highlight w:val="none"/>
        </w:rPr>
        <w:t>贵重礼品。</w:t>
      </w:r>
    </w:p>
    <w:p w14:paraId="0A6C41DB">
      <w:pPr>
        <w:autoSpaceDE w:val="0"/>
        <w:autoSpaceDN w:val="0"/>
        <w:adjustRightInd w:val="0"/>
        <w:spacing w:before="72" w:line="360" w:lineRule="auto"/>
        <w:ind w:right="185"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3.2</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spacing w:val="5"/>
          <w:kern w:val="0"/>
          <w:sz w:val="21"/>
          <w:szCs w:val="21"/>
          <w:highlight w:val="none"/>
        </w:rPr>
        <w:t>中标人不得以任何名义为招标人及其</w:t>
      </w:r>
      <w:r>
        <w:rPr>
          <w:rFonts w:asciiTheme="minorEastAsia" w:hAnsiTheme="minorEastAsia" w:eastAsiaTheme="minorEastAsia" w:cstheme="minorEastAsia"/>
          <w:color w:val="auto"/>
          <w:spacing w:val="4"/>
          <w:kern w:val="0"/>
          <w:sz w:val="21"/>
          <w:szCs w:val="21"/>
          <w:highlight w:val="none"/>
        </w:rPr>
        <w:t>工</w:t>
      </w:r>
      <w:r>
        <w:rPr>
          <w:rFonts w:asciiTheme="minorEastAsia" w:hAnsiTheme="minorEastAsia" w:eastAsiaTheme="minorEastAsia" w:cstheme="minorEastAsia"/>
          <w:color w:val="auto"/>
          <w:spacing w:val="6"/>
          <w:kern w:val="0"/>
          <w:sz w:val="21"/>
          <w:szCs w:val="21"/>
          <w:highlight w:val="none"/>
        </w:rPr>
        <w:t xml:space="preserve">作人员报销应由招标人或其工作人员个人支 </w:t>
      </w:r>
      <w:r>
        <w:rPr>
          <w:rFonts w:asciiTheme="minorEastAsia" w:hAnsiTheme="minorEastAsia" w:eastAsiaTheme="minorEastAsia" w:cstheme="minorEastAsia"/>
          <w:color w:val="auto"/>
          <w:kern w:val="0"/>
          <w:sz w:val="21"/>
          <w:szCs w:val="21"/>
          <w:highlight w:val="none"/>
        </w:rPr>
        <w:t>付的任何费用。</w:t>
      </w:r>
    </w:p>
    <w:p w14:paraId="3D3C2AAA">
      <w:pPr>
        <w:autoSpaceDE w:val="0"/>
        <w:autoSpaceDN w:val="0"/>
        <w:adjustRightInd w:val="0"/>
        <w:spacing w:before="72" w:line="360" w:lineRule="auto"/>
        <w:ind w:right="185"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3.3</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中标人不得以任何理由安排招标人及其工作人员参加宴</w:t>
      </w:r>
      <w:r>
        <w:rPr>
          <w:rFonts w:asciiTheme="minorEastAsia" w:hAnsiTheme="minorEastAsia" w:eastAsiaTheme="minorEastAsia" w:cstheme="minorEastAsia"/>
          <w:color w:val="auto"/>
          <w:spacing w:val="-78"/>
          <w:kern w:val="0"/>
          <w:sz w:val="21"/>
          <w:szCs w:val="21"/>
          <w:highlight w:val="none"/>
        </w:rPr>
        <w:t>请</w:t>
      </w:r>
      <w:r>
        <w:rPr>
          <w:rFonts w:asciiTheme="minorEastAsia" w:hAnsiTheme="minorEastAsia" w:eastAsiaTheme="minorEastAsia" w:cstheme="minorEastAsia"/>
          <w:color w:val="auto"/>
          <w:kern w:val="0"/>
          <w:sz w:val="21"/>
          <w:szCs w:val="21"/>
          <w:highlight w:val="none"/>
        </w:rPr>
        <w:t>（工作餐除外</w:t>
      </w:r>
      <w:r>
        <w:rPr>
          <w:rFonts w:asciiTheme="minorEastAsia" w:hAnsiTheme="minorEastAsia" w:eastAsiaTheme="minorEastAsia" w:cstheme="minorEastAsia"/>
          <w:color w:val="auto"/>
          <w:spacing w:val="-78"/>
          <w:kern w:val="0"/>
          <w:sz w:val="21"/>
          <w:szCs w:val="21"/>
          <w:highlight w:val="none"/>
        </w:rPr>
        <w:t>）</w:t>
      </w:r>
      <w:r>
        <w:rPr>
          <w:rFonts w:asciiTheme="minorEastAsia" w:hAnsiTheme="minorEastAsia" w:eastAsiaTheme="minorEastAsia" w:cstheme="minorEastAsia"/>
          <w:color w:val="auto"/>
          <w:kern w:val="0"/>
          <w:sz w:val="21"/>
          <w:szCs w:val="21"/>
          <w:highlight w:val="none"/>
        </w:rPr>
        <w:t>及娱乐活动。</w:t>
      </w:r>
    </w:p>
    <w:p w14:paraId="4C279B03">
      <w:pPr>
        <w:autoSpaceDE w:val="0"/>
        <w:autoSpaceDN w:val="0"/>
        <w:adjustRightInd w:val="0"/>
        <w:spacing w:before="72" w:line="360" w:lineRule="auto"/>
        <w:ind w:right="185"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3.4</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中标人不得为招标人和个人购置或提供通讯、交通工具和高档办公用品等物品。</w:t>
      </w:r>
    </w:p>
    <w:p w14:paraId="10C9DAB8">
      <w:pPr>
        <w:autoSpaceDE w:val="0"/>
        <w:autoSpaceDN w:val="0"/>
        <w:adjustRightInd w:val="0"/>
        <w:spacing w:before="72" w:line="360" w:lineRule="auto"/>
        <w:ind w:right="185"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3.5</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中标人不得为招标人及其工作人员的住房装修</w:t>
      </w:r>
      <w:r>
        <w:rPr>
          <w:rFonts w:asciiTheme="minorEastAsia" w:hAnsiTheme="minorEastAsia" w:eastAsiaTheme="minorEastAsia" w:cstheme="minorEastAsia"/>
          <w:color w:val="auto"/>
          <w:spacing w:val="-18"/>
          <w:kern w:val="0"/>
          <w:sz w:val="21"/>
          <w:szCs w:val="21"/>
          <w:highlight w:val="none"/>
        </w:rPr>
        <w:t>、</w:t>
      </w:r>
      <w:r>
        <w:rPr>
          <w:rFonts w:asciiTheme="minorEastAsia" w:hAnsiTheme="minorEastAsia" w:eastAsiaTheme="minorEastAsia" w:cstheme="minorEastAsia"/>
          <w:color w:val="auto"/>
          <w:kern w:val="0"/>
          <w:sz w:val="21"/>
          <w:szCs w:val="21"/>
          <w:highlight w:val="none"/>
        </w:rPr>
        <w:t>婚丧嫁娶活动</w:t>
      </w:r>
      <w:r>
        <w:rPr>
          <w:rFonts w:asciiTheme="minorEastAsia" w:hAnsiTheme="minorEastAsia" w:eastAsiaTheme="minorEastAsia" w:cstheme="minorEastAsia"/>
          <w:color w:val="auto"/>
          <w:spacing w:val="-18"/>
          <w:kern w:val="0"/>
          <w:sz w:val="21"/>
          <w:szCs w:val="21"/>
          <w:highlight w:val="none"/>
        </w:rPr>
        <w:t>、</w:t>
      </w:r>
      <w:r>
        <w:rPr>
          <w:rFonts w:asciiTheme="minorEastAsia" w:hAnsiTheme="minorEastAsia" w:eastAsiaTheme="minorEastAsia" w:cstheme="minorEastAsia"/>
          <w:color w:val="auto"/>
          <w:kern w:val="0"/>
          <w:sz w:val="21"/>
          <w:szCs w:val="21"/>
          <w:highlight w:val="none"/>
        </w:rPr>
        <w:t>配偶子女工作安排以 及出国出境、旅游等提供方便。</w:t>
      </w:r>
    </w:p>
    <w:p w14:paraId="7E2E2EA3">
      <w:pPr>
        <w:autoSpaceDE w:val="0"/>
        <w:autoSpaceDN w:val="0"/>
        <w:adjustRightInd w:val="0"/>
        <w:spacing w:before="72" w:line="360" w:lineRule="auto"/>
        <w:ind w:right="185" w:firstLine="422" w:firstLineChars="200"/>
        <w:jc w:val="left"/>
        <w:rPr>
          <w:rFonts w:hint="default" w:asciiTheme="minorEastAsia" w:hAnsiTheme="minorEastAsia" w:eastAsiaTheme="minorEastAsia" w:cstheme="minorEastAsia"/>
          <w:b/>
          <w:bCs/>
          <w:color w:val="auto"/>
          <w:spacing w:val="1"/>
          <w:kern w:val="0"/>
          <w:sz w:val="21"/>
          <w:szCs w:val="21"/>
          <w:highlight w:val="none"/>
        </w:rPr>
      </w:pPr>
      <w:r>
        <w:rPr>
          <w:rFonts w:asciiTheme="minorEastAsia" w:hAnsiTheme="minorEastAsia" w:eastAsiaTheme="minorEastAsia" w:cstheme="minorEastAsia"/>
          <w:b/>
          <w:bCs/>
          <w:color w:val="auto"/>
          <w:kern w:val="0"/>
          <w:sz w:val="21"/>
          <w:szCs w:val="21"/>
          <w:highlight w:val="none"/>
        </w:rPr>
        <w:t>4</w:t>
      </w:r>
      <w:r>
        <w:rPr>
          <w:rFonts w:asciiTheme="minorEastAsia" w:hAnsiTheme="minorEastAsia" w:eastAsiaTheme="minorEastAsia" w:cstheme="minorEastAsia"/>
          <w:b/>
          <w:bCs/>
          <w:color w:val="auto"/>
          <w:kern w:val="0"/>
          <w:sz w:val="21"/>
          <w:szCs w:val="21"/>
          <w:highlight w:val="none"/>
        </w:rPr>
        <w:tab/>
      </w:r>
      <w:r>
        <w:rPr>
          <w:rFonts w:asciiTheme="minorEastAsia" w:hAnsiTheme="minorEastAsia" w:eastAsiaTheme="minorEastAsia" w:cstheme="minorEastAsia"/>
          <w:b/>
          <w:bCs/>
          <w:color w:val="auto"/>
          <w:spacing w:val="1"/>
          <w:kern w:val="0"/>
          <w:sz w:val="21"/>
          <w:szCs w:val="21"/>
          <w:highlight w:val="none"/>
        </w:rPr>
        <w:t>违约责任</w:t>
      </w:r>
    </w:p>
    <w:p w14:paraId="68FEDBC5">
      <w:pPr>
        <w:autoSpaceDE w:val="0"/>
        <w:autoSpaceDN w:val="0"/>
        <w:adjustRightInd w:val="0"/>
        <w:spacing w:before="72" w:line="360" w:lineRule="auto"/>
        <w:ind w:right="185"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4.1</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招标人及其工作人员违反本合同第1 条和第2 条规定</w:t>
      </w:r>
      <w:r>
        <w:rPr>
          <w:rFonts w:asciiTheme="minorEastAsia" w:hAnsiTheme="minorEastAsia" w:eastAsiaTheme="minorEastAsia" w:cstheme="minorEastAsia"/>
          <w:color w:val="auto"/>
          <w:spacing w:val="-36"/>
          <w:kern w:val="0"/>
          <w:sz w:val="21"/>
          <w:szCs w:val="21"/>
          <w:highlight w:val="none"/>
        </w:rPr>
        <w:t>，</w:t>
      </w:r>
      <w:r>
        <w:rPr>
          <w:rFonts w:asciiTheme="minorEastAsia" w:hAnsiTheme="minorEastAsia" w:eastAsiaTheme="minorEastAsia" w:cstheme="minorEastAsia"/>
          <w:color w:val="auto"/>
          <w:kern w:val="0"/>
          <w:sz w:val="21"/>
          <w:szCs w:val="21"/>
          <w:highlight w:val="none"/>
        </w:rPr>
        <w:t>应按照廉政建设的有关规定给 予处分；涉嫌犯罪的，移交司法机关追究刑事责任；给中标人造成损失的，应予赔偿。</w:t>
      </w:r>
    </w:p>
    <w:p w14:paraId="19A9943B">
      <w:pPr>
        <w:autoSpaceDE w:val="0"/>
        <w:autoSpaceDN w:val="0"/>
        <w:adjustRightInd w:val="0"/>
        <w:spacing w:before="72" w:line="360" w:lineRule="auto"/>
        <w:ind w:right="185"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4.2</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中标人及其工作人员违反本合同第1 条和第3 条规定</w:t>
      </w:r>
      <w:r>
        <w:rPr>
          <w:rFonts w:asciiTheme="minorEastAsia" w:hAnsiTheme="minorEastAsia" w:eastAsiaTheme="minorEastAsia" w:cstheme="minorEastAsia"/>
          <w:color w:val="auto"/>
          <w:spacing w:val="-36"/>
          <w:kern w:val="0"/>
          <w:sz w:val="21"/>
          <w:szCs w:val="21"/>
          <w:highlight w:val="none"/>
        </w:rPr>
        <w:t>，</w:t>
      </w:r>
      <w:r>
        <w:rPr>
          <w:rFonts w:asciiTheme="minorEastAsia" w:hAnsiTheme="minorEastAsia" w:eastAsiaTheme="minorEastAsia" w:cstheme="minorEastAsia"/>
          <w:color w:val="auto"/>
          <w:kern w:val="0"/>
          <w:sz w:val="21"/>
          <w:szCs w:val="21"/>
          <w:highlight w:val="none"/>
        </w:rPr>
        <w:t>应按照廉政建设的有关规定给 予处分</w:t>
      </w:r>
      <w:r>
        <w:rPr>
          <w:rFonts w:asciiTheme="minorEastAsia" w:hAnsiTheme="minorEastAsia" w:eastAsiaTheme="minorEastAsia" w:cstheme="minorEastAsia"/>
          <w:color w:val="auto"/>
          <w:spacing w:val="-24"/>
          <w:kern w:val="0"/>
          <w:sz w:val="21"/>
          <w:szCs w:val="21"/>
          <w:highlight w:val="none"/>
        </w:rPr>
        <w:t>；</w:t>
      </w:r>
      <w:r>
        <w:rPr>
          <w:rFonts w:asciiTheme="minorEastAsia" w:hAnsiTheme="minorEastAsia" w:eastAsiaTheme="minorEastAsia" w:cstheme="minorEastAsia"/>
          <w:color w:val="auto"/>
          <w:kern w:val="0"/>
          <w:sz w:val="21"/>
          <w:szCs w:val="21"/>
          <w:highlight w:val="none"/>
        </w:rPr>
        <w:t>情节严重的</w:t>
      </w:r>
      <w:r>
        <w:rPr>
          <w:rFonts w:asciiTheme="minorEastAsia" w:hAnsiTheme="minorEastAsia" w:eastAsiaTheme="minorEastAsia" w:cstheme="minorEastAsia"/>
          <w:color w:val="auto"/>
          <w:spacing w:val="-24"/>
          <w:kern w:val="0"/>
          <w:sz w:val="21"/>
          <w:szCs w:val="21"/>
          <w:highlight w:val="none"/>
        </w:rPr>
        <w:t>，</w:t>
      </w:r>
      <w:r>
        <w:rPr>
          <w:rFonts w:asciiTheme="minorEastAsia" w:hAnsiTheme="minorEastAsia" w:eastAsiaTheme="minorEastAsia" w:cstheme="minorEastAsia"/>
          <w:color w:val="auto"/>
          <w:kern w:val="0"/>
          <w:sz w:val="21"/>
          <w:szCs w:val="21"/>
          <w:highlight w:val="none"/>
        </w:rPr>
        <w:t>给予中标人1～3 年内不得进入工程建设市场的处罚</w:t>
      </w:r>
      <w:r>
        <w:rPr>
          <w:rFonts w:asciiTheme="minorEastAsia" w:hAnsiTheme="minorEastAsia" w:eastAsiaTheme="minorEastAsia" w:cstheme="minorEastAsia"/>
          <w:color w:val="auto"/>
          <w:spacing w:val="-24"/>
          <w:kern w:val="0"/>
          <w:sz w:val="21"/>
          <w:szCs w:val="21"/>
          <w:highlight w:val="none"/>
        </w:rPr>
        <w:t>；</w:t>
      </w:r>
      <w:r>
        <w:rPr>
          <w:rFonts w:asciiTheme="minorEastAsia" w:hAnsiTheme="minorEastAsia" w:eastAsiaTheme="minorEastAsia" w:cstheme="minorEastAsia"/>
          <w:color w:val="auto"/>
          <w:kern w:val="0"/>
          <w:sz w:val="21"/>
          <w:szCs w:val="21"/>
          <w:highlight w:val="none"/>
        </w:rPr>
        <w:t>涉嫌犯罪的</w:t>
      </w:r>
      <w:r>
        <w:rPr>
          <w:rFonts w:asciiTheme="minorEastAsia" w:hAnsiTheme="minorEastAsia" w:eastAsiaTheme="minorEastAsia" w:cstheme="minorEastAsia"/>
          <w:color w:val="auto"/>
          <w:spacing w:val="-24"/>
          <w:kern w:val="0"/>
          <w:sz w:val="21"/>
          <w:szCs w:val="21"/>
          <w:highlight w:val="none"/>
        </w:rPr>
        <w:t>，</w:t>
      </w:r>
      <w:r>
        <w:rPr>
          <w:rFonts w:asciiTheme="minorEastAsia" w:hAnsiTheme="minorEastAsia" w:eastAsiaTheme="minorEastAsia" w:cstheme="minorEastAsia"/>
          <w:color w:val="auto"/>
          <w:kern w:val="0"/>
          <w:sz w:val="21"/>
          <w:szCs w:val="21"/>
          <w:highlight w:val="none"/>
        </w:rPr>
        <w:t>移交 司法机关追究刑事责任；给招标人造成损失的，应予赔偿；</w:t>
      </w:r>
    </w:p>
    <w:p w14:paraId="08DA69C8">
      <w:pPr>
        <w:autoSpaceDE w:val="0"/>
        <w:autoSpaceDN w:val="0"/>
        <w:adjustRightInd w:val="0"/>
        <w:spacing w:before="16" w:line="360" w:lineRule="auto"/>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b/>
          <w:bCs/>
          <w:color w:val="auto"/>
          <w:kern w:val="0"/>
          <w:sz w:val="21"/>
          <w:szCs w:val="21"/>
          <w:highlight w:val="none"/>
        </w:rPr>
        <w:t xml:space="preserve">    5  </w:t>
      </w:r>
      <w:r>
        <w:rPr>
          <w:rFonts w:asciiTheme="minorEastAsia" w:hAnsiTheme="minorEastAsia" w:eastAsiaTheme="minorEastAsia" w:cstheme="minorEastAsia"/>
          <w:b/>
          <w:bCs/>
          <w:color w:val="auto"/>
          <w:spacing w:val="1"/>
          <w:kern w:val="0"/>
          <w:sz w:val="21"/>
          <w:szCs w:val="21"/>
          <w:highlight w:val="none"/>
        </w:rPr>
        <w:t>双方约定</w:t>
      </w:r>
    </w:p>
    <w:p w14:paraId="2C911EE8">
      <w:pPr>
        <w:autoSpaceDE w:val="0"/>
        <w:autoSpaceDN w:val="0"/>
        <w:adjustRightInd w:val="0"/>
        <w:spacing w:line="360" w:lineRule="auto"/>
        <w:ind w:right="184" w:firstLine="424"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spacing w:val="1"/>
          <w:kern w:val="0"/>
          <w:sz w:val="21"/>
          <w:szCs w:val="21"/>
          <w:highlight w:val="none"/>
        </w:rPr>
        <w:t>本合同由合同双方当事人或其上</w:t>
      </w:r>
      <w:r>
        <w:rPr>
          <w:rFonts w:asciiTheme="minorEastAsia" w:hAnsiTheme="minorEastAsia" w:eastAsiaTheme="minorEastAsia" w:cstheme="minorEastAsia"/>
          <w:color w:val="auto"/>
          <w:kern w:val="0"/>
          <w:sz w:val="21"/>
          <w:szCs w:val="21"/>
          <w:highlight w:val="none"/>
        </w:rPr>
        <w:t>级</w:t>
      </w:r>
      <w:r>
        <w:rPr>
          <w:rFonts w:asciiTheme="minorEastAsia" w:hAnsiTheme="minorEastAsia" w:eastAsiaTheme="minorEastAsia" w:cstheme="minorEastAsia"/>
          <w:color w:val="auto"/>
          <w:spacing w:val="1"/>
          <w:kern w:val="0"/>
          <w:sz w:val="21"/>
          <w:szCs w:val="21"/>
          <w:highlight w:val="none"/>
        </w:rPr>
        <w:t>部门负责监督执行，并由合</w:t>
      </w:r>
      <w:r>
        <w:rPr>
          <w:rFonts w:asciiTheme="minorEastAsia" w:hAnsiTheme="minorEastAsia" w:eastAsiaTheme="minorEastAsia" w:cstheme="minorEastAsia"/>
          <w:color w:val="auto"/>
          <w:kern w:val="0"/>
          <w:sz w:val="21"/>
          <w:szCs w:val="21"/>
          <w:highlight w:val="none"/>
        </w:rPr>
        <w:t>同</w:t>
      </w:r>
      <w:r>
        <w:rPr>
          <w:rFonts w:asciiTheme="minorEastAsia" w:hAnsiTheme="minorEastAsia" w:eastAsiaTheme="minorEastAsia" w:cstheme="minorEastAsia"/>
          <w:color w:val="auto"/>
          <w:spacing w:val="1"/>
          <w:kern w:val="0"/>
          <w:sz w:val="21"/>
          <w:szCs w:val="21"/>
          <w:highlight w:val="none"/>
        </w:rPr>
        <w:t xml:space="preserve">双方当事人或其上级部门 </w:t>
      </w:r>
      <w:r>
        <w:rPr>
          <w:rFonts w:asciiTheme="minorEastAsia" w:hAnsiTheme="minorEastAsia" w:eastAsiaTheme="minorEastAsia" w:cstheme="minorEastAsia"/>
          <w:color w:val="auto"/>
          <w:kern w:val="0"/>
          <w:sz w:val="21"/>
          <w:szCs w:val="21"/>
          <w:highlight w:val="none"/>
        </w:rPr>
        <w:t>相互约请对本合同执行情况进行检查。</w:t>
      </w:r>
    </w:p>
    <w:p w14:paraId="162B9195">
      <w:pPr>
        <w:autoSpaceDE w:val="0"/>
        <w:autoSpaceDN w:val="0"/>
        <w:adjustRightInd w:val="0"/>
        <w:spacing w:line="360" w:lineRule="auto"/>
        <w:ind w:right="184" w:firstLine="422" w:firstLineChars="200"/>
        <w:jc w:val="left"/>
        <w:rPr>
          <w:rFonts w:hint="default" w:asciiTheme="minorEastAsia" w:hAnsiTheme="minorEastAsia" w:eastAsiaTheme="minorEastAsia" w:cstheme="minorEastAsia"/>
          <w:b/>
          <w:bCs/>
          <w:color w:val="auto"/>
          <w:kern w:val="0"/>
          <w:sz w:val="21"/>
          <w:szCs w:val="21"/>
          <w:highlight w:val="none"/>
        </w:rPr>
      </w:pPr>
      <w:r>
        <w:rPr>
          <w:rFonts w:asciiTheme="minorEastAsia" w:hAnsiTheme="minorEastAsia" w:eastAsiaTheme="minorEastAsia" w:cstheme="minorEastAsia"/>
          <w:b/>
          <w:bCs/>
          <w:color w:val="auto"/>
          <w:kern w:val="0"/>
          <w:sz w:val="21"/>
          <w:szCs w:val="21"/>
          <w:highlight w:val="none"/>
        </w:rPr>
        <w:t>6  合同法律效力</w:t>
      </w:r>
    </w:p>
    <w:p w14:paraId="3D3DD54A">
      <w:pPr>
        <w:autoSpaceDE w:val="0"/>
        <w:autoSpaceDN w:val="0"/>
        <w:adjustRightInd w:val="0"/>
        <w:spacing w:line="360" w:lineRule="auto"/>
        <w:ind w:right="184"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本合同作为</w:t>
      </w:r>
      <w:r>
        <w:rPr>
          <w:rFonts w:asciiTheme="minorEastAsia" w:hAnsiTheme="minorEastAsia" w:eastAsiaTheme="minorEastAsia" w:cstheme="minorEastAsia"/>
          <w:color w:val="auto"/>
          <w:kern w:val="0"/>
          <w:sz w:val="21"/>
          <w:szCs w:val="21"/>
          <w:highlight w:val="none"/>
          <w:u w:val="single"/>
        </w:rPr>
        <w:t xml:space="preserve"> </w:t>
      </w:r>
      <w:r>
        <w:rPr>
          <w:rFonts w:asciiTheme="minorEastAsia" w:hAnsiTheme="minorEastAsia" w:eastAsiaTheme="minorEastAsia" w:cstheme="minorEastAsia"/>
          <w:bCs/>
          <w:color w:val="auto"/>
          <w:sz w:val="21"/>
          <w:szCs w:val="21"/>
          <w:highlight w:val="none"/>
          <w:u w:val="single"/>
        </w:rPr>
        <w:t xml:space="preserve">                                                 </w:t>
      </w:r>
      <w:r>
        <w:rPr>
          <w:rFonts w:asciiTheme="minorEastAsia" w:hAnsiTheme="minorEastAsia" w:eastAsiaTheme="minorEastAsia" w:cstheme="minorEastAsia"/>
          <w:color w:val="auto"/>
          <w:kern w:val="0"/>
          <w:sz w:val="21"/>
          <w:szCs w:val="21"/>
          <w:highlight w:val="none"/>
          <w:u w:val="single"/>
        </w:rPr>
        <w:t xml:space="preserve">  </w:t>
      </w:r>
      <w:r>
        <w:rPr>
          <w:rFonts w:asciiTheme="minorEastAsia" w:hAnsiTheme="minorEastAsia" w:eastAsiaTheme="minorEastAsia" w:cstheme="minorEastAsia"/>
          <w:color w:val="auto"/>
          <w:kern w:val="0"/>
          <w:sz w:val="21"/>
          <w:szCs w:val="21"/>
          <w:highlight w:val="none"/>
        </w:rPr>
        <w:t>（工程名称） 工程施工合同的附件，与施工合同具有同等的法律效力。</w:t>
      </w:r>
    </w:p>
    <w:p w14:paraId="2668F468">
      <w:pPr>
        <w:autoSpaceDE w:val="0"/>
        <w:autoSpaceDN w:val="0"/>
        <w:adjustRightInd w:val="0"/>
        <w:spacing w:line="360" w:lineRule="auto"/>
        <w:ind w:right="184" w:firstLine="422"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b/>
          <w:bCs/>
          <w:color w:val="auto"/>
          <w:kern w:val="0"/>
          <w:sz w:val="21"/>
          <w:szCs w:val="21"/>
          <w:highlight w:val="none"/>
        </w:rPr>
        <w:t>7</w:t>
      </w:r>
      <w:r>
        <w:rPr>
          <w:rFonts w:asciiTheme="minorEastAsia" w:hAnsiTheme="minorEastAsia" w:eastAsiaTheme="minorEastAsia" w:cstheme="minorEastAsia"/>
          <w:b/>
          <w:bCs/>
          <w:color w:val="auto"/>
          <w:kern w:val="0"/>
          <w:sz w:val="21"/>
          <w:szCs w:val="21"/>
          <w:highlight w:val="none"/>
        </w:rPr>
        <w:tab/>
      </w:r>
      <w:r>
        <w:rPr>
          <w:rFonts w:asciiTheme="minorEastAsia" w:hAnsiTheme="minorEastAsia" w:eastAsiaTheme="minorEastAsia" w:cstheme="minorEastAsia"/>
          <w:b/>
          <w:bCs/>
          <w:color w:val="auto"/>
          <w:spacing w:val="1"/>
          <w:kern w:val="0"/>
          <w:sz w:val="21"/>
          <w:szCs w:val="21"/>
          <w:highlight w:val="none"/>
        </w:rPr>
        <w:t>合同生效</w:t>
      </w:r>
    </w:p>
    <w:p w14:paraId="771C4B41">
      <w:pPr>
        <w:autoSpaceDE w:val="0"/>
        <w:autoSpaceDN w:val="0"/>
        <w:adjustRightInd w:val="0"/>
        <w:spacing w:line="360" w:lineRule="auto"/>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本合同自合同双方当事人签署之日起生效，至合同工程竣工验收合格之日后失效。</w:t>
      </w:r>
    </w:p>
    <w:p w14:paraId="2381BD68">
      <w:pPr>
        <w:autoSpaceDE w:val="0"/>
        <w:autoSpaceDN w:val="0"/>
        <w:adjustRightInd w:val="0"/>
        <w:spacing w:line="360" w:lineRule="auto"/>
        <w:ind w:firstLine="422" w:firstLineChars="200"/>
        <w:jc w:val="left"/>
        <w:rPr>
          <w:rFonts w:hint="default" w:asciiTheme="minorEastAsia" w:hAnsiTheme="minorEastAsia" w:eastAsiaTheme="minorEastAsia" w:cstheme="minorEastAsia"/>
          <w:b/>
          <w:bCs/>
          <w:color w:val="auto"/>
          <w:spacing w:val="1"/>
          <w:kern w:val="0"/>
          <w:sz w:val="21"/>
          <w:szCs w:val="21"/>
          <w:highlight w:val="none"/>
        </w:rPr>
      </w:pPr>
      <w:r>
        <w:rPr>
          <w:rFonts w:asciiTheme="minorEastAsia" w:hAnsiTheme="minorEastAsia" w:eastAsiaTheme="minorEastAsia" w:cstheme="minorEastAsia"/>
          <w:b/>
          <w:bCs/>
          <w:color w:val="auto"/>
          <w:kern w:val="0"/>
          <w:sz w:val="21"/>
          <w:szCs w:val="21"/>
          <w:highlight w:val="none"/>
        </w:rPr>
        <w:t>8</w:t>
      </w:r>
      <w:r>
        <w:rPr>
          <w:rFonts w:asciiTheme="minorEastAsia" w:hAnsiTheme="minorEastAsia" w:eastAsiaTheme="minorEastAsia" w:cstheme="minorEastAsia"/>
          <w:b/>
          <w:bCs/>
          <w:color w:val="auto"/>
          <w:kern w:val="0"/>
          <w:sz w:val="21"/>
          <w:szCs w:val="21"/>
          <w:highlight w:val="none"/>
        </w:rPr>
        <w:tab/>
      </w:r>
      <w:r>
        <w:rPr>
          <w:rFonts w:asciiTheme="minorEastAsia" w:hAnsiTheme="minorEastAsia" w:eastAsiaTheme="minorEastAsia" w:cstheme="minorEastAsia"/>
          <w:b/>
          <w:bCs/>
          <w:color w:val="auto"/>
          <w:spacing w:val="1"/>
          <w:kern w:val="0"/>
          <w:sz w:val="21"/>
          <w:szCs w:val="21"/>
          <w:highlight w:val="none"/>
        </w:rPr>
        <w:t>合同份数</w:t>
      </w:r>
    </w:p>
    <w:p w14:paraId="25068615">
      <w:pPr>
        <w:autoSpaceDE w:val="0"/>
        <w:autoSpaceDN w:val="0"/>
        <w:adjustRightInd w:val="0"/>
        <w:spacing w:line="360" w:lineRule="auto"/>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本合同一</w:t>
      </w:r>
      <w:r>
        <w:rPr>
          <w:rFonts w:asciiTheme="minorEastAsia" w:hAnsiTheme="minorEastAsia" w:eastAsiaTheme="minorEastAsia" w:cstheme="minorEastAsia"/>
          <w:color w:val="auto"/>
          <w:spacing w:val="1"/>
          <w:kern w:val="0"/>
          <w:sz w:val="21"/>
          <w:szCs w:val="21"/>
          <w:highlight w:val="none"/>
        </w:rPr>
        <w:t>式</w:t>
      </w:r>
      <w:r>
        <w:rPr>
          <w:rFonts w:asciiTheme="minorEastAsia" w:hAnsiTheme="minorEastAsia" w:eastAsiaTheme="minorEastAsia" w:cstheme="minorEastAsia"/>
          <w:color w:val="auto"/>
          <w:kern w:val="0"/>
          <w:sz w:val="21"/>
          <w:szCs w:val="21"/>
          <w:highlight w:val="none"/>
          <w:u w:val="single"/>
        </w:rPr>
        <w:t xml:space="preserve">    </w:t>
      </w:r>
      <w:r>
        <w:rPr>
          <w:rFonts w:asciiTheme="minorEastAsia" w:hAnsiTheme="minorEastAsia" w:eastAsiaTheme="minorEastAsia" w:cstheme="minorEastAsia"/>
          <w:color w:val="auto"/>
          <w:kern w:val="0"/>
          <w:sz w:val="21"/>
          <w:szCs w:val="21"/>
          <w:highlight w:val="none"/>
        </w:rPr>
        <w:t>份，合同双方当事人各</w:t>
      </w:r>
      <w:r>
        <w:rPr>
          <w:rFonts w:asciiTheme="minorEastAsia" w:hAnsiTheme="minorEastAsia" w:eastAsiaTheme="minorEastAsia" w:cstheme="minorEastAsia"/>
          <w:color w:val="auto"/>
          <w:spacing w:val="2"/>
          <w:kern w:val="0"/>
          <w:sz w:val="21"/>
          <w:szCs w:val="21"/>
          <w:highlight w:val="none"/>
        </w:rPr>
        <w:t>执</w:t>
      </w:r>
      <w:r>
        <w:rPr>
          <w:rFonts w:asciiTheme="minorEastAsia" w:hAnsiTheme="minorEastAsia" w:eastAsiaTheme="minorEastAsia" w:cstheme="minorEastAsia"/>
          <w:color w:val="auto"/>
          <w:kern w:val="0"/>
          <w:sz w:val="21"/>
          <w:szCs w:val="21"/>
          <w:highlight w:val="none"/>
          <w:u w:val="single"/>
        </w:rPr>
        <w:t xml:space="preserve">    </w:t>
      </w:r>
      <w:r>
        <w:rPr>
          <w:rFonts w:asciiTheme="minorEastAsia" w:hAnsiTheme="minorEastAsia" w:eastAsiaTheme="minorEastAsia" w:cstheme="minorEastAsia"/>
          <w:color w:val="auto"/>
          <w:spacing w:val="1"/>
          <w:kern w:val="0"/>
          <w:sz w:val="21"/>
          <w:szCs w:val="21"/>
          <w:highlight w:val="none"/>
        </w:rPr>
        <w:t>份。有上级部门的，合同双方当事人应各送</w:t>
      </w:r>
      <w:r>
        <w:rPr>
          <w:rFonts w:asciiTheme="minorEastAsia" w:hAnsiTheme="minorEastAsia" w:eastAsiaTheme="minorEastAsia" w:cstheme="minorEastAsia"/>
          <w:color w:val="auto"/>
          <w:kern w:val="0"/>
          <w:sz w:val="21"/>
          <w:szCs w:val="21"/>
          <w:highlight w:val="none"/>
        </w:rPr>
        <w:t>交其上级部门一份。</w:t>
      </w:r>
    </w:p>
    <w:p w14:paraId="3E376DB9">
      <w:pPr>
        <w:autoSpaceDE w:val="0"/>
        <w:autoSpaceDN w:val="0"/>
        <w:adjustRightInd w:val="0"/>
        <w:spacing w:before="3" w:line="130" w:lineRule="exact"/>
        <w:jc w:val="left"/>
        <w:rPr>
          <w:rFonts w:hint="default" w:asciiTheme="minorEastAsia" w:hAnsiTheme="minorEastAsia" w:eastAsiaTheme="minorEastAsia" w:cstheme="minorEastAsia"/>
          <w:color w:val="auto"/>
          <w:kern w:val="0"/>
          <w:sz w:val="21"/>
          <w:szCs w:val="21"/>
          <w:highlight w:val="none"/>
        </w:rPr>
      </w:pPr>
    </w:p>
    <w:p w14:paraId="577BA4D4">
      <w:pPr>
        <w:autoSpaceDE w:val="0"/>
        <w:autoSpaceDN w:val="0"/>
        <w:adjustRightInd w:val="0"/>
        <w:spacing w:line="200" w:lineRule="exact"/>
        <w:jc w:val="left"/>
        <w:rPr>
          <w:rFonts w:hint="default" w:asciiTheme="minorEastAsia" w:hAnsiTheme="minorEastAsia" w:eastAsiaTheme="minorEastAsia" w:cstheme="minorEastAsia"/>
          <w:color w:val="auto"/>
          <w:kern w:val="0"/>
          <w:sz w:val="21"/>
          <w:szCs w:val="21"/>
          <w:highlight w:val="none"/>
        </w:rPr>
      </w:pPr>
    </w:p>
    <w:p w14:paraId="086BB5E8">
      <w:pPr>
        <w:autoSpaceDE w:val="0"/>
        <w:autoSpaceDN w:val="0"/>
        <w:adjustRightInd w:val="0"/>
        <w:spacing w:line="200" w:lineRule="exact"/>
        <w:jc w:val="left"/>
        <w:rPr>
          <w:rFonts w:hint="default" w:asciiTheme="minorEastAsia" w:hAnsiTheme="minorEastAsia" w:eastAsiaTheme="minorEastAsia" w:cstheme="minorEastAsia"/>
          <w:color w:val="auto"/>
          <w:kern w:val="0"/>
          <w:sz w:val="21"/>
          <w:szCs w:val="21"/>
          <w:highlight w:val="none"/>
        </w:rPr>
      </w:pPr>
    </w:p>
    <w:p w14:paraId="279487AC">
      <w:pPr>
        <w:autoSpaceDE w:val="0"/>
        <w:autoSpaceDN w:val="0"/>
        <w:adjustRightInd w:val="0"/>
        <w:spacing w:line="200" w:lineRule="exact"/>
        <w:jc w:val="left"/>
        <w:rPr>
          <w:rFonts w:hint="default" w:asciiTheme="minorEastAsia" w:hAnsiTheme="minorEastAsia" w:eastAsiaTheme="minorEastAsia" w:cstheme="minorEastAsia"/>
          <w:color w:val="auto"/>
          <w:kern w:val="0"/>
          <w:sz w:val="21"/>
          <w:szCs w:val="21"/>
          <w:highlight w:val="none"/>
        </w:rPr>
      </w:pPr>
    </w:p>
    <w:p w14:paraId="742BE777">
      <w:pPr>
        <w:autoSpaceDE w:val="0"/>
        <w:autoSpaceDN w:val="0"/>
        <w:adjustRightInd w:val="0"/>
        <w:spacing w:line="400" w:lineRule="exact"/>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 xml:space="preserve">     发 包 人</w:t>
      </w:r>
      <w:r>
        <w:rPr>
          <w:rFonts w:asciiTheme="minorEastAsia" w:hAnsiTheme="minorEastAsia" w:eastAsiaTheme="minorEastAsia" w:cstheme="minorEastAsia"/>
          <w:color w:val="auto"/>
          <w:spacing w:val="-120"/>
          <w:kern w:val="0"/>
          <w:sz w:val="21"/>
          <w:szCs w:val="21"/>
          <w:highlight w:val="none"/>
        </w:rPr>
        <w:t>：</w:t>
      </w:r>
      <w:r>
        <w:rPr>
          <w:rFonts w:asciiTheme="minorEastAsia" w:hAnsiTheme="minorEastAsia" w:eastAsiaTheme="minorEastAsia" w:cstheme="minorEastAsia"/>
          <w:color w:val="auto"/>
          <w:kern w:val="0"/>
          <w:sz w:val="21"/>
          <w:szCs w:val="21"/>
          <w:highlight w:val="none"/>
        </w:rPr>
        <w:t>（公章）</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 xml:space="preserve">                    承 包 人 </w:t>
      </w:r>
      <w:r>
        <w:rPr>
          <w:rFonts w:asciiTheme="minorEastAsia" w:hAnsiTheme="minorEastAsia" w:eastAsiaTheme="minorEastAsia" w:cstheme="minorEastAsia"/>
          <w:color w:val="auto"/>
          <w:spacing w:val="-120"/>
          <w:kern w:val="0"/>
          <w:sz w:val="21"/>
          <w:szCs w:val="21"/>
          <w:highlight w:val="none"/>
        </w:rPr>
        <w:t>：</w:t>
      </w:r>
      <w:r>
        <w:rPr>
          <w:rFonts w:asciiTheme="minorEastAsia" w:hAnsiTheme="minorEastAsia" w:eastAsiaTheme="minorEastAsia" w:cstheme="minorEastAsia"/>
          <w:color w:val="auto"/>
          <w:kern w:val="0"/>
          <w:sz w:val="21"/>
          <w:szCs w:val="21"/>
          <w:highlight w:val="none"/>
        </w:rPr>
        <w:t xml:space="preserve">（公章） </w:t>
      </w:r>
    </w:p>
    <w:p w14:paraId="0AC9F015">
      <w:pPr>
        <w:autoSpaceDE w:val="0"/>
        <w:autoSpaceDN w:val="0"/>
        <w:adjustRightInd w:val="0"/>
        <w:spacing w:line="400" w:lineRule="exact"/>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 xml:space="preserve">     法定代表人</w:t>
      </w:r>
      <w:r>
        <w:rPr>
          <w:rFonts w:asciiTheme="minorEastAsia" w:hAnsiTheme="minorEastAsia" w:eastAsiaTheme="minorEastAsia" w:cstheme="minorEastAsia"/>
          <w:color w:val="auto"/>
          <w:spacing w:val="-120"/>
          <w:kern w:val="0"/>
          <w:sz w:val="21"/>
          <w:szCs w:val="21"/>
          <w:highlight w:val="none"/>
        </w:rPr>
        <w:t>：</w:t>
      </w:r>
      <w:r>
        <w:rPr>
          <w:rFonts w:asciiTheme="minorEastAsia" w:hAnsiTheme="minorEastAsia" w:eastAsiaTheme="minorEastAsia" w:cstheme="minorEastAsia"/>
          <w:color w:val="auto"/>
          <w:kern w:val="0"/>
          <w:sz w:val="21"/>
          <w:szCs w:val="21"/>
          <w:highlight w:val="none"/>
        </w:rPr>
        <w:t>（签字）</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 xml:space="preserve">                 法定代表人</w:t>
      </w:r>
      <w:r>
        <w:rPr>
          <w:rFonts w:asciiTheme="minorEastAsia" w:hAnsiTheme="minorEastAsia" w:eastAsiaTheme="minorEastAsia" w:cstheme="minorEastAsia"/>
          <w:color w:val="auto"/>
          <w:spacing w:val="-120"/>
          <w:kern w:val="0"/>
          <w:sz w:val="21"/>
          <w:szCs w:val="21"/>
          <w:highlight w:val="none"/>
        </w:rPr>
        <w:t>：</w:t>
      </w:r>
      <w:r>
        <w:rPr>
          <w:rFonts w:asciiTheme="minorEastAsia" w:hAnsiTheme="minorEastAsia" w:eastAsiaTheme="minorEastAsia" w:cstheme="minorEastAsia"/>
          <w:color w:val="auto"/>
          <w:kern w:val="0"/>
          <w:sz w:val="21"/>
          <w:szCs w:val="21"/>
          <w:highlight w:val="none"/>
        </w:rPr>
        <w:t xml:space="preserve">（签字） </w:t>
      </w:r>
    </w:p>
    <w:p w14:paraId="6E29D31D">
      <w:pPr>
        <w:autoSpaceDE w:val="0"/>
        <w:autoSpaceDN w:val="0"/>
        <w:adjustRightInd w:val="0"/>
        <w:spacing w:line="400" w:lineRule="exact"/>
        <w:ind w:firstLine="420" w:firstLineChars="200"/>
        <w:jc w:val="left"/>
        <w:rPr>
          <w:rFonts w:hint="default" w:asciiTheme="minorEastAsia" w:hAnsiTheme="minorEastAsia" w:eastAsiaTheme="minorEastAsia" w:cstheme="minorEastAsia"/>
          <w:color w:val="auto"/>
          <w:kern w:val="0"/>
          <w:sz w:val="21"/>
          <w:szCs w:val="21"/>
          <w:highlight w:val="none"/>
          <w:u w:val="single"/>
        </w:rPr>
      </w:pPr>
      <w:r>
        <w:rPr>
          <w:rFonts w:asciiTheme="minorEastAsia" w:hAnsiTheme="minorEastAsia" w:eastAsiaTheme="minorEastAsia" w:cstheme="minorEastAsia"/>
          <w:color w:val="auto"/>
          <w:kern w:val="0"/>
          <w:sz w:val="21"/>
          <w:szCs w:val="21"/>
          <w:highlight w:val="none"/>
        </w:rPr>
        <w:t xml:space="preserve">     联系电话：</w:t>
      </w:r>
      <w:r>
        <w:rPr>
          <w:rFonts w:asciiTheme="minorEastAsia" w:hAnsiTheme="minorEastAsia" w:eastAsiaTheme="minorEastAsia" w:cstheme="minorEastAsia"/>
          <w:color w:val="auto"/>
          <w:kern w:val="0"/>
          <w:sz w:val="21"/>
          <w:szCs w:val="21"/>
          <w:highlight w:val="none"/>
          <w:u w:val="single"/>
        </w:rPr>
        <w:tab/>
      </w:r>
      <w:r>
        <w:rPr>
          <w:rFonts w:asciiTheme="minorEastAsia" w:hAnsiTheme="minorEastAsia" w:eastAsiaTheme="minorEastAsia" w:cstheme="minorEastAsia"/>
          <w:color w:val="auto"/>
          <w:kern w:val="0"/>
          <w:sz w:val="21"/>
          <w:szCs w:val="21"/>
          <w:highlight w:val="none"/>
          <w:u w:val="single"/>
        </w:rPr>
        <w:tab/>
      </w:r>
      <w:r>
        <w:rPr>
          <w:rFonts w:asciiTheme="minorEastAsia" w:hAnsiTheme="minorEastAsia" w:eastAsiaTheme="minorEastAsia" w:cstheme="minorEastAsia"/>
          <w:color w:val="auto"/>
          <w:kern w:val="0"/>
          <w:sz w:val="21"/>
          <w:szCs w:val="21"/>
          <w:highlight w:val="none"/>
        </w:rPr>
        <w:t xml:space="preserve">                     联系电话：</w:t>
      </w:r>
    </w:p>
    <w:p w14:paraId="25AD7268">
      <w:pPr>
        <w:autoSpaceDE w:val="0"/>
        <w:autoSpaceDN w:val="0"/>
        <w:adjustRightInd w:val="0"/>
        <w:spacing w:line="400" w:lineRule="exact"/>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 xml:space="preserve">     上级部门：（公章）                     上级部门：（公章）</w:t>
      </w:r>
    </w:p>
    <w:p w14:paraId="63931D73">
      <w:pPr>
        <w:autoSpaceDE w:val="0"/>
        <w:autoSpaceDN w:val="0"/>
        <w:adjustRightInd w:val="0"/>
        <w:spacing w:line="400" w:lineRule="exact"/>
        <w:jc w:val="left"/>
        <w:rPr>
          <w:rFonts w:hint="default" w:asciiTheme="minorEastAsia" w:hAnsiTheme="minorEastAsia" w:eastAsiaTheme="minorEastAsia" w:cstheme="minorEastAsia"/>
          <w:color w:val="auto"/>
          <w:kern w:val="0"/>
          <w:sz w:val="21"/>
          <w:szCs w:val="21"/>
          <w:highlight w:val="none"/>
        </w:rPr>
      </w:pPr>
    </w:p>
    <w:p w14:paraId="6381964B">
      <w:pPr>
        <w:autoSpaceDE w:val="0"/>
        <w:autoSpaceDN w:val="0"/>
        <w:adjustRightInd w:val="0"/>
        <w:spacing w:line="400" w:lineRule="exact"/>
        <w:ind w:firstLine="420" w:firstLineChars="200"/>
        <w:jc w:val="left"/>
        <w:rPr>
          <w:rFonts w:hint="default" w:asciiTheme="minorEastAsia" w:hAnsiTheme="minorEastAsia" w:eastAsiaTheme="minorEastAsia" w:cstheme="minorEastAsia"/>
          <w:b/>
          <w:bCs/>
          <w:color w:val="auto"/>
          <w:sz w:val="32"/>
          <w:szCs w:val="32"/>
          <w:highlight w:val="none"/>
        </w:rPr>
      </w:pPr>
      <w:r>
        <w:rPr>
          <w:rFonts w:asciiTheme="minorEastAsia" w:hAnsiTheme="minorEastAsia" w:eastAsiaTheme="minorEastAsia" w:cstheme="minorEastAsia"/>
          <w:color w:val="auto"/>
          <w:kern w:val="0"/>
          <w:sz w:val="21"/>
          <w:szCs w:val="21"/>
          <w:highlight w:val="none"/>
        </w:rPr>
        <w:t xml:space="preserve">          年   月    日                                年   月   日</w:t>
      </w:r>
    </w:p>
    <w:p w14:paraId="724789C0">
      <w:pPr>
        <w:pStyle w:val="4"/>
        <w:ind w:left="4511" w:leftChars="174" w:hanging="4093" w:hangingChars="1274"/>
        <w:jc w:val="center"/>
        <w:rPr>
          <w:rFonts w:asciiTheme="minorEastAsia" w:hAnsiTheme="minorEastAsia" w:eastAsiaTheme="minorEastAsia" w:cstheme="minorEastAsia"/>
          <w:bCs/>
          <w:color w:val="auto"/>
          <w:sz w:val="32"/>
          <w:szCs w:val="32"/>
          <w:highlight w:val="none"/>
        </w:rPr>
      </w:pPr>
      <w:bookmarkStart w:id="620" w:name="_Toc6897"/>
      <w:bookmarkStart w:id="621" w:name="_Toc28513"/>
      <w:bookmarkStart w:id="622" w:name="_Toc29017"/>
      <w:bookmarkStart w:id="623" w:name="_Toc20715"/>
      <w:bookmarkStart w:id="624" w:name="_Toc126"/>
      <w:bookmarkStart w:id="625" w:name="_Toc11559"/>
      <w:bookmarkStart w:id="626" w:name="_Toc24859"/>
      <w:bookmarkStart w:id="627" w:name="_Toc18530"/>
      <w:r>
        <w:rPr>
          <w:rFonts w:hint="eastAsia" w:asciiTheme="minorEastAsia" w:hAnsiTheme="minorEastAsia" w:eastAsiaTheme="minorEastAsia" w:cstheme="minorEastAsia"/>
          <w:bCs/>
          <w:color w:val="auto"/>
          <w:sz w:val="32"/>
          <w:szCs w:val="32"/>
          <w:highlight w:val="none"/>
        </w:rPr>
        <w:br w:type="page"/>
      </w:r>
      <w:bookmarkStart w:id="628" w:name="_Toc10245"/>
      <w:bookmarkStart w:id="629" w:name="_Toc3619"/>
      <w:bookmarkStart w:id="630" w:name="_Toc30796"/>
      <w:r>
        <w:rPr>
          <w:rFonts w:hint="eastAsia" w:asciiTheme="minorEastAsia" w:hAnsiTheme="minorEastAsia" w:eastAsiaTheme="minorEastAsia" w:cstheme="minorEastAsia"/>
          <w:bCs/>
          <w:color w:val="auto"/>
          <w:sz w:val="32"/>
          <w:szCs w:val="32"/>
          <w:highlight w:val="none"/>
        </w:rPr>
        <w:t>履约保函</w:t>
      </w:r>
      <w:bookmarkEnd w:id="620"/>
      <w:bookmarkEnd w:id="621"/>
      <w:bookmarkEnd w:id="622"/>
      <w:bookmarkEnd w:id="623"/>
      <w:bookmarkEnd w:id="624"/>
      <w:bookmarkEnd w:id="625"/>
      <w:bookmarkEnd w:id="626"/>
      <w:bookmarkEnd w:id="627"/>
      <w:bookmarkEnd w:id="628"/>
      <w:bookmarkEnd w:id="629"/>
      <w:bookmarkEnd w:id="630"/>
    </w:p>
    <w:p w14:paraId="4C6B2EA1">
      <w:pPr>
        <w:spacing w:line="360" w:lineRule="auto"/>
        <w:jc w:val="center"/>
        <w:rPr>
          <w:rFonts w:hint="default" w:asciiTheme="minorEastAsia" w:hAnsiTheme="minorEastAsia" w:eastAsiaTheme="minorEastAsia" w:cstheme="minorEastAsia"/>
          <w:b/>
          <w:bCs/>
          <w:color w:val="auto"/>
          <w:sz w:val="32"/>
          <w:szCs w:val="32"/>
          <w:highlight w:val="none"/>
        </w:rPr>
      </w:pPr>
    </w:p>
    <w:p w14:paraId="526F3452">
      <w:pPr>
        <w:wordWrap w:val="0"/>
        <w:spacing w:line="360" w:lineRule="auto"/>
        <w:jc w:val="right"/>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编号：           </w:t>
      </w:r>
    </w:p>
    <w:p w14:paraId="651BD540">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申请人：</w:t>
      </w:r>
    </w:p>
    <w:p w14:paraId="2215AC07">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  地址：</w:t>
      </w:r>
    </w:p>
    <w:p w14:paraId="48F74270">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受益人：</w:t>
      </w:r>
    </w:p>
    <w:p w14:paraId="2B7F6640">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  地址：</w:t>
      </w:r>
    </w:p>
    <w:p w14:paraId="0DFD8AAC">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开立人：</w:t>
      </w:r>
    </w:p>
    <w:p w14:paraId="5586284A">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  地址：</w:t>
      </w:r>
    </w:p>
    <w:p w14:paraId="76528490">
      <w:pPr>
        <w:spacing w:line="360" w:lineRule="auto"/>
        <w:rPr>
          <w:rFonts w:hint="default" w:asciiTheme="minorEastAsia" w:hAnsiTheme="minorEastAsia" w:eastAsiaTheme="minorEastAsia" w:cstheme="minorEastAsia"/>
          <w:color w:val="auto"/>
          <w:sz w:val="21"/>
          <w:szCs w:val="21"/>
          <w:highlight w:val="none"/>
        </w:rPr>
      </w:pPr>
    </w:p>
    <w:p w14:paraId="0D7F303B">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 xml:space="preserve">（受益人名称）： </w:t>
      </w:r>
    </w:p>
    <w:p w14:paraId="2E6755D1">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鉴于</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（以下简称“受益人”）与</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（以下简称“申请人”）于</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年</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月</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日就</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工程（以下简称“本工程”）施工和有关事项协商一致共同签订</w:t>
      </w:r>
      <w:r>
        <w:rPr>
          <w:rFonts w:asciiTheme="minorEastAsia" w:hAnsiTheme="minorEastAsia" w:eastAsiaTheme="minorEastAsia" w:cstheme="minorEastAsia"/>
          <w:color w:val="auto"/>
          <w:sz w:val="21"/>
          <w:szCs w:val="21"/>
          <w:highlight w:val="none"/>
          <w:u w:val="single"/>
        </w:rPr>
        <w:t>《        》</w:t>
      </w:r>
      <w:r>
        <w:rPr>
          <w:rFonts w:asciiTheme="minorEastAsia" w:hAnsiTheme="minorEastAsia" w:eastAsiaTheme="minorEastAsia" w:cstheme="minorEastAsia"/>
          <w:color w:val="auto"/>
          <w:sz w:val="21"/>
          <w:szCs w:val="21"/>
          <w:highlight w:val="none"/>
        </w:rPr>
        <w:t xml:space="preserve">（以下简称“基础合同”），我方（即“开立人”）根据基础合同了解到申请人为基础合同项下之中标人，受益人为基础合同项下之招标人，基于申请人的请求，我方同意就申请人履行与贵方签订的基础合同项下的义务，向贵方提供不可撤销、不可转让的见索即付独立保函（以下简称“本保函”）。 </w:t>
      </w:r>
    </w:p>
    <w:p w14:paraId="7099D8E1">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一、本保函担保范围：中标人未按照基础合同的约定履行义务，应当向贵方承担的违约责任和赔偿因此造成的损失、利息、律师费、诉讼费用等实现债权的费用。</w:t>
      </w:r>
    </w:p>
    <w:p w14:paraId="41E20236">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二、本保函担保金额最高不超过人民币（大写）</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元（¥</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 xml:space="preserve">）。 </w:t>
      </w:r>
    </w:p>
    <w:p w14:paraId="05046F78">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三、本保函有效期自开立之日起至基础合同约定的缺陷责任期后</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日止，最迟不超过</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年</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月</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 xml:space="preserve">日。 </w:t>
      </w:r>
    </w:p>
    <w:p w14:paraId="72E05A57">
      <w:pPr>
        <w:spacing w:line="360" w:lineRule="auto"/>
        <w:ind w:firstLine="48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四、我方承诺，在收到受益人发来的书面付款通知后的</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日内无条件支付，前述书面付款通知即为付款要求之单据，且应满足以下要求：</w:t>
      </w:r>
    </w:p>
    <w:p w14:paraId="0EE55A19">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（1）付款通知到达的日期在本保函的有效期内；</w:t>
      </w:r>
    </w:p>
    <w:p w14:paraId="57086AA1">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（2）载明要求支付的金额；</w:t>
      </w:r>
    </w:p>
    <w:p w14:paraId="2988D1E2">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（3）载明申请人违反合同义务的条款和内容；</w:t>
      </w:r>
    </w:p>
    <w:p w14:paraId="699CBCEF">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（4）声明不存在合同文件约定或我国法律规定免除申请人或开立人支付责任的情形；</w:t>
      </w:r>
    </w:p>
    <w:p w14:paraId="18C3F9B2">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（5）付款通知应在本保函有效期内到达的地址是：</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w:t>
      </w:r>
    </w:p>
    <w:p w14:paraId="37D86B64">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受益人发出的书面付款通知应由其为鉴明受益人法定代表人（负责人）或授权代理人签字并加盖公章。</w:t>
      </w:r>
    </w:p>
    <w:p w14:paraId="1F0C2251">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五、本保函项下的权利不得转让，不得设定担保。贵方未经我方书面同意转 让本保函或其项下任何权利，对我方不发生法律效力。 </w:t>
      </w:r>
    </w:p>
    <w:p w14:paraId="62CCCE6E">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六、与本保函有关的基础合同不成立、不生效、无效、被撤销、被解除，不影响本保函的独立有效。 </w:t>
      </w:r>
    </w:p>
    <w:p w14:paraId="696DC389">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七、贵方应在本保函到期后的七日内将本保函正本退回我方注销，但是不论贵方是否按此要求将本保函正本退回我方，我方在本保函项下的义务和责任均在保函有效期到期后自动消灭。 </w:t>
      </w:r>
    </w:p>
    <w:p w14:paraId="7A68B4D2">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八、本保函适用的法律为中华人民共和国法律，争议裁判管辖地为中华人民共和国</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 xml:space="preserve">。 </w:t>
      </w:r>
    </w:p>
    <w:p w14:paraId="75ADA9B1">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九、本保函自我方法定代表人或授权代表签字并加盖公章之日起生效。 </w:t>
      </w:r>
    </w:p>
    <w:p w14:paraId="4FC13078">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开 立 人：                              （公章） </w:t>
      </w:r>
    </w:p>
    <w:p w14:paraId="0E6AD3D0">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法定代表人（或授权代表）：               （签字） </w:t>
      </w:r>
    </w:p>
    <w:p w14:paraId="06C77583">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地    址：                                       </w:t>
      </w:r>
    </w:p>
    <w:p w14:paraId="6D7B06CF">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邮政编码：                 </w:t>
      </w:r>
    </w:p>
    <w:p w14:paraId="66816E11">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电    话：                 </w:t>
      </w:r>
    </w:p>
    <w:p w14:paraId="18D4EA70">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传    真：                 </w:t>
      </w:r>
    </w:p>
    <w:p w14:paraId="572CAB13">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开立时间：      年      月    </w:t>
      </w:r>
    </w:p>
    <w:p w14:paraId="2DB6B098">
      <w:pPr>
        <w:spacing w:line="374" w:lineRule="auto"/>
        <w:ind w:left="698" w:right="524"/>
        <w:jc w:val="left"/>
        <w:rPr>
          <w:rFonts w:hint="default" w:asciiTheme="minorEastAsia" w:hAnsiTheme="minorEastAsia" w:eastAsiaTheme="minorEastAsia" w:cstheme="minorEastAsia"/>
          <w:strike/>
          <w:color w:val="auto"/>
          <w:sz w:val="21"/>
          <w:szCs w:val="21"/>
          <w:highlight w:val="none"/>
        </w:rPr>
        <w:sectPr>
          <w:headerReference r:id="rId7" w:type="default"/>
          <w:footerReference r:id="rId8" w:type="default"/>
          <w:pgSz w:w="11907" w:h="16840"/>
          <w:pgMar w:top="1247" w:right="1474" w:bottom="1247" w:left="1361" w:header="680" w:footer="680" w:gutter="0"/>
          <w:cols w:space="720" w:num="1"/>
        </w:sectPr>
      </w:pPr>
    </w:p>
    <w:p w14:paraId="65A8DD12">
      <w:pPr>
        <w:pStyle w:val="66"/>
        <w:spacing w:line="440" w:lineRule="exact"/>
        <w:ind w:firstLine="0" w:firstLineChars="0"/>
        <w:rPr>
          <w:rFonts w:asciiTheme="minorEastAsia" w:hAnsiTheme="minorEastAsia" w:eastAsiaTheme="minorEastAsia" w:cstheme="minorEastAsia"/>
          <w:dstrike/>
          <w:color w:val="auto"/>
          <w:kern w:val="0"/>
          <w:highlight w:val="none"/>
        </w:rPr>
      </w:pPr>
    </w:p>
    <w:p w14:paraId="10FB1C29">
      <w:pPr>
        <w:pStyle w:val="4"/>
        <w:ind w:left="4511" w:leftChars="174" w:hanging="4093" w:hangingChars="1274"/>
        <w:jc w:val="center"/>
        <w:rPr>
          <w:rFonts w:asciiTheme="minorEastAsia" w:hAnsiTheme="minorEastAsia" w:eastAsiaTheme="minorEastAsia" w:cstheme="minorEastAsia"/>
          <w:bCs/>
          <w:color w:val="auto"/>
          <w:sz w:val="32"/>
          <w:szCs w:val="32"/>
          <w:highlight w:val="none"/>
        </w:rPr>
      </w:pPr>
      <w:bookmarkStart w:id="631" w:name="_Toc19146"/>
      <w:bookmarkStart w:id="632" w:name="_Toc14165"/>
      <w:bookmarkStart w:id="633" w:name="_Toc2375"/>
      <w:bookmarkStart w:id="634" w:name="_Toc31569"/>
      <w:bookmarkStart w:id="635" w:name="_Toc26369"/>
      <w:bookmarkStart w:id="636" w:name="_Toc3712"/>
      <w:bookmarkStart w:id="637" w:name="_Toc4768"/>
      <w:bookmarkStart w:id="638" w:name="_Toc15298"/>
      <w:bookmarkStart w:id="639" w:name="_Toc20309"/>
      <w:bookmarkStart w:id="640" w:name="_Toc3541"/>
      <w:bookmarkStart w:id="641" w:name="_Toc24975"/>
      <w:r>
        <w:rPr>
          <w:rFonts w:hint="eastAsia" w:asciiTheme="minorEastAsia" w:hAnsiTheme="minorEastAsia" w:eastAsiaTheme="minorEastAsia" w:cstheme="minorEastAsia"/>
          <w:bCs/>
          <w:color w:val="auto"/>
          <w:sz w:val="32"/>
          <w:szCs w:val="32"/>
          <w:highlight w:val="none"/>
        </w:rPr>
        <w:t>预付款保函</w:t>
      </w:r>
      <w:bookmarkEnd w:id="631"/>
      <w:bookmarkEnd w:id="632"/>
      <w:bookmarkEnd w:id="633"/>
      <w:bookmarkEnd w:id="634"/>
      <w:bookmarkEnd w:id="635"/>
      <w:bookmarkEnd w:id="636"/>
      <w:bookmarkEnd w:id="637"/>
      <w:bookmarkEnd w:id="638"/>
      <w:bookmarkEnd w:id="639"/>
      <w:bookmarkEnd w:id="640"/>
      <w:bookmarkEnd w:id="641"/>
    </w:p>
    <w:p w14:paraId="01225B0E">
      <w:pPr>
        <w:wordWrap w:val="0"/>
        <w:spacing w:line="360" w:lineRule="auto"/>
        <w:jc w:val="right"/>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编号：           </w:t>
      </w:r>
    </w:p>
    <w:p w14:paraId="0729539F">
      <w:pPr>
        <w:spacing w:line="360" w:lineRule="auto"/>
        <w:rPr>
          <w:rFonts w:hint="default" w:asciiTheme="minorEastAsia" w:hAnsiTheme="minorEastAsia" w:eastAsiaTheme="minorEastAsia" w:cstheme="minorEastAsia"/>
          <w:color w:val="auto"/>
          <w:sz w:val="21"/>
          <w:szCs w:val="21"/>
          <w:highlight w:val="none"/>
        </w:rPr>
      </w:pPr>
    </w:p>
    <w:p w14:paraId="4097DF87">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申请人：</w:t>
      </w:r>
    </w:p>
    <w:p w14:paraId="7AD62582">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  地址：</w:t>
      </w:r>
    </w:p>
    <w:p w14:paraId="332DE9BA">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受益人：</w:t>
      </w:r>
    </w:p>
    <w:p w14:paraId="73F1C851">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  地址：</w:t>
      </w:r>
    </w:p>
    <w:p w14:paraId="75C092FC">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开立人：</w:t>
      </w:r>
    </w:p>
    <w:p w14:paraId="336E3C30">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  地址：</w:t>
      </w:r>
    </w:p>
    <w:p w14:paraId="3AE8FE4F">
      <w:pPr>
        <w:spacing w:line="360" w:lineRule="auto"/>
        <w:rPr>
          <w:rFonts w:hint="default" w:asciiTheme="minorEastAsia" w:hAnsiTheme="minorEastAsia" w:eastAsiaTheme="minorEastAsia" w:cstheme="minorEastAsia"/>
          <w:color w:val="auto"/>
          <w:sz w:val="21"/>
          <w:szCs w:val="21"/>
          <w:highlight w:val="none"/>
        </w:rPr>
      </w:pPr>
    </w:p>
    <w:p w14:paraId="2449E5C1">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 xml:space="preserve">（受益人名称）： </w:t>
      </w:r>
    </w:p>
    <w:p w14:paraId="23E97842">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鉴于</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（以下简称“受益人”）与</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（以下简称“申请人”）于</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年</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月</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日就</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工程（以下简称“本工程”）施工和有关事项协商一致共同签订</w:t>
      </w:r>
      <w:r>
        <w:rPr>
          <w:rFonts w:asciiTheme="minorEastAsia" w:hAnsiTheme="minorEastAsia" w:eastAsiaTheme="minorEastAsia" w:cstheme="minorEastAsia"/>
          <w:color w:val="auto"/>
          <w:sz w:val="21"/>
          <w:szCs w:val="21"/>
          <w:highlight w:val="none"/>
          <w:u w:val="single"/>
        </w:rPr>
        <w:t>《        》</w:t>
      </w:r>
      <w:r>
        <w:rPr>
          <w:rFonts w:asciiTheme="minorEastAsia" w:hAnsiTheme="minorEastAsia" w:eastAsiaTheme="minorEastAsia" w:cstheme="minorEastAsia"/>
          <w:color w:val="auto"/>
          <w:sz w:val="21"/>
          <w:szCs w:val="21"/>
          <w:highlight w:val="none"/>
        </w:rPr>
        <w:t xml:space="preserve">（以下简称“基础合同”），我方（即“开立人”）根据主合同了解到申请人为主合同项下之中标人，受益人为主合同项下之招标人，基于申请人的请求，我方同意就申请人按照合同约定正确和合理地为合同目的使用预付款，向贵方提供不可撤销、不可转让的见索即付独立保函（以下简称“本保函”）。 </w:t>
      </w:r>
    </w:p>
    <w:p w14:paraId="5435AA80">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一、本保函担保范围：申请人未按照合同约定正确和合理地为合同目的使用预付款，应当向贵方承担的违约责任和赔偿因此造成的损失、利息、律师费、诉讼费用等实现债权的费用。</w:t>
      </w:r>
    </w:p>
    <w:p w14:paraId="1FDB6AB7">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二、本保函担保金额最高不超过人民币（大写）</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元（¥</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 xml:space="preserve">）。 </w:t>
      </w:r>
    </w:p>
    <w:p w14:paraId="364AF3B5">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三、本保函有效期自开立之日起至招标人全额扣回预付款后</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日止，最迟不超过</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年</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月</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日。</w:t>
      </w:r>
    </w:p>
    <w:p w14:paraId="754583C2">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四、我方承诺，在收到受益人发来的书面付款通知后的</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日内无条件支付，前述书面付款通知即为付款要求之单据，且应满足以下要求：</w:t>
      </w:r>
    </w:p>
    <w:p w14:paraId="738686D3">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（1）付款通知到达的日期在本保函的有效期内；</w:t>
      </w:r>
    </w:p>
    <w:p w14:paraId="2D549D7E">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（2）载明要求支付的金额；</w:t>
      </w:r>
    </w:p>
    <w:p w14:paraId="07B99CC3">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（3）载明申请人违反合同义务的条款和内容；</w:t>
      </w:r>
    </w:p>
    <w:p w14:paraId="0C9CC05D">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（4）声明不存在合同文件约定或我国法律规定免除申请人或开立人支付责任的情形；</w:t>
      </w:r>
    </w:p>
    <w:p w14:paraId="5D68224A">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（5）付款通知应在本保函有效期内到达的地址是：</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w:t>
      </w:r>
    </w:p>
    <w:p w14:paraId="27A56C00">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受益人发出的书面付款通知应由其为鉴明受益人法定代表人（负责人）或授权代理人签字并加盖公章。</w:t>
      </w:r>
    </w:p>
    <w:p w14:paraId="5D8F01D5">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五、本保函项下的权利不得转让，不得设定担保。贵方未经我方书面同意转 让本保函或其项下任何权利，对我方不发生法律效力。 </w:t>
      </w:r>
    </w:p>
    <w:p w14:paraId="44C61E2E">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六、与本保函有关的基础合同不成立、不生效、无效、被撤销、被解除，不影响本保函的独立有效。 </w:t>
      </w:r>
    </w:p>
    <w:p w14:paraId="1B38DFE9">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七、贵方应在本保函到期后的七日内将本保函正本退回我方注销，但是不论贵方是否按此要求将本保函正本退回我方，我方在本保函项下的义务和责任均在保函有效期到期后自动消灭。 </w:t>
      </w:r>
    </w:p>
    <w:p w14:paraId="16551944">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八、本保函适用的法律为中华人民共和国法律，争议裁判管辖地为中华人民共和国</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 xml:space="preserve">。 </w:t>
      </w:r>
    </w:p>
    <w:p w14:paraId="2C080586">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九、本保函自我方法定代表人或授权代表签字并加盖公章之日起生效。 </w:t>
      </w:r>
    </w:p>
    <w:p w14:paraId="197F361C">
      <w:pPr>
        <w:spacing w:line="360" w:lineRule="auto"/>
        <w:ind w:firstLine="420" w:firstLineChars="200"/>
        <w:rPr>
          <w:rFonts w:hint="default" w:asciiTheme="minorEastAsia" w:hAnsiTheme="minorEastAsia" w:eastAsiaTheme="minorEastAsia" w:cstheme="minorEastAsia"/>
          <w:color w:val="auto"/>
          <w:sz w:val="21"/>
          <w:szCs w:val="21"/>
          <w:highlight w:val="none"/>
        </w:rPr>
      </w:pPr>
    </w:p>
    <w:p w14:paraId="5357B269">
      <w:pPr>
        <w:spacing w:line="360" w:lineRule="auto"/>
        <w:ind w:firstLine="420" w:firstLineChars="200"/>
        <w:rPr>
          <w:rFonts w:hint="default" w:asciiTheme="minorEastAsia" w:hAnsiTheme="minorEastAsia" w:eastAsiaTheme="minorEastAsia" w:cstheme="minorEastAsia"/>
          <w:color w:val="auto"/>
          <w:sz w:val="21"/>
          <w:szCs w:val="21"/>
          <w:highlight w:val="none"/>
        </w:rPr>
      </w:pPr>
    </w:p>
    <w:p w14:paraId="463A3790">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开 立 人：                              （公章） </w:t>
      </w:r>
    </w:p>
    <w:p w14:paraId="4FAFCFA8">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法定代表人（或授权代表）：               （签字） </w:t>
      </w:r>
    </w:p>
    <w:p w14:paraId="7324CFD9">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地    址：                                       </w:t>
      </w:r>
    </w:p>
    <w:p w14:paraId="2D55D517">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邮政编码：                 </w:t>
      </w:r>
    </w:p>
    <w:p w14:paraId="01536736">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电    话：                 </w:t>
      </w:r>
    </w:p>
    <w:p w14:paraId="522AE983">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传    真：                 </w:t>
      </w:r>
    </w:p>
    <w:p w14:paraId="11619CD3">
      <w:pPr>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开立时间：      年      月        日</w:t>
      </w:r>
    </w:p>
    <w:p w14:paraId="691CCE7D">
      <w:pPr>
        <w:ind w:firstLine="480" w:firstLineChars="200"/>
        <w:rPr>
          <w:rFonts w:hint="default" w:asciiTheme="minorEastAsia" w:hAnsiTheme="minorEastAsia" w:eastAsiaTheme="minorEastAsia" w:cstheme="minorEastAsia"/>
          <w:color w:val="auto"/>
          <w:szCs w:val="24"/>
          <w:highlight w:val="none"/>
        </w:rPr>
      </w:pPr>
    </w:p>
    <w:p w14:paraId="7EA77298">
      <w:pPr>
        <w:rPr>
          <w:rFonts w:hint="default" w:asciiTheme="minorEastAsia" w:hAnsiTheme="minorEastAsia" w:eastAsiaTheme="minorEastAsia" w:cstheme="minorEastAsia"/>
          <w:color w:val="auto"/>
          <w:highlight w:val="none"/>
        </w:rPr>
      </w:pPr>
    </w:p>
    <w:p w14:paraId="3CBF0DFA">
      <w:pPr>
        <w:rPr>
          <w:rFonts w:hint="default" w:asciiTheme="minorEastAsia" w:hAnsiTheme="minorEastAsia" w:eastAsiaTheme="minorEastAsia" w:cstheme="minorEastAsia"/>
          <w:color w:val="auto"/>
          <w:highlight w:val="none"/>
        </w:rPr>
      </w:pPr>
    </w:p>
    <w:p w14:paraId="5B3C824C">
      <w:pPr>
        <w:rPr>
          <w:rFonts w:hint="default" w:asciiTheme="minorEastAsia" w:hAnsiTheme="minorEastAsia" w:eastAsiaTheme="minorEastAsia" w:cstheme="minorEastAsia"/>
          <w:color w:val="auto"/>
          <w:highlight w:val="none"/>
        </w:rPr>
      </w:pPr>
      <w:bookmarkStart w:id="642" w:name="_Toc6524"/>
    </w:p>
    <w:p w14:paraId="6B8E6F9F">
      <w:pPr>
        <w:rPr>
          <w:rFonts w:hint="default" w:asciiTheme="minorEastAsia" w:hAnsiTheme="minorEastAsia" w:eastAsiaTheme="minorEastAsia" w:cstheme="minorEastAsia"/>
          <w:color w:val="auto"/>
          <w:highlight w:val="none"/>
        </w:rPr>
      </w:pPr>
    </w:p>
    <w:p w14:paraId="3BFC4166">
      <w:pPr>
        <w:pStyle w:val="4"/>
        <w:ind w:left="3488" w:leftChars="174" w:hanging="3070" w:hangingChars="1274"/>
        <w:jc w:val="center"/>
        <w:rPr>
          <w:rFonts w:asciiTheme="minorEastAsia" w:hAnsiTheme="minorEastAsia" w:eastAsiaTheme="minorEastAsia" w:cstheme="minorEastAsia"/>
          <w:bCs/>
          <w:color w:val="auto"/>
          <w:szCs w:val="32"/>
          <w:highlight w:val="none"/>
        </w:rPr>
      </w:pPr>
      <w:bookmarkStart w:id="643" w:name="_Toc18000"/>
      <w:bookmarkStart w:id="644" w:name="_Toc7920"/>
      <w:bookmarkStart w:id="645" w:name="_Toc1401"/>
      <w:bookmarkStart w:id="646" w:name="_Toc25691"/>
      <w:bookmarkStart w:id="647" w:name="_Toc27131"/>
      <w:bookmarkStart w:id="648" w:name="_Toc3493"/>
      <w:bookmarkStart w:id="649" w:name="_Toc1606"/>
      <w:bookmarkStart w:id="650" w:name="_Toc12376"/>
      <w:r>
        <w:rPr>
          <w:rFonts w:hint="eastAsia" w:asciiTheme="minorEastAsia" w:hAnsiTheme="minorEastAsia" w:eastAsiaTheme="minorEastAsia" w:cstheme="minorEastAsia"/>
          <w:color w:val="auto"/>
          <w:highlight w:val="none"/>
        </w:rPr>
        <w:br w:type="page"/>
      </w:r>
      <w:bookmarkStart w:id="651" w:name="_Toc14563"/>
      <w:bookmarkStart w:id="652" w:name="_Toc9772"/>
      <w:bookmarkStart w:id="653" w:name="_Toc7948"/>
      <w:r>
        <w:rPr>
          <w:rFonts w:hint="eastAsia" w:asciiTheme="minorEastAsia" w:hAnsiTheme="minorEastAsia" w:eastAsiaTheme="minorEastAsia" w:cstheme="minorEastAsia"/>
          <w:bCs/>
          <w:color w:val="auto"/>
          <w:sz w:val="32"/>
          <w:szCs w:val="32"/>
          <w:highlight w:val="none"/>
        </w:rPr>
        <w:t>支付保函</w:t>
      </w:r>
      <w:bookmarkEnd w:id="642"/>
      <w:bookmarkEnd w:id="643"/>
      <w:bookmarkEnd w:id="644"/>
      <w:bookmarkEnd w:id="645"/>
      <w:bookmarkEnd w:id="646"/>
      <w:bookmarkEnd w:id="647"/>
      <w:bookmarkEnd w:id="648"/>
      <w:bookmarkEnd w:id="649"/>
      <w:bookmarkEnd w:id="650"/>
      <w:bookmarkEnd w:id="651"/>
      <w:bookmarkEnd w:id="652"/>
      <w:bookmarkEnd w:id="653"/>
    </w:p>
    <w:p w14:paraId="39F6573E">
      <w:pPr>
        <w:wordWrap w:val="0"/>
        <w:spacing w:line="360" w:lineRule="auto"/>
        <w:jc w:val="right"/>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编号：           </w:t>
      </w:r>
    </w:p>
    <w:p w14:paraId="55D7717E">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申请人：</w:t>
      </w:r>
    </w:p>
    <w:p w14:paraId="5BC0C099">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  地址：</w:t>
      </w:r>
    </w:p>
    <w:p w14:paraId="5352F869">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受益人：</w:t>
      </w:r>
    </w:p>
    <w:p w14:paraId="7252CBB2">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  地址：</w:t>
      </w:r>
    </w:p>
    <w:p w14:paraId="0567367C">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开立人：</w:t>
      </w:r>
    </w:p>
    <w:p w14:paraId="607BD73B">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  地址：</w:t>
      </w:r>
    </w:p>
    <w:p w14:paraId="4DB85621">
      <w:pPr>
        <w:spacing w:line="360" w:lineRule="auto"/>
        <w:rPr>
          <w:rFonts w:hint="default" w:asciiTheme="minorEastAsia" w:hAnsiTheme="minorEastAsia" w:eastAsiaTheme="minorEastAsia" w:cstheme="minorEastAsia"/>
          <w:color w:val="auto"/>
          <w:sz w:val="21"/>
          <w:szCs w:val="21"/>
          <w:highlight w:val="none"/>
        </w:rPr>
      </w:pPr>
    </w:p>
    <w:p w14:paraId="089E22A5">
      <w:pPr>
        <w:spacing w:line="360" w:lineRule="auto"/>
        <w:rPr>
          <w:rFonts w:hint="default" w:asciiTheme="minorEastAsia" w:hAnsiTheme="minorEastAsia" w:eastAsiaTheme="minorEastAsia" w:cstheme="minorEastAsia"/>
          <w:color w:val="auto"/>
          <w:sz w:val="21"/>
          <w:szCs w:val="21"/>
          <w:highlight w:val="none"/>
        </w:rPr>
      </w:pPr>
      <w:bookmarkStart w:id="654" w:name="_Hlk40355074"/>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 xml:space="preserve">（受益人名称）： </w:t>
      </w:r>
    </w:p>
    <w:bookmarkEnd w:id="654"/>
    <w:p w14:paraId="1AD892CF">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鉴于</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（以下简称“受益人”）与</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（以下简称“申请人”）于</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年</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月</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日就</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工程（以下简称“本工程”）施工和有关事项协商一致共同签订</w:t>
      </w:r>
      <w:r>
        <w:rPr>
          <w:rFonts w:asciiTheme="minorEastAsia" w:hAnsiTheme="minorEastAsia" w:eastAsiaTheme="minorEastAsia" w:cstheme="minorEastAsia"/>
          <w:color w:val="auto"/>
          <w:sz w:val="21"/>
          <w:szCs w:val="21"/>
          <w:highlight w:val="none"/>
          <w:u w:val="single"/>
        </w:rPr>
        <w:t>《        》</w:t>
      </w:r>
      <w:r>
        <w:rPr>
          <w:rFonts w:asciiTheme="minorEastAsia" w:hAnsiTheme="minorEastAsia" w:eastAsiaTheme="minorEastAsia" w:cstheme="minorEastAsia"/>
          <w:color w:val="auto"/>
          <w:sz w:val="21"/>
          <w:szCs w:val="21"/>
          <w:highlight w:val="none"/>
        </w:rPr>
        <w:t xml:space="preserve">（以下简称“基础合同”），我方（即“开立人”）根据基础合同了解到申请人为基础合同项下之招标人，受益人为基础合同项下之中标人，基于申请人的请求，我方同意就申请人履行与贵方签订的基础合同项下的工程款（指基础合同约定的除工程质量保修金以外的工程款）付款义务，向贵方提供不可撤销、不可转让的见索即付独立保函（以下简称“本保函”）。 </w:t>
      </w:r>
    </w:p>
    <w:p w14:paraId="6B867A2F">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一、本保函担保范围：申请人未履行基础合同约定的工程款支付义务，应当向贵方承担的违约责任和赔偿因此造成的损失、利息、律师费、诉讼费用等实现债权的费用。</w:t>
      </w:r>
    </w:p>
    <w:p w14:paraId="28CAC09A">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二、本保函担保金额最高不超过人民币（大写）</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元（¥</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 xml:space="preserve">）。 </w:t>
      </w:r>
    </w:p>
    <w:p w14:paraId="0C17BB7A">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三、本保函有效期自开立之日起至基础合同约定的除工程质量保修金以外的全部工程结算款项支付之日后</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日止，最迟不超过</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年</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月</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 xml:space="preserve">日。 </w:t>
      </w:r>
    </w:p>
    <w:p w14:paraId="7DCC35FC">
      <w:pPr>
        <w:spacing w:line="360" w:lineRule="auto"/>
        <w:ind w:firstLine="48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四、我方承诺，在收到受益人发来的书面付款通知后的</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日内无条件支付，前述书面付款通知即为付款要求之单据，且应满足以下要求：</w:t>
      </w:r>
    </w:p>
    <w:p w14:paraId="0F79D153">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（1）付款通知到达的日期在本保函的有效期内；</w:t>
      </w:r>
    </w:p>
    <w:p w14:paraId="168D0C77">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（2）载明要求支付的金额；</w:t>
      </w:r>
    </w:p>
    <w:p w14:paraId="15B99E28">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（3）载明申请人违反合同义务的条款和内容；</w:t>
      </w:r>
    </w:p>
    <w:p w14:paraId="1B291D9E">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（4）声明不存在合同文件约定或我国法律规定免除申请人或开立人支付责任的情形；</w:t>
      </w:r>
    </w:p>
    <w:p w14:paraId="51739AD0">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（5）付款通知应在本保函有效期内到达的地址是：</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w:t>
      </w:r>
    </w:p>
    <w:p w14:paraId="642406DE">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受益人发出的书面付款通知应由其为鉴明受益人法定代表人（负责人）或授权代理人签字并加盖公章。</w:t>
      </w:r>
    </w:p>
    <w:p w14:paraId="40BE644F">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五、本保函项下的权利不得转让，不得设定担保。贵方未经我方书面同意转 让本保函或其项下任何权利，对我方不发生法律效力。 </w:t>
      </w:r>
    </w:p>
    <w:p w14:paraId="7572E965">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六、与本保函有关的基础合同不成立、不生效、无效、被撤销、被解除，不影响本保函的独立有效。 </w:t>
      </w:r>
    </w:p>
    <w:p w14:paraId="255D03E6">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七、贵方应在本保函到期后的七日内将本保函正本退回我方注销，但是不论贵方是否按此要求将本保函正本退回我方，我方在本保函项下的义务和责任均在保函有效期到期后自动消灭。 </w:t>
      </w:r>
    </w:p>
    <w:p w14:paraId="7BC9EFE9">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八、本保函适用的法律为中华人民共和国法律，争议裁判管辖地为中华人民共和国</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 xml:space="preserve">。 </w:t>
      </w:r>
    </w:p>
    <w:p w14:paraId="35EB1181">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九、本保函自我方法定代表人</w:t>
      </w:r>
      <w:bookmarkStart w:id="655" w:name="_Hlk58487855"/>
      <w:r>
        <w:rPr>
          <w:rFonts w:asciiTheme="minorEastAsia" w:hAnsiTheme="minorEastAsia" w:eastAsiaTheme="minorEastAsia" w:cstheme="minorEastAsia"/>
          <w:color w:val="auto"/>
          <w:sz w:val="21"/>
          <w:szCs w:val="21"/>
          <w:highlight w:val="none"/>
        </w:rPr>
        <w:t>或授权代表</w:t>
      </w:r>
      <w:bookmarkEnd w:id="655"/>
      <w:r>
        <w:rPr>
          <w:rFonts w:asciiTheme="minorEastAsia" w:hAnsiTheme="minorEastAsia" w:eastAsiaTheme="minorEastAsia" w:cstheme="minorEastAsia"/>
          <w:color w:val="auto"/>
          <w:sz w:val="21"/>
          <w:szCs w:val="21"/>
          <w:highlight w:val="none"/>
        </w:rPr>
        <w:t xml:space="preserve">签字并加盖公章之日起生效。 </w:t>
      </w:r>
    </w:p>
    <w:p w14:paraId="01173DEB">
      <w:pPr>
        <w:spacing w:line="360" w:lineRule="auto"/>
        <w:ind w:firstLine="420" w:firstLineChars="200"/>
        <w:rPr>
          <w:rFonts w:hint="default" w:asciiTheme="minorEastAsia" w:hAnsiTheme="minorEastAsia" w:eastAsiaTheme="minorEastAsia" w:cstheme="minorEastAsia"/>
          <w:color w:val="auto"/>
          <w:sz w:val="21"/>
          <w:szCs w:val="21"/>
          <w:highlight w:val="none"/>
        </w:rPr>
      </w:pPr>
    </w:p>
    <w:p w14:paraId="68D90A58">
      <w:pPr>
        <w:spacing w:line="360" w:lineRule="auto"/>
        <w:ind w:firstLine="420" w:firstLineChars="200"/>
        <w:rPr>
          <w:rFonts w:hint="default" w:asciiTheme="minorEastAsia" w:hAnsiTheme="minorEastAsia" w:eastAsiaTheme="minorEastAsia" w:cstheme="minorEastAsia"/>
          <w:color w:val="auto"/>
          <w:sz w:val="21"/>
          <w:szCs w:val="21"/>
          <w:highlight w:val="none"/>
        </w:rPr>
      </w:pPr>
    </w:p>
    <w:p w14:paraId="6A4115FB">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开 立 人：                              （公章） </w:t>
      </w:r>
    </w:p>
    <w:p w14:paraId="50C0DC13">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法定代表人（或授权代表）：               （签字） </w:t>
      </w:r>
    </w:p>
    <w:p w14:paraId="045B8F44">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地    址：                                       </w:t>
      </w:r>
    </w:p>
    <w:p w14:paraId="29219606">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邮政编码：                 </w:t>
      </w:r>
    </w:p>
    <w:p w14:paraId="0E65B4CF">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电    话：                 </w:t>
      </w:r>
    </w:p>
    <w:p w14:paraId="355BEB58">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传    真：                 </w:t>
      </w:r>
    </w:p>
    <w:p w14:paraId="0055181A">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开立时间：      年      月        日</w:t>
      </w:r>
    </w:p>
    <w:p w14:paraId="2DB8DDA5">
      <w:pPr>
        <w:spacing w:line="374" w:lineRule="auto"/>
        <w:ind w:left="698" w:right="524"/>
        <w:jc w:val="left"/>
        <w:rPr>
          <w:rFonts w:hint="default" w:asciiTheme="minorEastAsia" w:hAnsiTheme="minorEastAsia" w:eastAsiaTheme="minorEastAsia" w:cstheme="minorEastAsia"/>
          <w:color w:val="auto"/>
          <w:sz w:val="21"/>
          <w:szCs w:val="21"/>
          <w:highlight w:val="none"/>
        </w:rPr>
      </w:pPr>
    </w:p>
    <w:p w14:paraId="699760DD">
      <w:pPr>
        <w:pStyle w:val="36"/>
        <w:rPr>
          <w:rFonts w:asciiTheme="minorEastAsia" w:hAnsiTheme="minorEastAsia" w:eastAsiaTheme="minorEastAsia" w:cstheme="minorEastAsia"/>
          <w:color w:val="auto"/>
          <w:sz w:val="24"/>
          <w:highlight w:val="none"/>
        </w:rPr>
      </w:pPr>
    </w:p>
    <w:p w14:paraId="66716BE8">
      <w:pPr>
        <w:rPr>
          <w:rFonts w:hint="default" w:asciiTheme="minorEastAsia" w:hAnsiTheme="minorEastAsia" w:eastAsiaTheme="minorEastAsia" w:cstheme="minorEastAsia"/>
          <w:color w:val="auto"/>
          <w:highlight w:val="none"/>
        </w:rPr>
      </w:pPr>
    </w:p>
    <w:p w14:paraId="3EDD6EBB">
      <w:pPr>
        <w:pStyle w:val="36"/>
        <w:rPr>
          <w:rFonts w:asciiTheme="minorEastAsia" w:hAnsiTheme="minorEastAsia" w:eastAsiaTheme="minorEastAsia" w:cstheme="minorEastAsia"/>
          <w:color w:val="auto"/>
          <w:sz w:val="24"/>
          <w:highlight w:val="none"/>
        </w:rPr>
      </w:pPr>
    </w:p>
    <w:p w14:paraId="47CDE07A">
      <w:pPr>
        <w:spacing w:line="374" w:lineRule="auto"/>
        <w:ind w:left="698" w:right="524"/>
        <w:jc w:val="left"/>
        <w:rPr>
          <w:rFonts w:hint="default" w:asciiTheme="minorEastAsia" w:hAnsiTheme="minorEastAsia" w:eastAsiaTheme="minorEastAsia" w:cstheme="minorEastAsia"/>
          <w:strike/>
          <w:color w:val="auto"/>
          <w:szCs w:val="24"/>
          <w:highlight w:val="none"/>
        </w:rPr>
      </w:pPr>
    </w:p>
    <w:p w14:paraId="7AC58653">
      <w:pPr>
        <w:rPr>
          <w:rFonts w:hint="default" w:asciiTheme="minorEastAsia" w:hAnsiTheme="minorEastAsia" w:eastAsiaTheme="minorEastAsia" w:cstheme="minorEastAsia"/>
          <w:color w:val="auto"/>
          <w:highlight w:val="none"/>
        </w:rPr>
        <w:sectPr>
          <w:pgSz w:w="11907" w:h="16840"/>
          <w:pgMar w:top="1247" w:right="1474" w:bottom="1247" w:left="1361" w:header="680" w:footer="680" w:gutter="0"/>
          <w:cols w:space="720" w:num="1"/>
        </w:sectPr>
      </w:pPr>
    </w:p>
    <w:p w14:paraId="40CF3022">
      <w:pPr>
        <w:pStyle w:val="66"/>
        <w:spacing w:line="440" w:lineRule="exact"/>
        <w:ind w:firstLine="0" w:firstLineChars="0"/>
        <w:rPr>
          <w:rFonts w:asciiTheme="minorEastAsia" w:hAnsiTheme="minorEastAsia" w:eastAsiaTheme="minorEastAsia" w:cstheme="minorEastAsia"/>
          <w:color w:val="auto"/>
          <w:szCs w:val="32"/>
          <w:highlight w:val="none"/>
        </w:rPr>
      </w:pPr>
    </w:p>
    <w:p w14:paraId="05DB965F">
      <w:pPr>
        <w:pStyle w:val="2"/>
        <w:jc w:val="center"/>
        <w:rPr>
          <w:rFonts w:hint="default" w:asciiTheme="minorEastAsia" w:hAnsiTheme="minorEastAsia" w:eastAsiaTheme="minorEastAsia" w:cstheme="minorEastAsia"/>
          <w:b/>
          <w:color w:val="auto"/>
          <w:kern w:val="44"/>
          <w:sz w:val="36"/>
          <w:szCs w:val="36"/>
          <w:highlight w:val="none"/>
        </w:rPr>
      </w:pPr>
      <w:bookmarkStart w:id="656" w:name="_Toc466640622"/>
      <w:bookmarkStart w:id="657" w:name="_Toc26594"/>
      <w:bookmarkStart w:id="658" w:name="_Toc1879"/>
      <w:bookmarkStart w:id="659" w:name="_Toc3242"/>
      <w:bookmarkStart w:id="660" w:name="_Toc3894"/>
      <w:bookmarkStart w:id="661" w:name="_Toc19434"/>
      <w:bookmarkStart w:id="662" w:name="_Toc420"/>
      <w:bookmarkStart w:id="663" w:name="_Toc31537"/>
      <w:bookmarkStart w:id="664" w:name="_Toc9802"/>
      <w:bookmarkStart w:id="665" w:name="_Toc13641"/>
      <w:r>
        <w:rPr>
          <w:rFonts w:asciiTheme="minorEastAsia" w:hAnsiTheme="minorEastAsia" w:eastAsiaTheme="minorEastAsia" w:cstheme="minorEastAsia"/>
          <w:b/>
          <w:color w:val="auto"/>
          <w:kern w:val="44"/>
          <w:sz w:val="36"/>
          <w:szCs w:val="36"/>
          <w:highlight w:val="none"/>
        </w:rPr>
        <w:t xml:space="preserve">第八章  </w:t>
      </w:r>
      <w:bookmarkEnd w:id="511"/>
      <w:bookmarkEnd w:id="512"/>
      <w:bookmarkEnd w:id="513"/>
      <w:bookmarkEnd w:id="514"/>
      <w:bookmarkEnd w:id="656"/>
      <w:r>
        <w:rPr>
          <w:rFonts w:asciiTheme="minorEastAsia" w:hAnsiTheme="minorEastAsia" w:eastAsiaTheme="minorEastAsia" w:cstheme="minorEastAsia"/>
          <w:b/>
          <w:color w:val="auto"/>
          <w:kern w:val="44"/>
          <w:sz w:val="36"/>
          <w:szCs w:val="36"/>
          <w:highlight w:val="none"/>
        </w:rPr>
        <w:t>建设工程合同</w:t>
      </w:r>
      <w:bookmarkEnd w:id="657"/>
      <w:bookmarkEnd w:id="658"/>
      <w:bookmarkEnd w:id="659"/>
      <w:bookmarkEnd w:id="660"/>
      <w:bookmarkEnd w:id="661"/>
      <w:bookmarkEnd w:id="662"/>
      <w:bookmarkEnd w:id="663"/>
      <w:bookmarkEnd w:id="664"/>
      <w:bookmarkEnd w:id="665"/>
    </w:p>
    <w:p w14:paraId="78AB200F">
      <w:pPr>
        <w:rPr>
          <w:rFonts w:hint="default" w:asciiTheme="minorEastAsia" w:hAnsiTheme="minorEastAsia" w:eastAsiaTheme="minorEastAsia" w:cstheme="minorEastAsia"/>
          <w:color w:val="auto"/>
          <w:highlight w:val="none"/>
        </w:rPr>
      </w:pPr>
    </w:p>
    <w:bookmarkEnd w:id="515"/>
    <w:bookmarkEnd w:id="516"/>
    <w:p w14:paraId="19798B7E">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总承包合同参照住房城乡建设部、国家工商行政管理总局制定的《建设项目工程总承包合同（示范文本）》GF-2020-0216。</w:t>
      </w:r>
    </w:p>
    <w:p w14:paraId="4A47611A">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施工合同按广东省建设厅《广东省建设工程标准施工合同》范本（2009）执行。</w:t>
      </w:r>
    </w:p>
    <w:p w14:paraId="3778A87A">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设计合同按住房城乡建设部、国家工商行政管理总局制定《建设工程设计合同示范文本（市政公用工程）》（GF-2015-0209）、《建设工程设计合同示范文本（专业建设工程）》（GF-2015-0210）执行。 </w:t>
      </w:r>
    </w:p>
    <w:p w14:paraId="365A7641">
      <w:pPr>
        <w:spacing w:line="420" w:lineRule="atLeast"/>
        <w:ind w:firstLine="480" w:firstLineChars="200"/>
        <w:rPr>
          <w:rFonts w:hint="default" w:asciiTheme="minorEastAsia" w:hAnsiTheme="minorEastAsia" w:eastAsiaTheme="minorEastAsia" w:cstheme="minorEastAsia"/>
          <w:color w:val="auto"/>
          <w:highlight w:val="none"/>
        </w:rPr>
      </w:pPr>
    </w:p>
    <w:bookmarkEnd w:id="1"/>
    <w:p w14:paraId="1C312ED4">
      <w:pPr>
        <w:rPr>
          <w:rFonts w:hint="default" w:asciiTheme="minorEastAsia" w:hAnsiTheme="minorEastAsia" w:eastAsiaTheme="minorEastAsia" w:cstheme="minorEastAsia"/>
          <w:color w:val="auto"/>
          <w:highlight w:val="none"/>
        </w:rPr>
        <w:sectPr>
          <w:endnotePr>
            <w:numFmt w:val="decimal"/>
          </w:endnotePr>
          <w:pgSz w:w="11907" w:h="16840"/>
          <w:pgMar w:top="1134" w:right="1134" w:bottom="1021" w:left="1418" w:header="567" w:footer="510" w:gutter="0"/>
          <w:cols w:space="720" w:num="1"/>
          <w:docGrid w:type="lines" w:linePitch="272" w:charSpace="0"/>
        </w:sectPr>
      </w:pPr>
    </w:p>
    <w:p w14:paraId="7049E951">
      <w:pPr>
        <w:pStyle w:val="2"/>
        <w:jc w:val="center"/>
        <w:rPr>
          <w:rFonts w:hint="eastAsia" w:asciiTheme="minorEastAsia" w:hAnsiTheme="minorEastAsia" w:eastAsiaTheme="minorEastAsia" w:cstheme="minorEastAsia"/>
          <w:b/>
          <w:color w:val="auto"/>
          <w:kern w:val="44"/>
          <w:sz w:val="36"/>
          <w:szCs w:val="36"/>
          <w:highlight w:val="none"/>
          <w:lang w:val="en-US" w:eastAsia="zh-CN"/>
        </w:rPr>
      </w:pPr>
    </w:p>
    <w:p w14:paraId="63DEC546">
      <w:pPr>
        <w:pStyle w:val="2"/>
        <w:jc w:val="center"/>
        <w:rPr>
          <w:rFonts w:hint="eastAsia" w:asciiTheme="minorEastAsia" w:hAnsiTheme="minorEastAsia" w:eastAsiaTheme="minorEastAsia" w:cstheme="minorEastAsia"/>
          <w:b/>
          <w:color w:val="auto"/>
          <w:kern w:val="44"/>
          <w:sz w:val="36"/>
          <w:szCs w:val="36"/>
          <w:highlight w:val="none"/>
          <w:lang w:val="en-US" w:eastAsia="zh-CN"/>
        </w:rPr>
      </w:pPr>
      <w:bookmarkStart w:id="666" w:name="_Toc13659"/>
      <w:r>
        <w:rPr>
          <w:rFonts w:hint="eastAsia" w:asciiTheme="minorEastAsia" w:hAnsiTheme="minorEastAsia" w:eastAsiaTheme="minorEastAsia" w:cstheme="minorEastAsia"/>
          <w:b/>
          <w:color w:val="auto"/>
          <w:kern w:val="44"/>
          <w:sz w:val="36"/>
          <w:szCs w:val="36"/>
          <w:highlight w:val="none"/>
          <w:lang w:val="en-US" w:eastAsia="zh-CN"/>
        </w:rPr>
        <w:t>第九章 设计任务书</w:t>
      </w:r>
      <w:bookmarkEnd w:id="666"/>
    </w:p>
    <w:p w14:paraId="246EF67F">
      <w:pPr>
        <w:pStyle w:val="5"/>
        <w:spacing w:line="240" w:lineRule="auto"/>
        <w:jc w:val="center"/>
        <w:rPr>
          <w:rFonts w:hint="eastAsia" w:asciiTheme="minorEastAsia" w:hAnsiTheme="minorEastAsia" w:eastAsiaTheme="minorEastAsia" w:cstheme="minorEastAsia"/>
          <w:b/>
          <w:bCs/>
          <w:color w:val="auto"/>
          <w:sz w:val="24"/>
          <w:szCs w:val="24"/>
          <w:highlight w:val="none"/>
        </w:rPr>
      </w:pPr>
    </w:p>
    <w:p w14:paraId="71B30587">
      <w:pPr>
        <w:bidi w:val="0"/>
        <w:ind w:firstLine="442" w:firstLineChars="200"/>
        <w:rPr>
          <w:rFonts w:hint="eastAsia" w:asciiTheme="minorEastAsia" w:hAnsiTheme="minorEastAsia" w:eastAsiaTheme="minorEastAsia" w:cstheme="minorEastAsia"/>
          <w:b/>
          <w:bCs/>
          <w:color w:val="auto"/>
          <w:sz w:val="22"/>
          <w:szCs w:val="18"/>
          <w:highlight w:val="none"/>
        </w:rPr>
      </w:pPr>
      <w:r>
        <w:rPr>
          <w:rFonts w:hint="eastAsia" w:asciiTheme="minorEastAsia" w:hAnsiTheme="minorEastAsia" w:eastAsiaTheme="minorEastAsia" w:cstheme="minorEastAsia"/>
          <w:b/>
          <w:bCs/>
          <w:color w:val="auto"/>
          <w:sz w:val="22"/>
          <w:szCs w:val="18"/>
          <w:highlight w:val="none"/>
          <w:lang w:eastAsia="zh-CN"/>
        </w:rPr>
        <w:t>南雄市“银杏染秋”乡村振兴示范带建设项目-黄坑镇典型村建设项目设计、施工总承包</w:t>
      </w:r>
      <w:r>
        <w:rPr>
          <w:rFonts w:hint="eastAsia" w:asciiTheme="minorEastAsia" w:hAnsiTheme="minorEastAsia" w:eastAsiaTheme="minorEastAsia" w:cstheme="minorEastAsia"/>
          <w:b/>
          <w:bCs/>
          <w:color w:val="auto"/>
          <w:sz w:val="22"/>
          <w:szCs w:val="18"/>
          <w:highlight w:val="none"/>
        </w:rPr>
        <w:t>设计任务书的内容应包括但不仅限于以下内容：</w:t>
      </w:r>
    </w:p>
    <w:p w14:paraId="21FA83CE">
      <w:pPr>
        <w:bidi w:val="0"/>
        <w:ind w:firstLine="442" w:firstLineChars="200"/>
        <w:rPr>
          <w:rFonts w:hint="eastAsia" w:asciiTheme="minorEastAsia" w:hAnsiTheme="minorEastAsia" w:eastAsiaTheme="minorEastAsia" w:cstheme="minorEastAsia"/>
          <w:b/>
          <w:bCs/>
          <w:color w:val="auto"/>
          <w:sz w:val="22"/>
          <w:szCs w:val="18"/>
          <w:highlight w:val="none"/>
        </w:rPr>
      </w:pPr>
      <w:bookmarkStart w:id="667" w:name="_Toc17453"/>
      <w:bookmarkStart w:id="668" w:name="_Toc24123"/>
      <w:bookmarkStart w:id="669" w:name="_Toc6112"/>
      <w:bookmarkStart w:id="670" w:name="_Toc427738547"/>
      <w:bookmarkStart w:id="671" w:name="_Toc17568"/>
      <w:bookmarkStart w:id="672" w:name="_Toc17422"/>
      <w:bookmarkStart w:id="673" w:name="_Toc21683"/>
      <w:bookmarkStart w:id="674" w:name="_Toc6673"/>
      <w:bookmarkStart w:id="675" w:name="_Toc14218"/>
      <w:bookmarkStart w:id="676" w:name="_Toc30192"/>
      <w:bookmarkStart w:id="677" w:name="_Toc25385"/>
      <w:bookmarkStart w:id="678" w:name="_Toc24070"/>
      <w:bookmarkStart w:id="679" w:name="_Toc22886"/>
      <w:bookmarkStart w:id="680" w:name="_Toc15020"/>
      <w:r>
        <w:rPr>
          <w:rFonts w:hint="eastAsia" w:asciiTheme="minorEastAsia" w:hAnsiTheme="minorEastAsia" w:eastAsiaTheme="minorEastAsia" w:cstheme="minorEastAsia"/>
          <w:b/>
          <w:bCs/>
          <w:color w:val="auto"/>
          <w:sz w:val="22"/>
          <w:szCs w:val="18"/>
          <w:highlight w:val="none"/>
        </w:rPr>
        <w:t>一、项目概况</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14:paraId="116D9CC6">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1.项目名称：南雄市“银杏染秋”乡村振兴示范带建设项目-（黄坑村典型村建设项目）</w:t>
      </w:r>
    </w:p>
    <w:p w14:paraId="53660791">
      <w:pPr>
        <w:bidi w:val="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设计、施工总承包</w:t>
      </w:r>
    </w:p>
    <w:p w14:paraId="6BD8268C">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2.建设地址：南雄市黄坑镇上象村村委村域内（田心村及村委周边区域）</w:t>
      </w:r>
    </w:p>
    <w:p w14:paraId="6B346126">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3.建设单位：南雄市黄坑镇人民政府</w:t>
      </w:r>
    </w:p>
    <w:p w14:paraId="7D3C39DD">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4.项目建设规模：</w:t>
      </w:r>
    </w:p>
    <w:p w14:paraId="797CAEC3">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本项目围绕乡村人居环境提质、基础设施完善、村容风貌升级、生态绿化美化四大维度开展建设，全方位优化区域人居条件、提升配套服务能力，具体建设规模及内容如下：</w:t>
      </w:r>
    </w:p>
    <w:p w14:paraId="26C98254">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1）人居环境整治工程</w:t>
      </w:r>
    </w:p>
    <w:p w14:paraId="3734B99A">
      <w:pPr>
        <w:bidi w:val="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对项目村域场地开展全面清杂整治工作，清理场地杂物、废弃垃圾、杂草及乱堆乱放物料，规整场地空间，消除环境脏乱差问题，夯实项目建设及村容整洁基础，有效改善区域整体人居环境面貌。</w:t>
      </w:r>
    </w:p>
    <w:p w14:paraId="23BAA0BA">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2）村容风貌管控提升工程</w:t>
      </w:r>
    </w:p>
    <w:p w14:paraId="17F63FE2">
      <w:pPr>
        <w:bidi w:val="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聚焦村委会核心区域开展风貌提质升级，优化村委建筑外观、周边环境及整体视觉效果，规整村容秩序，统一乡村风貌格调，打造整洁、规范、美观的村级核心风貌展示区，提升村庄整体颜值与整体形象。</w:t>
      </w:r>
    </w:p>
    <w:p w14:paraId="2538BEB2">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3）绿化美化提质工程</w:t>
      </w:r>
    </w:p>
    <w:p w14:paraId="18282CE0">
      <w:pPr>
        <w:bidi w:val="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依托村内闲置地块、道路沿线、公共区域开展全域绿化美化提升工作，实施整体绿化升级改造；新建标准化花池、树池，打造特色“四小园”（微菜园、微花园、微果园、微茶园）；配套安装混凝土仿木栏杆，兼顾生态美化与安全防护功能，丰富乡村绿化景观层次，营造生态宜居的乡村环境。</w:t>
      </w:r>
    </w:p>
    <w:p w14:paraId="5886F468">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5.工程造价：</w:t>
      </w:r>
    </w:p>
    <w:p w14:paraId="2634DFE9">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项目估算总投资约397.75万元。（具体以相关批复资料为准）</w:t>
      </w:r>
    </w:p>
    <w:p w14:paraId="35DA26C3">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6.招标范围及工作内容：</w:t>
      </w:r>
    </w:p>
    <w:p w14:paraId="57297A95">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1）设计部分：本项目的设计范围：确保项目顺利实施的规划、报建、施工等所需的所有建安工程等设计文件。包括：施工图设计及预算、工地现场服务、验收过程中的设计指导及配合阶段验收及档案整理、协助施工单位编制竣工图及后续设计服务工作。</w:t>
      </w:r>
    </w:p>
    <w:p w14:paraId="2264DA9E">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（2）本项目的施工范围：施工图设计文件范围的所有工程施工。</w:t>
      </w:r>
    </w:p>
    <w:p w14:paraId="15677A16">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7.设计工期：以招标文件为准。</w:t>
      </w:r>
    </w:p>
    <w:p w14:paraId="0E9D5C74">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8.质量要求：合格。设计成果符合相关法律、法规、规范及相应设计阶段的要求。</w:t>
      </w:r>
    </w:p>
    <w:p w14:paraId="75B7E90D">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9.项目资金情况：财政资金。</w:t>
      </w:r>
    </w:p>
    <w:p w14:paraId="070F4416">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10.用地红线图</w:t>
      </w:r>
    </w:p>
    <w:p w14:paraId="290B39B8">
      <w:pPr>
        <w:rPr>
          <w:rFonts w:hint="eastAsia" w:asciiTheme="minorEastAsia" w:hAnsiTheme="minorEastAsia" w:eastAsiaTheme="minorEastAsia" w:cstheme="minorEastAsia"/>
          <w:color w:val="auto"/>
          <w:sz w:val="24"/>
          <w:szCs w:val="24"/>
          <w:highlight w:val="none"/>
        </w:rPr>
      </w:pPr>
      <w:bookmarkStart w:id="681" w:name="_Toc10748"/>
      <w:bookmarkStart w:id="682" w:name="_Toc27122"/>
      <w:bookmarkStart w:id="683" w:name="_Toc8866"/>
      <w:bookmarkStart w:id="684" w:name="_Toc22289"/>
      <w:bookmarkStart w:id="685" w:name="_Toc15785"/>
      <w:r>
        <w:rPr>
          <w:rFonts w:hint="eastAsia" w:asciiTheme="minorEastAsia" w:hAnsiTheme="minorEastAsia" w:eastAsiaTheme="minorEastAsia" w:cstheme="minorEastAsia"/>
          <w:color w:val="auto"/>
          <w:sz w:val="24"/>
          <w:szCs w:val="24"/>
          <w:highlight w:val="none"/>
        </w:rPr>
        <w:drawing>
          <wp:inline distT="0" distB="0" distL="114300" distR="114300">
            <wp:extent cx="4360545" cy="5896610"/>
            <wp:effectExtent l="0" t="0" r="1905" b="8890"/>
            <wp:docPr id="1" name="图片 1" descr="用地红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用地红线"/>
                    <pic:cNvPicPr>
                      <a:picLocks noChangeAspect="1"/>
                    </pic:cNvPicPr>
                  </pic:nvPicPr>
                  <pic:blipFill>
                    <a:blip r:embed="rId10"/>
                    <a:stretch>
                      <a:fillRect/>
                    </a:stretch>
                  </pic:blipFill>
                  <pic:spPr>
                    <a:xfrm>
                      <a:off x="0" y="0"/>
                      <a:ext cx="4360545" cy="5896610"/>
                    </a:xfrm>
                    <a:prstGeom prst="rect">
                      <a:avLst/>
                    </a:prstGeom>
                    <a:noFill/>
                    <a:ln>
                      <a:noFill/>
                    </a:ln>
                  </pic:spPr>
                </pic:pic>
              </a:graphicData>
            </a:graphic>
          </wp:inline>
        </w:drawing>
      </w:r>
    </w:p>
    <w:p w14:paraId="4ED6F872">
      <w:pPr>
        <w:autoSpaceDE w:val="0"/>
        <w:autoSpaceDN w:val="0"/>
        <w:snapToGrid w:val="0"/>
        <w:spacing w:before="156" w:beforeLines="50" w:after="156" w:afterLines="50" w:line="360" w:lineRule="auto"/>
        <w:ind w:firstLine="482" w:firstLineChars="200"/>
        <w:outlineLvl w:val="1"/>
        <w:rPr>
          <w:rFonts w:hint="eastAsia" w:asciiTheme="minorEastAsia" w:hAnsiTheme="minorEastAsia" w:eastAsiaTheme="minorEastAsia" w:cstheme="minorEastAsia"/>
          <w:b/>
          <w:color w:val="auto"/>
          <w:sz w:val="24"/>
          <w:szCs w:val="24"/>
          <w:highlight w:val="none"/>
        </w:rPr>
      </w:pPr>
    </w:p>
    <w:p w14:paraId="33CFEACC">
      <w:pPr>
        <w:bidi w:val="0"/>
        <w:ind w:firstLine="442"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b/>
          <w:bCs/>
          <w:color w:val="auto"/>
          <w:sz w:val="22"/>
          <w:szCs w:val="18"/>
          <w:highlight w:val="none"/>
        </w:rPr>
        <w:t>二、设计相关服务要求</w:t>
      </w:r>
    </w:p>
    <w:bookmarkEnd w:id="681"/>
    <w:bookmarkEnd w:id="682"/>
    <w:bookmarkEnd w:id="683"/>
    <w:p w14:paraId="43622233">
      <w:pPr>
        <w:bidi w:val="0"/>
        <w:ind w:firstLine="440" w:firstLineChars="200"/>
        <w:rPr>
          <w:rFonts w:hint="eastAsia" w:asciiTheme="minorEastAsia" w:hAnsiTheme="minorEastAsia" w:eastAsiaTheme="minorEastAsia" w:cstheme="minorEastAsia"/>
          <w:color w:val="auto"/>
          <w:sz w:val="22"/>
          <w:szCs w:val="18"/>
          <w:highlight w:val="none"/>
        </w:rPr>
      </w:pPr>
      <w:bookmarkStart w:id="686" w:name="_Toc16365"/>
      <w:bookmarkStart w:id="687" w:name="_Toc3690"/>
      <w:r>
        <w:rPr>
          <w:rFonts w:hint="eastAsia" w:asciiTheme="minorEastAsia" w:hAnsiTheme="minorEastAsia" w:eastAsiaTheme="minorEastAsia" w:cstheme="minorEastAsia"/>
          <w:color w:val="auto"/>
          <w:sz w:val="22"/>
          <w:szCs w:val="18"/>
          <w:highlight w:val="none"/>
        </w:rPr>
        <w:t>1.设计服务要求</w:t>
      </w:r>
      <w:bookmarkEnd w:id="684"/>
      <w:bookmarkEnd w:id="685"/>
      <w:bookmarkEnd w:id="686"/>
      <w:bookmarkEnd w:id="687"/>
    </w:p>
    <w:p w14:paraId="76FC6BED">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满足本项目可行性研究报告及国家建设部、广东省及韶关市有关法规文件及技术规定。</w:t>
      </w:r>
    </w:p>
    <w:p w14:paraId="696F40BA">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2、设计要点</w:t>
      </w:r>
    </w:p>
    <w:p w14:paraId="3E40AB3B">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（1）本工程设计包括园林工程、建筑工程、道路工程、结构工程、给排水工程、照明工程等专业工程的内容。</w:t>
      </w:r>
    </w:p>
    <w:p w14:paraId="3A0FBF28">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（2）本工程设计为施工图设计及预算编制。</w:t>
      </w:r>
    </w:p>
    <w:p w14:paraId="2A6EA0C2">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（3）设计成果深度均需满足《市政公用工程设计文件编制深度规定》。</w:t>
      </w:r>
    </w:p>
    <w:p w14:paraId="5A692986">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（4）工程设计应严格执行国家强制性标准条文；满足现行的建筑工程、市政工程等专业技术标准、设计规范（规程）和招标文件规定的相应阶段文件编制深度要求。</w:t>
      </w:r>
    </w:p>
    <w:p w14:paraId="65919E2F">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（5）提交的施工图设计文件应符合有关主管部门制定的标准、规范、规程、定额和办法的要求，并能够通过审查。</w:t>
      </w:r>
    </w:p>
    <w:p w14:paraId="3B1EF2D9">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（6）提交的预算文件应符合有关造价管理部门的规定要求，并按审查意见进行修改。</w:t>
      </w:r>
    </w:p>
    <w:p w14:paraId="61217890">
      <w:pPr>
        <w:bidi w:val="0"/>
        <w:ind w:firstLine="442"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b/>
          <w:bCs/>
          <w:color w:val="auto"/>
          <w:sz w:val="22"/>
          <w:szCs w:val="18"/>
          <w:highlight w:val="none"/>
          <w:lang w:val="en-US" w:eastAsia="zh-CN"/>
        </w:rPr>
        <w:t>三</w:t>
      </w:r>
      <w:r>
        <w:rPr>
          <w:rFonts w:hint="eastAsia" w:asciiTheme="minorEastAsia" w:hAnsiTheme="minorEastAsia" w:eastAsiaTheme="minorEastAsia" w:cstheme="minorEastAsia"/>
          <w:b/>
          <w:bCs/>
          <w:color w:val="auto"/>
          <w:sz w:val="22"/>
          <w:szCs w:val="18"/>
          <w:highlight w:val="none"/>
        </w:rPr>
        <w:t>、设计成果要求</w:t>
      </w:r>
    </w:p>
    <w:p w14:paraId="616923B7">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3.1总体设计原则</w:t>
      </w:r>
    </w:p>
    <w:p w14:paraId="2B1332D6">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本项目结合工程建设内容与村庄实际，严格遵照乡村建设规范，遵循以下设计原则：</w:t>
      </w:r>
    </w:p>
    <w:p w14:paraId="0E790870">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（1）因地制宜，贴合实景原则</w:t>
      </w:r>
    </w:p>
    <w:p w14:paraId="4B8B5133">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安全可靠、质量为本。严格执行现行工程建设规范，严控道路、排水、桥梁、挡墙及公共设施结构安全与耐久性能，消除安全隐患，保障工程稳固耐用、长期安全使用。</w:t>
      </w:r>
    </w:p>
    <w:p w14:paraId="439C76BD">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（2）实用安全，质量优先原则</w:t>
      </w:r>
    </w:p>
    <w:p w14:paraId="1B031557">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整体协调、风貌统一。统筹建筑、景观、绿化及配套设施风格，与村庄原生风貌、自然环境有机融合，布局规整、格调统一，提升村容整体品质。</w:t>
      </w:r>
    </w:p>
    <w:p w14:paraId="20100F82">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（3）风貌统一，协调美观原则</w:t>
      </w:r>
    </w:p>
    <w:p w14:paraId="32779361">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生态优先、绿色宜居。坚持绿色建设理念，结合环境整治、绿化提升及四小园建设，优化生态布局，采用环保材料工艺，打造生态优美、整洁宜居的乡村环境。</w:t>
      </w:r>
    </w:p>
    <w:p w14:paraId="48A6A646">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（4）生态宜居，绿色提质原则</w:t>
      </w:r>
    </w:p>
    <w:p w14:paraId="17F9F5D5">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经济节约、长效运维。科学优化建设方案，合理控制造价，选用高性价比、易养护、耐久性材料，降低后期运维成本，保障项目效益长效发挥。</w:t>
      </w:r>
    </w:p>
    <w:p w14:paraId="3D6E1CBB">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（5）经济合理，长效运维原则</w:t>
      </w:r>
    </w:p>
    <w:p w14:paraId="7FAAEF98">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经济节约、长效运维。科学优化建设方案，合理控制造价，选用高性价比、易养护、耐久性材料，降低后期运维成本，保障项目效益长效发挥。</w:t>
      </w:r>
    </w:p>
    <w:p w14:paraId="50E3CDEF">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3.2设计成果：</w:t>
      </w:r>
    </w:p>
    <w:p w14:paraId="7632AD58">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（1）项目建设前期方案册子（含设计范围及设计效果图）</w:t>
      </w:r>
    </w:p>
    <w:p w14:paraId="03018700">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（2）设计说明</w:t>
      </w:r>
    </w:p>
    <w:p w14:paraId="374C2540">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（3）园建总平面图</w:t>
      </w:r>
    </w:p>
    <w:p w14:paraId="7B225BDC">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（4）园建分区平面图</w:t>
      </w:r>
    </w:p>
    <w:p w14:paraId="622F0297">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（5）园建节点平面图</w:t>
      </w:r>
    </w:p>
    <w:p w14:paraId="7D957FDC">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（6）园建节点功能分区示意图</w:t>
      </w:r>
    </w:p>
    <w:p w14:paraId="211CD345">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（7）园建及外立面改造做法大样图</w:t>
      </w:r>
    </w:p>
    <w:p w14:paraId="633728DC">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（8）种植设计说明</w:t>
      </w:r>
    </w:p>
    <w:p w14:paraId="34640BAA">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（9）绿化总平面图</w:t>
      </w:r>
    </w:p>
    <w:p w14:paraId="62607F45">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（10）绿化分区平面图</w:t>
      </w:r>
    </w:p>
    <w:p w14:paraId="3DCCC8B1">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（11）设计单位认为需要提供的其它说明和图纸等。</w:t>
      </w:r>
    </w:p>
    <w:p w14:paraId="1191838C">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3.3其他技术文件包括：</w:t>
      </w:r>
    </w:p>
    <w:p w14:paraId="05B63E97">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（1）电子文件（包含图纸dwg、招标文件要求提供的全部投标设计文件内容）。</w:t>
      </w:r>
    </w:p>
    <w:p w14:paraId="7210C517">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 xml:space="preserve">（2）所提交的施工图设计必须符合中国及广东省的设计规范、技术规程及地方有关规定，并应满足发包人及政府要求，最终获得发包人及政府确认。    </w:t>
      </w:r>
    </w:p>
    <w:p w14:paraId="44CFAB5D">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（3）设计依据以发包人提供的有关资料为准。</w:t>
      </w:r>
    </w:p>
    <w:p w14:paraId="685F09F5">
      <w:pPr>
        <w:bidi w:val="0"/>
        <w:ind w:firstLine="440" w:firstLineChars="20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（4）承包人向发包人交付的设计文件份数为：施工图纸（含预算）12套。</w:t>
      </w:r>
    </w:p>
    <w:p w14:paraId="3C88884C">
      <w:pPr>
        <w:bidi w:val="0"/>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上述成果文件需同时提供所有文字和图纸（含CAD格式和PDF格式）的电子文件（刻录到光盘）。</w:t>
      </w:r>
    </w:p>
    <w:p w14:paraId="55B3B5E1">
      <w:pPr>
        <w:bidi w:val="0"/>
        <w:rPr>
          <w:rFonts w:hint="eastAsia" w:asciiTheme="minorEastAsia" w:hAnsiTheme="minorEastAsia" w:eastAsiaTheme="minorEastAsia" w:cstheme="minorEastAsia"/>
          <w:color w:val="auto"/>
          <w:sz w:val="22"/>
          <w:szCs w:val="18"/>
          <w:highlight w:val="none"/>
        </w:rPr>
      </w:pPr>
    </w:p>
    <w:p w14:paraId="49392D78">
      <w:pPr>
        <w:bidi w:val="0"/>
        <w:jc w:val="right"/>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18"/>
          <w:highlight w:val="none"/>
        </w:rPr>
        <w:t>南雄市黄坑镇人民政府</w:t>
      </w:r>
    </w:p>
    <w:p w14:paraId="1E18E176">
      <w:pPr>
        <w:bidi w:val="0"/>
        <w:jc w:val="right"/>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 w:val="22"/>
          <w:szCs w:val="18"/>
          <w:highlight w:val="none"/>
        </w:rPr>
        <w:t>2026年</w:t>
      </w:r>
      <w:r>
        <w:rPr>
          <w:rFonts w:hint="eastAsia" w:asciiTheme="minorEastAsia" w:hAnsiTheme="minorEastAsia" w:eastAsiaTheme="minorEastAsia" w:cstheme="minorEastAsia"/>
          <w:color w:val="auto"/>
          <w:sz w:val="22"/>
          <w:szCs w:val="18"/>
          <w:highlight w:val="none"/>
          <w:lang w:val="en-US" w:eastAsia="zh-CN"/>
        </w:rPr>
        <w:t>8</w:t>
      </w:r>
      <w:r>
        <w:rPr>
          <w:rFonts w:hint="eastAsia" w:asciiTheme="minorEastAsia" w:hAnsiTheme="minorEastAsia" w:eastAsiaTheme="minorEastAsia" w:cstheme="minorEastAsia"/>
          <w:color w:val="auto"/>
          <w:sz w:val="22"/>
          <w:szCs w:val="18"/>
          <w:highlight w:val="none"/>
        </w:rPr>
        <w:t>月</w:t>
      </w:r>
    </w:p>
    <w:sectPr>
      <w:endnotePr>
        <w:numFmt w:val="decimal"/>
      </w:endnotePr>
      <w:pgSz w:w="11907" w:h="16840"/>
      <w:pgMar w:top="1134" w:right="1134" w:bottom="1021" w:left="1418" w:header="567" w:footer="510" w:gutter="0"/>
      <w:cols w:space="720" w:num="1"/>
      <w:docGrid w:type="lines" w:linePitch="27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Unicode MS">
    <w:altName w:val="宋体"/>
    <w:panose1 w:val="020B0604020202020204"/>
    <w:charset w:val="86"/>
    <w:family w:val="swiss"/>
    <w:pitch w:val="default"/>
    <w:sig w:usb0="00000000" w:usb1="00000000" w:usb2="0000003F" w:usb3="00000000" w:csb0="603F01FF" w:csb1="FFFF0000"/>
  </w:font>
  <w:font w:name="楷体_GB2312">
    <w:panose1 w:val="02010609030101010101"/>
    <w:charset w:val="86"/>
    <w:family w:val="modern"/>
    <w:pitch w:val="default"/>
    <w:sig w:usb0="00000001" w:usb1="080E0000" w:usb2="00000000" w:usb3="00000000" w:csb0="00040000" w:csb1="00000000"/>
  </w:font>
  <w:font w:name="Bodoni MT">
    <w:altName w:val="Segoe Print"/>
    <w:panose1 w:val="02070603080606020203"/>
    <w:charset w:val="00"/>
    <w:family w:val="roman"/>
    <w:pitch w:val="default"/>
    <w:sig w:usb0="00000000" w:usb1="00000000" w:usb2="00000000" w:usb3="00000000" w:csb0="2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BBD57">
    <w:pPr>
      <w:pStyle w:val="75"/>
      <w:tabs>
        <w:tab w:val="left" w:pos="4803"/>
        <w:tab w:val="clear" w:pos="4153"/>
      </w:tabs>
    </w:pPr>
    <w:r>
      <w:rPr>
        <w:rFonts w:hint="eastAsia"/>
      </w:rPr>
      <w:tab/>
    </w:r>
  </w:p>
  <w:p w14:paraId="2A06DEC3">
    <w:pPr>
      <w:pStyle w:val="7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D55F8">
    <w:pPr>
      <w:pStyle w:val="75"/>
      <w:tabs>
        <w:tab w:val="left" w:pos="4803"/>
        <w:tab w:val="clear" w:pos="4153"/>
      </w:tabs>
    </w:pPr>
    <w:r>
      <w:pict>
        <v:shape id="文本框 4" o:spid="_x0000_s2051"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pfMzMkBAACZ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yl8zMyQEAAJkDAAAOAAAAAAAAAAEAIAAAAB4BAABkcnMvZTJvRG9j&#10;LnhtbFBLBQYAAAAABgAGAFkBAABZBQAAAAA=&#10;">
          <v:path/>
          <v:fill on="f" focussize="0,0"/>
          <v:stroke on="f" joinstyle="miter"/>
          <v:imagedata o:title=""/>
          <o:lock v:ext="edit"/>
          <v:textbox inset="0mm,0mm,0mm,0mm" style="mso-fit-shape-to-text:t;">
            <w:txbxContent>
              <w:p w14:paraId="04B0D821">
                <w:pPr>
                  <w:pStyle w:val="15"/>
                  <w:rPr>
                    <w:rFonts w:hint="default"/>
                  </w:rPr>
                </w:pPr>
                <w:r>
                  <w:fldChar w:fldCharType="begin"/>
                </w:r>
                <w:r>
                  <w:instrText xml:space="preserve"> PAGE  \* MERGEFORMAT </w:instrText>
                </w:r>
                <w:r>
                  <w:fldChar w:fldCharType="separate"/>
                </w:r>
                <w:r>
                  <w:rPr>
                    <w:rFonts w:hint="default"/>
                  </w:rPr>
                  <w:t>32</w:t>
                </w:r>
                <w:r>
                  <w:fldChar w:fldCharType="end"/>
                </w:r>
              </w:p>
            </w:txbxContent>
          </v:textbox>
        </v:shape>
      </w:pict>
    </w:r>
    <w:r>
      <w:rPr>
        <w:rFonts w:hint="eastAsia"/>
      </w:rPr>
      <w:tab/>
    </w:r>
  </w:p>
  <w:p w14:paraId="13E2E749">
    <w:pPr>
      <w:pStyle w:val="7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87D04">
    <w:pPr>
      <w:pStyle w:val="75"/>
      <w:tabs>
        <w:tab w:val="left" w:pos="4803"/>
        <w:tab w:val="clear" w:pos="4153"/>
      </w:tabs>
    </w:pPr>
    <w:r>
      <w:pict>
        <v:shape id="文本框 5" o:spid="_x0000_s2050"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vF7+8kBAACZ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C8Xv7yQEAAJkDAAAOAAAAAAAAAAEAIAAAAB4BAABkcnMvZTJvRG9j&#10;LnhtbFBLBQYAAAAABgAGAFkBAABZBQAAAAA=&#10;">
          <v:path/>
          <v:fill on="f" focussize="0,0"/>
          <v:stroke on="f" joinstyle="miter"/>
          <v:imagedata o:title=""/>
          <o:lock v:ext="edit"/>
          <v:textbox inset="0mm,0mm,0mm,0mm" style="mso-fit-shape-to-text:t;">
            <w:txbxContent>
              <w:p w14:paraId="05B0F7F7">
                <w:pPr>
                  <w:pStyle w:val="15"/>
                  <w:rPr>
                    <w:rFonts w:hint="default"/>
                  </w:rPr>
                </w:pPr>
                <w:r>
                  <w:fldChar w:fldCharType="begin"/>
                </w:r>
                <w:r>
                  <w:instrText xml:space="preserve"> PAGE  \* MERGEFORMAT </w:instrText>
                </w:r>
                <w:r>
                  <w:fldChar w:fldCharType="separate"/>
                </w:r>
                <w:r>
                  <w:rPr>
                    <w:rFonts w:hint="default"/>
                  </w:rPr>
                  <w:t>89</w:t>
                </w:r>
                <w:r>
                  <w:fldChar w:fldCharType="end"/>
                </w:r>
              </w:p>
            </w:txbxContent>
          </v:textbox>
        </v:shape>
      </w:pict>
    </w:r>
    <w:r>
      <w:rPr>
        <w:rFonts w:hint="eastAsia"/>
      </w:rPr>
      <w:tab/>
    </w:r>
  </w:p>
  <w:p w14:paraId="595E2C47">
    <w:pPr>
      <w:pStyle w:val="7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BDEE2">
    <w:pPr>
      <w:pStyle w:val="15"/>
      <w:jc w:val="center"/>
      <w:rPr>
        <w:rFonts w:hint="default"/>
        <w:szCs w:val="24"/>
      </w:rPr>
    </w:pPr>
    <w:r>
      <w:rPr>
        <w:rFonts w:hint="default"/>
      </w:rPr>
      <w:pict>
        <v:shape id="文本框 6" o:spid="_x0000_s2049"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W1TIQyQEAAJkDAAAOAAAAAAAAAAEAIAAAAB4BAABkcnMvZTJvRG9j&#10;LnhtbFBLBQYAAAAABgAGAFkBAABZBQAAAAA=&#10;">
          <v:path/>
          <v:fill on="f" focussize="0,0"/>
          <v:stroke on="f" joinstyle="miter"/>
          <v:imagedata o:title=""/>
          <o:lock v:ext="edit"/>
          <v:textbox inset="0mm,0mm,0mm,0mm" style="mso-fit-shape-to-text:t;">
            <w:txbxContent>
              <w:p w14:paraId="4A24009F">
                <w:pPr>
                  <w:pStyle w:val="15"/>
                  <w:rPr>
                    <w:rFonts w:hint="default"/>
                  </w:rPr>
                </w:pPr>
                <w:r>
                  <w:fldChar w:fldCharType="begin"/>
                </w:r>
                <w:r>
                  <w:instrText xml:space="preserve"> PAGE  \* MERGEFORMAT </w:instrText>
                </w:r>
                <w:r>
                  <w:fldChar w:fldCharType="separate"/>
                </w:r>
                <w:r>
                  <w:rPr>
                    <w:rFonts w:hint="default"/>
                  </w:rPr>
                  <w:t>112</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C9ACE">
    <w:pPr>
      <w:jc w:val="center"/>
      <w:rPr>
        <w:rFonts w:hint="default"/>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F0F4F">
    <w:pPr>
      <w:pStyle w:val="16"/>
      <w:pBdr>
        <w:bottom w:val="none" w:color="auto" w:sz="0" w:space="0"/>
      </w:pBdr>
      <w:rPr>
        <w:rFonts w:hint="defaul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52DEF9"/>
    <w:multiLevelType w:val="singleLevel"/>
    <w:tmpl w:val="8152DEF9"/>
    <w:lvl w:ilvl="0" w:tentative="0">
      <w:start w:val="1"/>
      <w:numFmt w:val="decimal"/>
      <w:suff w:val="nothing"/>
      <w:lvlText w:val="（%1）"/>
      <w:lvlJc w:val="left"/>
    </w:lvl>
  </w:abstractNum>
  <w:abstractNum w:abstractNumId="1">
    <w:nsid w:val="9A22DE3C"/>
    <w:multiLevelType w:val="singleLevel"/>
    <w:tmpl w:val="9A22DE3C"/>
    <w:lvl w:ilvl="0" w:tentative="0">
      <w:start w:val="5"/>
      <w:numFmt w:val="decimal"/>
      <w:suff w:val="space"/>
      <w:lvlText w:val="%1."/>
      <w:lvlJc w:val="left"/>
    </w:lvl>
  </w:abstractNum>
  <w:abstractNum w:abstractNumId="2">
    <w:nsid w:val="C099E3A4"/>
    <w:multiLevelType w:val="singleLevel"/>
    <w:tmpl w:val="C099E3A4"/>
    <w:lvl w:ilvl="0" w:tentative="0">
      <w:start w:val="1"/>
      <w:numFmt w:val="chineseCounting"/>
      <w:suff w:val="nothing"/>
      <w:lvlText w:val="第%1、"/>
      <w:lvlJc w:val="left"/>
      <w:rPr>
        <w:rFonts w:hint="eastAsia"/>
      </w:rPr>
    </w:lvl>
  </w:abstractNum>
  <w:abstractNum w:abstractNumId="3">
    <w:nsid w:val="CFABDD9F"/>
    <w:multiLevelType w:val="singleLevel"/>
    <w:tmpl w:val="CFABDD9F"/>
    <w:lvl w:ilvl="0" w:tentative="0">
      <w:start w:val="1"/>
      <w:numFmt w:val="decimal"/>
      <w:suff w:val="nothing"/>
      <w:lvlText w:val="（%1）"/>
      <w:lvlJc w:val="left"/>
    </w:lvl>
  </w:abstractNum>
  <w:abstractNum w:abstractNumId="4">
    <w:nsid w:val="00000009"/>
    <w:multiLevelType w:val="multilevel"/>
    <w:tmpl w:val="00000009"/>
    <w:lvl w:ilvl="0" w:tentative="0">
      <w:start w:val="1"/>
      <w:numFmt w:val="bullet"/>
      <w:lvlText w:val=""/>
      <w:lvlJc w:val="left"/>
      <w:pPr>
        <w:tabs>
          <w:tab w:val="left" w:pos="420"/>
        </w:tabs>
        <w:ind w:left="420" w:hanging="420"/>
      </w:pPr>
      <w:rPr>
        <w:rFonts w:hint="default" w:ascii="Wingdings" w:hAnsi="Wingdings"/>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endnotePr>
    <w:numFmt w:val="decimal"/>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zQ5NjRiNzAwMTFkNDRmYWQ0NmE2MjVkNTc0ZDM0MDIifQ=="/>
    <w:docVar w:name="KSO_WPS_MARK_KEY" w:val="2b56eff9-4bef-4219-8874-9567fb1cde91"/>
  </w:docVars>
  <w:rsids>
    <w:rsidRoot w:val="4C5944B1"/>
    <w:rsid w:val="00015C05"/>
    <w:rsid w:val="0004327F"/>
    <w:rsid w:val="000B7698"/>
    <w:rsid w:val="000F7646"/>
    <w:rsid w:val="00103897"/>
    <w:rsid w:val="001113BD"/>
    <w:rsid w:val="0011760F"/>
    <w:rsid w:val="001E0850"/>
    <w:rsid w:val="00281ECB"/>
    <w:rsid w:val="002F176F"/>
    <w:rsid w:val="003A1942"/>
    <w:rsid w:val="003B643A"/>
    <w:rsid w:val="003E2709"/>
    <w:rsid w:val="004218C1"/>
    <w:rsid w:val="0044275C"/>
    <w:rsid w:val="004F7FD5"/>
    <w:rsid w:val="00505830"/>
    <w:rsid w:val="0055689E"/>
    <w:rsid w:val="005E6BB8"/>
    <w:rsid w:val="0062001C"/>
    <w:rsid w:val="006335AF"/>
    <w:rsid w:val="0064163D"/>
    <w:rsid w:val="007008AC"/>
    <w:rsid w:val="007C3F91"/>
    <w:rsid w:val="008B6DFA"/>
    <w:rsid w:val="008C4168"/>
    <w:rsid w:val="00901845"/>
    <w:rsid w:val="00936991"/>
    <w:rsid w:val="00943625"/>
    <w:rsid w:val="00954357"/>
    <w:rsid w:val="00954A54"/>
    <w:rsid w:val="0098388D"/>
    <w:rsid w:val="00A322B9"/>
    <w:rsid w:val="00A80EA7"/>
    <w:rsid w:val="00AD7338"/>
    <w:rsid w:val="00AF685C"/>
    <w:rsid w:val="00B16179"/>
    <w:rsid w:val="00B37196"/>
    <w:rsid w:val="00B46918"/>
    <w:rsid w:val="00C04E0C"/>
    <w:rsid w:val="00CB07F4"/>
    <w:rsid w:val="00CB6070"/>
    <w:rsid w:val="00CD4D5B"/>
    <w:rsid w:val="00D032C7"/>
    <w:rsid w:val="00D3708C"/>
    <w:rsid w:val="00D5002B"/>
    <w:rsid w:val="00D561CD"/>
    <w:rsid w:val="00DA5A23"/>
    <w:rsid w:val="00DB20F7"/>
    <w:rsid w:val="00E76514"/>
    <w:rsid w:val="00ED4B12"/>
    <w:rsid w:val="00EE6A89"/>
    <w:rsid w:val="00F95669"/>
    <w:rsid w:val="00FD0001"/>
    <w:rsid w:val="01050F22"/>
    <w:rsid w:val="01064C9A"/>
    <w:rsid w:val="01145609"/>
    <w:rsid w:val="01284AF4"/>
    <w:rsid w:val="012C10F1"/>
    <w:rsid w:val="015B4FE6"/>
    <w:rsid w:val="015E6884"/>
    <w:rsid w:val="0165325A"/>
    <w:rsid w:val="016A5229"/>
    <w:rsid w:val="016B77E9"/>
    <w:rsid w:val="017F3140"/>
    <w:rsid w:val="018750D4"/>
    <w:rsid w:val="0189664D"/>
    <w:rsid w:val="01910FB1"/>
    <w:rsid w:val="019127B6"/>
    <w:rsid w:val="01A93FA3"/>
    <w:rsid w:val="01BE7E04"/>
    <w:rsid w:val="01C53654"/>
    <w:rsid w:val="01E704A0"/>
    <w:rsid w:val="01F123E4"/>
    <w:rsid w:val="02056D00"/>
    <w:rsid w:val="020B0B60"/>
    <w:rsid w:val="022B2C0A"/>
    <w:rsid w:val="02665093"/>
    <w:rsid w:val="02673FAD"/>
    <w:rsid w:val="0273635F"/>
    <w:rsid w:val="027F7030"/>
    <w:rsid w:val="029933CC"/>
    <w:rsid w:val="02D70973"/>
    <w:rsid w:val="02D84414"/>
    <w:rsid w:val="02E1343D"/>
    <w:rsid w:val="02E56D2B"/>
    <w:rsid w:val="02E828A9"/>
    <w:rsid w:val="02F53052"/>
    <w:rsid w:val="030E146A"/>
    <w:rsid w:val="03312448"/>
    <w:rsid w:val="033923C2"/>
    <w:rsid w:val="033C2BF5"/>
    <w:rsid w:val="0348159A"/>
    <w:rsid w:val="03541A8A"/>
    <w:rsid w:val="03563D51"/>
    <w:rsid w:val="035A01BC"/>
    <w:rsid w:val="035E0DBD"/>
    <w:rsid w:val="0360395E"/>
    <w:rsid w:val="03681C3C"/>
    <w:rsid w:val="03724869"/>
    <w:rsid w:val="0385459C"/>
    <w:rsid w:val="038D1B08"/>
    <w:rsid w:val="03C4237C"/>
    <w:rsid w:val="03C50E3C"/>
    <w:rsid w:val="03F46BE4"/>
    <w:rsid w:val="03FB660C"/>
    <w:rsid w:val="040C1A99"/>
    <w:rsid w:val="041A1188"/>
    <w:rsid w:val="041A22CB"/>
    <w:rsid w:val="04223B99"/>
    <w:rsid w:val="042E69E2"/>
    <w:rsid w:val="04360B53"/>
    <w:rsid w:val="04396DE5"/>
    <w:rsid w:val="04787118"/>
    <w:rsid w:val="047926DA"/>
    <w:rsid w:val="047A1C27"/>
    <w:rsid w:val="04965C00"/>
    <w:rsid w:val="049727D9"/>
    <w:rsid w:val="04B0389B"/>
    <w:rsid w:val="04B8274F"/>
    <w:rsid w:val="04BD12FD"/>
    <w:rsid w:val="04EA57F9"/>
    <w:rsid w:val="04F6345F"/>
    <w:rsid w:val="05071119"/>
    <w:rsid w:val="054B35C3"/>
    <w:rsid w:val="056B77C2"/>
    <w:rsid w:val="05735E79"/>
    <w:rsid w:val="05C10C2D"/>
    <w:rsid w:val="05FD666C"/>
    <w:rsid w:val="06204F50"/>
    <w:rsid w:val="06310B6D"/>
    <w:rsid w:val="063C4113"/>
    <w:rsid w:val="06505A75"/>
    <w:rsid w:val="065705A0"/>
    <w:rsid w:val="06656ADB"/>
    <w:rsid w:val="068308FE"/>
    <w:rsid w:val="068A58D2"/>
    <w:rsid w:val="0694486B"/>
    <w:rsid w:val="06977082"/>
    <w:rsid w:val="069D02FA"/>
    <w:rsid w:val="06A92350"/>
    <w:rsid w:val="06AB60C8"/>
    <w:rsid w:val="06B35987"/>
    <w:rsid w:val="06BA455D"/>
    <w:rsid w:val="06DD74B2"/>
    <w:rsid w:val="06EA0C6C"/>
    <w:rsid w:val="06F37A6F"/>
    <w:rsid w:val="06FF1426"/>
    <w:rsid w:val="07085FE6"/>
    <w:rsid w:val="071F6AB6"/>
    <w:rsid w:val="0741366C"/>
    <w:rsid w:val="074849DB"/>
    <w:rsid w:val="074B78AB"/>
    <w:rsid w:val="074D717F"/>
    <w:rsid w:val="075527EB"/>
    <w:rsid w:val="075E1961"/>
    <w:rsid w:val="07724E37"/>
    <w:rsid w:val="077C17D7"/>
    <w:rsid w:val="0788465B"/>
    <w:rsid w:val="07A10088"/>
    <w:rsid w:val="07A33756"/>
    <w:rsid w:val="07A76DE7"/>
    <w:rsid w:val="07C40809"/>
    <w:rsid w:val="07D24F8D"/>
    <w:rsid w:val="07F8328D"/>
    <w:rsid w:val="081128A2"/>
    <w:rsid w:val="081E0766"/>
    <w:rsid w:val="0822060B"/>
    <w:rsid w:val="08397E54"/>
    <w:rsid w:val="083B347B"/>
    <w:rsid w:val="083E11BD"/>
    <w:rsid w:val="084C5688"/>
    <w:rsid w:val="08512C9F"/>
    <w:rsid w:val="085F1D8A"/>
    <w:rsid w:val="08915791"/>
    <w:rsid w:val="089B6610"/>
    <w:rsid w:val="089F1C5C"/>
    <w:rsid w:val="08C47915"/>
    <w:rsid w:val="08C6368D"/>
    <w:rsid w:val="08CC0577"/>
    <w:rsid w:val="08D12032"/>
    <w:rsid w:val="08E04023"/>
    <w:rsid w:val="09000221"/>
    <w:rsid w:val="092752BD"/>
    <w:rsid w:val="092F06B7"/>
    <w:rsid w:val="095C563D"/>
    <w:rsid w:val="097B2A79"/>
    <w:rsid w:val="09AC5238"/>
    <w:rsid w:val="09AD4E70"/>
    <w:rsid w:val="09B259BF"/>
    <w:rsid w:val="09B554AF"/>
    <w:rsid w:val="09C3197A"/>
    <w:rsid w:val="09C44200"/>
    <w:rsid w:val="09C86F91"/>
    <w:rsid w:val="09CB082F"/>
    <w:rsid w:val="09E65669"/>
    <w:rsid w:val="09EB1836"/>
    <w:rsid w:val="0A1B5312"/>
    <w:rsid w:val="0A1D648C"/>
    <w:rsid w:val="0A34576B"/>
    <w:rsid w:val="0A3960E0"/>
    <w:rsid w:val="0A3B7763"/>
    <w:rsid w:val="0A3F7FF4"/>
    <w:rsid w:val="0A560A40"/>
    <w:rsid w:val="0A6B09D0"/>
    <w:rsid w:val="0A873975"/>
    <w:rsid w:val="0A9E2D09"/>
    <w:rsid w:val="0AA16904"/>
    <w:rsid w:val="0AA95014"/>
    <w:rsid w:val="0AB36DB1"/>
    <w:rsid w:val="0AC315A8"/>
    <w:rsid w:val="0AC92FC0"/>
    <w:rsid w:val="0AD7112E"/>
    <w:rsid w:val="0AFD4502"/>
    <w:rsid w:val="0B204882"/>
    <w:rsid w:val="0B4B60CB"/>
    <w:rsid w:val="0B633415"/>
    <w:rsid w:val="0B666F19"/>
    <w:rsid w:val="0B9510F4"/>
    <w:rsid w:val="0B971310"/>
    <w:rsid w:val="0BDA37C7"/>
    <w:rsid w:val="0BF70001"/>
    <w:rsid w:val="0C183B2E"/>
    <w:rsid w:val="0C3C08C2"/>
    <w:rsid w:val="0C4A1EDF"/>
    <w:rsid w:val="0C5C7E64"/>
    <w:rsid w:val="0C711B61"/>
    <w:rsid w:val="0C7358DA"/>
    <w:rsid w:val="0C74196B"/>
    <w:rsid w:val="0C7D5BCC"/>
    <w:rsid w:val="0C8F023A"/>
    <w:rsid w:val="0C9D4705"/>
    <w:rsid w:val="0CA271EF"/>
    <w:rsid w:val="0CAB755A"/>
    <w:rsid w:val="0CAC00F9"/>
    <w:rsid w:val="0CAD246E"/>
    <w:rsid w:val="0CB101B0"/>
    <w:rsid w:val="0CBC1B52"/>
    <w:rsid w:val="0CBC40CB"/>
    <w:rsid w:val="0CC53C5B"/>
    <w:rsid w:val="0CC7352F"/>
    <w:rsid w:val="0CDD0FA5"/>
    <w:rsid w:val="0CE75980"/>
    <w:rsid w:val="0CF40FAA"/>
    <w:rsid w:val="0CFF0F1B"/>
    <w:rsid w:val="0D1B00F8"/>
    <w:rsid w:val="0D272220"/>
    <w:rsid w:val="0D295D83"/>
    <w:rsid w:val="0D2B56E9"/>
    <w:rsid w:val="0D31309F"/>
    <w:rsid w:val="0D4A769B"/>
    <w:rsid w:val="0D5374B9"/>
    <w:rsid w:val="0D58062B"/>
    <w:rsid w:val="0D724D63"/>
    <w:rsid w:val="0D841421"/>
    <w:rsid w:val="0D86163D"/>
    <w:rsid w:val="0D8D045B"/>
    <w:rsid w:val="0D9642F0"/>
    <w:rsid w:val="0DA63A8D"/>
    <w:rsid w:val="0DB5782C"/>
    <w:rsid w:val="0DB937C0"/>
    <w:rsid w:val="0DBB25A8"/>
    <w:rsid w:val="0DBF68FD"/>
    <w:rsid w:val="0DC53787"/>
    <w:rsid w:val="0DDA28D6"/>
    <w:rsid w:val="0DDE4FD5"/>
    <w:rsid w:val="0DE6650F"/>
    <w:rsid w:val="0DF73507"/>
    <w:rsid w:val="0DFA207C"/>
    <w:rsid w:val="0E3422AD"/>
    <w:rsid w:val="0E386E38"/>
    <w:rsid w:val="0E44198A"/>
    <w:rsid w:val="0E4C21DF"/>
    <w:rsid w:val="0E4F28EB"/>
    <w:rsid w:val="0E550C71"/>
    <w:rsid w:val="0E554708"/>
    <w:rsid w:val="0E554C7C"/>
    <w:rsid w:val="0E843362"/>
    <w:rsid w:val="0EAD0264"/>
    <w:rsid w:val="0EFA7B59"/>
    <w:rsid w:val="0F0A0D37"/>
    <w:rsid w:val="0F1A71BC"/>
    <w:rsid w:val="0F24110D"/>
    <w:rsid w:val="0F4E10F7"/>
    <w:rsid w:val="0F4F7EF2"/>
    <w:rsid w:val="0F5B1FBE"/>
    <w:rsid w:val="0F640D2F"/>
    <w:rsid w:val="0F671A32"/>
    <w:rsid w:val="0F930041"/>
    <w:rsid w:val="0FB139B7"/>
    <w:rsid w:val="0FB24E29"/>
    <w:rsid w:val="0FB26719"/>
    <w:rsid w:val="0FC41FA8"/>
    <w:rsid w:val="0FCB3337"/>
    <w:rsid w:val="0FE90846"/>
    <w:rsid w:val="0FF7412C"/>
    <w:rsid w:val="10044A9B"/>
    <w:rsid w:val="10093E5F"/>
    <w:rsid w:val="10120F66"/>
    <w:rsid w:val="101C0036"/>
    <w:rsid w:val="10264A11"/>
    <w:rsid w:val="104A6951"/>
    <w:rsid w:val="10617BB3"/>
    <w:rsid w:val="10667503"/>
    <w:rsid w:val="10725EA8"/>
    <w:rsid w:val="10796776"/>
    <w:rsid w:val="10914580"/>
    <w:rsid w:val="10A65B52"/>
    <w:rsid w:val="10B74074"/>
    <w:rsid w:val="10BD6F35"/>
    <w:rsid w:val="10BE733F"/>
    <w:rsid w:val="10CD6B01"/>
    <w:rsid w:val="10E3251B"/>
    <w:rsid w:val="10E34150"/>
    <w:rsid w:val="10F2640D"/>
    <w:rsid w:val="10F81694"/>
    <w:rsid w:val="110034B4"/>
    <w:rsid w:val="112C7E60"/>
    <w:rsid w:val="112E1DCF"/>
    <w:rsid w:val="11405FA6"/>
    <w:rsid w:val="115630D4"/>
    <w:rsid w:val="11584D75"/>
    <w:rsid w:val="1170063A"/>
    <w:rsid w:val="117A3266"/>
    <w:rsid w:val="11845E93"/>
    <w:rsid w:val="11877731"/>
    <w:rsid w:val="11A2456B"/>
    <w:rsid w:val="11C664AC"/>
    <w:rsid w:val="11D4369E"/>
    <w:rsid w:val="11DB0D58"/>
    <w:rsid w:val="11DB4B38"/>
    <w:rsid w:val="11FB39E2"/>
    <w:rsid w:val="121C0216"/>
    <w:rsid w:val="12245FAF"/>
    <w:rsid w:val="122B6A2F"/>
    <w:rsid w:val="12384497"/>
    <w:rsid w:val="123B77F4"/>
    <w:rsid w:val="123E21E9"/>
    <w:rsid w:val="125819A7"/>
    <w:rsid w:val="12752B42"/>
    <w:rsid w:val="12950962"/>
    <w:rsid w:val="12A06CFD"/>
    <w:rsid w:val="12A52565"/>
    <w:rsid w:val="12A54EC2"/>
    <w:rsid w:val="12B74ED2"/>
    <w:rsid w:val="12B75DF4"/>
    <w:rsid w:val="12BB3B36"/>
    <w:rsid w:val="12F6691D"/>
    <w:rsid w:val="130970C4"/>
    <w:rsid w:val="130C25E4"/>
    <w:rsid w:val="13156E63"/>
    <w:rsid w:val="13182D37"/>
    <w:rsid w:val="131E40C5"/>
    <w:rsid w:val="131F5532"/>
    <w:rsid w:val="13256945"/>
    <w:rsid w:val="13313E49"/>
    <w:rsid w:val="13337B71"/>
    <w:rsid w:val="133E2072"/>
    <w:rsid w:val="13426006"/>
    <w:rsid w:val="1368517D"/>
    <w:rsid w:val="136A2957"/>
    <w:rsid w:val="13734957"/>
    <w:rsid w:val="137D0DEC"/>
    <w:rsid w:val="1380270E"/>
    <w:rsid w:val="13AC54C1"/>
    <w:rsid w:val="13B512A1"/>
    <w:rsid w:val="13B62550"/>
    <w:rsid w:val="13BB2F94"/>
    <w:rsid w:val="13C0517C"/>
    <w:rsid w:val="13D431B9"/>
    <w:rsid w:val="13E250F3"/>
    <w:rsid w:val="13E6023E"/>
    <w:rsid w:val="13F07D65"/>
    <w:rsid w:val="13F37300"/>
    <w:rsid w:val="13F90CA2"/>
    <w:rsid w:val="14005579"/>
    <w:rsid w:val="14072DAB"/>
    <w:rsid w:val="14115C0D"/>
    <w:rsid w:val="14185F29"/>
    <w:rsid w:val="143C0CA7"/>
    <w:rsid w:val="14430A9C"/>
    <w:rsid w:val="146E4B4E"/>
    <w:rsid w:val="147026FF"/>
    <w:rsid w:val="149763D6"/>
    <w:rsid w:val="14991C55"/>
    <w:rsid w:val="14A76C92"/>
    <w:rsid w:val="14B84709"/>
    <w:rsid w:val="14BB4DC8"/>
    <w:rsid w:val="14CF38C9"/>
    <w:rsid w:val="14DC1B42"/>
    <w:rsid w:val="14E1675A"/>
    <w:rsid w:val="14FC3F92"/>
    <w:rsid w:val="15064E11"/>
    <w:rsid w:val="1525173B"/>
    <w:rsid w:val="15461A98"/>
    <w:rsid w:val="154B5F9B"/>
    <w:rsid w:val="154D0C92"/>
    <w:rsid w:val="154F4A0A"/>
    <w:rsid w:val="15724489"/>
    <w:rsid w:val="15920E51"/>
    <w:rsid w:val="15995C85"/>
    <w:rsid w:val="159F14ED"/>
    <w:rsid w:val="15BC4477"/>
    <w:rsid w:val="15BD4608"/>
    <w:rsid w:val="15D85784"/>
    <w:rsid w:val="15FA6724"/>
    <w:rsid w:val="15FC29A5"/>
    <w:rsid w:val="15FD7FC2"/>
    <w:rsid w:val="160E6248"/>
    <w:rsid w:val="161C2B3E"/>
    <w:rsid w:val="161F586A"/>
    <w:rsid w:val="16201F02"/>
    <w:rsid w:val="16225C7A"/>
    <w:rsid w:val="16314110"/>
    <w:rsid w:val="1642631D"/>
    <w:rsid w:val="164E4741"/>
    <w:rsid w:val="1663076D"/>
    <w:rsid w:val="16831A50"/>
    <w:rsid w:val="16846935"/>
    <w:rsid w:val="168F3833"/>
    <w:rsid w:val="16C60CFC"/>
    <w:rsid w:val="16CD5BE6"/>
    <w:rsid w:val="16E178E4"/>
    <w:rsid w:val="170F6A1D"/>
    <w:rsid w:val="1735378C"/>
    <w:rsid w:val="173C2D6C"/>
    <w:rsid w:val="17433E6C"/>
    <w:rsid w:val="175E7186"/>
    <w:rsid w:val="176108A4"/>
    <w:rsid w:val="176726B8"/>
    <w:rsid w:val="176E11AE"/>
    <w:rsid w:val="17734334"/>
    <w:rsid w:val="17AF3CDA"/>
    <w:rsid w:val="17B73663"/>
    <w:rsid w:val="17BE7C25"/>
    <w:rsid w:val="17D64F6F"/>
    <w:rsid w:val="17DB617D"/>
    <w:rsid w:val="17FF3E14"/>
    <w:rsid w:val="1804388A"/>
    <w:rsid w:val="181B6E25"/>
    <w:rsid w:val="18426433"/>
    <w:rsid w:val="18463EA2"/>
    <w:rsid w:val="18687698"/>
    <w:rsid w:val="187325D8"/>
    <w:rsid w:val="18770500"/>
    <w:rsid w:val="187C210F"/>
    <w:rsid w:val="18821CB9"/>
    <w:rsid w:val="18860743"/>
    <w:rsid w:val="18947A05"/>
    <w:rsid w:val="189A2440"/>
    <w:rsid w:val="18AE7C99"/>
    <w:rsid w:val="18CA2C3F"/>
    <w:rsid w:val="18DF42F7"/>
    <w:rsid w:val="18F546F2"/>
    <w:rsid w:val="19212219"/>
    <w:rsid w:val="19297320"/>
    <w:rsid w:val="19363AFA"/>
    <w:rsid w:val="19720CC7"/>
    <w:rsid w:val="198B3B37"/>
    <w:rsid w:val="19991ABF"/>
    <w:rsid w:val="19B600B0"/>
    <w:rsid w:val="19CB4621"/>
    <w:rsid w:val="19D11E91"/>
    <w:rsid w:val="19D76D7C"/>
    <w:rsid w:val="19EF056A"/>
    <w:rsid w:val="19F16090"/>
    <w:rsid w:val="19F37903"/>
    <w:rsid w:val="1A04743A"/>
    <w:rsid w:val="1A0D279E"/>
    <w:rsid w:val="1A17678E"/>
    <w:rsid w:val="1A241393"/>
    <w:rsid w:val="1A246465"/>
    <w:rsid w:val="1A3B37AF"/>
    <w:rsid w:val="1A495ECC"/>
    <w:rsid w:val="1A4A1047"/>
    <w:rsid w:val="1A534654"/>
    <w:rsid w:val="1A5605E9"/>
    <w:rsid w:val="1A5D54D3"/>
    <w:rsid w:val="1A602AAD"/>
    <w:rsid w:val="1A7D7923"/>
    <w:rsid w:val="1A8506D5"/>
    <w:rsid w:val="1A937147"/>
    <w:rsid w:val="1AA650CC"/>
    <w:rsid w:val="1AA84695"/>
    <w:rsid w:val="1AB23A71"/>
    <w:rsid w:val="1AB86BAD"/>
    <w:rsid w:val="1AC11938"/>
    <w:rsid w:val="1AC63078"/>
    <w:rsid w:val="1ACF42A1"/>
    <w:rsid w:val="1AD34E44"/>
    <w:rsid w:val="1AE76EE0"/>
    <w:rsid w:val="1AF8344E"/>
    <w:rsid w:val="1AF94774"/>
    <w:rsid w:val="1AF97567"/>
    <w:rsid w:val="1B020AAD"/>
    <w:rsid w:val="1B1742F2"/>
    <w:rsid w:val="1B2E4C6C"/>
    <w:rsid w:val="1B3204C1"/>
    <w:rsid w:val="1B527002"/>
    <w:rsid w:val="1B590390"/>
    <w:rsid w:val="1B5C1C2F"/>
    <w:rsid w:val="1B666609"/>
    <w:rsid w:val="1B690B70"/>
    <w:rsid w:val="1B701236"/>
    <w:rsid w:val="1B754A9E"/>
    <w:rsid w:val="1B8076CB"/>
    <w:rsid w:val="1B8A59D6"/>
    <w:rsid w:val="1BAF4AA0"/>
    <w:rsid w:val="1BC03F6C"/>
    <w:rsid w:val="1BC05D1A"/>
    <w:rsid w:val="1BC11A92"/>
    <w:rsid w:val="1BC21D75"/>
    <w:rsid w:val="1BC62A56"/>
    <w:rsid w:val="1BDE0896"/>
    <w:rsid w:val="1BF34341"/>
    <w:rsid w:val="1BF80445"/>
    <w:rsid w:val="1C01417E"/>
    <w:rsid w:val="1C183DA8"/>
    <w:rsid w:val="1C381D54"/>
    <w:rsid w:val="1C3F7586"/>
    <w:rsid w:val="1C4032FE"/>
    <w:rsid w:val="1C4C1CA3"/>
    <w:rsid w:val="1C4C3F1D"/>
    <w:rsid w:val="1C6061C5"/>
    <w:rsid w:val="1C6758E4"/>
    <w:rsid w:val="1C735482"/>
    <w:rsid w:val="1C8F1025"/>
    <w:rsid w:val="1C907DE2"/>
    <w:rsid w:val="1CA07754"/>
    <w:rsid w:val="1CB735C0"/>
    <w:rsid w:val="1CDD25B2"/>
    <w:rsid w:val="1CDD28FB"/>
    <w:rsid w:val="1CDE71ED"/>
    <w:rsid w:val="1CE65C54"/>
    <w:rsid w:val="1CE912A0"/>
    <w:rsid w:val="1CFD30F1"/>
    <w:rsid w:val="1D2610E3"/>
    <w:rsid w:val="1D320CC5"/>
    <w:rsid w:val="1D392227"/>
    <w:rsid w:val="1D3E783E"/>
    <w:rsid w:val="1D3F2962"/>
    <w:rsid w:val="1D4B3D09"/>
    <w:rsid w:val="1D750002"/>
    <w:rsid w:val="1D7B63DC"/>
    <w:rsid w:val="1D864D41"/>
    <w:rsid w:val="1DB16276"/>
    <w:rsid w:val="1DB4365C"/>
    <w:rsid w:val="1DB7314C"/>
    <w:rsid w:val="1DC85359"/>
    <w:rsid w:val="1DCF66E8"/>
    <w:rsid w:val="1DD01BCE"/>
    <w:rsid w:val="1DD67A76"/>
    <w:rsid w:val="1DD71A40"/>
    <w:rsid w:val="1DE504BC"/>
    <w:rsid w:val="1DEB51E9"/>
    <w:rsid w:val="1E01217A"/>
    <w:rsid w:val="1E0326AD"/>
    <w:rsid w:val="1E1B36DB"/>
    <w:rsid w:val="1E312EFF"/>
    <w:rsid w:val="1E480248"/>
    <w:rsid w:val="1E4C5F8A"/>
    <w:rsid w:val="1E5310C7"/>
    <w:rsid w:val="1E5B7F7C"/>
    <w:rsid w:val="1E5C2481"/>
    <w:rsid w:val="1E650DFA"/>
    <w:rsid w:val="1E787E3F"/>
    <w:rsid w:val="1E896032"/>
    <w:rsid w:val="1EA41352"/>
    <w:rsid w:val="1ED02718"/>
    <w:rsid w:val="1ED33FB6"/>
    <w:rsid w:val="1EDC07EA"/>
    <w:rsid w:val="1EE066D3"/>
    <w:rsid w:val="1EE14055"/>
    <w:rsid w:val="1F0B09EA"/>
    <w:rsid w:val="1F0E7107"/>
    <w:rsid w:val="1F1F71FB"/>
    <w:rsid w:val="1F26208B"/>
    <w:rsid w:val="1F2667DB"/>
    <w:rsid w:val="1F27633C"/>
    <w:rsid w:val="1F4550C4"/>
    <w:rsid w:val="1F4A53F6"/>
    <w:rsid w:val="1F505606"/>
    <w:rsid w:val="1F6B3698"/>
    <w:rsid w:val="1F767A92"/>
    <w:rsid w:val="1F7F413E"/>
    <w:rsid w:val="1F9951FF"/>
    <w:rsid w:val="1FA428EE"/>
    <w:rsid w:val="1FB159D8"/>
    <w:rsid w:val="1FB77F38"/>
    <w:rsid w:val="1FBA579B"/>
    <w:rsid w:val="1FBD45F2"/>
    <w:rsid w:val="1FBF453A"/>
    <w:rsid w:val="1FF65E89"/>
    <w:rsid w:val="1FFC12EA"/>
    <w:rsid w:val="20012DA5"/>
    <w:rsid w:val="200A09E3"/>
    <w:rsid w:val="20315438"/>
    <w:rsid w:val="20317AB3"/>
    <w:rsid w:val="205E04E8"/>
    <w:rsid w:val="206C46C2"/>
    <w:rsid w:val="208A6263"/>
    <w:rsid w:val="20941E5C"/>
    <w:rsid w:val="209D2ACD"/>
    <w:rsid w:val="20A0611A"/>
    <w:rsid w:val="20B144DF"/>
    <w:rsid w:val="20BD452B"/>
    <w:rsid w:val="20D9182E"/>
    <w:rsid w:val="20DA182C"/>
    <w:rsid w:val="20DF30E6"/>
    <w:rsid w:val="20E92EC4"/>
    <w:rsid w:val="20EE6132"/>
    <w:rsid w:val="20EF49EE"/>
    <w:rsid w:val="20F46C2C"/>
    <w:rsid w:val="20F63F8C"/>
    <w:rsid w:val="21004E0A"/>
    <w:rsid w:val="211046C7"/>
    <w:rsid w:val="211D59BC"/>
    <w:rsid w:val="212339B6"/>
    <w:rsid w:val="21254871"/>
    <w:rsid w:val="213212B7"/>
    <w:rsid w:val="2144119B"/>
    <w:rsid w:val="217952E8"/>
    <w:rsid w:val="21821CC3"/>
    <w:rsid w:val="21862C6D"/>
    <w:rsid w:val="21933ED0"/>
    <w:rsid w:val="21B55BF5"/>
    <w:rsid w:val="21F4671D"/>
    <w:rsid w:val="21FE134A"/>
    <w:rsid w:val="224D22D1"/>
    <w:rsid w:val="2252621C"/>
    <w:rsid w:val="225278E7"/>
    <w:rsid w:val="2254540E"/>
    <w:rsid w:val="225A40A6"/>
    <w:rsid w:val="225A5C6B"/>
    <w:rsid w:val="225B51D9"/>
    <w:rsid w:val="225E003A"/>
    <w:rsid w:val="22925F36"/>
    <w:rsid w:val="22A02616"/>
    <w:rsid w:val="22A26860"/>
    <w:rsid w:val="22AC263C"/>
    <w:rsid w:val="22B11907"/>
    <w:rsid w:val="22C205C9"/>
    <w:rsid w:val="22C41D55"/>
    <w:rsid w:val="22CA69E3"/>
    <w:rsid w:val="22D700DE"/>
    <w:rsid w:val="22DC6741"/>
    <w:rsid w:val="22E42C35"/>
    <w:rsid w:val="22F32E79"/>
    <w:rsid w:val="22FB3ADB"/>
    <w:rsid w:val="2305495A"/>
    <w:rsid w:val="230C5CE8"/>
    <w:rsid w:val="23244261"/>
    <w:rsid w:val="23253E95"/>
    <w:rsid w:val="232F76C9"/>
    <w:rsid w:val="235F6EB5"/>
    <w:rsid w:val="236478D2"/>
    <w:rsid w:val="2376433B"/>
    <w:rsid w:val="23843AD1"/>
    <w:rsid w:val="238D507B"/>
    <w:rsid w:val="239905A5"/>
    <w:rsid w:val="23A0431E"/>
    <w:rsid w:val="23A2739A"/>
    <w:rsid w:val="23AC3027"/>
    <w:rsid w:val="23B56380"/>
    <w:rsid w:val="23BE3486"/>
    <w:rsid w:val="23CB16FF"/>
    <w:rsid w:val="23DF51AB"/>
    <w:rsid w:val="240D7F6A"/>
    <w:rsid w:val="241167C9"/>
    <w:rsid w:val="242F6132"/>
    <w:rsid w:val="243D7784"/>
    <w:rsid w:val="24491954"/>
    <w:rsid w:val="245931AF"/>
    <w:rsid w:val="24704055"/>
    <w:rsid w:val="247578BD"/>
    <w:rsid w:val="247E2C16"/>
    <w:rsid w:val="24802EEC"/>
    <w:rsid w:val="24A26904"/>
    <w:rsid w:val="24A563F4"/>
    <w:rsid w:val="24DE36B4"/>
    <w:rsid w:val="24EE1B49"/>
    <w:rsid w:val="25153BB3"/>
    <w:rsid w:val="251C4037"/>
    <w:rsid w:val="252A114A"/>
    <w:rsid w:val="252C08C4"/>
    <w:rsid w:val="25391F63"/>
    <w:rsid w:val="253B5A69"/>
    <w:rsid w:val="254A4736"/>
    <w:rsid w:val="255045B2"/>
    <w:rsid w:val="25761B3F"/>
    <w:rsid w:val="2578303A"/>
    <w:rsid w:val="257D5076"/>
    <w:rsid w:val="25972C96"/>
    <w:rsid w:val="25A01B67"/>
    <w:rsid w:val="25B368EF"/>
    <w:rsid w:val="25B82157"/>
    <w:rsid w:val="25BF256F"/>
    <w:rsid w:val="25C1100C"/>
    <w:rsid w:val="25D16D75"/>
    <w:rsid w:val="25D36F91"/>
    <w:rsid w:val="25DA0320"/>
    <w:rsid w:val="25E24F48"/>
    <w:rsid w:val="25E8104B"/>
    <w:rsid w:val="25F807A6"/>
    <w:rsid w:val="25FF7D86"/>
    <w:rsid w:val="260E1D77"/>
    <w:rsid w:val="260E3B25"/>
    <w:rsid w:val="2610789E"/>
    <w:rsid w:val="261C26E6"/>
    <w:rsid w:val="263146F6"/>
    <w:rsid w:val="264D7B60"/>
    <w:rsid w:val="266F2816"/>
    <w:rsid w:val="2683119F"/>
    <w:rsid w:val="268F110A"/>
    <w:rsid w:val="26926A95"/>
    <w:rsid w:val="26A56238"/>
    <w:rsid w:val="26B16812"/>
    <w:rsid w:val="26B3099F"/>
    <w:rsid w:val="26C0203C"/>
    <w:rsid w:val="26D92385"/>
    <w:rsid w:val="2714516B"/>
    <w:rsid w:val="271D6716"/>
    <w:rsid w:val="27247B73"/>
    <w:rsid w:val="272C6959"/>
    <w:rsid w:val="272F01F7"/>
    <w:rsid w:val="27392E24"/>
    <w:rsid w:val="27435A51"/>
    <w:rsid w:val="274572A5"/>
    <w:rsid w:val="274577C6"/>
    <w:rsid w:val="27462BA9"/>
    <w:rsid w:val="275131CB"/>
    <w:rsid w:val="276445C9"/>
    <w:rsid w:val="278C73F8"/>
    <w:rsid w:val="27A56C11"/>
    <w:rsid w:val="27AC35F6"/>
    <w:rsid w:val="27AC5CEC"/>
    <w:rsid w:val="27EB411E"/>
    <w:rsid w:val="27F100FB"/>
    <w:rsid w:val="28090A48"/>
    <w:rsid w:val="28310773"/>
    <w:rsid w:val="28335AC5"/>
    <w:rsid w:val="283852E8"/>
    <w:rsid w:val="283B4DC5"/>
    <w:rsid w:val="283C7070"/>
    <w:rsid w:val="28451263"/>
    <w:rsid w:val="28461C9C"/>
    <w:rsid w:val="285F2D5E"/>
    <w:rsid w:val="286B525F"/>
    <w:rsid w:val="28910741"/>
    <w:rsid w:val="28A95D87"/>
    <w:rsid w:val="28BC7B0E"/>
    <w:rsid w:val="28C1276D"/>
    <w:rsid w:val="28C411E9"/>
    <w:rsid w:val="28C7385C"/>
    <w:rsid w:val="28FD4CC9"/>
    <w:rsid w:val="28FE60D3"/>
    <w:rsid w:val="290556B4"/>
    <w:rsid w:val="29061A4D"/>
    <w:rsid w:val="29246C8C"/>
    <w:rsid w:val="293145B7"/>
    <w:rsid w:val="2952220B"/>
    <w:rsid w:val="295E1773"/>
    <w:rsid w:val="29634188"/>
    <w:rsid w:val="29746395"/>
    <w:rsid w:val="297D16EE"/>
    <w:rsid w:val="297F5466"/>
    <w:rsid w:val="298736A5"/>
    <w:rsid w:val="298F4F7D"/>
    <w:rsid w:val="29A529F3"/>
    <w:rsid w:val="29A70519"/>
    <w:rsid w:val="29D86AEC"/>
    <w:rsid w:val="2A0F2112"/>
    <w:rsid w:val="2A475858"/>
    <w:rsid w:val="2A605306"/>
    <w:rsid w:val="2A6B3832"/>
    <w:rsid w:val="2A793900"/>
    <w:rsid w:val="2A7C19A5"/>
    <w:rsid w:val="2A7F1496"/>
    <w:rsid w:val="2A881CEC"/>
    <w:rsid w:val="2A994305"/>
    <w:rsid w:val="2AA85E3B"/>
    <w:rsid w:val="2AAA4765"/>
    <w:rsid w:val="2AB80DCB"/>
    <w:rsid w:val="2AB90504"/>
    <w:rsid w:val="2ABF1892"/>
    <w:rsid w:val="2ACF41CB"/>
    <w:rsid w:val="2AD96DF8"/>
    <w:rsid w:val="2AEA4B61"/>
    <w:rsid w:val="2AF87A49"/>
    <w:rsid w:val="2AF92FF6"/>
    <w:rsid w:val="2B006133"/>
    <w:rsid w:val="2B157704"/>
    <w:rsid w:val="2B167CAC"/>
    <w:rsid w:val="2B1971F4"/>
    <w:rsid w:val="2B317A4F"/>
    <w:rsid w:val="2B4C6B5C"/>
    <w:rsid w:val="2B5170E7"/>
    <w:rsid w:val="2B6B08B1"/>
    <w:rsid w:val="2B777082"/>
    <w:rsid w:val="2B8C7C7C"/>
    <w:rsid w:val="2B916B5A"/>
    <w:rsid w:val="2BA016C4"/>
    <w:rsid w:val="2BA456FE"/>
    <w:rsid w:val="2BC52ED8"/>
    <w:rsid w:val="2BDD546C"/>
    <w:rsid w:val="2BEF49DC"/>
    <w:rsid w:val="2C0167A4"/>
    <w:rsid w:val="2C1B0D4A"/>
    <w:rsid w:val="2C302A48"/>
    <w:rsid w:val="2C4A407F"/>
    <w:rsid w:val="2C5D5807"/>
    <w:rsid w:val="2C6A762E"/>
    <w:rsid w:val="2C733DC5"/>
    <w:rsid w:val="2C7A210D"/>
    <w:rsid w:val="2C861EB2"/>
    <w:rsid w:val="2C901738"/>
    <w:rsid w:val="2CA156F3"/>
    <w:rsid w:val="2CA20917"/>
    <w:rsid w:val="2CA60F5C"/>
    <w:rsid w:val="2CAA4940"/>
    <w:rsid w:val="2CBF3E97"/>
    <w:rsid w:val="2CD57184"/>
    <w:rsid w:val="2CE466AC"/>
    <w:rsid w:val="2CE53DF2"/>
    <w:rsid w:val="2CEE4AB3"/>
    <w:rsid w:val="2CFF1512"/>
    <w:rsid w:val="2D145EC5"/>
    <w:rsid w:val="2D216834"/>
    <w:rsid w:val="2D4C4080"/>
    <w:rsid w:val="2D542766"/>
    <w:rsid w:val="2D5D294D"/>
    <w:rsid w:val="2D6329A9"/>
    <w:rsid w:val="2D652012"/>
    <w:rsid w:val="2D6A1F89"/>
    <w:rsid w:val="2D7626DC"/>
    <w:rsid w:val="2D9C5EBB"/>
    <w:rsid w:val="2DAC7408"/>
    <w:rsid w:val="2DE9466E"/>
    <w:rsid w:val="2DFA155F"/>
    <w:rsid w:val="2E222864"/>
    <w:rsid w:val="2E3F3416"/>
    <w:rsid w:val="2E3F6DC0"/>
    <w:rsid w:val="2E4865B6"/>
    <w:rsid w:val="2E5A3DAC"/>
    <w:rsid w:val="2E5B7B24"/>
    <w:rsid w:val="2E5F13C2"/>
    <w:rsid w:val="2E76670C"/>
    <w:rsid w:val="2E786DB1"/>
    <w:rsid w:val="2E7C489E"/>
    <w:rsid w:val="2E814630"/>
    <w:rsid w:val="2E894691"/>
    <w:rsid w:val="2E9613E5"/>
    <w:rsid w:val="2EA80FBB"/>
    <w:rsid w:val="2EAD65D1"/>
    <w:rsid w:val="2EC658E5"/>
    <w:rsid w:val="2ECD27D0"/>
    <w:rsid w:val="2ECE479A"/>
    <w:rsid w:val="2ECF19FB"/>
    <w:rsid w:val="2ED973C6"/>
    <w:rsid w:val="2EDA32F0"/>
    <w:rsid w:val="2EE30245"/>
    <w:rsid w:val="2EF20488"/>
    <w:rsid w:val="2EFE3E42"/>
    <w:rsid w:val="2F05640D"/>
    <w:rsid w:val="2F0C7FE5"/>
    <w:rsid w:val="2F2F1519"/>
    <w:rsid w:val="2F34284F"/>
    <w:rsid w:val="2F4862FA"/>
    <w:rsid w:val="2F4B1946"/>
    <w:rsid w:val="2F4C68D1"/>
    <w:rsid w:val="2F7610B9"/>
    <w:rsid w:val="2F77098D"/>
    <w:rsid w:val="2F7E7F6E"/>
    <w:rsid w:val="2F7F0633"/>
    <w:rsid w:val="2F8530AA"/>
    <w:rsid w:val="2F8E3583"/>
    <w:rsid w:val="2FC11140"/>
    <w:rsid w:val="2FC35981"/>
    <w:rsid w:val="2FC90D1F"/>
    <w:rsid w:val="2FCA2CB9"/>
    <w:rsid w:val="2FDC2C0D"/>
    <w:rsid w:val="2FEC3129"/>
    <w:rsid w:val="300E12F2"/>
    <w:rsid w:val="302428C3"/>
    <w:rsid w:val="303625F7"/>
    <w:rsid w:val="304B2CD9"/>
    <w:rsid w:val="304C67C6"/>
    <w:rsid w:val="30527354"/>
    <w:rsid w:val="30890978"/>
    <w:rsid w:val="30A24AC9"/>
    <w:rsid w:val="30B62064"/>
    <w:rsid w:val="30C76846"/>
    <w:rsid w:val="30CE282F"/>
    <w:rsid w:val="30D31EF8"/>
    <w:rsid w:val="30E20088"/>
    <w:rsid w:val="30F22A75"/>
    <w:rsid w:val="31074F97"/>
    <w:rsid w:val="31095983"/>
    <w:rsid w:val="311346E6"/>
    <w:rsid w:val="313C1E8F"/>
    <w:rsid w:val="3150593A"/>
    <w:rsid w:val="315466E7"/>
    <w:rsid w:val="31557F29"/>
    <w:rsid w:val="315947EF"/>
    <w:rsid w:val="315A0567"/>
    <w:rsid w:val="31723B02"/>
    <w:rsid w:val="317B7E20"/>
    <w:rsid w:val="318A49A8"/>
    <w:rsid w:val="319677F1"/>
    <w:rsid w:val="31C91C1F"/>
    <w:rsid w:val="31CA56EC"/>
    <w:rsid w:val="31E00A6C"/>
    <w:rsid w:val="31E51FB7"/>
    <w:rsid w:val="31E85B72"/>
    <w:rsid w:val="31E9733B"/>
    <w:rsid w:val="31F555CE"/>
    <w:rsid w:val="31FB42D0"/>
    <w:rsid w:val="32254574"/>
    <w:rsid w:val="3232176A"/>
    <w:rsid w:val="3233535A"/>
    <w:rsid w:val="32664E75"/>
    <w:rsid w:val="32696CB3"/>
    <w:rsid w:val="326B7E18"/>
    <w:rsid w:val="328156D2"/>
    <w:rsid w:val="32830F54"/>
    <w:rsid w:val="32847649"/>
    <w:rsid w:val="3286265A"/>
    <w:rsid w:val="32891103"/>
    <w:rsid w:val="328A4FFE"/>
    <w:rsid w:val="32987598"/>
    <w:rsid w:val="329A44C1"/>
    <w:rsid w:val="329B0E37"/>
    <w:rsid w:val="329B4993"/>
    <w:rsid w:val="32B1215D"/>
    <w:rsid w:val="32B653FC"/>
    <w:rsid w:val="32BF68D3"/>
    <w:rsid w:val="32CE6BF6"/>
    <w:rsid w:val="32D54863"/>
    <w:rsid w:val="32DE4292"/>
    <w:rsid w:val="32EB37B8"/>
    <w:rsid w:val="32EC5E34"/>
    <w:rsid w:val="32F60D7A"/>
    <w:rsid w:val="32FF55D1"/>
    <w:rsid w:val="33064502"/>
    <w:rsid w:val="33095DA0"/>
    <w:rsid w:val="330A2D02"/>
    <w:rsid w:val="330C5891"/>
    <w:rsid w:val="331D7A9E"/>
    <w:rsid w:val="3323717B"/>
    <w:rsid w:val="332E733A"/>
    <w:rsid w:val="33431B34"/>
    <w:rsid w:val="33594898"/>
    <w:rsid w:val="335D7E9A"/>
    <w:rsid w:val="33784CD4"/>
    <w:rsid w:val="337A0A4C"/>
    <w:rsid w:val="339B0AED"/>
    <w:rsid w:val="33A855B9"/>
    <w:rsid w:val="33B01AC5"/>
    <w:rsid w:val="33B71CA0"/>
    <w:rsid w:val="33B95A18"/>
    <w:rsid w:val="33CD3272"/>
    <w:rsid w:val="33D77C4D"/>
    <w:rsid w:val="33E800AC"/>
    <w:rsid w:val="33EB7F10"/>
    <w:rsid w:val="33F87B2A"/>
    <w:rsid w:val="33FB1B8D"/>
    <w:rsid w:val="34052A0C"/>
    <w:rsid w:val="34256C0A"/>
    <w:rsid w:val="343147AA"/>
    <w:rsid w:val="343C4C08"/>
    <w:rsid w:val="3442156A"/>
    <w:rsid w:val="34441BD5"/>
    <w:rsid w:val="346317C9"/>
    <w:rsid w:val="34902BCC"/>
    <w:rsid w:val="3491604D"/>
    <w:rsid w:val="34924516"/>
    <w:rsid w:val="34954A38"/>
    <w:rsid w:val="34A55F9D"/>
    <w:rsid w:val="34A5706F"/>
    <w:rsid w:val="34AB28E5"/>
    <w:rsid w:val="34B14EA3"/>
    <w:rsid w:val="34C33404"/>
    <w:rsid w:val="34C53F49"/>
    <w:rsid w:val="34F1756F"/>
    <w:rsid w:val="34F211E2"/>
    <w:rsid w:val="34FA62E8"/>
    <w:rsid w:val="35096266"/>
    <w:rsid w:val="35325511"/>
    <w:rsid w:val="35696FCA"/>
    <w:rsid w:val="356E45E1"/>
    <w:rsid w:val="357A0397"/>
    <w:rsid w:val="35887450"/>
    <w:rsid w:val="358909F6"/>
    <w:rsid w:val="35A973C7"/>
    <w:rsid w:val="35C12962"/>
    <w:rsid w:val="35C4206C"/>
    <w:rsid w:val="35C44201"/>
    <w:rsid w:val="35F76384"/>
    <w:rsid w:val="360F7B72"/>
    <w:rsid w:val="36176A26"/>
    <w:rsid w:val="361B6516"/>
    <w:rsid w:val="36371193"/>
    <w:rsid w:val="36453593"/>
    <w:rsid w:val="3653F99F"/>
    <w:rsid w:val="365437D6"/>
    <w:rsid w:val="366122BC"/>
    <w:rsid w:val="3670318E"/>
    <w:rsid w:val="367479D5"/>
    <w:rsid w:val="369E0892"/>
    <w:rsid w:val="36AA09B8"/>
    <w:rsid w:val="36B3424E"/>
    <w:rsid w:val="36BF209F"/>
    <w:rsid w:val="36C0193D"/>
    <w:rsid w:val="36C724BE"/>
    <w:rsid w:val="36D13957"/>
    <w:rsid w:val="36D466C5"/>
    <w:rsid w:val="36DD1DB3"/>
    <w:rsid w:val="36F11025"/>
    <w:rsid w:val="36F80606"/>
    <w:rsid w:val="36FA44D9"/>
    <w:rsid w:val="370020A3"/>
    <w:rsid w:val="37021CB5"/>
    <w:rsid w:val="370451FC"/>
    <w:rsid w:val="371D006C"/>
    <w:rsid w:val="373D426B"/>
    <w:rsid w:val="37436ACA"/>
    <w:rsid w:val="374E6478"/>
    <w:rsid w:val="37691503"/>
    <w:rsid w:val="37720078"/>
    <w:rsid w:val="37733392"/>
    <w:rsid w:val="377C4D93"/>
    <w:rsid w:val="37914DB5"/>
    <w:rsid w:val="37AF33BA"/>
    <w:rsid w:val="37BC7885"/>
    <w:rsid w:val="37C4673A"/>
    <w:rsid w:val="37D2386B"/>
    <w:rsid w:val="37D70CAE"/>
    <w:rsid w:val="37DD0002"/>
    <w:rsid w:val="37ED2BA2"/>
    <w:rsid w:val="37FC5ED4"/>
    <w:rsid w:val="380134EA"/>
    <w:rsid w:val="381E5756"/>
    <w:rsid w:val="382F17A6"/>
    <w:rsid w:val="383935DC"/>
    <w:rsid w:val="384358B1"/>
    <w:rsid w:val="384F24A7"/>
    <w:rsid w:val="386859FD"/>
    <w:rsid w:val="387E2D8D"/>
    <w:rsid w:val="38B44A00"/>
    <w:rsid w:val="38B642D4"/>
    <w:rsid w:val="38CD6618"/>
    <w:rsid w:val="38E2331B"/>
    <w:rsid w:val="38EC419A"/>
    <w:rsid w:val="390E5CB1"/>
    <w:rsid w:val="390F7E89"/>
    <w:rsid w:val="39177E14"/>
    <w:rsid w:val="391A7448"/>
    <w:rsid w:val="39232DB5"/>
    <w:rsid w:val="39301121"/>
    <w:rsid w:val="39317DFF"/>
    <w:rsid w:val="3937182F"/>
    <w:rsid w:val="39495F16"/>
    <w:rsid w:val="394A0EC1"/>
    <w:rsid w:val="395559C4"/>
    <w:rsid w:val="39657AA9"/>
    <w:rsid w:val="396D7300"/>
    <w:rsid w:val="397321C6"/>
    <w:rsid w:val="39785A2E"/>
    <w:rsid w:val="39AE77D7"/>
    <w:rsid w:val="39CF361B"/>
    <w:rsid w:val="39E44E71"/>
    <w:rsid w:val="39F71049"/>
    <w:rsid w:val="39F8091D"/>
    <w:rsid w:val="39F91D57"/>
    <w:rsid w:val="39FF5234"/>
    <w:rsid w:val="3A0745CE"/>
    <w:rsid w:val="3A0A0D7C"/>
    <w:rsid w:val="3A1F5EA9"/>
    <w:rsid w:val="3A21319F"/>
    <w:rsid w:val="3A223F8F"/>
    <w:rsid w:val="3A255BB6"/>
    <w:rsid w:val="3A2F07E2"/>
    <w:rsid w:val="3A30455A"/>
    <w:rsid w:val="3A350062"/>
    <w:rsid w:val="3A3F654C"/>
    <w:rsid w:val="3A6313BE"/>
    <w:rsid w:val="3A7206CF"/>
    <w:rsid w:val="3A7F0825"/>
    <w:rsid w:val="3AAF547F"/>
    <w:rsid w:val="3AAF722D"/>
    <w:rsid w:val="3AC32CD9"/>
    <w:rsid w:val="3AD6600A"/>
    <w:rsid w:val="3AD959D6"/>
    <w:rsid w:val="3AED7D56"/>
    <w:rsid w:val="3B016E54"/>
    <w:rsid w:val="3B0752BB"/>
    <w:rsid w:val="3B1B0D67"/>
    <w:rsid w:val="3B2154F6"/>
    <w:rsid w:val="3B286FE0"/>
    <w:rsid w:val="3B3E2DB3"/>
    <w:rsid w:val="3B491430"/>
    <w:rsid w:val="3B584D9E"/>
    <w:rsid w:val="3B677B08"/>
    <w:rsid w:val="3B7F4E52"/>
    <w:rsid w:val="3B954675"/>
    <w:rsid w:val="3BA6683D"/>
    <w:rsid w:val="3BB22FDF"/>
    <w:rsid w:val="3BE455FD"/>
    <w:rsid w:val="3C0B2B89"/>
    <w:rsid w:val="3C1732DC"/>
    <w:rsid w:val="3C1A7270"/>
    <w:rsid w:val="3C1E33AE"/>
    <w:rsid w:val="3C2327E1"/>
    <w:rsid w:val="3C3001B4"/>
    <w:rsid w:val="3C3245BA"/>
    <w:rsid w:val="3C3E4D0D"/>
    <w:rsid w:val="3C4B742A"/>
    <w:rsid w:val="3C4F6F1A"/>
    <w:rsid w:val="3C683B38"/>
    <w:rsid w:val="3C836701"/>
    <w:rsid w:val="3C97441D"/>
    <w:rsid w:val="3CA52FDE"/>
    <w:rsid w:val="3CB00658"/>
    <w:rsid w:val="3CC22946"/>
    <w:rsid w:val="3CC52D38"/>
    <w:rsid w:val="3CD01F3B"/>
    <w:rsid w:val="3CD7328C"/>
    <w:rsid w:val="3CDA3B31"/>
    <w:rsid w:val="3CE753A4"/>
    <w:rsid w:val="3CEC5ACA"/>
    <w:rsid w:val="3CF96E86"/>
    <w:rsid w:val="3CFE624A"/>
    <w:rsid w:val="3D0F5C31"/>
    <w:rsid w:val="3D204801"/>
    <w:rsid w:val="3D287F80"/>
    <w:rsid w:val="3D361E88"/>
    <w:rsid w:val="3D3A3C3D"/>
    <w:rsid w:val="3D4C4431"/>
    <w:rsid w:val="3D540560"/>
    <w:rsid w:val="3D567E34"/>
    <w:rsid w:val="3D615EC3"/>
    <w:rsid w:val="3D6200C1"/>
    <w:rsid w:val="3D697A37"/>
    <w:rsid w:val="3D6F0EF6"/>
    <w:rsid w:val="3D864BBD"/>
    <w:rsid w:val="3D9646D4"/>
    <w:rsid w:val="3DAA119C"/>
    <w:rsid w:val="3DBA03C3"/>
    <w:rsid w:val="3DC773E3"/>
    <w:rsid w:val="3DC95243"/>
    <w:rsid w:val="3DD358A6"/>
    <w:rsid w:val="3DD57CCC"/>
    <w:rsid w:val="3DE07FF0"/>
    <w:rsid w:val="3DF31B27"/>
    <w:rsid w:val="3E06185A"/>
    <w:rsid w:val="3E081DDA"/>
    <w:rsid w:val="3E0D42F0"/>
    <w:rsid w:val="3E0E6961"/>
    <w:rsid w:val="3E174DB9"/>
    <w:rsid w:val="3E32264F"/>
    <w:rsid w:val="3E3363C7"/>
    <w:rsid w:val="3E3F2FBE"/>
    <w:rsid w:val="3E8409D1"/>
    <w:rsid w:val="3E8B6203"/>
    <w:rsid w:val="3E976956"/>
    <w:rsid w:val="3E9B64DE"/>
    <w:rsid w:val="3EA01CAF"/>
    <w:rsid w:val="3EA572C5"/>
    <w:rsid w:val="3EA90028"/>
    <w:rsid w:val="3EB43064"/>
    <w:rsid w:val="3EC21FC3"/>
    <w:rsid w:val="3ECC2B23"/>
    <w:rsid w:val="3EF45B57"/>
    <w:rsid w:val="3EF9316D"/>
    <w:rsid w:val="3F0538C0"/>
    <w:rsid w:val="3F073ADC"/>
    <w:rsid w:val="3F1F7353"/>
    <w:rsid w:val="3F390778"/>
    <w:rsid w:val="3F41092B"/>
    <w:rsid w:val="3F615435"/>
    <w:rsid w:val="3F650802"/>
    <w:rsid w:val="3F8B0F1B"/>
    <w:rsid w:val="3F9609BC"/>
    <w:rsid w:val="3FA62879"/>
    <w:rsid w:val="3FB5786C"/>
    <w:rsid w:val="3FB672B0"/>
    <w:rsid w:val="3FBD23EC"/>
    <w:rsid w:val="3FBD6091"/>
    <w:rsid w:val="3FD6525C"/>
    <w:rsid w:val="3FE306FB"/>
    <w:rsid w:val="3FE55BE1"/>
    <w:rsid w:val="3FEA0D08"/>
    <w:rsid w:val="3FEB51AC"/>
    <w:rsid w:val="3FEC021E"/>
    <w:rsid w:val="400242A3"/>
    <w:rsid w:val="4004001B"/>
    <w:rsid w:val="400B3176"/>
    <w:rsid w:val="40104C12"/>
    <w:rsid w:val="401122A5"/>
    <w:rsid w:val="40112738"/>
    <w:rsid w:val="401C5365"/>
    <w:rsid w:val="401F4E55"/>
    <w:rsid w:val="402406BD"/>
    <w:rsid w:val="402B1A4C"/>
    <w:rsid w:val="40582115"/>
    <w:rsid w:val="407654D0"/>
    <w:rsid w:val="407C4056"/>
    <w:rsid w:val="408B4299"/>
    <w:rsid w:val="4099576A"/>
    <w:rsid w:val="40B97058"/>
    <w:rsid w:val="40BC4452"/>
    <w:rsid w:val="40CA4134"/>
    <w:rsid w:val="40D73166"/>
    <w:rsid w:val="40DE261A"/>
    <w:rsid w:val="40E125FB"/>
    <w:rsid w:val="40EF4827"/>
    <w:rsid w:val="41055DF9"/>
    <w:rsid w:val="410B1343"/>
    <w:rsid w:val="411C1395"/>
    <w:rsid w:val="411D7FA1"/>
    <w:rsid w:val="4125649B"/>
    <w:rsid w:val="41397F2C"/>
    <w:rsid w:val="414032D5"/>
    <w:rsid w:val="414E5376"/>
    <w:rsid w:val="41566655"/>
    <w:rsid w:val="41626E05"/>
    <w:rsid w:val="4185518C"/>
    <w:rsid w:val="4196079D"/>
    <w:rsid w:val="419D0246"/>
    <w:rsid w:val="41A2189A"/>
    <w:rsid w:val="41A41AB6"/>
    <w:rsid w:val="41A5138A"/>
    <w:rsid w:val="41AE7D8C"/>
    <w:rsid w:val="41B7738D"/>
    <w:rsid w:val="41C757A4"/>
    <w:rsid w:val="41DD28D2"/>
    <w:rsid w:val="41E33C60"/>
    <w:rsid w:val="42042555"/>
    <w:rsid w:val="42114C71"/>
    <w:rsid w:val="42150157"/>
    <w:rsid w:val="421C10AE"/>
    <w:rsid w:val="421F2EEA"/>
    <w:rsid w:val="42206C63"/>
    <w:rsid w:val="42426635"/>
    <w:rsid w:val="424E37D0"/>
    <w:rsid w:val="425012F6"/>
    <w:rsid w:val="4251506E"/>
    <w:rsid w:val="425608D6"/>
    <w:rsid w:val="42581B17"/>
    <w:rsid w:val="425D0C70"/>
    <w:rsid w:val="425D3A13"/>
    <w:rsid w:val="42862F6A"/>
    <w:rsid w:val="428C07D7"/>
    <w:rsid w:val="42912938"/>
    <w:rsid w:val="42980EEF"/>
    <w:rsid w:val="429E3AD6"/>
    <w:rsid w:val="42AA1BED"/>
    <w:rsid w:val="42B44D10"/>
    <w:rsid w:val="42BA41B0"/>
    <w:rsid w:val="42C13FA2"/>
    <w:rsid w:val="42DB7916"/>
    <w:rsid w:val="42DE3E28"/>
    <w:rsid w:val="42EF31B0"/>
    <w:rsid w:val="42F205FF"/>
    <w:rsid w:val="430640AA"/>
    <w:rsid w:val="430C15CB"/>
    <w:rsid w:val="430C699F"/>
    <w:rsid w:val="43143CD2"/>
    <w:rsid w:val="43192030"/>
    <w:rsid w:val="43244531"/>
    <w:rsid w:val="432812C4"/>
    <w:rsid w:val="43456981"/>
    <w:rsid w:val="435766B4"/>
    <w:rsid w:val="435D2698"/>
    <w:rsid w:val="435F148F"/>
    <w:rsid w:val="437943F5"/>
    <w:rsid w:val="438372CA"/>
    <w:rsid w:val="43910F3B"/>
    <w:rsid w:val="439E2535"/>
    <w:rsid w:val="43A80694"/>
    <w:rsid w:val="43B6162D"/>
    <w:rsid w:val="43BA039F"/>
    <w:rsid w:val="43BE4985"/>
    <w:rsid w:val="43C26223"/>
    <w:rsid w:val="43CA3044"/>
    <w:rsid w:val="43D917BF"/>
    <w:rsid w:val="43DF5FA7"/>
    <w:rsid w:val="43E53CC0"/>
    <w:rsid w:val="43F403A7"/>
    <w:rsid w:val="440525B4"/>
    <w:rsid w:val="441576E1"/>
    <w:rsid w:val="44220A07"/>
    <w:rsid w:val="442C7B41"/>
    <w:rsid w:val="44433C32"/>
    <w:rsid w:val="444430DC"/>
    <w:rsid w:val="444906F3"/>
    <w:rsid w:val="44533D13"/>
    <w:rsid w:val="445B0426"/>
    <w:rsid w:val="445F5FF9"/>
    <w:rsid w:val="448434D9"/>
    <w:rsid w:val="448674E8"/>
    <w:rsid w:val="44A122DD"/>
    <w:rsid w:val="44A578BE"/>
    <w:rsid w:val="44AD5AB7"/>
    <w:rsid w:val="44BA339E"/>
    <w:rsid w:val="44E64193"/>
    <w:rsid w:val="44E65F41"/>
    <w:rsid w:val="44E73A68"/>
    <w:rsid w:val="44F93EC7"/>
    <w:rsid w:val="44FA379B"/>
    <w:rsid w:val="44FA73AF"/>
    <w:rsid w:val="451B0EA1"/>
    <w:rsid w:val="45280308"/>
    <w:rsid w:val="454B141F"/>
    <w:rsid w:val="454F1D39"/>
    <w:rsid w:val="4574354D"/>
    <w:rsid w:val="4577128F"/>
    <w:rsid w:val="4587774F"/>
    <w:rsid w:val="45967968"/>
    <w:rsid w:val="459E05CA"/>
    <w:rsid w:val="45A7579D"/>
    <w:rsid w:val="45AB2CE7"/>
    <w:rsid w:val="45AC718B"/>
    <w:rsid w:val="45B41145"/>
    <w:rsid w:val="45C51FFB"/>
    <w:rsid w:val="45D81FA6"/>
    <w:rsid w:val="45D93CF8"/>
    <w:rsid w:val="45E61DF3"/>
    <w:rsid w:val="460867CC"/>
    <w:rsid w:val="460F7F4F"/>
    <w:rsid w:val="46144D30"/>
    <w:rsid w:val="461B1C1B"/>
    <w:rsid w:val="4642189D"/>
    <w:rsid w:val="464949DA"/>
    <w:rsid w:val="46893028"/>
    <w:rsid w:val="46A02C50"/>
    <w:rsid w:val="46A674BD"/>
    <w:rsid w:val="46A9191C"/>
    <w:rsid w:val="46B458C0"/>
    <w:rsid w:val="46C36B78"/>
    <w:rsid w:val="46C40504"/>
    <w:rsid w:val="46D6011A"/>
    <w:rsid w:val="46E77832"/>
    <w:rsid w:val="46E82384"/>
    <w:rsid w:val="46EA736D"/>
    <w:rsid w:val="46F801AE"/>
    <w:rsid w:val="4703102D"/>
    <w:rsid w:val="471843AC"/>
    <w:rsid w:val="471F398D"/>
    <w:rsid w:val="47234027"/>
    <w:rsid w:val="47234CFB"/>
    <w:rsid w:val="472879B0"/>
    <w:rsid w:val="4742291B"/>
    <w:rsid w:val="474358CD"/>
    <w:rsid w:val="474D04FA"/>
    <w:rsid w:val="47592105"/>
    <w:rsid w:val="47617388"/>
    <w:rsid w:val="47777520"/>
    <w:rsid w:val="479559FD"/>
    <w:rsid w:val="4796702E"/>
    <w:rsid w:val="47A53E92"/>
    <w:rsid w:val="47C56BFB"/>
    <w:rsid w:val="47E56984"/>
    <w:rsid w:val="47F646ED"/>
    <w:rsid w:val="47F95F8C"/>
    <w:rsid w:val="480706A9"/>
    <w:rsid w:val="48272AF9"/>
    <w:rsid w:val="48343468"/>
    <w:rsid w:val="484418FD"/>
    <w:rsid w:val="485B6C46"/>
    <w:rsid w:val="48651873"/>
    <w:rsid w:val="48657A71"/>
    <w:rsid w:val="48710218"/>
    <w:rsid w:val="487429ED"/>
    <w:rsid w:val="487815A6"/>
    <w:rsid w:val="487E3BD5"/>
    <w:rsid w:val="487F2935"/>
    <w:rsid w:val="488717E9"/>
    <w:rsid w:val="48B60321"/>
    <w:rsid w:val="48B8224C"/>
    <w:rsid w:val="48C26CC5"/>
    <w:rsid w:val="48C37705"/>
    <w:rsid w:val="48D11064"/>
    <w:rsid w:val="48D6451F"/>
    <w:rsid w:val="48F34DB8"/>
    <w:rsid w:val="48FA020D"/>
    <w:rsid w:val="490620D6"/>
    <w:rsid w:val="49134C56"/>
    <w:rsid w:val="49296D45"/>
    <w:rsid w:val="49350787"/>
    <w:rsid w:val="493C25D4"/>
    <w:rsid w:val="493C6A78"/>
    <w:rsid w:val="493E5947"/>
    <w:rsid w:val="493F698A"/>
    <w:rsid w:val="494028EB"/>
    <w:rsid w:val="496438D9"/>
    <w:rsid w:val="49690EEF"/>
    <w:rsid w:val="49697141"/>
    <w:rsid w:val="497004D0"/>
    <w:rsid w:val="49885819"/>
    <w:rsid w:val="49A32653"/>
    <w:rsid w:val="49A53A73"/>
    <w:rsid w:val="49AE7B5B"/>
    <w:rsid w:val="49B22896"/>
    <w:rsid w:val="49B4112F"/>
    <w:rsid w:val="49BA59AE"/>
    <w:rsid w:val="49C977DB"/>
    <w:rsid w:val="49FA4868"/>
    <w:rsid w:val="4A080708"/>
    <w:rsid w:val="4A093B35"/>
    <w:rsid w:val="4A162E6E"/>
    <w:rsid w:val="4A17094B"/>
    <w:rsid w:val="4A3634C7"/>
    <w:rsid w:val="4A4F6337"/>
    <w:rsid w:val="4A5D6CA6"/>
    <w:rsid w:val="4A91694F"/>
    <w:rsid w:val="4A963F66"/>
    <w:rsid w:val="4ABA40F8"/>
    <w:rsid w:val="4AE023EC"/>
    <w:rsid w:val="4B265447"/>
    <w:rsid w:val="4B38326F"/>
    <w:rsid w:val="4B3D2633"/>
    <w:rsid w:val="4B421500"/>
    <w:rsid w:val="4B4C0AC8"/>
    <w:rsid w:val="4B524331"/>
    <w:rsid w:val="4B5E653E"/>
    <w:rsid w:val="4B775281"/>
    <w:rsid w:val="4B9009B5"/>
    <w:rsid w:val="4B9422CC"/>
    <w:rsid w:val="4BAD5A0B"/>
    <w:rsid w:val="4BB40B47"/>
    <w:rsid w:val="4BC16080"/>
    <w:rsid w:val="4BC55F37"/>
    <w:rsid w:val="4BD27749"/>
    <w:rsid w:val="4BD72CE9"/>
    <w:rsid w:val="4BEA157E"/>
    <w:rsid w:val="4C1E4213"/>
    <w:rsid w:val="4C251A45"/>
    <w:rsid w:val="4C2705DD"/>
    <w:rsid w:val="4C297F74"/>
    <w:rsid w:val="4C5456DC"/>
    <w:rsid w:val="4C547C35"/>
    <w:rsid w:val="4C5944B1"/>
    <w:rsid w:val="4C6D0CF6"/>
    <w:rsid w:val="4C6F3A23"/>
    <w:rsid w:val="4C7E2F03"/>
    <w:rsid w:val="4C8F5C62"/>
    <w:rsid w:val="4C9D5A7F"/>
    <w:rsid w:val="4C9E1ABC"/>
    <w:rsid w:val="4CA77A88"/>
    <w:rsid w:val="4CF133A3"/>
    <w:rsid w:val="4D0168EA"/>
    <w:rsid w:val="4D027EED"/>
    <w:rsid w:val="4D0F116D"/>
    <w:rsid w:val="4D330192"/>
    <w:rsid w:val="4D355CB8"/>
    <w:rsid w:val="4D3B0B48"/>
    <w:rsid w:val="4D4001B9"/>
    <w:rsid w:val="4D4642C1"/>
    <w:rsid w:val="4D4B557E"/>
    <w:rsid w:val="4D4E6D7A"/>
    <w:rsid w:val="4D66647C"/>
    <w:rsid w:val="4D690DDD"/>
    <w:rsid w:val="4D6E32E7"/>
    <w:rsid w:val="4DB320D6"/>
    <w:rsid w:val="4DB447D1"/>
    <w:rsid w:val="4DB76130"/>
    <w:rsid w:val="4DB82445"/>
    <w:rsid w:val="4DBF1A26"/>
    <w:rsid w:val="4DC5673B"/>
    <w:rsid w:val="4DD67651"/>
    <w:rsid w:val="4DD958BA"/>
    <w:rsid w:val="4DEB3918"/>
    <w:rsid w:val="4DEF4911"/>
    <w:rsid w:val="4E074BC8"/>
    <w:rsid w:val="4E192EE4"/>
    <w:rsid w:val="4E267A1C"/>
    <w:rsid w:val="4E2D2E33"/>
    <w:rsid w:val="4E3F1A74"/>
    <w:rsid w:val="4E4D7031"/>
    <w:rsid w:val="4E616639"/>
    <w:rsid w:val="4E6F0D56"/>
    <w:rsid w:val="4E74636C"/>
    <w:rsid w:val="4E760ECF"/>
    <w:rsid w:val="4E962786"/>
    <w:rsid w:val="4EA9414C"/>
    <w:rsid w:val="4EC779CB"/>
    <w:rsid w:val="4ECD3CCE"/>
    <w:rsid w:val="4ED80FF1"/>
    <w:rsid w:val="4EE87ACC"/>
    <w:rsid w:val="4EEE4370"/>
    <w:rsid w:val="4EEF1E97"/>
    <w:rsid w:val="4EFE47D1"/>
    <w:rsid w:val="4EFF7FA3"/>
    <w:rsid w:val="4F021BCA"/>
    <w:rsid w:val="4F122A8C"/>
    <w:rsid w:val="4F244236"/>
    <w:rsid w:val="4F356B7B"/>
    <w:rsid w:val="4F4026F2"/>
    <w:rsid w:val="4F663B47"/>
    <w:rsid w:val="4F802EB1"/>
    <w:rsid w:val="4F844CD5"/>
    <w:rsid w:val="4FB37368"/>
    <w:rsid w:val="4FC155E1"/>
    <w:rsid w:val="4FD61243"/>
    <w:rsid w:val="4FF63749"/>
    <w:rsid w:val="50102AE1"/>
    <w:rsid w:val="502E6B39"/>
    <w:rsid w:val="5043249A"/>
    <w:rsid w:val="5051105B"/>
    <w:rsid w:val="50602E08"/>
    <w:rsid w:val="50605398"/>
    <w:rsid w:val="507408A5"/>
    <w:rsid w:val="507F0A3C"/>
    <w:rsid w:val="50832EE6"/>
    <w:rsid w:val="508A67B9"/>
    <w:rsid w:val="50BC4794"/>
    <w:rsid w:val="50C8299F"/>
    <w:rsid w:val="50E6470E"/>
    <w:rsid w:val="50EC2B32"/>
    <w:rsid w:val="50FB0FC7"/>
    <w:rsid w:val="50FC72E6"/>
    <w:rsid w:val="50FD4D3F"/>
    <w:rsid w:val="510F337D"/>
    <w:rsid w:val="511931FB"/>
    <w:rsid w:val="51266A33"/>
    <w:rsid w:val="512A23E5"/>
    <w:rsid w:val="51383FC9"/>
    <w:rsid w:val="513D513B"/>
    <w:rsid w:val="513F5357"/>
    <w:rsid w:val="515327E2"/>
    <w:rsid w:val="51654692"/>
    <w:rsid w:val="51673073"/>
    <w:rsid w:val="51734070"/>
    <w:rsid w:val="51825244"/>
    <w:rsid w:val="51874608"/>
    <w:rsid w:val="51D14ACF"/>
    <w:rsid w:val="51D84E64"/>
    <w:rsid w:val="51E073BF"/>
    <w:rsid w:val="51E1640E"/>
    <w:rsid w:val="51FA638D"/>
    <w:rsid w:val="5200056D"/>
    <w:rsid w:val="52072E31"/>
    <w:rsid w:val="520E0886"/>
    <w:rsid w:val="520F675D"/>
    <w:rsid w:val="52181704"/>
    <w:rsid w:val="52320A18"/>
    <w:rsid w:val="52344CED"/>
    <w:rsid w:val="5237602E"/>
    <w:rsid w:val="52392F23"/>
    <w:rsid w:val="523C53F3"/>
    <w:rsid w:val="52564A6A"/>
    <w:rsid w:val="525A17EE"/>
    <w:rsid w:val="525A3919"/>
    <w:rsid w:val="526130AB"/>
    <w:rsid w:val="52741030"/>
    <w:rsid w:val="527E5A0B"/>
    <w:rsid w:val="528D20F2"/>
    <w:rsid w:val="52923265"/>
    <w:rsid w:val="52B551A5"/>
    <w:rsid w:val="52C068BC"/>
    <w:rsid w:val="52D3458B"/>
    <w:rsid w:val="52D715BF"/>
    <w:rsid w:val="52DE0C04"/>
    <w:rsid w:val="52E516B4"/>
    <w:rsid w:val="52ED43B9"/>
    <w:rsid w:val="53043E75"/>
    <w:rsid w:val="53084363"/>
    <w:rsid w:val="5314147A"/>
    <w:rsid w:val="531E6161"/>
    <w:rsid w:val="533D4D64"/>
    <w:rsid w:val="5349426B"/>
    <w:rsid w:val="534B6F3B"/>
    <w:rsid w:val="535B3F9E"/>
    <w:rsid w:val="53603363"/>
    <w:rsid w:val="53760DD8"/>
    <w:rsid w:val="538873A9"/>
    <w:rsid w:val="539179C0"/>
    <w:rsid w:val="53933738"/>
    <w:rsid w:val="53B460FE"/>
    <w:rsid w:val="53BF452D"/>
    <w:rsid w:val="53FF0DCE"/>
    <w:rsid w:val="5411465D"/>
    <w:rsid w:val="542B3255"/>
    <w:rsid w:val="543A0058"/>
    <w:rsid w:val="543C16DA"/>
    <w:rsid w:val="544779D5"/>
    <w:rsid w:val="544E5CE1"/>
    <w:rsid w:val="544E765F"/>
    <w:rsid w:val="54520EFE"/>
    <w:rsid w:val="5455279C"/>
    <w:rsid w:val="545A24A8"/>
    <w:rsid w:val="546D5D37"/>
    <w:rsid w:val="547509DC"/>
    <w:rsid w:val="549534E0"/>
    <w:rsid w:val="5495528E"/>
    <w:rsid w:val="5496745E"/>
    <w:rsid w:val="54A454D1"/>
    <w:rsid w:val="54A8045F"/>
    <w:rsid w:val="54A82930"/>
    <w:rsid w:val="54C85664"/>
    <w:rsid w:val="54CD44ED"/>
    <w:rsid w:val="54DE6C35"/>
    <w:rsid w:val="551E5CEB"/>
    <w:rsid w:val="5521008A"/>
    <w:rsid w:val="553E1687"/>
    <w:rsid w:val="55404E6E"/>
    <w:rsid w:val="554C5174"/>
    <w:rsid w:val="55546EF7"/>
    <w:rsid w:val="555D5DAC"/>
    <w:rsid w:val="55750DBC"/>
    <w:rsid w:val="557C4EC1"/>
    <w:rsid w:val="557D4AFD"/>
    <w:rsid w:val="55853555"/>
    <w:rsid w:val="558772CD"/>
    <w:rsid w:val="558C7202"/>
    <w:rsid w:val="558F1CDD"/>
    <w:rsid w:val="55985036"/>
    <w:rsid w:val="55A65C2A"/>
    <w:rsid w:val="55AF14F9"/>
    <w:rsid w:val="55B17EA6"/>
    <w:rsid w:val="55C20305"/>
    <w:rsid w:val="55D87B28"/>
    <w:rsid w:val="55D94182"/>
    <w:rsid w:val="55E97640"/>
    <w:rsid w:val="55F07786"/>
    <w:rsid w:val="55F949A8"/>
    <w:rsid w:val="55FE3948"/>
    <w:rsid w:val="5624780D"/>
    <w:rsid w:val="56290384"/>
    <w:rsid w:val="564B3E56"/>
    <w:rsid w:val="56551307"/>
    <w:rsid w:val="56585F69"/>
    <w:rsid w:val="565D3B8A"/>
    <w:rsid w:val="568D0913"/>
    <w:rsid w:val="56B20706"/>
    <w:rsid w:val="56CA56C3"/>
    <w:rsid w:val="56D07A90"/>
    <w:rsid w:val="56E46059"/>
    <w:rsid w:val="56F017EF"/>
    <w:rsid w:val="56F73FDE"/>
    <w:rsid w:val="570F1E19"/>
    <w:rsid w:val="573729B9"/>
    <w:rsid w:val="574A6804"/>
    <w:rsid w:val="574F3E1A"/>
    <w:rsid w:val="575265F8"/>
    <w:rsid w:val="576067AB"/>
    <w:rsid w:val="576B029A"/>
    <w:rsid w:val="577C3646"/>
    <w:rsid w:val="57827F81"/>
    <w:rsid w:val="579730CB"/>
    <w:rsid w:val="57AE0ED6"/>
    <w:rsid w:val="57C06AC6"/>
    <w:rsid w:val="57C32112"/>
    <w:rsid w:val="57CA626D"/>
    <w:rsid w:val="57D245B4"/>
    <w:rsid w:val="57D91936"/>
    <w:rsid w:val="57DF13E7"/>
    <w:rsid w:val="57E13CEA"/>
    <w:rsid w:val="581D3408"/>
    <w:rsid w:val="5822260D"/>
    <w:rsid w:val="582F1556"/>
    <w:rsid w:val="58310C72"/>
    <w:rsid w:val="583628E4"/>
    <w:rsid w:val="58523BC2"/>
    <w:rsid w:val="585A4825"/>
    <w:rsid w:val="58721957"/>
    <w:rsid w:val="587D7E5A"/>
    <w:rsid w:val="58BA52C3"/>
    <w:rsid w:val="58C97C61"/>
    <w:rsid w:val="58CA2EE6"/>
    <w:rsid w:val="58D04CC8"/>
    <w:rsid w:val="58D77C23"/>
    <w:rsid w:val="58E3696F"/>
    <w:rsid w:val="58EF1411"/>
    <w:rsid w:val="58F419FA"/>
    <w:rsid w:val="58F78661"/>
    <w:rsid w:val="58FF53CC"/>
    <w:rsid w:val="590B1FC3"/>
    <w:rsid w:val="591A28FF"/>
    <w:rsid w:val="594340A3"/>
    <w:rsid w:val="59464DA9"/>
    <w:rsid w:val="594F3C5E"/>
    <w:rsid w:val="59725B9E"/>
    <w:rsid w:val="59732FA7"/>
    <w:rsid w:val="59875AED"/>
    <w:rsid w:val="59A03963"/>
    <w:rsid w:val="59B166C6"/>
    <w:rsid w:val="59B91A1F"/>
    <w:rsid w:val="59DD570D"/>
    <w:rsid w:val="59EE494D"/>
    <w:rsid w:val="59F03A66"/>
    <w:rsid w:val="5A1540BD"/>
    <w:rsid w:val="5A292701"/>
    <w:rsid w:val="5A584D94"/>
    <w:rsid w:val="5A5F2F91"/>
    <w:rsid w:val="5A72492F"/>
    <w:rsid w:val="5A755946"/>
    <w:rsid w:val="5A7F5F97"/>
    <w:rsid w:val="5A940ED1"/>
    <w:rsid w:val="5AA9356E"/>
    <w:rsid w:val="5AAE70AA"/>
    <w:rsid w:val="5AB126F6"/>
    <w:rsid w:val="5AB32912"/>
    <w:rsid w:val="5ABC17C7"/>
    <w:rsid w:val="5AD84127"/>
    <w:rsid w:val="5ADC59C5"/>
    <w:rsid w:val="5AE34FA5"/>
    <w:rsid w:val="5AE66844"/>
    <w:rsid w:val="5AFC7E15"/>
    <w:rsid w:val="5B187DAE"/>
    <w:rsid w:val="5B1D63D9"/>
    <w:rsid w:val="5B2C6CD4"/>
    <w:rsid w:val="5B2E3D47"/>
    <w:rsid w:val="5B3E21DC"/>
    <w:rsid w:val="5B4D248F"/>
    <w:rsid w:val="5B667984"/>
    <w:rsid w:val="5B694D7F"/>
    <w:rsid w:val="5B7A4125"/>
    <w:rsid w:val="5B8322E4"/>
    <w:rsid w:val="5B9820C7"/>
    <w:rsid w:val="5BA1276A"/>
    <w:rsid w:val="5BA32F4B"/>
    <w:rsid w:val="5BAC35E9"/>
    <w:rsid w:val="5BBB524E"/>
    <w:rsid w:val="5BC22E0D"/>
    <w:rsid w:val="5BC40C35"/>
    <w:rsid w:val="5BCB5E61"/>
    <w:rsid w:val="5BDC19F5"/>
    <w:rsid w:val="5BDE576D"/>
    <w:rsid w:val="5BE07163"/>
    <w:rsid w:val="5BE34B31"/>
    <w:rsid w:val="5C007491"/>
    <w:rsid w:val="5C0C052C"/>
    <w:rsid w:val="5C0E3D80"/>
    <w:rsid w:val="5C1A7D4C"/>
    <w:rsid w:val="5C2D68AB"/>
    <w:rsid w:val="5C3754AC"/>
    <w:rsid w:val="5C475B3F"/>
    <w:rsid w:val="5C621719"/>
    <w:rsid w:val="5C6A0DAE"/>
    <w:rsid w:val="5C7A1BCF"/>
    <w:rsid w:val="5C930305"/>
    <w:rsid w:val="5CA2443A"/>
    <w:rsid w:val="5CB100A4"/>
    <w:rsid w:val="5CC11316"/>
    <w:rsid w:val="5CD074CF"/>
    <w:rsid w:val="5CE768A3"/>
    <w:rsid w:val="5CE943C9"/>
    <w:rsid w:val="5CEB2603"/>
    <w:rsid w:val="5D3970FE"/>
    <w:rsid w:val="5D3C446B"/>
    <w:rsid w:val="5D404E6F"/>
    <w:rsid w:val="5D4B5084"/>
    <w:rsid w:val="5D4B6E32"/>
    <w:rsid w:val="5D6323CD"/>
    <w:rsid w:val="5D641CA2"/>
    <w:rsid w:val="5D6F2B20"/>
    <w:rsid w:val="5D997B9D"/>
    <w:rsid w:val="5DA64068"/>
    <w:rsid w:val="5DB432D5"/>
    <w:rsid w:val="5DD07C35"/>
    <w:rsid w:val="5DD72473"/>
    <w:rsid w:val="5DE44553"/>
    <w:rsid w:val="5DE51034"/>
    <w:rsid w:val="5DE80ECD"/>
    <w:rsid w:val="5DE828D3"/>
    <w:rsid w:val="5DEB095A"/>
    <w:rsid w:val="5E062D59"/>
    <w:rsid w:val="5E134C8C"/>
    <w:rsid w:val="5E196889"/>
    <w:rsid w:val="5E2E29DB"/>
    <w:rsid w:val="5E59557E"/>
    <w:rsid w:val="5E677C9B"/>
    <w:rsid w:val="5E765DF7"/>
    <w:rsid w:val="5EAA7148"/>
    <w:rsid w:val="5EC0115A"/>
    <w:rsid w:val="5EC96260"/>
    <w:rsid w:val="5EE906B0"/>
    <w:rsid w:val="5EF01A3F"/>
    <w:rsid w:val="5EF132A9"/>
    <w:rsid w:val="5EFD415C"/>
    <w:rsid w:val="5F180F96"/>
    <w:rsid w:val="5F217E4A"/>
    <w:rsid w:val="5F2E3793"/>
    <w:rsid w:val="5F675CD2"/>
    <w:rsid w:val="5F8F6D88"/>
    <w:rsid w:val="5F990328"/>
    <w:rsid w:val="5F9F642C"/>
    <w:rsid w:val="5FA02694"/>
    <w:rsid w:val="5FB4382E"/>
    <w:rsid w:val="5FBA204D"/>
    <w:rsid w:val="5FCB0F81"/>
    <w:rsid w:val="5FCF559B"/>
    <w:rsid w:val="5FE01AB3"/>
    <w:rsid w:val="5FF545E2"/>
    <w:rsid w:val="60152BED"/>
    <w:rsid w:val="60153175"/>
    <w:rsid w:val="602A1129"/>
    <w:rsid w:val="60315686"/>
    <w:rsid w:val="603911C4"/>
    <w:rsid w:val="60397415"/>
    <w:rsid w:val="60402552"/>
    <w:rsid w:val="607602AB"/>
    <w:rsid w:val="607923C2"/>
    <w:rsid w:val="60847CC9"/>
    <w:rsid w:val="60883EF9"/>
    <w:rsid w:val="60885E2E"/>
    <w:rsid w:val="608A3BE5"/>
    <w:rsid w:val="608C055C"/>
    <w:rsid w:val="608F5287"/>
    <w:rsid w:val="609355AC"/>
    <w:rsid w:val="60A03B80"/>
    <w:rsid w:val="60A24FBB"/>
    <w:rsid w:val="60AE3960"/>
    <w:rsid w:val="60D64C64"/>
    <w:rsid w:val="60DD2497"/>
    <w:rsid w:val="60E05979"/>
    <w:rsid w:val="60E10E67"/>
    <w:rsid w:val="61253629"/>
    <w:rsid w:val="61354081"/>
    <w:rsid w:val="61363955"/>
    <w:rsid w:val="613A3445"/>
    <w:rsid w:val="613B0F6B"/>
    <w:rsid w:val="615C359C"/>
    <w:rsid w:val="615D7326"/>
    <w:rsid w:val="618E5F8F"/>
    <w:rsid w:val="619E191F"/>
    <w:rsid w:val="61B72CE8"/>
    <w:rsid w:val="61B76844"/>
    <w:rsid w:val="61BE5E24"/>
    <w:rsid w:val="61CB5DAE"/>
    <w:rsid w:val="61E33ADD"/>
    <w:rsid w:val="61E36782"/>
    <w:rsid w:val="61F65A66"/>
    <w:rsid w:val="621C1871"/>
    <w:rsid w:val="62215048"/>
    <w:rsid w:val="6256605D"/>
    <w:rsid w:val="62774225"/>
    <w:rsid w:val="62813D56"/>
    <w:rsid w:val="628A3F58"/>
    <w:rsid w:val="628D3485"/>
    <w:rsid w:val="62AD76C0"/>
    <w:rsid w:val="62C30E7C"/>
    <w:rsid w:val="62C332D8"/>
    <w:rsid w:val="62C507C9"/>
    <w:rsid w:val="62D11B87"/>
    <w:rsid w:val="62D23905"/>
    <w:rsid w:val="62E775FD"/>
    <w:rsid w:val="62EF2DAA"/>
    <w:rsid w:val="62F92E8C"/>
    <w:rsid w:val="631A352E"/>
    <w:rsid w:val="63272A98"/>
    <w:rsid w:val="63294227"/>
    <w:rsid w:val="6332124D"/>
    <w:rsid w:val="633B34A5"/>
    <w:rsid w:val="633D7E27"/>
    <w:rsid w:val="63422A85"/>
    <w:rsid w:val="63434D41"/>
    <w:rsid w:val="634405AB"/>
    <w:rsid w:val="63460C52"/>
    <w:rsid w:val="6348169A"/>
    <w:rsid w:val="63621217"/>
    <w:rsid w:val="6390559E"/>
    <w:rsid w:val="63916C75"/>
    <w:rsid w:val="63AD43A2"/>
    <w:rsid w:val="63B30F2E"/>
    <w:rsid w:val="63B53257"/>
    <w:rsid w:val="63C27722"/>
    <w:rsid w:val="63C96D02"/>
    <w:rsid w:val="63DA0F0F"/>
    <w:rsid w:val="63FF44D2"/>
    <w:rsid w:val="640161A2"/>
    <w:rsid w:val="640518EE"/>
    <w:rsid w:val="640C1C55"/>
    <w:rsid w:val="642E6B65"/>
    <w:rsid w:val="643248A8"/>
    <w:rsid w:val="64557053"/>
    <w:rsid w:val="645F59C0"/>
    <w:rsid w:val="64754DD6"/>
    <w:rsid w:val="647E0D38"/>
    <w:rsid w:val="64874BF3"/>
    <w:rsid w:val="648B3FB8"/>
    <w:rsid w:val="64986EFA"/>
    <w:rsid w:val="64A31301"/>
    <w:rsid w:val="64A60857"/>
    <w:rsid w:val="64AB2B3B"/>
    <w:rsid w:val="64B67287"/>
    <w:rsid w:val="64B928D3"/>
    <w:rsid w:val="64B96D77"/>
    <w:rsid w:val="64D35ED3"/>
    <w:rsid w:val="64D771FD"/>
    <w:rsid w:val="64DE6447"/>
    <w:rsid w:val="65041398"/>
    <w:rsid w:val="650A75D2"/>
    <w:rsid w:val="6522491C"/>
    <w:rsid w:val="65285AD1"/>
    <w:rsid w:val="652B664F"/>
    <w:rsid w:val="65314B5F"/>
    <w:rsid w:val="653D1756"/>
    <w:rsid w:val="653D3504"/>
    <w:rsid w:val="65401246"/>
    <w:rsid w:val="65461273"/>
    <w:rsid w:val="65767CBF"/>
    <w:rsid w:val="6582412A"/>
    <w:rsid w:val="65885901"/>
    <w:rsid w:val="65944411"/>
    <w:rsid w:val="659926BC"/>
    <w:rsid w:val="659A38FD"/>
    <w:rsid w:val="659B5266"/>
    <w:rsid w:val="65AD2209"/>
    <w:rsid w:val="65AE7F5E"/>
    <w:rsid w:val="65B31A18"/>
    <w:rsid w:val="65BF660F"/>
    <w:rsid w:val="65C1156E"/>
    <w:rsid w:val="65D5198E"/>
    <w:rsid w:val="65EB3F2A"/>
    <w:rsid w:val="66053308"/>
    <w:rsid w:val="66061B48"/>
    <w:rsid w:val="66285F62"/>
    <w:rsid w:val="66292447"/>
    <w:rsid w:val="66293A88"/>
    <w:rsid w:val="663A3EE7"/>
    <w:rsid w:val="663C7C5F"/>
    <w:rsid w:val="66466D76"/>
    <w:rsid w:val="6647794F"/>
    <w:rsid w:val="664D7777"/>
    <w:rsid w:val="667271DD"/>
    <w:rsid w:val="668A2779"/>
    <w:rsid w:val="66990C0E"/>
    <w:rsid w:val="669C425A"/>
    <w:rsid w:val="66A93C9E"/>
    <w:rsid w:val="66AC6B93"/>
    <w:rsid w:val="66B15F58"/>
    <w:rsid w:val="66B27F22"/>
    <w:rsid w:val="66D47E98"/>
    <w:rsid w:val="66DC6D4D"/>
    <w:rsid w:val="66E77BCB"/>
    <w:rsid w:val="66F525EC"/>
    <w:rsid w:val="672B53C1"/>
    <w:rsid w:val="673100D9"/>
    <w:rsid w:val="6732696D"/>
    <w:rsid w:val="674566A0"/>
    <w:rsid w:val="674E6C15"/>
    <w:rsid w:val="675114E9"/>
    <w:rsid w:val="6751773B"/>
    <w:rsid w:val="676B4F7B"/>
    <w:rsid w:val="67867202"/>
    <w:rsid w:val="678A0557"/>
    <w:rsid w:val="67966EFB"/>
    <w:rsid w:val="67A96C2F"/>
    <w:rsid w:val="67AC671F"/>
    <w:rsid w:val="67AE2497"/>
    <w:rsid w:val="67AF7FBD"/>
    <w:rsid w:val="67C617E9"/>
    <w:rsid w:val="67C63C85"/>
    <w:rsid w:val="67D1035B"/>
    <w:rsid w:val="67D16185"/>
    <w:rsid w:val="67D973F6"/>
    <w:rsid w:val="67E450CE"/>
    <w:rsid w:val="67E67E83"/>
    <w:rsid w:val="68300192"/>
    <w:rsid w:val="68330BEE"/>
    <w:rsid w:val="683E23DC"/>
    <w:rsid w:val="68584B57"/>
    <w:rsid w:val="685B5FDE"/>
    <w:rsid w:val="687F09E7"/>
    <w:rsid w:val="688356D2"/>
    <w:rsid w:val="6888718C"/>
    <w:rsid w:val="688A4CB2"/>
    <w:rsid w:val="688C44B1"/>
    <w:rsid w:val="689C49E5"/>
    <w:rsid w:val="689E250C"/>
    <w:rsid w:val="68C33D20"/>
    <w:rsid w:val="68C55CEA"/>
    <w:rsid w:val="68D0468F"/>
    <w:rsid w:val="68DE0B5A"/>
    <w:rsid w:val="68DE4FFE"/>
    <w:rsid w:val="68E32614"/>
    <w:rsid w:val="68F13666"/>
    <w:rsid w:val="69230C63"/>
    <w:rsid w:val="69256789"/>
    <w:rsid w:val="69272501"/>
    <w:rsid w:val="693410C2"/>
    <w:rsid w:val="693B7312"/>
    <w:rsid w:val="6949691B"/>
    <w:rsid w:val="697274F4"/>
    <w:rsid w:val="69765236"/>
    <w:rsid w:val="69787200"/>
    <w:rsid w:val="697F233D"/>
    <w:rsid w:val="69847953"/>
    <w:rsid w:val="698A0CE2"/>
    <w:rsid w:val="69951B60"/>
    <w:rsid w:val="69A71894"/>
    <w:rsid w:val="69B2159C"/>
    <w:rsid w:val="69BE7BAE"/>
    <w:rsid w:val="69C90AA3"/>
    <w:rsid w:val="69DA57C5"/>
    <w:rsid w:val="69DF2DDC"/>
    <w:rsid w:val="69E00902"/>
    <w:rsid w:val="69E95A08"/>
    <w:rsid w:val="69F65C23"/>
    <w:rsid w:val="69F764C9"/>
    <w:rsid w:val="69FB33DB"/>
    <w:rsid w:val="6A060AF0"/>
    <w:rsid w:val="6A061712"/>
    <w:rsid w:val="6A0B4E3E"/>
    <w:rsid w:val="6A1F5F23"/>
    <w:rsid w:val="6A2F7112"/>
    <w:rsid w:val="6A30135A"/>
    <w:rsid w:val="6A387B61"/>
    <w:rsid w:val="6A4445A2"/>
    <w:rsid w:val="6A507835"/>
    <w:rsid w:val="6A542DAB"/>
    <w:rsid w:val="6A681638"/>
    <w:rsid w:val="6A6D39FC"/>
    <w:rsid w:val="6A7E0847"/>
    <w:rsid w:val="6A8B03B8"/>
    <w:rsid w:val="6AB04778"/>
    <w:rsid w:val="6ABE0C43"/>
    <w:rsid w:val="6ABF0529"/>
    <w:rsid w:val="6AC01C9F"/>
    <w:rsid w:val="6AD13784"/>
    <w:rsid w:val="6AE03994"/>
    <w:rsid w:val="6AEF34DE"/>
    <w:rsid w:val="6B106BF7"/>
    <w:rsid w:val="6B2B3DFF"/>
    <w:rsid w:val="6B3158B9"/>
    <w:rsid w:val="6B37171D"/>
    <w:rsid w:val="6B3A2BB1"/>
    <w:rsid w:val="6B493A4E"/>
    <w:rsid w:val="6B4C3885"/>
    <w:rsid w:val="6B601CFA"/>
    <w:rsid w:val="6B737C7F"/>
    <w:rsid w:val="6B79100E"/>
    <w:rsid w:val="6B7E03D2"/>
    <w:rsid w:val="6BC3086A"/>
    <w:rsid w:val="6BCC3834"/>
    <w:rsid w:val="6BE62F58"/>
    <w:rsid w:val="6BEE7306"/>
    <w:rsid w:val="6BF132EE"/>
    <w:rsid w:val="6BF16DF6"/>
    <w:rsid w:val="6BF95A0B"/>
    <w:rsid w:val="6BFB7C75"/>
    <w:rsid w:val="6BFF1CFD"/>
    <w:rsid w:val="6C375918"/>
    <w:rsid w:val="6C3F4006"/>
    <w:rsid w:val="6C4F72C1"/>
    <w:rsid w:val="6C5C4BB7"/>
    <w:rsid w:val="6C711CE5"/>
    <w:rsid w:val="6C7A503E"/>
    <w:rsid w:val="6C937EAD"/>
    <w:rsid w:val="6C946959"/>
    <w:rsid w:val="6CAD26D2"/>
    <w:rsid w:val="6CB15FBE"/>
    <w:rsid w:val="6CB3110E"/>
    <w:rsid w:val="6CB9494B"/>
    <w:rsid w:val="6CC2656C"/>
    <w:rsid w:val="6CEB1A97"/>
    <w:rsid w:val="6CED5B4D"/>
    <w:rsid w:val="6CF84455"/>
    <w:rsid w:val="6D0140A3"/>
    <w:rsid w:val="6D040882"/>
    <w:rsid w:val="6D1B2659"/>
    <w:rsid w:val="6D262AD0"/>
    <w:rsid w:val="6D374CDD"/>
    <w:rsid w:val="6D390A55"/>
    <w:rsid w:val="6D4713C4"/>
    <w:rsid w:val="6D4A2C62"/>
    <w:rsid w:val="6D864955"/>
    <w:rsid w:val="6D9E2FAE"/>
    <w:rsid w:val="6DAD31F1"/>
    <w:rsid w:val="6DB61D09"/>
    <w:rsid w:val="6DC04D4B"/>
    <w:rsid w:val="6DD54DCC"/>
    <w:rsid w:val="6DD8026E"/>
    <w:rsid w:val="6DDA24CA"/>
    <w:rsid w:val="6DE23EC4"/>
    <w:rsid w:val="6DEE254B"/>
    <w:rsid w:val="6DF2723B"/>
    <w:rsid w:val="6DFD5F26"/>
    <w:rsid w:val="6E100C6D"/>
    <w:rsid w:val="6E105C5A"/>
    <w:rsid w:val="6E2039C3"/>
    <w:rsid w:val="6E290AC9"/>
    <w:rsid w:val="6E3A113B"/>
    <w:rsid w:val="6E3D6323"/>
    <w:rsid w:val="6E4006B2"/>
    <w:rsid w:val="6E427DDD"/>
    <w:rsid w:val="6E573888"/>
    <w:rsid w:val="6E5A5127"/>
    <w:rsid w:val="6E62222D"/>
    <w:rsid w:val="6E6B00CF"/>
    <w:rsid w:val="6E6B061F"/>
    <w:rsid w:val="6E7837FF"/>
    <w:rsid w:val="6E82467D"/>
    <w:rsid w:val="6E873A42"/>
    <w:rsid w:val="6E8F4FD4"/>
    <w:rsid w:val="6E93126D"/>
    <w:rsid w:val="6E9D4ECA"/>
    <w:rsid w:val="6ED55363"/>
    <w:rsid w:val="6ED722D3"/>
    <w:rsid w:val="6F1060F6"/>
    <w:rsid w:val="6F2319BD"/>
    <w:rsid w:val="6F241722"/>
    <w:rsid w:val="6F4B2CC1"/>
    <w:rsid w:val="6F541B76"/>
    <w:rsid w:val="6F5778B8"/>
    <w:rsid w:val="6F74716C"/>
    <w:rsid w:val="6F775864"/>
    <w:rsid w:val="6F7E1B58"/>
    <w:rsid w:val="6F8166E3"/>
    <w:rsid w:val="6F8B7B20"/>
    <w:rsid w:val="6F9957DB"/>
    <w:rsid w:val="6F9E54E7"/>
    <w:rsid w:val="6F9E7295"/>
    <w:rsid w:val="6FAE548E"/>
    <w:rsid w:val="6FC30AAA"/>
    <w:rsid w:val="6FC47D49"/>
    <w:rsid w:val="6FCC3E02"/>
    <w:rsid w:val="6FD35191"/>
    <w:rsid w:val="6FD42F16"/>
    <w:rsid w:val="6FD5678B"/>
    <w:rsid w:val="6FE0165C"/>
    <w:rsid w:val="6FE74798"/>
    <w:rsid w:val="6FF2313D"/>
    <w:rsid w:val="7000101E"/>
    <w:rsid w:val="702C3243"/>
    <w:rsid w:val="70323AD8"/>
    <w:rsid w:val="70633D9B"/>
    <w:rsid w:val="706A0C87"/>
    <w:rsid w:val="7072466B"/>
    <w:rsid w:val="70822713"/>
    <w:rsid w:val="708741CD"/>
    <w:rsid w:val="709A7A5C"/>
    <w:rsid w:val="70A23AF4"/>
    <w:rsid w:val="70A95EF1"/>
    <w:rsid w:val="70B76860"/>
    <w:rsid w:val="70BA1EAD"/>
    <w:rsid w:val="70C66AA3"/>
    <w:rsid w:val="70C7734E"/>
    <w:rsid w:val="70CE7706"/>
    <w:rsid w:val="70F16E84"/>
    <w:rsid w:val="70F9549B"/>
    <w:rsid w:val="70FA04FB"/>
    <w:rsid w:val="710032F2"/>
    <w:rsid w:val="710E3FA6"/>
    <w:rsid w:val="713C0B14"/>
    <w:rsid w:val="713C6D66"/>
    <w:rsid w:val="714514E5"/>
    <w:rsid w:val="71467BE4"/>
    <w:rsid w:val="714A49EB"/>
    <w:rsid w:val="715220E5"/>
    <w:rsid w:val="715B3690"/>
    <w:rsid w:val="716C2EFB"/>
    <w:rsid w:val="71765B16"/>
    <w:rsid w:val="71772BD3"/>
    <w:rsid w:val="71894E49"/>
    <w:rsid w:val="71D71745"/>
    <w:rsid w:val="71DB657E"/>
    <w:rsid w:val="71F716FC"/>
    <w:rsid w:val="72021B5A"/>
    <w:rsid w:val="721F6E5B"/>
    <w:rsid w:val="7232489D"/>
    <w:rsid w:val="724203AC"/>
    <w:rsid w:val="725026E2"/>
    <w:rsid w:val="725325B9"/>
    <w:rsid w:val="725351DA"/>
    <w:rsid w:val="72617084"/>
    <w:rsid w:val="72783DCD"/>
    <w:rsid w:val="727A15DA"/>
    <w:rsid w:val="72970FA1"/>
    <w:rsid w:val="72987FCC"/>
    <w:rsid w:val="72A014DF"/>
    <w:rsid w:val="72B34E05"/>
    <w:rsid w:val="72C54318"/>
    <w:rsid w:val="72C73EA3"/>
    <w:rsid w:val="72D54D7C"/>
    <w:rsid w:val="72E41463"/>
    <w:rsid w:val="72EA7879"/>
    <w:rsid w:val="72FC6C51"/>
    <w:rsid w:val="73013DC3"/>
    <w:rsid w:val="73014D0C"/>
    <w:rsid w:val="730F43F8"/>
    <w:rsid w:val="731628F2"/>
    <w:rsid w:val="73236ADA"/>
    <w:rsid w:val="733A1083"/>
    <w:rsid w:val="7343262D"/>
    <w:rsid w:val="7346093C"/>
    <w:rsid w:val="73490DFC"/>
    <w:rsid w:val="73691968"/>
    <w:rsid w:val="737F2F3A"/>
    <w:rsid w:val="738549F4"/>
    <w:rsid w:val="73985535"/>
    <w:rsid w:val="73B9469D"/>
    <w:rsid w:val="73DD1399"/>
    <w:rsid w:val="73EE0CA0"/>
    <w:rsid w:val="74085625"/>
    <w:rsid w:val="74126433"/>
    <w:rsid w:val="74312486"/>
    <w:rsid w:val="743275AE"/>
    <w:rsid w:val="74356371"/>
    <w:rsid w:val="74485A21"/>
    <w:rsid w:val="74512B28"/>
    <w:rsid w:val="745E567C"/>
    <w:rsid w:val="745F3497"/>
    <w:rsid w:val="74710B02"/>
    <w:rsid w:val="74885923"/>
    <w:rsid w:val="749B0247"/>
    <w:rsid w:val="74BC2C75"/>
    <w:rsid w:val="74C94DB4"/>
    <w:rsid w:val="74D66009"/>
    <w:rsid w:val="74DA48CB"/>
    <w:rsid w:val="74F82FA3"/>
    <w:rsid w:val="75071439"/>
    <w:rsid w:val="75120509"/>
    <w:rsid w:val="752244C4"/>
    <w:rsid w:val="753F6E24"/>
    <w:rsid w:val="75623F7A"/>
    <w:rsid w:val="756E3266"/>
    <w:rsid w:val="757203DB"/>
    <w:rsid w:val="75750A98"/>
    <w:rsid w:val="757D05AD"/>
    <w:rsid w:val="758208D8"/>
    <w:rsid w:val="75862CA5"/>
    <w:rsid w:val="758A5CF7"/>
    <w:rsid w:val="75CB690A"/>
    <w:rsid w:val="75D06E17"/>
    <w:rsid w:val="75D307FB"/>
    <w:rsid w:val="75E654F2"/>
    <w:rsid w:val="7601009B"/>
    <w:rsid w:val="76092CCA"/>
    <w:rsid w:val="761B732F"/>
    <w:rsid w:val="76257DC8"/>
    <w:rsid w:val="763837E6"/>
    <w:rsid w:val="76426A32"/>
    <w:rsid w:val="76432944"/>
    <w:rsid w:val="76472434"/>
    <w:rsid w:val="768A40CF"/>
    <w:rsid w:val="76A4354A"/>
    <w:rsid w:val="76B13BBA"/>
    <w:rsid w:val="76D0242A"/>
    <w:rsid w:val="76D17F50"/>
    <w:rsid w:val="76E47E79"/>
    <w:rsid w:val="76EA0007"/>
    <w:rsid w:val="770E4D00"/>
    <w:rsid w:val="77130569"/>
    <w:rsid w:val="771A5453"/>
    <w:rsid w:val="773A0865"/>
    <w:rsid w:val="773FB472"/>
    <w:rsid w:val="77404207"/>
    <w:rsid w:val="77453882"/>
    <w:rsid w:val="775D3592"/>
    <w:rsid w:val="77784870"/>
    <w:rsid w:val="779054B7"/>
    <w:rsid w:val="77B358A8"/>
    <w:rsid w:val="77BC0746"/>
    <w:rsid w:val="77C17FC5"/>
    <w:rsid w:val="77C80DE4"/>
    <w:rsid w:val="77C83101"/>
    <w:rsid w:val="77C96E79"/>
    <w:rsid w:val="77E13BA0"/>
    <w:rsid w:val="77E43CB3"/>
    <w:rsid w:val="77E65C7D"/>
    <w:rsid w:val="77EA17B7"/>
    <w:rsid w:val="77F55179"/>
    <w:rsid w:val="77FC724F"/>
    <w:rsid w:val="783B1B25"/>
    <w:rsid w:val="785C02A9"/>
    <w:rsid w:val="7871571C"/>
    <w:rsid w:val="78765F3C"/>
    <w:rsid w:val="788D7EA7"/>
    <w:rsid w:val="78A23952"/>
    <w:rsid w:val="78AC1A01"/>
    <w:rsid w:val="78AD22F7"/>
    <w:rsid w:val="78B33397"/>
    <w:rsid w:val="78BF0CEF"/>
    <w:rsid w:val="78DB6168"/>
    <w:rsid w:val="78EA76EE"/>
    <w:rsid w:val="78FA61B7"/>
    <w:rsid w:val="78FE2050"/>
    <w:rsid w:val="79107D6C"/>
    <w:rsid w:val="793D18CD"/>
    <w:rsid w:val="794F33AE"/>
    <w:rsid w:val="7955517B"/>
    <w:rsid w:val="79664F44"/>
    <w:rsid w:val="797F3C93"/>
    <w:rsid w:val="79990A0D"/>
    <w:rsid w:val="79994B66"/>
    <w:rsid w:val="79A670BB"/>
    <w:rsid w:val="79B337FD"/>
    <w:rsid w:val="79CD432C"/>
    <w:rsid w:val="79E7016D"/>
    <w:rsid w:val="79ED32F3"/>
    <w:rsid w:val="79F91C98"/>
    <w:rsid w:val="79FA5A10"/>
    <w:rsid w:val="79FF6B82"/>
    <w:rsid w:val="7A067F11"/>
    <w:rsid w:val="7A086AC3"/>
    <w:rsid w:val="7A1A0F94"/>
    <w:rsid w:val="7A1B1294"/>
    <w:rsid w:val="7A1C7878"/>
    <w:rsid w:val="7A2111EE"/>
    <w:rsid w:val="7A2544C3"/>
    <w:rsid w:val="7A2750B1"/>
    <w:rsid w:val="7A37631C"/>
    <w:rsid w:val="7A401675"/>
    <w:rsid w:val="7A431165"/>
    <w:rsid w:val="7A4704B8"/>
    <w:rsid w:val="7A57076C"/>
    <w:rsid w:val="7A5D5924"/>
    <w:rsid w:val="7A603412"/>
    <w:rsid w:val="7A745551"/>
    <w:rsid w:val="7A7E53DD"/>
    <w:rsid w:val="7A802C6E"/>
    <w:rsid w:val="7A955AA3"/>
    <w:rsid w:val="7A9863B2"/>
    <w:rsid w:val="7AB17498"/>
    <w:rsid w:val="7AB20E73"/>
    <w:rsid w:val="7AB318C3"/>
    <w:rsid w:val="7AC74D02"/>
    <w:rsid w:val="7AE069B4"/>
    <w:rsid w:val="7AEB57A3"/>
    <w:rsid w:val="7AF70927"/>
    <w:rsid w:val="7AFE32DE"/>
    <w:rsid w:val="7B022DCE"/>
    <w:rsid w:val="7B257C36"/>
    <w:rsid w:val="7B4231CA"/>
    <w:rsid w:val="7B5457E3"/>
    <w:rsid w:val="7B62481E"/>
    <w:rsid w:val="7B71585E"/>
    <w:rsid w:val="7B775ABC"/>
    <w:rsid w:val="7B8A1CAB"/>
    <w:rsid w:val="7B8C7C65"/>
    <w:rsid w:val="7B971942"/>
    <w:rsid w:val="7B9E3DFA"/>
    <w:rsid w:val="7BB63A0E"/>
    <w:rsid w:val="7BC77B74"/>
    <w:rsid w:val="7BCC72AA"/>
    <w:rsid w:val="7BE95D3C"/>
    <w:rsid w:val="7C077F70"/>
    <w:rsid w:val="7C096087"/>
    <w:rsid w:val="7C137C33"/>
    <w:rsid w:val="7C156EF2"/>
    <w:rsid w:val="7C1F2ED6"/>
    <w:rsid w:val="7C306240"/>
    <w:rsid w:val="7C3D5C73"/>
    <w:rsid w:val="7C501917"/>
    <w:rsid w:val="7C5E5EE7"/>
    <w:rsid w:val="7C694787"/>
    <w:rsid w:val="7C6C7980"/>
    <w:rsid w:val="7C6E4C43"/>
    <w:rsid w:val="7C7C270C"/>
    <w:rsid w:val="7C857813"/>
    <w:rsid w:val="7C961804"/>
    <w:rsid w:val="7CA51C63"/>
    <w:rsid w:val="7CA917A9"/>
    <w:rsid w:val="7CAB4D9F"/>
    <w:rsid w:val="7CB63E70"/>
    <w:rsid w:val="7CBE4AD3"/>
    <w:rsid w:val="7CC9189C"/>
    <w:rsid w:val="7CDC31AB"/>
    <w:rsid w:val="7CE04A49"/>
    <w:rsid w:val="7CF60710"/>
    <w:rsid w:val="7CFE75C5"/>
    <w:rsid w:val="7D2E5FEB"/>
    <w:rsid w:val="7D537911"/>
    <w:rsid w:val="7D635C13"/>
    <w:rsid w:val="7D734C9A"/>
    <w:rsid w:val="7D7F551F"/>
    <w:rsid w:val="7D801F34"/>
    <w:rsid w:val="7D9237C6"/>
    <w:rsid w:val="7D937D1A"/>
    <w:rsid w:val="7D9B4867"/>
    <w:rsid w:val="7DC3365B"/>
    <w:rsid w:val="7DCC5482"/>
    <w:rsid w:val="7DE14F1D"/>
    <w:rsid w:val="7E01111B"/>
    <w:rsid w:val="7E171E3C"/>
    <w:rsid w:val="7E1C7D03"/>
    <w:rsid w:val="7E2F3AA9"/>
    <w:rsid w:val="7E2F6A52"/>
    <w:rsid w:val="7E3C03A5"/>
    <w:rsid w:val="7E4F2B52"/>
    <w:rsid w:val="7E5F5B4C"/>
    <w:rsid w:val="7E68119A"/>
    <w:rsid w:val="7E6E5448"/>
    <w:rsid w:val="7E70110E"/>
    <w:rsid w:val="7EDE145C"/>
    <w:rsid w:val="7EE95E2E"/>
    <w:rsid w:val="7EEA1BAF"/>
    <w:rsid w:val="7EFC5948"/>
    <w:rsid w:val="7F0F1615"/>
    <w:rsid w:val="7F152A98"/>
    <w:rsid w:val="7F17138E"/>
    <w:rsid w:val="7F231565"/>
    <w:rsid w:val="7F2E1544"/>
    <w:rsid w:val="7F403D11"/>
    <w:rsid w:val="7F631961"/>
    <w:rsid w:val="7F6A2CF0"/>
    <w:rsid w:val="7F9B5CCD"/>
    <w:rsid w:val="7F9E2999"/>
    <w:rsid w:val="7FA02BB5"/>
    <w:rsid w:val="7FCA5830"/>
    <w:rsid w:val="7FE05AD5"/>
    <w:rsid w:val="7FE42AA2"/>
    <w:rsid w:val="7FF2742E"/>
    <w:rsid w:val="AFDFAC66"/>
    <w:rsid w:val="D9EF82A2"/>
    <w:rsid w:val="DEFEEF9B"/>
    <w:rsid w:val="EEF64D09"/>
    <w:rsid w:val="F77E62A8"/>
    <w:rsid w:val="FFBFF33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eastAsia" w:ascii="宋体" w:hAnsi="等线" w:eastAsia="等线" w:cs="Times New Roman"/>
      <w:kern w:val="2"/>
      <w:sz w:val="24"/>
      <w:lang w:val="en-US" w:eastAsia="zh-CN" w:bidi="ar-SA"/>
    </w:rPr>
  </w:style>
  <w:style w:type="paragraph" w:styleId="2">
    <w:name w:val="heading 1"/>
    <w:basedOn w:val="1"/>
    <w:next w:val="1"/>
    <w:qFormat/>
    <w:uiPriority w:val="0"/>
    <w:pPr>
      <w:autoSpaceDE w:val="0"/>
      <w:autoSpaceDN w:val="0"/>
      <w:adjustRightInd w:val="0"/>
      <w:jc w:val="left"/>
      <w:outlineLvl w:val="0"/>
    </w:pPr>
    <w:rPr>
      <w:kern w:val="0"/>
      <w:sz w:val="30"/>
    </w:rPr>
  </w:style>
  <w:style w:type="paragraph" w:styleId="3">
    <w:name w:val="heading 2"/>
    <w:basedOn w:val="1"/>
    <w:next w:val="1"/>
    <w:link w:val="83"/>
    <w:qFormat/>
    <w:uiPriority w:val="0"/>
    <w:pPr>
      <w:autoSpaceDE w:val="0"/>
      <w:autoSpaceDN w:val="0"/>
      <w:adjustRightInd w:val="0"/>
      <w:jc w:val="left"/>
      <w:outlineLvl w:val="1"/>
    </w:pPr>
    <w:rPr>
      <w:kern w:val="0"/>
    </w:rPr>
  </w:style>
  <w:style w:type="paragraph" w:styleId="4">
    <w:name w:val="heading 3"/>
    <w:basedOn w:val="1"/>
    <w:next w:val="1"/>
    <w:link w:val="55"/>
    <w:qFormat/>
    <w:uiPriority w:val="0"/>
    <w:pPr>
      <w:keepNext/>
      <w:keepLines/>
      <w:outlineLvl w:val="2"/>
    </w:pPr>
    <w:rPr>
      <w:rFonts w:hint="default" w:ascii="Times New Roman" w:hAnsi="Times New Roman" w:eastAsia="宋体"/>
      <w:b/>
    </w:rPr>
  </w:style>
  <w:style w:type="paragraph" w:styleId="5">
    <w:name w:val="heading 4"/>
    <w:basedOn w:val="1"/>
    <w:next w:val="1"/>
    <w:qFormat/>
    <w:uiPriority w:val="0"/>
    <w:pPr>
      <w:keepNext/>
      <w:keepLines/>
      <w:spacing w:line="372" w:lineRule="auto"/>
      <w:outlineLvl w:val="3"/>
    </w:pPr>
    <w:rPr>
      <w:rFonts w:ascii="Arial" w:hAnsi="Arial" w:eastAsia="黑体"/>
      <w:b/>
      <w:sz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widowControl/>
      <w:ind w:firstLine="420"/>
      <w:jc w:val="left"/>
    </w:pPr>
    <w:rPr>
      <w:kern w:val="0"/>
      <w:sz w:val="20"/>
    </w:rPr>
  </w:style>
  <w:style w:type="paragraph" w:styleId="7">
    <w:name w:val="annotation text"/>
    <w:basedOn w:val="1"/>
    <w:next w:val="1"/>
    <w:qFormat/>
    <w:uiPriority w:val="0"/>
    <w:pPr>
      <w:jc w:val="left"/>
    </w:pPr>
    <w:rPr>
      <w:rFonts w:hint="default" w:ascii="Times New Roman" w:hAnsi="Times New Roman" w:eastAsia="宋体"/>
      <w:sz w:val="21"/>
    </w:rPr>
  </w:style>
  <w:style w:type="paragraph" w:styleId="8">
    <w:name w:val="Body Text"/>
    <w:basedOn w:val="1"/>
    <w:next w:val="9"/>
    <w:qFormat/>
    <w:uiPriority w:val="0"/>
  </w:style>
  <w:style w:type="paragraph" w:styleId="9">
    <w:name w:val="Body Text 2"/>
    <w:basedOn w:val="1"/>
    <w:next w:val="8"/>
    <w:qFormat/>
    <w:uiPriority w:val="0"/>
    <w:pPr>
      <w:spacing w:line="500" w:lineRule="exact"/>
    </w:pPr>
  </w:style>
  <w:style w:type="paragraph" w:styleId="10">
    <w:name w:val="Body Text Indent"/>
    <w:basedOn w:val="1"/>
    <w:qFormat/>
    <w:uiPriority w:val="0"/>
    <w:pPr>
      <w:ind w:firstLine="560" w:firstLineChars="200"/>
    </w:pPr>
  </w:style>
  <w:style w:type="paragraph" w:styleId="11">
    <w:name w:val="toc 3"/>
    <w:basedOn w:val="1"/>
    <w:next w:val="1"/>
    <w:qFormat/>
    <w:uiPriority w:val="39"/>
    <w:pPr>
      <w:ind w:left="840" w:leftChars="400"/>
    </w:pPr>
  </w:style>
  <w:style w:type="paragraph" w:styleId="12">
    <w:name w:val="Plain Text"/>
    <w:basedOn w:val="1"/>
    <w:qFormat/>
    <w:uiPriority w:val="0"/>
    <w:pPr>
      <w:ind w:firstLine="200" w:firstLineChars="200"/>
    </w:pPr>
    <w:rPr>
      <w:rFonts w:ascii="宋体" w:hAnsi="Courier New"/>
      <w:szCs w:val="21"/>
    </w:rPr>
  </w:style>
  <w:style w:type="paragraph" w:styleId="13">
    <w:name w:val="Body Text Indent 2"/>
    <w:basedOn w:val="1"/>
    <w:qFormat/>
    <w:uiPriority w:val="0"/>
    <w:pPr>
      <w:spacing w:line="480" w:lineRule="auto"/>
      <w:ind w:firstLine="561"/>
    </w:pPr>
  </w:style>
  <w:style w:type="paragraph" w:styleId="14">
    <w:name w:val="Balloon Text"/>
    <w:basedOn w:val="1"/>
    <w:link w:val="76"/>
    <w:qFormat/>
    <w:uiPriority w:val="0"/>
    <w:rPr>
      <w:sz w:val="18"/>
      <w:szCs w:val="18"/>
    </w:rPr>
  </w:style>
  <w:style w:type="paragraph" w:styleId="15">
    <w:name w:val="footer"/>
    <w:basedOn w:val="1"/>
    <w:qFormat/>
    <w:uiPriority w:val="0"/>
    <w:pPr>
      <w:tabs>
        <w:tab w:val="center" w:pos="4153"/>
        <w:tab w:val="right" w:pos="8306"/>
      </w:tabs>
      <w:snapToGrid w:val="0"/>
      <w:jc w:val="left"/>
    </w:pPr>
    <w:rPr>
      <w:sz w:val="18"/>
    </w:rPr>
  </w:style>
  <w:style w:type="paragraph" w:styleId="16">
    <w:name w:val="header"/>
    <w:basedOn w:val="1"/>
    <w:next w:val="15"/>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17">
    <w:name w:val="toc 1"/>
    <w:basedOn w:val="18"/>
    <w:next w:val="1"/>
    <w:qFormat/>
    <w:uiPriority w:val="39"/>
  </w:style>
  <w:style w:type="paragraph" w:styleId="18">
    <w:name w:val="index 1"/>
    <w:basedOn w:val="1"/>
    <w:next w:val="1"/>
    <w:unhideWhenUsed/>
    <w:qFormat/>
    <w:uiPriority w:val="0"/>
  </w:style>
  <w:style w:type="paragraph" w:styleId="19">
    <w:name w:val="toc 4"/>
    <w:basedOn w:val="1"/>
    <w:next w:val="1"/>
    <w:qFormat/>
    <w:uiPriority w:val="0"/>
    <w:pPr>
      <w:ind w:left="1260" w:leftChars="600"/>
    </w:pPr>
  </w:style>
  <w:style w:type="paragraph" w:styleId="20">
    <w:name w:val="toc 2"/>
    <w:basedOn w:val="1"/>
    <w:next w:val="1"/>
    <w:qFormat/>
    <w:uiPriority w:val="39"/>
    <w:pPr>
      <w:ind w:left="420" w:leftChars="200"/>
    </w:pPr>
  </w:style>
  <w:style w:type="paragraph" w:styleId="21">
    <w:name w:val="Normal (Web)"/>
    <w:basedOn w:val="1"/>
    <w:qFormat/>
    <w:uiPriority w:val="0"/>
    <w:pPr>
      <w:widowControl/>
      <w:spacing w:beforeAutospacing="1" w:afterAutospacing="1"/>
      <w:jc w:val="left"/>
    </w:pPr>
    <w:rPr>
      <w:rFonts w:hAnsi="宋体" w:cs="宋体"/>
      <w:color w:val="000000"/>
      <w:kern w:val="0"/>
      <w:szCs w:val="24"/>
    </w:rPr>
  </w:style>
  <w:style w:type="paragraph" w:styleId="22">
    <w:name w:val="Body Text First Indent"/>
    <w:basedOn w:val="8"/>
    <w:qFormat/>
    <w:uiPriority w:val="0"/>
    <w:pPr>
      <w:ind w:firstLine="420"/>
    </w:pPr>
  </w:style>
  <w:style w:type="paragraph" w:styleId="23">
    <w:name w:val="Body Text First Indent 2"/>
    <w:basedOn w:val="10"/>
    <w:qFormat/>
    <w:uiPriority w:val="0"/>
    <w:pPr>
      <w:ind w:firstLine="420" w:firstLineChars="200"/>
    </w:pPr>
    <w:rPr>
      <w:rFonts w:ascii="Times New Roman" w:hAnsi="Times New Roman" w:eastAsia="宋体" w:cs="Times New Roman"/>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basedOn w:val="26"/>
    <w:qFormat/>
    <w:uiPriority w:val="0"/>
    <w:rPr>
      <w:b/>
    </w:rPr>
  </w:style>
  <w:style w:type="character" w:styleId="28">
    <w:name w:val="FollowedHyperlink"/>
    <w:basedOn w:val="26"/>
    <w:qFormat/>
    <w:uiPriority w:val="0"/>
    <w:rPr>
      <w:color w:val="333333"/>
      <w:u w:val="none"/>
    </w:rPr>
  </w:style>
  <w:style w:type="character" w:styleId="29">
    <w:name w:val="Emphasis"/>
    <w:basedOn w:val="26"/>
    <w:qFormat/>
    <w:uiPriority w:val="0"/>
    <w:rPr>
      <w:i/>
    </w:rPr>
  </w:style>
  <w:style w:type="character" w:styleId="30">
    <w:name w:val="HTML Variable"/>
    <w:basedOn w:val="26"/>
    <w:qFormat/>
    <w:uiPriority w:val="0"/>
    <w:rPr>
      <w:i/>
    </w:rPr>
  </w:style>
  <w:style w:type="character" w:styleId="31">
    <w:name w:val="Hyperlink"/>
    <w:basedOn w:val="26"/>
    <w:qFormat/>
    <w:uiPriority w:val="0"/>
    <w:rPr>
      <w:color w:val="333333"/>
      <w:u w:val="none"/>
    </w:rPr>
  </w:style>
  <w:style w:type="character" w:styleId="32">
    <w:name w:val="HTML Code"/>
    <w:basedOn w:val="26"/>
    <w:qFormat/>
    <w:uiPriority w:val="0"/>
    <w:rPr>
      <w:rFonts w:ascii="Courier New" w:hAnsi="Courier New"/>
      <w:sz w:val="20"/>
    </w:rPr>
  </w:style>
  <w:style w:type="character" w:styleId="33">
    <w:name w:val="HTML Cite"/>
    <w:basedOn w:val="26"/>
    <w:qFormat/>
    <w:uiPriority w:val="0"/>
    <w:rPr>
      <w:i/>
    </w:rPr>
  </w:style>
  <w:style w:type="paragraph" w:customStyle="1" w:styleId="34">
    <w:name w:val="Default"/>
    <w:unhideWhenUsed/>
    <w:qFormat/>
    <w:uiPriority w:val="99"/>
    <w:pPr>
      <w:widowControl w:val="0"/>
      <w:autoSpaceDE w:val="0"/>
      <w:autoSpaceDN w:val="0"/>
      <w:adjustRightInd w:val="0"/>
    </w:pPr>
    <w:rPr>
      <w:rFonts w:hint="eastAsia" w:ascii="Arial Unicode MS" w:hAnsi="Arial Unicode MS" w:eastAsia="Arial Unicode MS" w:cs="Times New Roman"/>
      <w:color w:val="000000"/>
      <w:sz w:val="24"/>
      <w:lang w:val="en-US" w:eastAsia="zh-CN" w:bidi="ar-SA"/>
    </w:rPr>
  </w:style>
  <w:style w:type="paragraph" w:customStyle="1" w:styleId="35">
    <w:name w:val="正文缩进1"/>
    <w:basedOn w:val="1"/>
    <w:qFormat/>
    <w:uiPriority w:val="0"/>
    <w:pPr>
      <w:widowControl/>
      <w:spacing w:line="360" w:lineRule="auto"/>
      <w:ind w:firstLine="420"/>
      <w:jc w:val="left"/>
    </w:pPr>
    <w:rPr>
      <w:rFonts w:hAnsi="Times New Roman"/>
      <w:kern w:val="0"/>
      <w:sz w:val="20"/>
    </w:rPr>
  </w:style>
  <w:style w:type="paragraph" w:customStyle="1" w:styleId="36">
    <w:name w:val="样式 宋体 行距: 1.5 倍行距"/>
    <w:basedOn w:val="37"/>
    <w:next w:val="1"/>
    <w:qFormat/>
    <w:uiPriority w:val="0"/>
    <w:pPr>
      <w:jc w:val="center"/>
    </w:pPr>
    <w:rPr>
      <w:rFonts w:ascii="Times New Roman" w:hAnsi="Times New Roman" w:cs="Times New Roman"/>
      <w:b/>
    </w:rPr>
  </w:style>
  <w:style w:type="paragraph" w:customStyle="1" w:styleId="37">
    <w:name w:val="正文 New New New New New New New New New New New New New New New New New New New New New New New New New New New New New New New New New New New New New New New New New New New New New New New New New New New New New New New New New New New New New New N1"/>
    <w:next w:val="36"/>
    <w:qFormat/>
    <w:uiPriority w:val="0"/>
    <w:pPr>
      <w:widowControl w:val="0"/>
      <w:jc w:val="both"/>
    </w:pPr>
    <w:rPr>
      <w:rFonts w:ascii="Calibri" w:hAnsi="Calibri" w:eastAsia="宋体" w:cs="黑体"/>
      <w:kern w:val="2"/>
      <w:sz w:val="21"/>
      <w:szCs w:val="24"/>
      <w:lang w:val="en-US" w:eastAsia="zh-CN" w:bidi="ar-SA"/>
    </w:rPr>
  </w:style>
  <w:style w:type="paragraph" w:customStyle="1" w:styleId="38">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6"/>
    <w:qFormat/>
    <w:uiPriority w:val="0"/>
    <w:pPr>
      <w:widowControl w:val="0"/>
      <w:jc w:val="both"/>
    </w:pPr>
    <w:rPr>
      <w:rFonts w:ascii="Calibri" w:hAnsi="Calibri" w:eastAsia="宋体" w:cs="黑体"/>
      <w:kern w:val="2"/>
      <w:sz w:val="21"/>
      <w:szCs w:val="24"/>
      <w:lang w:val="en-US" w:eastAsia="zh-CN" w:bidi="ar-SA"/>
    </w:rPr>
  </w:style>
  <w:style w:type="paragraph" w:customStyle="1" w:styleId="39">
    <w:name w:val="正文 New New New New New New New New New New New New New New New New New New New New New New New New New New New New New New New New New New New New New New New New New New New New New New New New New New New New New New New New New New New New New New Ne1"/>
    <w:next w:val="36"/>
    <w:qFormat/>
    <w:uiPriority w:val="0"/>
    <w:pPr>
      <w:widowControl w:val="0"/>
      <w:jc w:val="both"/>
    </w:pPr>
    <w:rPr>
      <w:rFonts w:ascii="Calibri" w:hAnsi="Calibri" w:eastAsia="宋体" w:cs="黑体"/>
      <w:kern w:val="2"/>
      <w:sz w:val="21"/>
      <w:szCs w:val="24"/>
      <w:lang w:val="en-US" w:eastAsia="zh-CN" w:bidi="ar-SA"/>
    </w:rPr>
  </w:style>
  <w:style w:type="paragraph" w:customStyle="1" w:styleId="40">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41">
    <w:name w:val="正文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42">
    <w:name w:val="正文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43">
    <w:name w:val="标题 1 New"/>
    <w:basedOn w:val="42"/>
    <w:next w:val="42"/>
    <w:qFormat/>
    <w:uiPriority w:val="0"/>
    <w:pPr>
      <w:autoSpaceDE w:val="0"/>
      <w:autoSpaceDN w:val="0"/>
      <w:adjustRightInd w:val="0"/>
      <w:jc w:val="left"/>
      <w:outlineLvl w:val="0"/>
    </w:pPr>
    <w:rPr>
      <w:kern w:val="0"/>
      <w:sz w:val="30"/>
    </w:rPr>
  </w:style>
  <w:style w:type="paragraph" w:customStyle="1" w:styleId="44">
    <w:name w:val="标题 2 New New"/>
    <w:basedOn w:val="42"/>
    <w:next w:val="42"/>
    <w:qFormat/>
    <w:uiPriority w:val="0"/>
    <w:pPr>
      <w:autoSpaceDE w:val="0"/>
      <w:autoSpaceDN w:val="0"/>
      <w:adjustRightInd w:val="0"/>
      <w:jc w:val="left"/>
      <w:outlineLvl w:val="1"/>
    </w:pPr>
    <w:rPr>
      <w:kern w:val="0"/>
    </w:rPr>
  </w:style>
  <w:style w:type="paragraph" w:customStyle="1" w:styleId="45">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
    <w:name w:val="Normal Indent1"/>
    <w:basedOn w:val="1"/>
    <w:qFormat/>
    <w:uiPriority w:val="0"/>
    <w:pPr>
      <w:widowControl/>
      <w:spacing w:line="360" w:lineRule="auto"/>
      <w:ind w:firstLine="420"/>
      <w:jc w:val="left"/>
    </w:pPr>
    <w:rPr>
      <w:rFonts w:hAnsi="Times New Roman"/>
      <w:kern w:val="0"/>
      <w:sz w:val="20"/>
    </w:rPr>
  </w:style>
  <w:style w:type="paragraph" w:customStyle="1" w:styleId="47">
    <w:name w:val="正文 New New New New New New New New New New New New New New New New New New New New New New New New New New New New New New New New New New New New New New New New New New New New New New New New New New New New New New New New New New New New New New Ne2"/>
    <w:next w:val="36"/>
    <w:qFormat/>
    <w:uiPriority w:val="0"/>
    <w:pPr>
      <w:widowControl w:val="0"/>
      <w:jc w:val="both"/>
    </w:pPr>
    <w:rPr>
      <w:rFonts w:ascii="Calibri" w:hAnsi="Calibri" w:eastAsia="宋体" w:cs="黑体"/>
      <w:kern w:val="2"/>
      <w:sz w:val="21"/>
      <w:szCs w:val="24"/>
      <w:lang w:val="en-US" w:eastAsia="zh-CN" w:bidi="ar-SA"/>
    </w:rPr>
  </w:style>
  <w:style w:type="paragraph" w:customStyle="1" w:styleId="48">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Bodoni MT" w:hAnsi="Bodoni MT" w:eastAsia="宋体" w:cs="Bodoni MT"/>
      <w:kern w:val="2"/>
      <w:sz w:val="21"/>
      <w:szCs w:val="24"/>
      <w:lang w:val="en-US" w:eastAsia="zh-CN" w:bidi="ar-SA"/>
    </w:rPr>
  </w:style>
  <w:style w:type="paragraph" w:customStyle="1" w:styleId="49">
    <w:name w:val="正文文本缩进 New New"/>
    <w:basedOn w:val="42"/>
    <w:qFormat/>
    <w:uiPriority w:val="0"/>
    <w:pPr>
      <w:ind w:firstLine="560" w:firstLineChars="200"/>
    </w:pPr>
  </w:style>
  <w:style w:type="paragraph" w:customStyle="1" w:styleId="50">
    <w:name w:val="正文文本缩进 3 New"/>
    <w:basedOn w:val="42"/>
    <w:qFormat/>
    <w:uiPriority w:val="0"/>
    <w:pPr>
      <w:ind w:firstLine="560"/>
    </w:pPr>
    <w:rPr>
      <w:color w:val="FF0000"/>
    </w:rPr>
  </w:style>
  <w:style w:type="paragraph" w:customStyle="1" w:styleId="51">
    <w:name w:val="标题 3 New New New"/>
    <w:basedOn w:val="52"/>
    <w:next w:val="52"/>
    <w:qFormat/>
    <w:uiPriority w:val="0"/>
    <w:pPr>
      <w:keepNext/>
      <w:keepLines/>
      <w:jc w:val="center"/>
      <w:outlineLvl w:val="2"/>
    </w:pPr>
    <w:rPr>
      <w:sz w:val="24"/>
    </w:rPr>
  </w:style>
  <w:style w:type="paragraph" w:customStyle="1" w:styleId="52">
    <w:name w:val="正文缩进 New"/>
    <w:basedOn w:val="53"/>
    <w:qFormat/>
    <w:uiPriority w:val="0"/>
    <w:pPr>
      <w:widowControl/>
      <w:ind w:firstLine="420"/>
      <w:jc w:val="left"/>
    </w:pPr>
    <w:rPr>
      <w:kern w:val="0"/>
      <w:sz w:val="20"/>
    </w:rPr>
  </w:style>
  <w:style w:type="paragraph" w:customStyle="1" w:styleId="53">
    <w:name w:val="正文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54">
    <w:name w:val="正文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character" w:customStyle="1" w:styleId="55">
    <w:name w:val="标题 3 Char"/>
    <w:link w:val="4"/>
    <w:qFormat/>
    <w:uiPriority w:val="0"/>
    <w:rPr>
      <w:rFonts w:hint="default" w:ascii="Times New Roman" w:hAnsi="Times New Roman" w:eastAsia="宋体"/>
      <w:b/>
    </w:rPr>
  </w:style>
  <w:style w:type="character" w:customStyle="1" w:styleId="56">
    <w:name w:val="NormalCharacter"/>
    <w:semiHidden/>
    <w:qFormat/>
    <w:uiPriority w:val="0"/>
    <w:rPr>
      <w:rFonts w:ascii="宋体"/>
      <w:kern w:val="2"/>
      <w:sz w:val="24"/>
      <w:lang w:val="en-US" w:eastAsia="zh-CN" w:bidi="ar-SA"/>
    </w:rPr>
  </w:style>
  <w:style w:type="paragraph" w:customStyle="1" w:styleId="57">
    <w:name w:val="标题 2 New New New"/>
    <w:basedOn w:val="58"/>
    <w:next w:val="58"/>
    <w:qFormat/>
    <w:uiPriority w:val="0"/>
    <w:pPr>
      <w:autoSpaceDE w:val="0"/>
      <w:autoSpaceDN w:val="0"/>
      <w:adjustRightInd w:val="0"/>
      <w:jc w:val="left"/>
      <w:outlineLvl w:val="1"/>
    </w:pPr>
  </w:style>
  <w:style w:type="paragraph" w:customStyle="1" w:styleId="58">
    <w:name w:val="正文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59">
    <w:name w:val="普通(网站) New"/>
    <w:basedOn w:val="60"/>
    <w:qFormat/>
    <w:uiPriority w:val="0"/>
    <w:rPr>
      <w:sz w:val="24"/>
    </w:rPr>
  </w:style>
  <w:style w:type="paragraph" w:customStyle="1" w:styleId="60">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61">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62">
    <w:name w:val="正文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63">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64">
    <w:name w:val="YJ22 Char"/>
    <w:link w:val="65"/>
    <w:qFormat/>
    <w:uiPriority w:val="0"/>
    <w:rPr>
      <w:rFonts w:ascii="Times New Roman" w:hAnsi="宋体"/>
      <w:b/>
      <w:kern w:val="0"/>
      <w:sz w:val="20"/>
    </w:rPr>
  </w:style>
  <w:style w:type="paragraph" w:customStyle="1" w:styleId="65">
    <w:name w:val="YJ22"/>
    <w:basedOn w:val="42"/>
    <w:next w:val="42"/>
    <w:link w:val="64"/>
    <w:qFormat/>
    <w:uiPriority w:val="0"/>
    <w:pPr>
      <w:autoSpaceDE w:val="0"/>
      <w:autoSpaceDN w:val="0"/>
      <w:adjustRightInd w:val="0"/>
      <w:jc w:val="left"/>
      <w:outlineLvl w:val="1"/>
    </w:pPr>
    <w:rPr>
      <w:rFonts w:ascii="Times New Roman" w:hAnsi="宋体"/>
      <w:b/>
      <w:kern w:val="0"/>
      <w:sz w:val="20"/>
    </w:rPr>
  </w:style>
  <w:style w:type="paragraph" w:customStyle="1" w:styleId="66">
    <w:name w:val="正文文本缩进 New"/>
    <w:basedOn w:val="67"/>
    <w:qFormat/>
    <w:uiPriority w:val="0"/>
    <w:pPr>
      <w:ind w:firstLine="560" w:firstLineChars="200"/>
    </w:pPr>
  </w:style>
  <w:style w:type="paragraph" w:customStyle="1" w:styleId="67">
    <w:name w:val="正文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8">
    <w:name w:val="正文文本缩进 New New New New"/>
    <w:basedOn w:val="69"/>
    <w:qFormat/>
    <w:uiPriority w:val="0"/>
    <w:pPr>
      <w:ind w:firstLine="560" w:firstLineChars="200"/>
    </w:pPr>
    <w:rPr>
      <w:szCs w:val="28"/>
    </w:rPr>
  </w:style>
  <w:style w:type="paragraph" w:customStyle="1" w:styleId="69">
    <w:name w:val="正文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70">
    <w:name w:val="正文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1">
    <w:name w:val="正文文本缩进 New New New New New New New"/>
    <w:basedOn w:val="70"/>
    <w:qFormat/>
    <w:uiPriority w:val="0"/>
    <w:pPr>
      <w:ind w:left="420" w:leftChars="200"/>
    </w:pPr>
    <w:rPr>
      <w:szCs w:val="24"/>
    </w:rPr>
  </w:style>
  <w:style w:type="paragraph" w:customStyle="1" w:styleId="72">
    <w:name w:val="正文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3">
    <w:name w:val="正文文本缩进 New New New New New New New New"/>
    <w:basedOn w:val="72"/>
    <w:qFormat/>
    <w:uiPriority w:val="0"/>
    <w:pPr>
      <w:ind w:left="420" w:leftChars="200"/>
    </w:pPr>
    <w:rPr>
      <w:szCs w:val="24"/>
    </w:rPr>
  </w:style>
  <w:style w:type="paragraph" w:customStyle="1" w:styleId="74">
    <w:name w:val="正文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5">
    <w:name w:val="页脚 New"/>
    <w:basedOn w:val="42"/>
    <w:qFormat/>
    <w:uiPriority w:val="0"/>
    <w:pPr>
      <w:widowControl/>
      <w:tabs>
        <w:tab w:val="center" w:pos="4153"/>
        <w:tab w:val="right" w:pos="8306"/>
      </w:tabs>
      <w:snapToGrid w:val="0"/>
      <w:jc w:val="left"/>
    </w:pPr>
    <w:rPr>
      <w:kern w:val="0"/>
      <w:sz w:val="18"/>
    </w:rPr>
  </w:style>
  <w:style w:type="character" w:customStyle="1" w:styleId="76">
    <w:name w:val="批注框文本 Char"/>
    <w:basedOn w:val="26"/>
    <w:link w:val="14"/>
    <w:qFormat/>
    <w:uiPriority w:val="0"/>
    <w:rPr>
      <w:rFonts w:ascii="宋体" w:hAnsi="等线" w:eastAsia="等线" w:cs="Times New Roman"/>
      <w:kern w:val="2"/>
      <w:sz w:val="18"/>
      <w:szCs w:val="18"/>
    </w:rPr>
  </w:style>
  <w:style w:type="character" w:customStyle="1" w:styleId="77">
    <w:name w:val="hover21"/>
    <w:basedOn w:val="26"/>
    <w:qFormat/>
    <w:uiPriority w:val="0"/>
    <w:rPr>
      <w:color w:val="5FB878"/>
    </w:rPr>
  </w:style>
  <w:style w:type="character" w:customStyle="1" w:styleId="78">
    <w:name w:val="hover22"/>
    <w:basedOn w:val="26"/>
    <w:qFormat/>
    <w:uiPriority w:val="0"/>
    <w:rPr>
      <w:color w:val="5FB878"/>
    </w:rPr>
  </w:style>
  <w:style w:type="character" w:customStyle="1" w:styleId="79">
    <w:name w:val="hover23"/>
    <w:basedOn w:val="26"/>
    <w:qFormat/>
    <w:uiPriority w:val="0"/>
    <w:rPr>
      <w:color w:val="FFFFFF"/>
    </w:rPr>
  </w:style>
  <w:style w:type="paragraph" w:customStyle="1" w:styleId="80">
    <w:name w:val="正文1"/>
    <w:basedOn w:val="1"/>
    <w:qFormat/>
    <w:uiPriority w:val="0"/>
    <w:rPr>
      <w:rFonts w:hAnsi="Times New Roman"/>
    </w:rPr>
  </w:style>
  <w:style w:type="paragraph" w:customStyle="1" w:styleId="81">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82">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character" w:customStyle="1" w:styleId="83">
    <w:name w:val="标题 2 字符"/>
    <w:link w:val="3"/>
    <w:qFormat/>
    <w:uiPriority w:val="0"/>
    <w:rPr>
      <w:kern w:val="0"/>
    </w:rPr>
  </w:style>
  <w:style w:type="paragraph" w:customStyle="1" w:styleId="84">
    <w:name w:val="UserStyle_76"/>
    <w:basedOn w:val="85"/>
    <w:qFormat/>
    <w:uiPriority w:val="99"/>
    <w:pPr>
      <w:ind w:firstLine="420"/>
      <w:jc w:val="left"/>
    </w:pPr>
    <w:rPr>
      <w:kern w:val="0"/>
      <w:sz w:val="20"/>
      <w:szCs w:val="20"/>
    </w:rPr>
  </w:style>
  <w:style w:type="paragraph" w:customStyle="1" w:styleId="85">
    <w:name w:val="UserStyle_1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86">
    <w:name w:val="Table Text"/>
    <w:semiHidden/>
    <w:qFormat/>
    <w:uiPriority w:val="0"/>
    <w:pPr>
      <w:widowControl w:val="0"/>
      <w:jc w:val="both"/>
    </w:pPr>
    <w:rPr>
      <w:rFonts w:ascii="宋体" w:hAnsi="宋体" w:eastAsia="宋体" w:cs="宋体"/>
      <w:kern w:val="2"/>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2051"/>
    <customShpInfo spid="_x0000_s2050"/>
    <customShpInfo spid="_x0000_s2049"/>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113</Pages>
  <Words>26661</Words>
  <Characters>28626</Characters>
  <Lines>673</Lines>
  <Paragraphs>189</Paragraphs>
  <TotalTime>4</TotalTime>
  <ScaleCrop>false</ScaleCrop>
  <LinksUpToDate>false</LinksUpToDate>
  <CharactersWithSpaces>29078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2023-11-10T10:36:00Z</dcterms:created>
  <dc:creator>Chen~小璇</dc:creator>
  <cp:lastModifiedBy>晴子小姐</cp:lastModifiedBy>
  <cp:lastPrinted>2026-09-21T01:46:00Z</cp:lastPrinted>
  <dcterms:modified xsi:type="dcterms:W3CDTF">2026-09-22T05:49:17Z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2D1B91E8DF7743A7B0F820C1965FCEA6_13</vt:lpwstr>
  </property>
  <property fmtid="{D5CDD505-2E9C-101B-9397-08002B2CF9AE}" pid="4" name="KSOTemplateDocerSaveRecord">
    <vt:lpwstr>eyJoZGlkIjoiMWQxZDQxNjIwNzlhNGZmZGRjYjcxNTA1ZWE2MzI4YjYiLCJ1c2VySWQiOiIzNzA5OTI3NzAifQ==</vt:lpwstr>
  </property>
</Properties>
</file>