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9ED5C22">
      <w:pPr>
        <w:pStyle w:val="104"/>
        <w:wordWrap w:val="0"/>
        <w:adjustRightInd w:val="0"/>
        <w:snapToGrid w:val="0"/>
        <w:spacing w:line="360" w:lineRule="auto"/>
        <w:jc w:val="center"/>
        <w:rPr>
          <w:rFonts w:hint="eastAsia" w:ascii="宋体" w:hAnsi="宋体" w:eastAsia="宋体" w:cs="宋体"/>
          <w:snapToGrid w:val="0"/>
          <w:color w:val="auto"/>
          <w:kern w:val="0"/>
          <w:sz w:val="40"/>
          <w:szCs w:val="21"/>
          <w:highlight w:val="none"/>
          <w:u w:val="single"/>
        </w:rPr>
      </w:pPr>
      <w:r>
        <w:rPr>
          <w:rFonts w:hint="eastAsia" w:ascii="宋体" w:hAnsi="宋体" w:eastAsia="宋体" w:cs="宋体"/>
          <w:b/>
          <w:snapToGrid w:val="0"/>
          <w:color w:val="auto"/>
          <w:kern w:val="0"/>
          <w:sz w:val="52"/>
          <w:szCs w:val="52"/>
          <w:highlight w:val="none"/>
          <w:lang w:val="en-US" w:eastAsia="zh-CN"/>
        </w:rPr>
        <w:t>庆云镇“金叶子”示范带项目（土佳寮村二期）施工</w:t>
      </w:r>
    </w:p>
    <w:p w14:paraId="0A96DF72">
      <w:pPr>
        <w:pStyle w:val="104"/>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0F859185">
      <w:pPr>
        <w:rPr>
          <w:rFonts w:hint="eastAsia"/>
        </w:rPr>
      </w:pPr>
    </w:p>
    <w:p w14:paraId="108527D8">
      <w:pPr>
        <w:pStyle w:val="7"/>
        <w:rPr>
          <w:rFonts w:hint="eastAsia"/>
        </w:rPr>
      </w:pPr>
    </w:p>
    <w:p w14:paraId="199EA70A">
      <w:pPr>
        <w:pStyle w:val="104"/>
        <w:wordWrap w:val="0"/>
        <w:adjustRightInd w:val="0"/>
        <w:snapToGrid w:val="0"/>
        <w:spacing w:line="360" w:lineRule="auto"/>
        <w:jc w:val="cente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0"/>
            </w14:srgbClr>
          </w14:shadow>
        </w:rPr>
        <w:t>招标文件</w:t>
      </w:r>
    </w:p>
    <w:p w14:paraId="5C5FDB48">
      <w:pPr>
        <w:wordWrap w:val="0"/>
        <w:adjustRightInd w:val="0"/>
        <w:snapToGrid w:val="0"/>
        <w:rPr>
          <w:rFonts w:hint="eastAsia" w:ascii="宋体" w:hAnsi="宋体" w:eastAsia="宋体" w:cs="宋体"/>
          <w:b/>
          <w:bCs/>
          <w:snapToGrid w:val="0"/>
          <w:color w:val="auto"/>
          <w:kern w:val="0"/>
          <w:sz w:val="48"/>
          <w:szCs w:val="48"/>
          <w:highlight w:val="none"/>
        </w:rPr>
      </w:pPr>
    </w:p>
    <w:p w14:paraId="7BC623F1">
      <w:pPr>
        <w:pStyle w:val="11"/>
        <w:rPr>
          <w:rFonts w:hint="eastAsia" w:ascii="宋体" w:hAnsi="宋体" w:eastAsia="宋体" w:cs="宋体"/>
          <w:color w:val="auto"/>
          <w:highlight w:val="none"/>
        </w:rPr>
      </w:pPr>
    </w:p>
    <w:tbl>
      <w:tblPr>
        <w:tblStyle w:val="31"/>
        <w:tblW w:w="9728" w:type="dxa"/>
        <w:tblInd w:w="-100" w:type="dxa"/>
        <w:tblLayout w:type="fixed"/>
        <w:tblCellMar>
          <w:top w:w="0" w:type="dxa"/>
          <w:left w:w="0" w:type="dxa"/>
          <w:bottom w:w="0" w:type="dxa"/>
          <w:right w:w="0" w:type="dxa"/>
        </w:tblCellMar>
      </w:tblPr>
      <w:tblGrid>
        <w:gridCol w:w="4708"/>
        <w:gridCol w:w="5020"/>
      </w:tblGrid>
      <w:tr w14:paraId="097AA0A7">
        <w:tblPrEx>
          <w:tblCellMar>
            <w:top w:w="0" w:type="dxa"/>
            <w:left w:w="0" w:type="dxa"/>
            <w:bottom w:w="0" w:type="dxa"/>
            <w:right w:w="0" w:type="dxa"/>
          </w:tblCellMar>
        </w:tblPrEx>
        <w:trPr>
          <w:trHeight w:val="1205" w:hRule="atLeast"/>
        </w:trPr>
        <w:tc>
          <w:tcPr>
            <w:tcW w:w="4708" w:type="dxa"/>
            <w:noWrap w:val="0"/>
            <w:vAlign w:val="center"/>
          </w:tcPr>
          <w:p w14:paraId="477CCF81">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noWrap w:val="0"/>
            <w:vAlign w:val="center"/>
          </w:tcPr>
          <w:p w14:paraId="5A42BAC0">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r>
              <w:rPr>
                <w:rFonts w:hint="eastAsia" w:hAnsi="宋体" w:cs="宋体"/>
                <w:snapToGrid w:val="0"/>
                <w:color w:val="auto"/>
                <w:kern w:val="0"/>
                <w:sz w:val="28"/>
                <w:szCs w:val="28"/>
                <w:highlight w:val="none"/>
                <w:lang w:eastAsia="zh-CN"/>
              </w:rPr>
              <w:t>乐昌市庆云镇人民政府</w:t>
            </w:r>
          </w:p>
        </w:tc>
      </w:tr>
      <w:tr w14:paraId="5787B219">
        <w:tblPrEx>
          <w:tblCellMar>
            <w:top w:w="0" w:type="dxa"/>
            <w:left w:w="0" w:type="dxa"/>
            <w:bottom w:w="0" w:type="dxa"/>
            <w:right w:w="0" w:type="dxa"/>
          </w:tblCellMar>
        </w:tblPrEx>
        <w:trPr>
          <w:trHeight w:val="1130" w:hRule="atLeast"/>
        </w:trPr>
        <w:tc>
          <w:tcPr>
            <w:tcW w:w="4708" w:type="dxa"/>
            <w:noWrap w:val="0"/>
            <w:vAlign w:val="center"/>
          </w:tcPr>
          <w:p w14:paraId="5748A8AB">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noWrap w:val="0"/>
            <w:vAlign w:val="center"/>
          </w:tcPr>
          <w:p w14:paraId="09EA7A29">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2AE6784A">
        <w:tblPrEx>
          <w:tblCellMar>
            <w:top w:w="0" w:type="dxa"/>
            <w:left w:w="0" w:type="dxa"/>
            <w:bottom w:w="0" w:type="dxa"/>
            <w:right w:w="0" w:type="dxa"/>
          </w:tblCellMar>
        </w:tblPrEx>
        <w:trPr>
          <w:trHeight w:val="1190" w:hRule="atLeast"/>
        </w:trPr>
        <w:tc>
          <w:tcPr>
            <w:tcW w:w="4708" w:type="dxa"/>
            <w:noWrap w:val="0"/>
            <w:vAlign w:val="center"/>
          </w:tcPr>
          <w:p w14:paraId="7F95FB3F">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noWrap w:val="0"/>
            <w:vAlign w:val="center"/>
          </w:tcPr>
          <w:p w14:paraId="485ED9A2">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r>
              <w:rPr>
                <w:rFonts w:hint="eastAsia" w:hAnsi="宋体" w:cs="宋体"/>
                <w:snapToGrid w:val="0"/>
                <w:color w:val="auto"/>
                <w:kern w:val="0"/>
                <w:sz w:val="28"/>
                <w:szCs w:val="28"/>
                <w:highlight w:val="none"/>
                <w:lang w:eastAsia="zh-CN"/>
              </w:rPr>
              <w:t>韶关众信项目管理有限公司</w:t>
            </w:r>
          </w:p>
        </w:tc>
      </w:tr>
      <w:tr w14:paraId="03918DD6">
        <w:tblPrEx>
          <w:tblCellMar>
            <w:top w:w="0" w:type="dxa"/>
            <w:left w:w="0" w:type="dxa"/>
            <w:bottom w:w="0" w:type="dxa"/>
            <w:right w:w="0" w:type="dxa"/>
          </w:tblCellMar>
        </w:tblPrEx>
        <w:trPr>
          <w:trHeight w:val="1185" w:hRule="atLeast"/>
        </w:trPr>
        <w:tc>
          <w:tcPr>
            <w:tcW w:w="4708" w:type="dxa"/>
            <w:noWrap w:val="0"/>
            <w:vAlign w:val="center"/>
          </w:tcPr>
          <w:p w14:paraId="4AB05EDB">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招标文件编制人（签字）：</w:t>
            </w:r>
          </w:p>
        </w:tc>
        <w:tc>
          <w:tcPr>
            <w:tcW w:w="5020" w:type="dxa"/>
            <w:noWrap w:val="0"/>
            <w:vAlign w:val="center"/>
          </w:tcPr>
          <w:p w14:paraId="597D9122">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3FBA646E">
        <w:tblPrEx>
          <w:tblCellMar>
            <w:top w:w="0" w:type="dxa"/>
            <w:left w:w="0" w:type="dxa"/>
            <w:bottom w:w="0" w:type="dxa"/>
            <w:right w:w="0" w:type="dxa"/>
          </w:tblCellMar>
        </w:tblPrEx>
        <w:trPr>
          <w:trHeight w:val="1185" w:hRule="atLeast"/>
        </w:trPr>
        <w:tc>
          <w:tcPr>
            <w:tcW w:w="4708" w:type="dxa"/>
            <w:noWrap w:val="0"/>
            <w:vAlign w:val="center"/>
          </w:tcPr>
          <w:p w14:paraId="5FDC04F9">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noWrap w:val="0"/>
            <w:vAlign w:val="center"/>
          </w:tcPr>
          <w:p w14:paraId="43EFB639">
            <w:pPr>
              <w:pStyle w:val="132"/>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55D343BA">
        <w:tblPrEx>
          <w:tblCellMar>
            <w:top w:w="0" w:type="dxa"/>
            <w:left w:w="0" w:type="dxa"/>
            <w:bottom w:w="0" w:type="dxa"/>
            <w:right w:w="0" w:type="dxa"/>
          </w:tblCellMar>
        </w:tblPrEx>
        <w:trPr>
          <w:trHeight w:val="892" w:hRule="atLeast"/>
        </w:trPr>
        <w:tc>
          <w:tcPr>
            <w:tcW w:w="4708" w:type="dxa"/>
            <w:noWrap w:val="0"/>
            <w:vAlign w:val="center"/>
          </w:tcPr>
          <w:p w14:paraId="335E1182">
            <w:pPr>
              <w:pStyle w:val="132"/>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招标文件编制日期：</w:t>
            </w:r>
          </w:p>
        </w:tc>
        <w:tc>
          <w:tcPr>
            <w:tcW w:w="5020" w:type="dxa"/>
            <w:noWrap w:val="0"/>
            <w:vAlign w:val="center"/>
          </w:tcPr>
          <w:p w14:paraId="2C3D2360">
            <w:pPr>
              <w:pStyle w:val="132"/>
              <w:wordWrap w:val="0"/>
              <w:adjustRightInd w:val="0"/>
              <w:snapToGrid w:val="0"/>
              <w:spacing w:line="240" w:lineRule="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lang w:val="en-US" w:eastAsia="zh-CN"/>
              </w:rPr>
              <w:t>202</w:t>
            </w:r>
            <w:r>
              <w:rPr>
                <w:rFonts w:hint="eastAsia" w:hAnsi="宋体" w:cs="宋体"/>
                <w:snapToGrid w:val="0"/>
                <w:color w:val="auto"/>
                <w:kern w:val="0"/>
                <w:sz w:val="28"/>
                <w:highlight w:val="none"/>
                <w:lang w:val="en-US" w:eastAsia="zh-CN"/>
              </w:rPr>
              <w:t>5</w:t>
            </w:r>
            <w:r>
              <w:rPr>
                <w:rFonts w:hint="eastAsia" w:ascii="宋体" w:hAnsi="宋体" w:eastAsia="宋体" w:cs="宋体"/>
                <w:snapToGrid w:val="0"/>
                <w:color w:val="auto"/>
                <w:kern w:val="0"/>
                <w:sz w:val="28"/>
                <w:highlight w:val="none"/>
              </w:rPr>
              <w:t>年</w:t>
            </w:r>
            <w:r>
              <w:rPr>
                <w:rFonts w:hint="eastAsia" w:hAnsi="宋体" w:cs="宋体"/>
                <w:snapToGrid w:val="0"/>
                <w:color w:val="auto"/>
                <w:kern w:val="0"/>
                <w:sz w:val="28"/>
                <w:highlight w:val="none"/>
                <w:lang w:val="en-US" w:eastAsia="zh-CN"/>
              </w:rPr>
              <w:t>8</w:t>
            </w:r>
            <w:r>
              <w:rPr>
                <w:rFonts w:hint="eastAsia" w:ascii="宋体" w:hAnsi="宋体" w:eastAsia="宋体" w:cs="宋体"/>
                <w:snapToGrid w:val="0"/>
                <w:color w:val="auto"/>
                <w:kern w:val="0"/>
                <w:sz w:val="28"/>
                <w:highlight w:val="none"/>
              </w:rPr>
              <w:t>月</w:t>
            </w:r>
          </w:p>
        </w:tc>
      </w:tr>
    </w:tbl>
    <w:p w14:paraId="1208780A">
      <w:pPr>
        <w:tabs>
          <w:tab w:val="left" w:pos="4935"/>
        </w:tabs>
        <w:wordWrap w:val="0"/>
        <w:adjustRightInd w:val="0"/>
        <w:snapToGrid w:val="0"/>
        <w:jc w:val="center"/>
        <w:rPr>
          <w:rFonts w:hint="eastAsia" w:ascii="宋体" w:hAnsi="宋体" w:eastAsia="宋体" w:cs="宋体"/>
          <w:b/>
          <w:snapToGrid w:val="0"/>
          <w:color w:val="auto"/>
          <w:kern w:val="0"/>
          <w:sz w:val="28"/>
          <w:szCs w:val="28"/>
          <w:highlight w:val="none"/>
        </w:rPr>
        <w:sectPr>
          <w:footerReference r:id="rId5" w:type="default"/>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pgNumType w:start="1"/>
          <w:cols w:space="720" w:num="1"/>
          <w:docGrid w:linePitch="327" w:charSpace="0"/>
        </w:sectPr>
      </w:pPr>
    </w:p>
    <w:p w14:paraId="3C068339">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38BD21D">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DAA2560">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50F58A4">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ADA8C01">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843C63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A5016E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3BF82DF">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A22F8B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6110AC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5143B10">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C9D026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DCBFFEF">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F7F5FA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54E0658">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2D1C1AD">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1CAB8A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3F0A2F0">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9F9273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D369FD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A9435E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EC107B9">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36CE680">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82C3233">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80F37F2">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314FF3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A69EC8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4A97D5B">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466288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398AED2">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CAACDE4">
      <w:pPr>
        <w:rPr>
          <w:rFonts w:hint="eastAsia" w:ascii="宋体" w:hAnsi="宋体" w:eastAsia="宋体" w:cs="宋体"/>
          <w:b/>
          <w:snapToGrid w:val="0"/>
          <w:color w:val="auto"/>
          <w:kern w:val="0"/>
          <w:sz w:val="44"/>
          <w:szCs w:val="44"/>
          <w:highlight w:val="none"/>
          <w:lang w:val="en-US" w:eastAsia="zh-CN" w:bidi="ar-SA"/>
        </w:rPr>
      </w:pPr>
      <w:r>
        <w:rPr>
          <w:rFonts w:hint="eastAsia" w:ascii="宋体" w:hAnsi="宋体" w:eastAsia="宋体" w:cs="宋体"/>
          <w:b/>
          <w:snapToGrid w:val="0"/>
          <w:color w:val="auto"/>
          <w:kern w:val="0"/>
          <w:sz w:val="44"/>
          <w:szCs w:val="44"/>
          <w:highlight w:val="none"/>
          <w:lang w:val="en-US" w:eastAsia="zh-CN" w:bidi="ar-SA"/>
        </w:rPr>
        <w:br w:type="page"/>
      </w:r>
    </w:p>
    <w:p w14:paraId="725FB03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r>
        <w:rPr>
          <w:rFonts w:hint="eastAsia" w:ascii="宋体" w:hAnsi="宋体" w:eastAsia="宋体" w:cs="宋体"/>
          <w:b/>
          <w:snapToGrid w:val="0"/>
          <w:color w:val="auto"/>
          <w:kern w:val="0"/>
          <w:sz w:val="44"/>
          <w:szCs w:val="44"/>
          <w:highlight w:val="none"/>
          <w:lang w:val="en-US" w:eastAsia="zh-CN" w:bidi="ar-SA"/>
        </w:rPr>
        <w:t>目    录</w:t>
      </w:r>
    </w:p>
    <w:p w14:paraId="0E89120C">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"1-3" \h \u </w:instrText>
      </w:r>
      <w:r>
        <w:rPr>
          <w:rFonts w:hint="eastAsia" w:ascii="宋体" w:hAnsi="宋体" w:eastAsia="宋体" w:cs="宋体"/>
          <w:color w:val="auto"/>
          <w:highlight w:val="none"/>
        </w:rPr>
        <w:fldChar w:fldCharType="separate"/>
      </w:r>
      <w:r>
        <w:rPr>
          <w:rFonts w:hint="eastAsia" w:ascii="宋体" w:hAnsi="宋体" w:eastAsia="宋体" w:cs="宋体"/>
          <w:b/>
          <w:bCs/>
          <w:color w:val="auto"/>
          <w:highlight w:val="none"/>
        </w:rPr>
        <w:fldChar w:fldCharType="begin"/>
      </w:r>
      <w:r>
        <w:rPr>
          <w:rFonts w:hint="eastAsia" w:ascii="宋体" w:hAnsi="宋体" w:eastAsia="宋体" w:cs="宋体"/>
          <w:b/>
          <w:bCs/>
          <w:highlight w:val="none"/>
        </w:rPr>
        <w:instrText xml:space="preserve"> HYPERLINK \l _Toc14635 </w:instrText>
      </w:r>
      <w:r>
        <w:rPr>
          <w:rFonts w:hint="eastAsia" w:ascii="宋体" w:hAnsi="宋体" w:eastAsia="宋体" w:cs="宋体"/>
          <w:b/>
          <w:bCs/>
          <w:highlight w:val="none"/>
        </w:rPr>
        <w:fldChar w:fldCharType="separate"/>
      </w:r>
      <w:r>
        <w:rPr>
          <w:rFonts w:hint="eastAsia" w:ascii="宋体" w:hAnsi="宋体" w:eastAsia="宋体" w:cs="宋体"/>
          <w:b/>
          <w:bCs/>
          <w:snapToGrid w:val="0"/>
          <w:highlight w:val="none"/>
        </w:rPr>
        <w:t>第一章 投标人须知</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_Toc14635 \h </w:instrText>
      </w:r>
      <w:r>
        <w:rPr>
          <w:rFonts w:hint="eastAsia" w:ascii="宋体" w:hAnsi="宋体" w:eastAsia="宋体" w:cs="宋体"/>
          <w:b/>
          <w:bCs/>
        </w:rPr>
        <w:fldChar w:fldCharType="separate"/>
      </w:r>
      <w:r>
        <w:rPr>
          <w:rFonts w:hint="eastAsia" w:ascii="宋体" w:hAnsi="宋体" w:eastAsia="宋体" w:cs="宋体"/>
          <w:b/>
          <w:bCs/>
        </w:rPr>
        <w:t>1</w:t>
      </w:r>
      <w:r>
        <w:rPr>
          <w:rFonts w:hint="eastAsia" w:ascii="宋体" w:hAnsi="宋体" w:eastAsia="宋体" w:cs="宋体"/>
          <w:b/>
          <w:bCs/>
        </w:rPr>
        <w:fldChar w:fldCharType="end"/>
      </w:r>
      <w:r>
        <w:rPr>
          <w:rFonts w:hint="eastAsia" w:ascii="宋体" w:hAnsi="宋体" w:eastAsia="宋体" w:cs="宋体"/>
          <w:b/>
          <w:bCs/>
          <w:color w:val="auto"/>
          <w:highlight w:val="none"/>
        </w:rPr>
        <w:fldChar w:fldCharType="end"/>
      </w:r>
    </w:p>
    <w:p w14:paraId="0E004A50">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_Toc22622 </w:instrText>
      </w:r>
      <w:r>
        <w:rPr>
          <w:rFonts w:hint="eastAsia" w:ascii="宋体" w:hAnsi="宋体" w:eastAsia="宋体" w:cs="宋体"/>
          <w:highlight w:val="none"/>
        </w:rPr>
        <w:fldChar w:fldCharType="separate"/>
      </w:r>
      <w:r>
        <w:rPr>
          <w:rFonts w:hint="eastAsia" w:ascii="宋体" w:hAnsi="宋体" w:eastAsia="宋体" w:cs="宋体"/>
        </w:rPr>
        <w:t>第一节 投标人须知前附表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_Toc22622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32853007">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_Toc27937 </w:instrText>
      </w:r>
      <w:r>
        <w:rPr>
          <w:rFonts w:hint="eastAsia" w:ascii="宋体" w:hAnsi="宋体" w:eastAsia="宋体" w:cs="宋体"/>
          <w:highlight w:val="none"/>
        </w:rPr>
        <w:fldChar w:fldCharType="separate"/>
      </w:r>
      <w:r>
        <w:rPr>
          <w:rFonts w:hint="eastAsia" w:ascii="宋体" w:hAnsi="宋体" w:eastAsia="宋体" w:cs="宋体"/>
        </w:rPr>
        <w:t>第二节 重要事项时间地点一览表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_Toc27937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1A12BF48">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_Toc30390 </w:instrText>
      </w:r>
      <w:r>
        <w:rPr>
          <w:rFonts w:hint="eastAsia" w:ascii="宋体" w:hAnsi="宋体" w:eastAsia="宋体" w:cs="宋体"/>
          <w:highlight w:val="none"/>
        </w:rPr>
        <w:fldChar w:fldCharType="separate"/>
      </w:r>
      <w:r>
        <w:rPr>
          <w:rFonts w:hint="eastAsia" w:ascii="宋体" w:hAnsi="宋体" w:eastAsia="宋体" w:cs="宋体"/>
        </w:rPr>
        <w:t>第三节 投标人须知正文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_Toc30390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1E0EAAA8">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_Toc25995 </w:instrText>
      </w:r>
      <w:r>
        <w:rPr>
          <w:rFonts w:hint="eastAsia" w:ascii="宋体" w:hAnsi="宋体" w:eastAsia="宋体" w:cs="宋体"/>
          <w:highlight w:val="none"/>
        </w:rPr>
        <w:fldChar w:fldCharType="separate"/>
      </w:r>
      <w:r>
        <w:rPr>
          <w:rFonts w:hint="eastAsia" w:ascii="宋体" w:hAnsi="宋体" w:eastAsia="宋体" w:cs="宋体"/>
        </w:rPr>
        <w:t>1．项目概况、招标范围和标段划分、投标费用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_Toc25995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37355F20">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_Toc14498 </w:instrText>
      </w:r>
      <w:r>
        <w:rPr>
          <w:rFonts w:hint="eastAsia" w:ascii="宋体" w:hAnsi="宋体" w:eastAsia="宋体" w:cs="宋体"/>
          <w:highlight w:val="none"/>
        </w:rPr>
        <w:fldChar w:fldCharType="separate"/>
      </w:r>
      <w:r>
        <w:rPr>
          <w:rFonts w:hint="eastAsia" w:ascii="宋体" w:hAnsi="宋体" w:eastAsia="宋体" w:cs="宋体"/>
        </w:rPr>
        <w:t>2．投标人资格要求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_Toc14498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5D1454FC">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_Toc6745 </w:instrText>
      </w:r>
      <w:r>
        <w:rPr>
          <w:rFonts w:hint="eastAsia" w:ascii="宋体" w:hAnsi="宋体" w:eastAsia="宋体" w:cs="宋体"/>
          <w:highlight w:val="none"/>
        </w:rPr>
        <w:fldChar w:fldCharType="separate"/>
      </w:r>
      <w:r>
        <w:rPr>
          <w:rFonts w:hint="eastAsia" w:ascii="宋体" w:hAnsi="宋体" w:eastAsia="宋体" w:cs="宋体"/>
        </w:rPr>
        <w:t>3．招标文件的获取、提问和答疑</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_Toc6745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3D9AC358">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_Toc10093 </w:instrText>
      </w:r>
      <w:r>
        <w:rPr>
          <w:rFonts w:hint="eastAsia" w:ascii="宋体" w:hAnsi="宋体" w:eastAsia="宋体" w:cs="宋体"/>
          <w:highlight w:val="none"/>
        </w:rPr>
        <w:fldChar w:fldCharType="separate"/>
      </w:r>
      <w:r>
        <w:rPr>
          <w:rFonts w:hint="eastAsia" w:ascii="宋体" w:hAnsi="宋体" w:eastAsia="宋体" w:cs="宋体"/>
          <w:lang w:val="en-US" w:eastAsia="zh-CN"/>
        </w:rPr>
        <w:t>4．</w:t>
      </w:r>
      <w:r>
        <w:rPr>
          <w:rFonts w:hint="eastAsia" w:ascii="宋体" w:hAnsi="宋体" w:eastAsia="宋体" w:cs="宋体"/>
        </w:rPr>
        <w:t>工期要求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_Toc10093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74249452">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_Toc762 </w:instrText>
      </w:r>
      <w:r>
        <w:rPr>
          <w:rFonts w:hint="eastAsia" w:ascii="宋体" w:hAnsi="宋体" w:eastAsia="宋体" w:cs="宋体"/>
          <w:highlight w:val="none"/>
        </w:rPr>
        <w:fldChar w:fldCharType="separate"/>
      </w:r>
      <w:r>
        <w:rPr>
          <w:rFonts w:hint="eastAsia" w:ascii="宋体" w:hAnsi="宋体" w:eastAsia="宋体" w:cs="宋体"/>
        </w:rPr>
        <w:t>5．质量标准和材料、机械要求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_Toc762 \h </w:instrText>
      </w:r>
      <w:r>
        <w:rPr>
          <w:rFonts w:hint="eastAsia" w:ascii="宋体" w:hAnsi="宋体" w:eastAsia="宋体" w:cs="宋体"/>
        </w:rPr>
        <w:fldChar w:fldCharType="separate"/>
      </w:r>
      <w:r>
        <w:rPr>
          <w:rFonts w:hint="eastAsia" w:ascii="宋体" w:hAnsi="宋体" w:eastAsia="宋体" w:cs="宋体"/>
        </w:rPr>
        <w:t>11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25B7493A">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_Toc23462 </w:instrText>
      </w:r>
      <w:r>
        <w:rPr>
          <w:rFonts w:hint="eastAsia" w:ascii="宋体" w:hAnsi="宋体" w:eastAsia="宋体" w:cs="宋体"/>
          <w:highlight w:val="none"/>
        </w:rPr>
        <w:fldChar w:fldCharType="separate"/>
      </w:r>
      <w:r>
        <w:rPr>
          <w:rFonts w:hint="eastAsia" w:ascii="宋体" w:hAnsi="宋体" w:eastAsia="宋体" w:cs="宋体"/>
        </w:rPr>
        <w:t>6．施工条件及现场踏勘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_Toc23462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458ADE5F">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_Toc29845 </w:instrText>
      </w:r>
      <w:r>
        <w:rPr>
          <w:rFonts w:hint="eastAsia" w:ascii="宋体" w:hAnsi="宋体" w:eastAsia="宋体" w:cs="宋体"/>
          <w:highlight w:val="none"/>
        </w:rPr>
        <w:fldChar w:fldCharType="separate"/>
      </w:r>
      <w:r>
        <w:rPr>
          <w:rFonts w:hint="eastAsia" w:ascii="宋体" w:hAnsi="宋体" w:eastAsia="宋体" w:cs="宋体"/>
        </w:rPr>
        <w:t>7．招标文件的提问和答疑</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_Toc29845 \h </w:instrText>
      </w:r>
      <w:r>
        <w:rPr>
          <w:rFonts w:hint="eastAsia" w:ascii="宋体" w:hAnsi="宋体" w:eastAsia="宋体" w:cs="宋体"/>
        </w:rPr>
        <w:fldChar w:fldCharType="separate"/>
      </w:r>
      <w:r>
        <w:rPr>
          <w:rFonts w:hint="eastAsia" w:ascii="宋体" w:hAnsi="宋体" w:eastAsia="宋体" w:cs="宋体"/>
        </w:rPr>
        <w:t>12</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0B3210EC">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_Toc21026 </w:instrText>
      </w:r>
      <w:r>
        <w:rPr>
          <w:rFonts w:hint="eastAsia" w:ascii="宋体" w:hAnsi="宋体" w:eastAsia="宋体" w:cs="宋体"/>
          <w:highlight w:val="none"/>
        </w:rPr>
        <w:fldChar w:fldCharType="separate"/>
      </w:r>
      <w:r>
        <w:rPr>
          <w:rFonts w:hint="eastAsia" w:ascii="宋体" w:hAnsi="宋体" w:eastAsia="宋体" w:cs="宋体"/>
        </w:rPr>
        <w:t>8．招标控制价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_Toc21026 \h </w:instrText>
      </w:r>
      <w:r>
        <w:rPr>
          <w:rFonts w:hint="eastAsia" w:ascii="宋体" w:hAnsi="宋体" w:eastAsia="宋体" w:cs="宋体"/>
        </w:rPr>
        <w:fldChar w:fldCharType="separate"/>
      </w:r>
      <w:r>
        <w:rPr>
          <w:rFonts w:hint="eastAsia" w:ascii="宋体" w:hAnsi="宋体" w:eastAsia="宋体" w:cs="宋体"/>
        </w:rPr>
        <w:t>13</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2092CED5">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_Toc19680 </w:instrText>
      </w:r>
      <w:r>
        <w:rPr>
          <w:rFonts w:hint="eastAsia" w:ascii="宋体" w:hAnsi="宋体" w:eastAsia="宋体" w:cs="宋体"/>
          <w:highlight w:val="none"/>
        </w:rPr>
        <w:fldChar w:fldCharType="separate"/>
      </w:r>
      <w:r>
        <w:rPr>
          <w:rFonts w:hint="eastAsia" w:ascii="宋体" w:hAnsi="宋体" w:eastAsia="宋体" w:cs="宋体"/>
        </w:rPr>
        <w:t>9．投标报价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_Toc19680 \h </w:instrText>
      </w:r>
      <w:r>
        <w:rPr>
          <w:rFonts w:hint="eastAsia" w:ascii="宋体" w:hAnsi="宋体" w:eastAsia="宋体" w:cs="宋体"/>
        </w:rPr>
        <w:fldChar w:fldCharType="separate"/>
      </w:r>
      <w:r>
        <w:rPr>
          <w:rFonts w:hint="eastAsia" w:ascii="宋体" w:hAnsi="宋体" w:eastAsia="宋体" w:cs="宋体"/>
        </w:rPr>
        <w:t>16</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6CCB5CA8">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_Toc15652 </w:instrText>
      </w:r>
      <w:r>
        <w:rPr>
          <w:rFonts w:hint="eastAsia" w:ascii="宋体" w:hAnsi="宋体" w:eastAsia="宋体" w:cs="宋体"/>
          <w:highlight w:val="none"/>
        </w:rPr>
        <w:fldChar w:fldCharType="separate"/>
      </w:r>
      <w:r>
        <w:rPr>
          <w:rFonts w:hint="eastAsia" w:ascii="宋体" w:hAnsi="宋体" w:eastAsia="宋体" w:cs="宋体"/>
        </w:rPr>
        <w:t>10．投标文件的编制要求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_Toc15652 \h </w:instrText>
      </w:r>
      <w:r>
        <w:rPr>
          <w:rFonts w:hint="eastAsia" w:ascii="宋体" w:hAnsi="宋体" w:eastAsia="宋体" w:cs="宋体"/>
        </w:rPr>
        <w:fldChar w:fldCharType="separate"/>
      </w:r>
      <w:r>
        <w:rPr>
          <w:rFonts w:hint="eastAsia" w:ascii="宋体" w:hAnsi="宋体" w:eastAsia="宋体" w:cs="宋体"/>
        </w:rPr>
        <w:t>18</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11EFC249">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_Toc5963 </w:instrText>
      </w:r>
      <w:r>
        <w:rPr>
          <w:rFonts w:hint="eastAsia" w:ascii="宋体" w:hAnsi="宋体" w:eastAsia="宋体" w:cs="宋体"/>
          <w:highlight w:val="none"/>
        </w:rPr>
        <w:fldChar w:fldCharType="separate"/>
      </w:r>
      <w:r>
        <w:rPr>
          <w:rFonts w:hint="eastAsia" w:ascii="宋体" w:hAnsi="宋体" w:eastAsia="宋体" w:cs="宋体"/>
          <w:lang w:val="en-US" w:eastAsia="zh-CN"/>
        </w:rPr>
        <w:t>11.电子投标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_Toc5963 \h </w:instrText>
      </w:r>
      <w:r>
        <w:rPr>
          <w:rFonts w:hint="eastAsia" w:ascii="宋体" w:hAnsi="宋体" w:eastAsia="宋体" w:cs="宋体"/>
        </w:rPr>
        <w:fldChar w:fldCharType="separate"/>
      </w:r>
      <w:r>
        <w:rPr>
          <w:rFonts w:hint="eastAsia" w:ascii="宋体" w:hAnsi="宋体" w:eastAsia="宋体" w:cs="宋体"/>
        </w:rPr>
        <w:t>21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16963D40">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_Toc25051 </w:instrText>
      </w:r>
      <w:r>
        <w:rPr>
          <w:rFonts w:hint="eastAsia" w:ascii="宋体" w:hAnsi="宋体" w:eastAsia="宋体" w:cs="宋体"/>
          <w:highlight w:val="none"/>
        </w:rPr>
        <w:fldChar w:fldCharType="separate"/>
      </w:r>
      <w:r>
        <w:rPr>
          <w:rFonts w:hint="eastAsia" w:ascii="宋体" w:hAnsi="宋体" w:eastAsia="宋体" w:cs="宋体"/>
          <w:kern w:val="2"/>
          <w:szCs w:val="20"/>
          <w:lang w:val="en-US" w:eastAsia="zh-CN" w:bidi="ar-SA"/>
        </w:rPr>
        <w:t>12.电子投标及投标解密失败及突发情况的补救方案</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_Toc25051 \h </w:instrText>
      </w:r>
      <w:r>
        <w:rPr>
          <w:rFonts w:hint="eastAsia" w:ascii="宋体" w:hAnsi="宋体" w:eastAsia="宋体" w:cs="宋体"/>
        </w:rPr>
        <w:fldChar w:fldCharType="separate"/>
      </w:r>
      <w:r>
        <w:rPr>
          <w:rFonts w:hint="eastAsia" w:ascii="宋体" w:hAnsi="宋体" w:eastAsia="宋体" w:cs="宋体"/>
        </w:rPr>
        <w:t>21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77BBEEB2">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_Toc31800 </w:instrText>
      </w:r>
      <w:r>
        <w:rPr>
          <w:rFonts w:hint="eastAsia" w:ascii="宋体" w:hAnsi="宋体" w:eastAsia="宋体" w:cs="宋体"/>
          <w:highlight w:val="none"/>
        </w:rPr>
        <w:fldChar w:fldCharType="separate"/>
      </w:r>
      <w:r>
        <w:rPr>
          <w:rFonts w:hint="eastAsia" w:ascii="宋体" w:hAnsi="宋体" w:eastAsia="宋体" w:cs="宋体"/>
          <w:lang w:val="en-US" w:eastAsia="zh-CN"/>
        </w:rPr>
        <w:t>13．投标文件的提交</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_Toc31800 \h </w:instrText>
      </w:r>
      <w:r>
        <w:rPr>
          <w:rFonts w:hint="eastAsia" w:ascii="宋体" w:hAnsi="宋体" w:eastAsia="宋体" w:cs="宋体"/>
        </w:rPr>
        <w:fldChar w:fldCharType="separate"/>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634E8E4B">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_Toc358 </w:instrText>
      </w:r>
      <w:r>
        <w:rPr>
          <w:rFonts w:hint="eastAsia" w:ascii="宋体" w:hAnsi="宋体" w:eastAsia="宋体" w:cs="宋体"/>
          <w:highlight w:val="none"/>
        </w:rPr>
        <w:fldChar w:fldCharType="separate"/>
      </w:r>
      <w:r>
        <w:rPr>
          <w:rFonts w:hint="eastAsia" w:ascii="宋体" w:hAnsi="宋体" w:eastAsia="宋体" w:cs="宋体"/>
          <w:lang w:val="en-US" w:eastAsia="zh-CN"/>
        </w:rPr>
        <w:t>14．开标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_Toc358 \h </w:instrText>
      </w:r>
      <w:r>
        <w:rPr>
          <w:rFonts w:hint="eastAsia" w:ascii="宋体" w:hAnsi="宋体" w:eastAsia="宋体" w:cs="宋体"/>
        </w:rPr>
        <w:fldChar w:fldCharType="separate"/>
      </w:r>
      <w:r>
        <w:rPr>
          <w:rFonts w:hint="eastAsia" w:ascii="宋体" w:hAnsi="宋体" w:eastAsia="宋体" w:cs="宋体"/>
        </w:rPr>
        <w:t>22</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1A6F1017">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_Toc28090 </w:instrText>
      </w:r>
      <w:r>
        <w:rPr>
          <w:rFonts w:hint="eastAsia" w:ascii="宋体" w:hAnsi="宋体" w:eastAsia="宋体" w:cs="宋体"/>
          <w:highlight w:val="none"/>
        </w:rPr>
        <w:fldChar w:fldCharType="separate"/>
      </w:r>
      <w:r>
        <w:rPr>
          <w:rFonts w:hint="eastAsia" w:ascii="宋体" w:hAnsi="宋体" w:eastAsia="宋体" w:cs="宋体"/>
          <w:lang w:val="en-US" w:eastAsia="zh-CN"/>
        </w:rPr>
        <w:t>15．评标</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_Toc28090 \h </w:instrText>
      </w:r>
      <w:r>
        <w:rPr>
          <w:rFonts w:hint="eastAsia" w:ascii="宋体" w:hAnsi="宋体" w:eastAsia="宋体" w:cs="宋体"/>
        </w:rPr>
        <w:fldChar w:fldCharType="separate"/>
      </w:r>
      <w:r>
        <w:rPr>
          <w:rFonts w:hint="eastAsia" w:ascii="宋体" w:hAnsi="宋体" w:eastAsia="宋体" w:cs="宋体"/>
        </w:rPr>
        <w:t>24</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2877ACF6">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_Toc2839 </w:instrText>
      </w:r>
      <w:r>
        <w:rPr>
          <w:rFonts w:hint="eastAsia" w:ascii="宋体" w:hAnsi="宋体" w:eastAsia="宋体" w:cs="宋体"/>
          <w:highlight w:val="none"/>
        </w:rPr>
        <w:fldChar w:fldCharType="separate"/>
      </w:r>
      <w:r>
        <w:rPr>
          <w:rFonts w:hint="eastAsia" w:ascii="宋体" w:hAnsi="宋体" w:eastAsia="宋体" w:cs="宋体"/>
          <w:lang w:val="en-US" w:eastAsia="zh-CN"/>
        </w:rPr>
        <w:t>16．中标候选人公示</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_Toc2839 \h </w:instrText>
      </w:r>
      <w:r>
        <w:rPr>
          <w:rFonts w:hint="eastAsia" w:ascii="宋体" w:hAnsi="宋体" w:eastAsia="宋体" w:cs="宋体"/>
        </w:rPr>
        <w:fldChar w:fldCharType="separate"/>
      </w:r>
      <w:r>
        <w:rPr>
          <w:rFonts w:hint="eastAsia" w:ascii="宋体" w:hAnsi="宋体" w:eastAsia="宋体" w:cs="宋体"/>
        </w:rPr>
        <w:t>34</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700F4EC4">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_Toc18979 </w:instrText>
      </w:r>
      <w:r>
        <w:rPr>
          <w:rFonts w:hint="eastAsia" w:ascii="宋体" w:hAnsi="宋体" w:eastAsia="宋体" w:cs="宋体"/>
          <w:highlight w:val="none"/>
        </w:rPr>
        <w:fldChar w:fldCharType="separate"/>
      </w:r>
      <w:r>
        <w:rPr>
          <w:rFonts w:hint="eastAsia" w:ascii="宋体" w:hAnsi="宋体" w:eastAsia="宋体" w:cs="宋体"/>
          <w:lang w:val="en-US" w:eastAsia="zh-CN"/>
        </w:rPr>
        <w:t>1．资格评审环节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_Toc18979 \h </w:instrText>
      </w:r>
      <w:r>
        <w:rPr>
          <w:rFonts w:hint="eastAsia" w:ascii="宋体" w:hAnsi="宋体" w:eastAsia="宋体" w:cs="宋体"/>
        </w:rPr>
        <w:fldChar w:fldCharType="separate"/>
      </w:r>
      <w:r>
        <w:rPr>
          <w:rFonts w:hint="eastAsia" w:ascii="宋体" w:hAnsi="宋体" w:eastAsia="宋体" w:cs="宋体"/>
        </w:rPr>
        <w:t>35</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50CEF3FA">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_Toc19719 </w:instrText>
      </w:r>
      <w:r>
        <w:rPr>
          <w:rFonts w:hint="eastAsia" w:ascii="宋体" w:hAnsi="宋体" w:eastAsia="宋体" w:cs="宋体"/>
          <w:highlight w:val="none"/>
        </w:rPr>
        <w:fldChar w:fldCharType="separate"/>
      </w:r>
      <w:r>
        <w:rPr>
          <w:rFonts w:hint="eastAsia" w:ascii="宋体" w:hAnsi="宋体" w:eastAsia="宋体" w:cs="宋体"/>
          <w:lang w:val="en-US" w:eastAsia="zh-CN"/>
        </w:rPr>
        <w:t>2．形式评审环节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_Toc19719 \h </w:instrText>
      </w:r>
      <w:r>
        <w:rPr>
          <w:rFonts w:hint="eastAsia" w:ascii="宋体" w:hAnsi="宋体" w:eastAsia="宋体" w:cs="宋体"/>
        </w:rPr>
        <w:fldChar w:fldCharType="separate"/>
      </w:r>
      <w:r>
        <w:rPr>
          <w:rFonts w:hint="eastAsia" w:ascii="宋体" w:hAnsi="宋体" w:eastAsia="宋体" w:cs="宋体"/>
        </w:rPr>
        <w:t>36</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74F491EC">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_Toc13299 </w:instrText>
      </w:r>
      <w:r>
        <w:rPr>
          <w:rFonts w:hint="eastAsia" w:ascii="宋体" w:hAnsi="宋体" w:eastAsia="宋体" w:cs="宋体"/>
          <w:highlight w:val="none"/>
        </w:rPr>
        <w:fldChar w:fldCharType="separate"/>
      </w:r>
      <w:r>
        <w:rPr>
          <w:rFonts w:hint="eastAsia" w:ascii="宋体" w:hAnsi="宋体" w:eastAsia="宋体" w:cs="宋体"/>
          <w:lang w:val="en-US" w:eastAsia="zh-CN"/>
        </w:rPr>
        <w:t>3．响应性评审环节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_Toc13299 \h </w:instrText>
      </w:r>
      <w:r>
        <w:rPr>
          <w:rFonts w:hint="eastAsia" w:ascii="宋体" w:hAnsi="宋体" w:eastAsia="宋体" w:cs="宋体"/>
        </w:rPr>
        <w:fldChar w:fldCharType="separate"/>
      </w:r>
      <w:r>
        <w:rPr>
          <w:rFonts w:hint="eastAsia" w:ascii="宋体" w:hAnsi="宋体" w:eastAsia="宋体" w:cs="宋体"/>
        </w:rPr>
        <w:t>36</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537D21DC">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_Toc24919 </w:instrText>
      </w:r>
      <w:r>
        <w:rPr>
          <w:rFonts w:hint="eastAsia" w:ascii="宋体" w:hAnsi="宋体" w:eastAsia="宋体" w:cs="宋体"/>
          <w:highlight w:val="none"/>
        </w:rPr>
        <w:fldChar w:fldCharType="separate"/>
      </w:r>
      <w:r>
        <w:rPr>
          <w:rFonts w:hint="eastAsia" w:ascii="宋体" w:hAnsi="宋体" w:eastAsia="宋体" w:cs="宋体"/>
          <w:lang w:val="en-US" w:eastAsia="zh-CN"/>
        </w:rPr>
        <w:t>4．其他</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_Toc24919 \h </w:instrText>
      </w:r>
      <w:r>
        <w:rPr>
          <w:rFonts w:hint="eastAsia" w:ascii="宋体" w:hAnsi="宋体" w:eastAsia="宋体" w:cs="宋体"/>
        </w:rPr>
        <w:fldChar w:fldCharType="separate"/>
      </w:r>
      <w:r>
        <w:rPr>
          <w:rFonts w:hint="eastAsia" w:ascii="宋体" w:hAnsi="宋体" w:eastAsia="宋体" w:cs="宋体"/>
        </w:rPr>
        <w:t>37</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54C7D707">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rPr>
      </w:pPr>
      <w:r>
        <w:rPr>
          <w:rFonts w:hint="eastAsia" w:ascii="宋体" w:hAnsi="宋体" w:eastAsia="宋体" w:cs="宋体"/>
          <w:b/>
          <w:bCs/>
          <w:color w:val="auto"/>
          <w:highlight w:val="none"/>
        </w:rPr>
        <w:fldChar w:fldCharType="begin"/>
      </w:r>
      <w:r>
        <w:rPr>
          <w:rFonts w:hint="eastAsia" w:ascii="宋体" w:hAnsi="宋体" w:eastAsia="宋体" w:cs="宋体"/>
          <w:b/>
          <w:bCs/>
          <w:highlight w:val="none"/>
        </w:rPr>
        <w:instrText xml:space="preserve"> HYPERLINK \l _Toc24543 </w:instrText>
      </w:r>
      <w:r>
        <w:rPr>
          <w:rFonts w:hint="eastAsia" w:ascii="宋体" w:hAnsi="宋体" w:eastAsia="宋体" w:cs="宋体"/>
          <w:b/>
          <w:bCs/>
          <w:highlight w:val="none"/>
        </w:rPr>
        <w:fldChar w:fldCharType="separate"/>
      </w:r>
      <w:r>
        <w:rPr>
          <w:rFonts w:hint="eastAsia" w:ascii="宋体" w:hAnsi="宋体" w:eastAsia="宋体" w:cs="宋体"/>
          <w:b/>
          <w:bCs/>
          <w:snapToGrid w:val="0"/>
          <w:highlight w:val="none"/>
          <w:lang w:val="en-US" w:eastAsia="zh-CN"/>
        </w:rPr>
        <w:t>第二章 中标人须知</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_Toc24543 \h </w:instrText>
      </w:r>
      <w:r>
        <w:rPr>
          <w:rFonts w:hint="eastAsia" w:ascii="宋体" w:hAnsi="宋体" w:eastAsia="宋体" w:cs="宋体"/>
          <w:b/>
          <w:bCs/>
        </w:rPr>
        <w:fldChar w:fldCharType="separate"/>
      </w:r>
      <w:r>
        <w:rPr>
          <w:rFonts w:hint="eastAsia" w:ascii="宋体" w:hAnsi="宋体" w:eastAsia="宋体" w:cs="宋体"/>
          <w:b/>
          <w:bCs/>
        </w:rPr>
        <w:t>38</w:t>
      </w:r>
      <w:r>
        <w:rPr>
          <w:rFonts w:hint="eastAsia" w:ascii="宋体" w:hAnsi="宋体" w:eastAsia="宋体" w:cs="宋体"/>
          <w:b/>
          <w:bCs/>
        </w:rPr>
        <w:fldChar w:fldCharType="end"/>
      </w:r>
      <w:r>
        <w:rPr>
          <w:rFonts w:hint="eastAsia" w:ascii="宋体" w:hAnsi="宋体" w:eastAsia="宋体" w:cs="宋体"/>
          <w:b/>
          <w:bCs/>
          <w:color w:val="auto"/>
          <w:highlight w:val="none"/>
        </w:rPr>
        <w:fldChar w:fldCharType="end"/>
      </w:r>
    </w:p>
    <w:p w14:paraId="3495C373">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rPr>
      </w:pPr>
      <w:r>
        <w:rPr>
          <w:rFonts w:hint="eastAsia" w:ascii="宋体" w:hAnsi="宋体" w:eastAsia="宋体" w:cs="宋体"/>
          <w:b/>
          <w:bCs/>
          <w:color w:val="auto"/>
          <w:highlight w:val="none"/>
        </w:rPr>
        <w:fldChar w:fldCharType="begin"/>
      </w:r>
      <w:r>
        <w:rPr>
          <w:rFonts w:hint="eastAsia" w:ascii="宋体" w:hAnsi="宋体" w:eastAsia="宋体" w:cs="宋体"/>
          <w:b/>
          <w:bCs/>
          <w:highlight w:val="none"/>
        </w:rPr>
        <w:instrText xml:space="preserve"> HYPERLINK \l _Toc24436 </w:instrText>
      </w:r>
      <w:r>
        <w:rPr>
          <w:rFonts w:hint="eastAsia" w:ascii="宋体" w:hAnsi="宋体" w:eastAsia="宋体" w:cs="宋体"/>
          <w:b/>
          <w:bCs/>
          <w:highlight w:val="none"/>
        </w:rPr>
        <w:fldChar w:fldCharType="separate"/>
      </w:r>
      <w:r>
        <w:rPr>
          <w:rFonts w:hint="eastAsia" w:ascii="宋体" w:hAnsi="宋体" w:eastAsia="宋体" w:cs="宋体"/>
          <w:b/>
          <w:bCs/>
          <w:snapToGrid w:val="0"/>
          <w:highlight w:val="none"/>
          <w:lang w:val="en-US" w:eastAsia="zh-CN"/>
        </w:rPr>
        <w:t>第三章 拟签订合同的主要条款</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_Toc24436 \h </w:instrText>
      </w:r>
      <w:r>
        <w:rPr>
          <w:rFonts w:hint="eastAsia" w:ascii="宋体" w:hAnsi="宋体" w:eastAsia="宋体" w:cs="宋体"/>
          <w:b/>
          <w:bCs/>
        </w:rPr>
        <w:fldChar w:fldCharType="separate"/>
      </w:r>
      <w:r>
        <w:rPr>
          <w:rFonts w:hint="eastAsia" w:ascii="宋体" w:hAnsi="宋体" w:eastAsia="宋体" w:cs="宋体"/>
          <w:b/>
          <w:bCs/>
        </w:rPr>
        <w:t>41</w:t>
      </w:r>
      <w:r>
        <w:rPr>
          <w:rFonts w:hint="eastAsia" w:ascii="宋体" w:hAnsi="宋体" w:eastAsia="宋体" w:cs="宋体"/>
          <w:b/>
          <w:bCs/>
        </w:rPr>
        <w:fldChar w:fldCharType="end"/>
      </w:r>
      <w:r>
        <w:rPr>
          <w:rFonts w:hint="eastAsia" w:ascii="宋体" w:hAnsi="宋体" w:eastAsia="宋体" w:cs="宋体"/>
          <w:b/>
          <w:bCs/>
          <w:color w:val="auto"/>
          <w:highlight w:val="none"/>
        </w:rPr>
        <w:fldChar w:fldCharType="end"/>
      </w:r>
    </w:p>
    <w:p w14:paraId="468BB7B2">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_Toc28441 </w:instrText>
      </w:r>
      <w:r>
        <w:rPr>
          <w:rFonts w:hint="eastAsia" w:ascii="宋体" w:hAnsi="宋体" w:eastAsia="宋体" w:cs="宋体"/>
          <w:highlight w:val="none"/>
        </w:rPr>
        <w:fldChar w:fldCharType="separate"/>
      </w:r>
      <w:r>
        <w:rPr>
          <w:rFonts w:hint="eastAsia" w:ascii="宋体" w:hAnsi="宋体" w:eastAsia="宋体" w:cs="宋体"/>
        </w:rPr>
        <w:t>1．工程承包方式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_Toc28441 \h </w:instrText>
      </w:r>
      <w:r>
        <w:rPr>
          <w:rFonts w:hint="eastAsia" w:ascii="宋体" w:hAnsi="宋体" w:eastAsia="宋体" w:cs="宋体"/>
        </w:rPr>
        <w:fldChar w:fldCharType="separate"/>
      </w:r>
      <w:r>
        <w:rPr>
          <w:rFonts w:hint="eastAsia" w:ascii="宋体" w:hAnsi="宋体" w:eastAsia="宋体" w:cs="宋体"/>
        </w:rPr>
        <w:t>41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2C0ACB0B">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_Toc27001 </w:instrText>
      </w:r>
      <w:r>
        <w:rPr>
          <w:rFonts w:hint="eastAsia" w:ascii="宋体" w:hAnsi="宋体" w:eastAsia="宋体" w:cs="宋体"/>
          <w:highlight w:val="none"/>
        </w:rPr>
        <w:fldChar w:fldCharType="separate"/>
      </w:r>
      <w:r>
        <w:rPr>
          <w:rFonts w:hint="eastAsia" w:ascii="宋体" w:hAnsi="宋体" w:eastAsia="宋体" w:cs="宋体"/>
        </w:rPr>
        <w:t>2．工程结算原则</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_Toc27001 \h </w:instrText>
      </w:r>
      <w:r>
        <w:rPr>
          <w:rFonts w:hint="eastAsia" w:ascii="宋体" w:hAnsi="宋体" w:eastAsia="宋体" w:cs="宋体"/>
        </w:rPr>
        <w:fldChar w:fldCharType="separate"/>
      </w:r>
      <w:r>
        <w:rPr>
          <w:rFonts w:hint="eastAsia" w:ascii="宋体" w:hAnsi="宋体" w:eastAsia="宋体" w:cs="宋体"/>
        </w:rPr>
        <w:t>41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48F4C404">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_Toc26653 </w:instrText>
      </w:r>
      <w:r>
        <w:rPr>
          <w:rFonts w:hint="eastAsia" w:ascii="宋体" w:hAnsi="宋体" w:eastAsia="宋体" w:cs="宋体"/>
          <w:highlight w:val="none"/>
        </w:rPr>
        <w:fldChar w:fldCharType="separate"/>
      </w:r>
      <w:r>
        <w:rPr>
          <w:rFonts w:hint="eastAsia" w:ascii="宋体" w:hAnsi="宋体" w:eastAsia="宋体" w:cs="宋体"/>
        </w:rPr>
        <w:t>3. 工程付款办法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_Toc26653 \h </w:instrText>
      </w:r>
      <w:r>
        <w:rPr>
          <w:rFonts w:hint="eastAsia" w:ascii="宋体" w:hAnsi="宋体" w:eastAsia="宋体" w:cs="宋体"/>
        </w:rPr>
        <w:fldChar w:fldCharType="separate"/>
      </w:r>
      <w:r>
        <w:rPr>
          <w:rFonts w:hint="eastAsia" w:ascii="宋体" w:hAnsi="宋体" w:eastAsia="宋体" w:cs="宋体"/>
        </w:rPr>
        <w:t>46</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64CFD93D">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lang w:val="en-US" w:eastAsia="zh-CN"/>
        </w:rPr>
      </w:pPr>
      <w:r>
        <w:rPr>
          <w:rFonts w:hint="eastAsia"/>
          <w:lang w:val="en-US" w:eastAsia="zh-CN"/>
        </w:rPr>
        <w:t>4．其他专用合同条款...............................................</w:t>
      </w:r>
      <w:r>
        <w:rPr>
          <w:rFonts w:hint="eastAsia" w:ascii="宋体" w:hAnsi="宋体" w:eastAsia="宋体" w:cs="宋体"/>
          <w:lang w:val="en-US" w:eastAsia="zh-CN"/>
        </w:rPr>
        <w:t>.....4</w:t>
      </w:r>
      <w:r>
        <w:rPr>
          <w:rFonts w:hint="eastAsia" w:hAnsi="宋体" w:cs="宋体"/>
          <w:lang w:val="en-US" w:eastAsia="zh-CN"/>
        </w:rPr>
        <w:t>7</w:t>
      </w:r>
    </w:p>
    <w:p w14:paraId="096661DB">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jc w:val="center"/>
        <w:textAlignment w:val="auto"/>
        <w:rPr>
          <w:rFonts w:hint="eastAsia" w:ascii="宋体" w:hAnsi="宋体" w:eastAsia="宋体" w:cs="宋体"/>
          <w:b/>
          <w:bCs/>
        </w:rPr>
      </w:pPr>
      <w:r>
        <w:rPr>
          <w:rFonts w:hint="eastAsia" w:ascii="宋体" w:hAnsi="宋体" w:eastAsia="宋体" w:cs="宋体"/>
          <w:b/>
          <w:bCs/>
          <w:color w:val="auto"/>
          <w:highlight w:val="none"/>
        </w:rPr>
        <w:fldChar w:fldCharType="begin"/>
      </w:r>
      <w:r>
        <w:rPr>
          <w:rFonts w:hint="eastAsia" w:ascii="宋体" w:hAnsi="宋体" w:eastAsia="宋体" w:cs="宋体"/>
          <w:b/>
          <w:bCs/>
          <w:highlight w:val="none"/>
        </w:rPr>
        <w:instrText xml:space="preserve"> HYPERLINK \l _Toc9687 </w:instrText>
      </w:r>
      <w:r>
        <w:rPr>
          <w:rFonts w:hint="eastAsia" w:ascii="宋体" w:hAnsi="宋体" w:eastAsia="宋体" w:cs="宋体"/>
          <w:b/>
          <w:bCs/>
          <w:highlight w:val="none"/>
        </w:rPr>
        <w:fldChar w:fldCharType="separate"/>
      </w:r>
      <w:r>
        <w:rPr>
          <w:rFonts w:hint="eastAsia" w:ascii="宋体" w:hAnsi="宋体" w:eastAsia="宋体" w:cs="宋体"/>
          <w:b/>
          <w:bCs/>
          <w:snapToGrid w:val="0"/>
          <w:highlight w:val="none"/>
          <w:lang w:val="en-US" w:eastAsia="zh-CN"/>
        </w:rPr>
        <w:t>第四章 技术要求</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_Toc9687 \h </w:instrText>
      </w:r>
      <w:r>
        <w:rPr>
          <w:rFonts w:hint="eastAsia" w:ascii="宋体" w:hAnsi="宋体" w:eastAsia="宋体" w:cs="宋体"/>
          <w:b/>
          <w:bCs/>
        </w:rPr>
        <w:fldChar w:fldCharType="separate"/>
      </w:r>
      <w:r>
        <w:rPr>
          <w:rFonts w:hint="eastAsia" w:ascii="宋体" w:hAnsi="宋体" w:eastAsia="宋体" w:cs="宋体"/>
          <w:b/>
          <w:bCs/>
        </w:rPr>
        <w:t>55</w:t>
      </w:r>
      <w:r>
        <w:rPr>
          <w:rFonts w:hint="eastAsia" w:ascii="宋体" w:hAnsi="宋体" w:eastAsia="宋体" w:cs="宋体"/>
          <w:b/>
          <w:bCs/>
        </w:rPr>
        <w:fldChar w:fldCharType="end"/>
      </w:r>
      <w:r>
        <w:rPr>
          <w:rFonts w:hint="eastAsia" w:ascii="宋体" w:hAnsi="宋体" w:eastAsia="宋体" w:cs="宋体"/>
          <w:b/>
          <w:bCs/>
          <w:color w:val="auto"/>
          <w:highlight w:val="none"/>
        </w:rPr>
        <w:fldChar w:fldCharType="end"/>
      </w:r>
    </w:p>
    <w:p w14:paraId="293E17C8">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rPr>
      </w:pPr>
      <w:r>
        <w:rPr>
          <w:rFonts w:hint="eastAsia" w:ascii="宋体" w:hAnsi="宋体" w:eastAsia="宋体" w:cs="宋体"/>
          <w:b/>
          <w:bCs/>
          <w:color w:val="auto"/>
          <w:highlight w:val="none"/>
        </w:rPr>
        <w:fldChar w:fldCharType="begin"/>
      </w:r>
      <w:r>
        <w:rPr>
          <w:rFonts w:hint="eastAsia" w:ascii="宋体" w:hAnsi="宋体" w:eastAsia="宋体" w:cs="宋体"/>
          <w:b/>
          <w:bCs/>
          <w:highlight w:val="none"/>
        </w:rPr>
        <w:instrText xml:space="preserve"> HYPERLINK \l _Toc10987 </w:instrText>
      </w:r>
      <w:r>
        <w:rPr>
          <w:rFonts w:hint="eastAsia" w:ascii="宋体" w:hAnsi="宋体" w:eastAsia="宋体" w:cs="宋体"/>
          <w:b/>
          <w:bCs/>
          <w:highlight w:val="none"/>
        </w:rPr>
        <w:fldChar w:fldCharType="separate"/>
      </w:r>
      <w:r>
        <w:rPr>
          <w:rFonts w:hint="eastAsia" w:ascii="宋体" w:hAnsi="宋体" w:eastAsia="宋体" w:cs="宋体"/>
          <w:b/>
          <w:bCs/>
          <w:snapToGrid w:val="0"/>
          <w:highlight w:val="none"/>
          <w:lang w:val="en-US" w:eastAsia="zh-CN"/>
        </w:rPr>
        <w:t>第五章 图纸和招标工程量清单</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_Toc10987 \h </w:instrText>
      </w:r>
      <w:r>
        <w:rPr>
          <w:rFonts w:hint="eastAsia" w:ascii="宋体" w:hAnsi="宋体" w:eastAsia="宋体" w:cs="宋体"/>
          <w:b/>
          <w:bCs/>
        </w:rPr>
        <w:fldChar w:fldCharType="separate"/>
      </w:r>
      <w:r>
        <w:rPr>
          <w:rFonts w:hint="eastAsia" w:ascii="宋体" w:hAnsi="宋体" w:eastAsia="宋体" w:cs="宋体"/>
          <w:b/>
          <w:bCs/>
        </w:rPr>
        <w:t>57</w:t>
      </w:r>
      <w:r>
        <w:rPr>
          <w:rFonts w:hint="eastAsia" w:ascii="宋体" w:hAnsi="宋体" w:eastAsia="宋体" w:cs="宋体"/>
          <w:b/>
          <w:bCs/>
        </w:rPr>
        <w:fldChar w:fldCharType="end"/>
      </w:r>
      <w:r>
        <w:rPr>
          <w:rFonts w:hint="eastAsia" w:ascii="宋体" w:hAnsi="宋体" w:eastAsia="宋体" w:cs="宋体"/>
          <w:b/>
          <w:bCs/>
          <w:color w:val="auto"/>
          <w:highlight w:val="none"/>
        </w:rPr>
        <w:fldChar w:fldCharType="end"/>
      </w:r>
    </w:p>
    <w:p w14:paraId="446BEE7E">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_Toc28153 </w:instrText>
      </w:r>
      <w:r>
        <w:rPr>
          <w:rFonts w:hint="eastAsia" w:ascii="宋体" w:hAnsi="宋体" w:eastAsia="宋体" w:cs="宋体"/>
          <w:highlight w:val="none"/>
        </w:rPr>
        <w:fldChar w:fldCharType="separate"/>
      </w:r>
      <w:r>
        <w:rPr>
          <w:rFonts w:hint="eastAsia" w:ascii="宋体" w:hAnsi="宋体" w:eastAsia="宋体" w:cs="宋体"/>
        </w:rPr>
        <w:t>1．图纸</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_Toc28153 \h </w:instrText>
      </w:r>
      <w:r>
        <w:rPr>
          <w:rFonts w:hint="eastAsia" w:ascii="宋体" w:hAnsi="宋体" w:eastAsia="宋体" w:cs="宋体"/>
        </w:rPr>
        <w:fldChar w:fldCharType="separate"/>
      </w:r>
      <w:r>
        <w:rPr>
          <w:rFonts w:hint="eastAsia" w:ascii="宋体" w:hAnsi="宋体" w:eastAsia="宋体" w:cs="宋体"/>
        </w:rPr>
        <w:t>57</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0EF63269">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_Toc14740 </w:instrText>
      </w:r>
      <w:r>
        <w:rPr>
          <w:rFonts w:hint="eastAsia" w:ascii="宋体" w:hAnsi="宋体" w:eastAsia="宋体" w:cs="宋体"/>
          <w:highlight w:val="none"/>
        </w:rPr>
        <w:fldChar w:fldCharType="separate"/>
      </w:r>
      <w:r>
        <w:rPr>
          <w:rFonts w:hint="eastAsia" w:ascii="宋体" w:hAnsi="宋体" w:eastAsia="宋体" w:cs="宋体"/>
        </w:rPr>
        <w:t>2．招标工程量清单</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_Toc14740 \h </w:instrText>
      </w:r>
      <w:r>
        <w:rPr>
          <w:rFonts w:hint="eastAsia" w:ascii="宋体" w:hAnsi="宋体" w:eastAsia="宋体" w:cs="宋体"/>
        </w:rPr>
        <w:fldChar w:fldCharType="separate"/>
      </w:r>
      <w:r>
        <w:rPr>
          <w:rFonts w:hint="eastAsia" w:ascii="宋体" w:hAnsi="宋体" w:eastAsia="宋体" w:cs="宋体"/>
        </w:rPr>
        <w:t>57</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5E95A0B6">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rPr>
      </w:pPr>
      <w:r>
        <w:rPr>
          <w:rFonts w:hint="eastAsia" w:ascii="宋体" w:hAnsi="宋体" w:eastAsia="宋体" w:cs="宋体"/>
          <w:b/>
          <w:bCs/>
          <w:color w:val="auto"/>
          <w:highlight w:val="none"/>
        </w:rPr>
        <w:fldChar w:fldCharType="begin"/>
      </w:r>
      <w:r>
        <w:rPr>
          <w:rFonts w:hint="eastAsia" w:ascii="宋体" w:hAnsi="宋体" w:eastAsia="宋体" w:cs="宋体"/>
          <w:b/>
          <w:bCs/>
          <w:highlight w:val="none"/>
        </w:rPr>
        <w:instrText xml:space="preserve"> HYPERLINK \l _Toc16415 </w:instrText>
      </w:r>
      <w:r>
        <w:rPr>
          <w:rFonts w:hint="eastAsia" w:ascii="宋体" w:hAnsi="宋体" w:eastAsia="宋体" w:cs="宋体"/>
          <w:b/>
          <w:bCs/>
          <w:highlight w:val="none"/>
        </w:rPr>
        <w:fldChar w:fldCharType="separate"/>
      </w:r>
      <w:r>
        <w:rPr>
          <w:rFonts w:hint="eastAsia" w:ascii="宋体" w:hAnsi="宋体" w:eastAsia="宋体" w:cs="宋体"/>
          <w:b/>
          <w:bCs/>
          <w:snapToGrid w:val="0"/>
          <w:highlight w:val="none"/>
          <w:lang w:val="en-US" w:eastAsia="zh-CN"/>
        </w:rPr>
        <w:t>第六章 投标文件格式</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_Toc16415 \h </w:instrText>
      </w:r>
      <w:r>
        <w:rPr>
          <w:rFonts w:hint="eastAsia" w:ascii="宋体" w:hAnsi="宋体" w:eastAsia="宋体" w:cs="宋体"/>
          <w:b/>
          <w:bCs/>
        </w:rPr>
        <w:fldChar w:fldCharType="separate"/>
      </w:r>
      <w:r>
        <w:rPr>
          <w:rFonts w:hint="eastAsia" w:ascii="宋体" w:hAnsi="宋体" w:eastAsia="宋体" w:cs="宋体"/>
          <w:b/>
          <w:bCs/>
        </w:rPr>
        <w:t>58</w:t>
      </w:r>
      <w:r>
        <w:rPr>
          <w:rFonts w:hint="eastAsia" w:ascii="宋体" w:hAnsi="宋体" w:eastAsia="宋体" w:cs="宋体"/>
          <w:b/>
          <w:bCs/>
        </w:rPr>
        <w:fldChar w:fldCharType="end"/>
      </w:r>
      <w:r>
        <w:rPr>
          <w:rFonts w:hint="eastAsia" w:ascii="宋体" w:hAnsi="宋体" w:eastAsia="宋体" w:cs="宋体"/>
          <w:b/>
          <w:bCs/>
          <w:color w:val="auto"/>
          <w:highlight w:val="none"/>
        </w:rPr>
        <w:fldChar w:fldCharType="end"/>
      </w:r>
    </w:p>
    <w:p w14:paraId="4C9DA107">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_Toc14677 </w:instrText>
      </w:r>
      <w:r>
        <w:rPr>
          <w:rFonts w:hint="eastAsia" w:ascii="宋体" w:hAnsi="宋体" w:eastAsia="宋体" w:cs="宋体"/>
          <w:highlight w:val="none"/>
        </w:rPr>
        <w:fldChar w:fldCharType="separate"/>
      </w:r>
      <w:r>
        <w:rPr>
          <w:rFonts w:hint="eastAsia" w:ascii="宋体" w:hAnsi="宋体" w:eastAsia="宋体" w:cs="宋体"/>
        </w:rPr>
        <w:t>格式一 封面</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_Toc14677 \h </w:instrText>
      </w:r>
      <w:r>
        <w:rPr>
          <w:rFonts w:hint="eastAsia" w:ascii="宋体" w:hAnsi="宋体" w:eastAsia="宋体" w:cs="宋体"/>
        </w:rPr>
        <w:fldChar w:fldCharType="separate"/>
      </w:r>
      <w:r>
        <w:rPr>
          <w:rFonts w:hint="eastAsia" w:ascii="宋体" w:hAnsi="宋体" w:eastAsia="宋体" w:cs="宋体"/>
        </w:rPr>
        <w:t>58</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1EE10694">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_Toc3166 </w:instrText>
      </w:r>
      <w:r>
        <w:rPr>
          <w:rFonts w:hint="eastAsia" w:ascii="宋体" w:hAnsi="宋体" w:eastAsia="宋体" w:cs="宋体"/>
          <w:highlight w:val="none"/>
        </w:rPr>
        <w:fldChar w:fldCharType="separate"/>
      </w:r>
      <w:r>
        <w:rPr>
          <w:rFonts w:hint="eastAsia" w:ascii="宋体" w:hAnsi="宋体" w:eastAsia="宋体" w:cs="宋体"/>
        </w:rPr>
        <w:t>格式二 投标函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_Toc3166 \h </w:instrText>
      </w:r>
      <w:r>
        <w:rPr>
          <w:rFonts w:hint="eastAsia" w:ascii="宋体" w:hAnsi="宋体" w:eastAsia="宋体" w:cs="宋体"/>
        </w:rPr>
        <w:fldChar w:fldCharType="separate"/>
      </w:r>
      <w:r>
        <w:rPr>
          <w:rFonts w:hint="eastAsia" w:ascii="宋体" w:hAnsi="宋体" w:eastAsia="宋体" w:cs="宋体"/>
        </w:rPr>
        <w:t>59</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693EC82D">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_Toc26367 </w:instrText>
      </w:r>
      <w:r>
        <w:rPr>
          <w:rFonts w:hint="eastAsia" w:ascii="宋体" w:hAnsi="宋体" w:eastAsia="宋体" w:cs="宋体"/>
          <w:highlight w:val="none"/>
        </w:rPr>
        <w:fldChar w:fldCharType="separate"/>
      </w:r>
      <w:r>
        <w:rPr>
          <w:rFonts w:hint="eastAsia" w:ascii="宋体" w:hAnsi="宋体" w:eastAsia="宋体" w:cs="宋体"/>
        </w:rPr>
        <w:t>格式三 各项承诺一览表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_Toc26367 \h </w:instrText>
      </w:r>
      <w:r>
        <w:rPr>
          <w:rFonts w:hint="eastAsia" w:ascii="宋体" w:hAnsi="宋体" w:eastAsia="宋体" w:cs="宋体"/>
        </w:rPr>
        <w:fldChar w:fldCharType="separate"/>
      </w:r>
      <w:r>
        <w:rPr>
          <w:rFonts w:hint="eastAsia" w:ascii="宋体" w:hAnsi="宋体" w:eastAsia="宋体" w:cs="宋体"/>
        </w:rPr>
        <w:t>60</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014D8051">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_Toc1822 </w:instrText>
      </w:r>
      <w:r>
        <w:rPr>
          <w:rFonts w:hint="eastAsia" w:ascii="宋体" w:hAnsi="宋体" w:eastAsia="宋体" w:cs="宋体"/>
          <w:highlight w:val="none"/>
        </w:rPr>
        <w:fldChar w:fldCharType="separate"/>
      </w:r>
      <w:r>
        <w:rPr>
          <w:rFonts w:hint="eastAsia" w:ascii="宋体" w:hAnsi="宋体" w:eastAsia="宋体" w:cs="宋体"/>
        </w:rPr>
        <w:t>格式四 授权委托书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_Toc1822 \h </w:instrText>
      </w:r>
      <w:r>
        <w:rPr>
          <w:rFonts w:hint="eastAsia" w:ascii="宋体" w:hAnsi="宋体" w:eastAsia="宋体" w:cs="宋体"/>
        </w:rPr>
        <w:fldChar w:fldCharType="separate"/>
      </w:r>
      <w:r>
        <w:rPr>
          <w:rFonts w:hint="eastAsia" w:ascii="宋体" w:hAnsi="宋体" w:eastAsia="宋体" w:cs="宋体"/>
        </w:rPr>
        <w:t>62</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0811584E">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_Toc21377 </w:instrText>
      </w:r>
      <w:r>
        <w:rPr>
          <w:rFonts w:hint="eastAsia" w:ascii="宋体" w:hAnsi="宋体" w:eastAsia="宋体" w:cs="宋体"/>
          <w:highlight w:val="none"/>
        </w:rPr>
        <w:fldChar w:fldCharType="separate"/>
      </w:r>
      <w:r>
        <w:rPr>
          <w:rFonts w:hint="eastAsia" w:ascii="宋体" w:hAnsi="宋体" w:eastAsia="宋体" w:cs="宋体"/>
        </w:rPr>
        <w:t>格式五 法定代表人身份证明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_Toc21377 \h </w:instrText>
      </w:r>
      <w:r>
        <w:rPr>
          <w:rFonts w:hint="eastAsia" w:ascii="宋体" w:hAnsi="宋体" w:eastAsia="宋体" w:cs="宋体"/>
        </w:rPr>
        <w:fldChar w:fldCharType="separate"/>
      </w:r>
      <w:r>
        <w:rPr>
          <w:rFonts w:hint="eastAsia" w:ascii="宋体" w:hAnsi="宋体" w:eastAsia="宋体" w:cs="宋体"/>
        </w:rPr>
        <w:t>63</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0E490895">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_Toc191 </w:instrText>
      </w:r>
      <w:r>
        <w:rPr>
          <w:rFonts w:hint="eastAsia" w:ascii="宋体" w:hAnsi="宋体" w:eastAsia="宋体" w:cs="宋体"/>
          <w:highlight w:val="none"/>
        </w:rPr>
        <w:fldChar w:fldCharType="separate"/>
      </w:r>
      <w:r>
        <w:rPr>
          <w:rFonts w:hint="eastAsia" w:ascii="宋体" w:hAnsi="宋体" w:eastAsia="宋体" w:cs="宋体"/>
        </w:rPr>
        <w:t>格式六 联合体协议书</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_Toc191 \h </w:instrText>
      </w:r>
      <w:r>
        <w:rPr>
          <w:rFonts w:hint="eastAsia" w:ascii="宋体" w:hAnsi="宋体" w:eastAsia="宋体" w:cs="宋体"/>
        </w:rPr>
        <w:fldChar w:fldCharType="separate"/>
      </w:r>
      <w:r>
        <w:rPr>
          <w:rFonts w:hint="eastAsia" w:ascii="宋体" w:hAnsi="宋体" w:eastAsia="宋体" w:cs="宋体"/>
        </w:rPr>
        <w:t>64</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6364337C">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_Toc4289 </w:instrText>
      </w:r>
      <w:r>
        <w:rPr>
          <w:rFonts w:hint="eastAsia" w:ascii="宋体" w:hAnsi="宋体" w:eastAsia="宋体" w:cs="宋体"/>
          <w:highlight w:val="none"/>
        </w:rPr>
        <w:fldChar w:fldCharType="separate"/>
      </w:r>
      <w:r>
        <w:rPr>
          <w:rFonts w:hint="eastAsia" w:ascii="宋体" w:hAnsi="宋体" w:eastAsia="宋体" w:cs="宋体"/>
        </w:rPr>
        <w:t>格式七 投标人基本情况表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_Toc4289 \h </w:instrText>
      </w:r>
      <w:r>
        <w:rPr>
          <w:rFonts w:hint="eastAsia" w:ascii="宋体" w:hAnsi="宋体" w:eastAsia="宋体" w:cs="宋体"/>
        </w:rPr>
        <w:fldChar w:fldCharType="separate"/>
      </w:r>
      <w:r>
        <w:rPr>
          <w:rFonts w:hint="eastAsia" w:ascii="宋体" w:hAnsi="宋体" w:eastAsia="宋体" w:cs="宋体"/>
        </w:rPr>
        <w:t>66</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2BB19309">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_Toc27834 </w:instrText>
      </w:r>
      <w:r>
        <w:rPr>
          <w:rFonts w:hint="eastAsia" w:ascii="宋体" w:hAnsi="宋体" w:eastAsia="宋体" w:cs="宋体"/>
          <w:highlight w:val="none"/>
        </w:rPr>
        <w:fldChar w:fldCharType="separate"/>
      </w:r>
      <w:r>
        <w:rPr>
          <w:rFonts w:hint="eastAsia" w:ascii="宋体" w:hAnsi="宋体" w:eastAsia="宋体" w:cs="宋体"/>
        </w:rPr>
        <w:t>格式八 项目经理简历表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_Toc27834 \h </w:instrText>
      </w:r>
      <w:r>
        <w:rPr>
          <w:rFonts w:hint="eastAsia" w:ascii="宋体" w:hAnsi="宋体" w:eastAsia="宋体" w:cs="宋体"/>
        </w:rPr>
        <w:fldChar w:fldCharType="separate"/>
      </w:r>
      <w:r>
        <w:rPr>
          <w:rFonts w:hint="eastAsia" w:ascii="宋体" w:hAnsi="宋体" w:eastAsia="宋体" w:cs="宋体"/>
        </w:rPr>
        <w:t>67</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367F9199">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_Toc21761 </w:instrText>
      </w:r>
      <w:r>
        <w:rPr>
          <w:rFonts w:hint="eastAsia" w:ascii="宋体" w:hAnsi="宋体" w:eastAsia="宋体" w:cs="宋体"/>
          <w:highlight w:val="none"/>
        </w:rPr>
        <w:fldChar w:fldCharType="separate"/>
      </w:r>
      <w:r>
        <w:rPr>
          <w:rFonts w:hint="eastAsia" w:ascii="宋体" w:hAnsi="宋体" w:eastAsia="宋体" w:cs="宋体"/>
        </w:rPr>
        <w:t>格式九 项目经理任职声明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_Toc21761 \h </w:instrText>
      </w:r>
      <w:r>
        <w:rPr>
          <w:rFonts w:hint="eastAsia" w:ascii="宋体" w:hAnsi="宋体" w:eastAsia="宋体" w:cs="宋体"/>
        </w:rPr>
        <w:fldChar w:fldCharType="separate"/>
      </w:r>
      <w:r>
        <w:rPr>
          <w:rFonts w:hint="eastAsia" w:ascii="宋体" w:hAnsi="宋体" w:eastAsia="宋体" w:cs="宋体"/>
        </w:rPr>
        <w:t>68</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7FCABF29">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_Toc12722 </w:instrText>
      </w:r>
      <w:r>
        <w:rPr>
          <w:rFonts w:hint="eastAsia" w:ascii="宋体" w:hAnsi="宋体" w:eastAsia="宋体" w:cs="宋体"/>
          <w:highlight w:val="none"/>
        </w:rPr>
        <w:fldChar w:fldCharType="separate"/>
      </w:r>
      <w:r>
        <w:rPr>
          <w:rFonts w:hint="eastAsia" w:ascii="宋体" w:hAnsi="宋体" w:eastAsia="宋体" w:cs="宋体"/>
        </w:rPr>
        <w:t>格式十 项目技术负责人简历表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_Toc12722 \h </w:instrText>
      </w:r>
      <w:r>
        <w:rPr>
          <w:rFonts w:hint="eastAsia" w:ascii="宋体" w:hAnsi="宋体" w:eastAsia="宋体" w:cs="宋体"/>
        </w:rPr>
        <w:fldChar w:fldCharType="separate"/>
      </w:r>
      <w:r>
        <w:rPr>
          <w:rFonts w:hint="eastAsia" w:ascii="宋体" w:hAnsi="宋体" w:eastAsia="宋体" w:cs="宋体"/>
        </w:rPr>
        <w:t>69</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6C7BFD93">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_Toc16727 </w:instrText>
      </w:r>
      <w:r>
        <w:rPr>
          <w:rFonts w:hint="eastAsia" w:ascii="宋体" w:hAnsi="宋体" w:eastAsia="宋体" w:cs="宋体"/>
          <w:highlight w:val="none"/>
        </w:rPr>
        <w:fldChar w:fldCharType="separate"/>
      </w:r>
      <w:r>
        <w:rPr>
          <w:rFonts w:hint="eastAsia" w:ascii="宋体" w:hAnsi="宋体" w:eastAsia="宋体" w:cs="宋体"/>
        </w:rPr>
        <w:t>格式十一 专职安全员简历表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_Toc16727 \h </w:instrText>
      </w:r>
      <w:r>
        <w:rPr>
          <w:rFonts w:hint="eastAsia" w:ascii="宋体" w:hAnsi="宋体" w:eastAsia="宋体" w:cs="宋体"/>
        </w:rPr>
        <w:fldChar w:fldCharType="separate"/>
      </w:r>
      <w:r>
        <w:rPr>
          <w:rFonts w:hint="eastAsia" w:ascii="宋体" w:hAnsi="宋体" w:eastAsia="宋体" w:cs="宋体"/>
        </w:rPr>
        <w:t>70</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40FA8BCA">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_Toc994 </w:instrText>
      </w:r>
      <w:r>
        <w:rPr>
          <w:rFonts w:hint="eastAsia" w:ascii="宋体" w:hAnsi="宋体" w:eastAsia="宋体" w:cs="宋体"/>
          <w:highlight w:val="none"/>
        </w:rPr>
        <w:fldChar w:fldCharType="separate"/>
      </w:r>
      <w:r>
        <w:rPr>
          <w:rFonts w:hint="eastAsia" w:ascii="宋体" w:hAnsi="宋体" w:eastAsia="宋体" w:cs="宋体"/>
        </w:rPr>
        <w:t>格式十二 项目管理机构组成表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_Toc994 \h </w:instrText>
      </w:r>
      <w:r>
        <w:rPr>
          <w:rFonts w:hint="eastAsia" w:ascii="宋体" w:hAnsi="宋体" w:eastAsia="宋体" w:cs="宋体"/>
        </w:rPr>
        <w:fldChar w:fldCharType="separate"/>
      </w:r>
      <w:r>
        <w:rPr>
          <w:rFonts w:hint="eastAsia" w:ascii="宋体" w:hAnsi="宋体" w:eastAsia="宋体" w:cs="宋体"/>
        </w:rPr>
        <w:t>71</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7DEDCDA4">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_Toc13555 </w:instrText>
      </w:r>
      <w:r>
        <w:rPr>
          <w:rFonts w:hint="eastAsia" w:ascii="宋体" w:hAnsi="宋体" w:eastAsia="宋体" w:cs="宋体"/>
          <w:highlight w:val="none"/>
        </w:rPr>
        <w:fldChar w:fldCharType="separate"/>
      </w:r>
      <w:r>
        <w:rPr>
          <w:rFonts w:hint="eastAsia" w:ascii="宋体" w:hAnsi="宋体" w:eastAsia="宋体" w:cs="宋体"/>
        </w:rPr>
        <w:t>格式十</w:t>
      </w:r>
      <w:r>
        <w:rPr>
          <w:rFonts w:hint="eastAsia" w:ascii="宋体" w:hAnsi="宋体" w:eastAsia="宋体" w:cs="宋体"/>
          <w:lang w:val="en-US" w:eastAsia="zh-CN"/>
        </w:rPr>
        <w:t>三</w:t>
      </w:r>
      <w:r>
        <w:rPr>
          <w:rFonts w:hint="eastAsia" w:ascii="宋体" w:hAnsi="宋体" w:eastAsia="宋体" w:cs="宋体"/>
        </w:rPr>
        <w:t xml:space="preserve"> 建造师查询页</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_Toc13555 \h </w:instrText>
      </w:r>
      <w:r>
        <w:rPr>
          <w:rFonts w:hint="eastAsia" w:ascii="宋体" w:hAnsi="宋体" w:eastAsia="宋体" w:cs="宋体"/>
        </w:rPr>
        <w:fldChar w:fldCharType="separate"/>
      </w:r>
      <w:r>
        <w:rPr>
          <w:rFonts w:hint="eastAsia" w:ascii="宋体" w:hAnsi="宋体" w:eastAsia="宋体" w:cs="宋体"/>
        </w:rPr>
        <w:t>72</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19796B31">
      <w:pPr>
        <w:pStyle w:val="1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rPr>
      </w:pPr>
      <w:r>
        <w:rPr>
          <w:rFonts w:hint="eastAsia" w:ascii="宋体" w:hAnsi="宋体" w:eastAsia="宋体" w:cs="宋体"/>
          <w:color w:val="auto"/>
          <w:highlight w:val="none"/>
        </w:rPr>
        <w:fldChar w:fldCharType="begin"/>
      </w:r>
      <w:r>
        <w:rPr>
          <w:rFonts w:hint="eastAsia" w:ascii="宋体" w:hAnsi="宋体" w:eastAsia="宋体" w:cs="宋体"/>
          <w:highlight w:val="none"/>
        </w:rPr>
        <w:instrText xml:space="preserve"> HYPERLINK \l _Toc9569 </w:instrText>
      </w:r>
      <w:r>
        <w:rPr>
          <w:rFonts w:hint="eastAsia" w:ascii="宋体" w:hAnsi="宋体" w:eastAsia="宋体" w:cs="宋体"/>
          <w:highlight w:val="none"/>
        </w:rPr>
        <w:fldChar w:fldCharType="separate"/>
      </w:r>
      <w:r>
        <w:rPr>
          <w:rFonts w:hint="eastAsia" w:ascii="宋体" w:hAnsi="宋体" w:eastAsia="宋体" w:cs="宋体"/>
        </w:rPr>
        <w:t>格式十</w:t>
      </w:r>
      <w:r>
        <w:rPr>
          <w:rFonts w:hint="eastAsia" w:ascii="宋体" w:hAnsi="宋体" w:eastAsia="宋体" w:cs="宋体"/>
          <w:lang w:val="en-US" w:eastAsia="zh-CN"/>
        </w:rPr>
        <w:t>四</w:t>
      </w:r>
      <w:r>
        <w:rPr>
          <w:rFonts w:hint="eastAsia" w:ascii="宋体" w:hAnsi="宋体" w:eastAsia="宋体" w:cs="宋体"/>
        </w:rPr>
        <w:t xml:space="preserve"> 原件一览表</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_Toc9569 \h </w:instrText>
      </w:r>
      <w:r>
        <w:rPr>
          <w:rFonts w:hint="eastAsia" w:ascii="宋体" w:hAnsi="宋体" w:eastAsia="宋体" w:cs="宋体"/>
        </w:rPr>
        <w:fldChar w:fldCharType="separate"/>
      </w:r>
      <w:r>
        <w:rPr>
          <w:rFonts w:hint="eastAsia" w:ascii="宋体" w:hAnsi="宋体" w:eastAsia="宋体" w:cs="宋体"/>
        </w:rPr>
        <w:t>74</w:t>
      </w:r>
      <w:r>
        <w:rPr>
          <w:rFonts w:hint="eastAsia" w:ascii="宋体" w:hAnsi="宋体" w:eastAsia="宋体" w:cs="宋体"/>
        </w:rPr>
        <w:fldChar w:fldCharType="end"/>
      </w:r>
      <w:r>
        <w:rPr>
          <w:rFonts w:hint="eastAsia" w:ascii="宋体" w:hAnsi="宋体" w:eastAsia="宋体" w:cs="宋体"/>
          <w:color w:val="auto"/>
          <w:highlight w:val="none"/>
        </w:rPr>
        <w:fldChar w:fldCharType="end"/>
      </w:r>
    </w:p>
    <w:p w14:paraId="34F8C85A">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b/>
          <w:bCs/>
        </w:rPr>
      </w:pPr>
      <w:r>
        <w:rPr>
          <w:rFonts w:hint="eastAsia" w:ascii="宋体" w:hAnsi="宋体" w:eastAsia="宋体" w:cs="宋体"/>
          <w:b/>
          <w:bCs/>
          <w:color w:val="auto"/>
          <w:highlight w:val="none"/>
        </w:rPr>
        <w:fldChar w:fldCharType="begin"/>
      </w:r>
      <w:r>
        <w:rPr>
          <w:rFonts w:hint="eastAsia" w:ascii="宋体" w:hAnsi="宋体" w:eastAsia="宋体" w:cs="宋体"/>
          <w:b/>
          <w:bCs/>
          <w:highlight w:val="none"/>
        </w:rPr>
        <w:instrText xml:space="preserve"> HYPERLINK \l _Toc17586 </w:instrText>
      </w:r>
      <w:r>
        <w:rPr>
          <w:rFonts w:hint="eastAsia" w:ascii="宋体" w:hAnsi="宋体" w:eastAsia="宋体" w:cs="宋体"/>
          <w:b/>
          <w:bCs/>
          <w:highlight w:val="none"/>
        </w:rPr>
        <w:fldChar w:fldCharType="separate"/>
      </w:r>
      <w:r>
        <w:rPr>
          <w:rFonts w:hint="eastAsia" w:ascii="宋体" w:hAnsi="宋体" w:eastAsia="宋体" w:cs="宋体"/>
          <w:b/>
          <w:bCs/>
          <w:snapToGrid w:val="0"/>
          <w:highlight w:val="none"/>
        </w:rPr>
        <w:t>第七章 建设工程施工合同</w:t>
      </w:r>
      <w:r>
        <w:rPr>
          <w:rFonts w:hint="eastAsia" w:ascii="宋体" w:hAnsi="宋体" w:eastAsia="宋体" w:cs="宋体"/>
          <w:b/>
          <w:bCs/>
        </w:rPr>
        <w:tab/>
      </w:r>
      <w:r>
        <w:rPr>
          <w:rFonts w:hint="eastAsia" w:ascii="宋体" w:hAnsi="宋体" w:eastAsia="宋体" w:cs="宋体"/>
          <w:b/>
          <w:bCs/>
        </w:rPr>
        <w:fldChar w:fldCharType="begin"/>
      </w:r>
      <w:r>
        <w:rPr>
          <w:rFonts w:hint="eastAsia" w:ascii="宋体" w:hAnsi="宋体" w:eastAsia="宋体" w:cs="宋体"/>
          <w:b/>
          <w:bCs/>
        </w:rPr>
        <w:instrText xml:space="preserve"> PAGEREF _Toc17586 \h </w:instrText>
      </w:r>
      <w:r>
        <w:rPr>
          <w:rFonts w:hint="eastAsia" w:ascii="宋体" w:hAnsi="宋体" w:eastAsia="宋体" w:cs="宋体"/>
          <w:b/>
          <w:bCs/>
        </w:rPr>
        <w:fldChar w:fldCharType="separate"/>
      </w:r>
      <w:r>
        <w:rPr>
          <w:rFonts w:hint="eastAsia" w:ascii="宋体" w:hAnsi="宋体" w:eastAsia="宋体" w:cs="宋体"/>
          <w:b/>
          <w:bCs/>
        </w:rPr>
        <w:t>75</w:t>
      </w:r>
      <w:r>
        <w:rPr>
          <w:rFonts w:hint="eastAsia" w:ascii="宋体" w:hAnsi="宋体" w:eastAsia="宋体" w:cs="宋体"/>
          <w:b/>
          <w:bCs/>
        </w:rPr>
        <w:fldChar w:fldCharType="end"/>
      </w:r>
      <w:r>
        <w:rPr>
          <w:rFonts w:hint="eastAsia" w:ascii="宋体" w:hAnsi="宋体" w:eastAsia="宋体" w:cs="宋体"/>
          <w:b/>
          <w:bCs/>
          <w:color w:val="auto"/>
          <w:highlight w:val="none"/>
        </w:rPr>
        <w:fldChar w:fldCharType="end"/>
      </w:r>
    </w:p>
    <w:p w14:paraId="3FC9D4A9">
      <w:pPr>
        <w:pStyle w:val="7"/>
        <w:jc w:val="center"/>
        <w:rPr>
          <w:rFonts w:hint="eastAsia" w:ascii="宋体" w:hAnsi="宋体" w:eastAsia="宋体" w:cs="宋体"/>
          <w:color w:val="auto"/>
          <w:highlight w:val="none"/>
        </w:rPr>
        <w:sectPr>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pgNumType w:start="1"/>
          <w:cols w:space="720" w:num="1"/>
          <w:docGrid w:linePitch="327" w:charSpace="0"/>
        </w:sectPr>
      </w:pPr>
      <w:r>
        <w:rPr>
          <w:rFonts w:hint="eastAsia" w:ascii="宋体" w:hAnsi="宋体" w:eastAsia="宋体" w:cs="宋体"/>
          <w:color w:val="auto"/>
          <w:highlight w:val="none"/>
        </w:rPr>
        <w:fldChar w:fldCharType="end"/>
      </w:r>
      <w:bookmarkStart w:id="0" w:name="_Hlt122423813"/>
      <w:bookmarkEnd w:id="0"/>
      <w:bookmarkStart w:id="1" w:name="_Hlt66153951"/>
      <w:bookmarkEnd w:id="1"/>
      <w:bookmarkStart w:id="2" w:name="_Hlt66104981"/>
      <w:bookmarkEnd w:id="2"/>
      <w:bookmarkStart w:id="3" w:name="_Toc12558"/>
      <w:bookmarkStart w:id="4" w:name="_Toc476739600"/>
      <w:bookmarkStart w:id="5" w:name="_Toc14635"/>
      <w:bookmarkStart w:id="6" w:name="_Toc14094"/>
      <w:bookmarkStart w:id="7" w:name="_Hlt111690251"/>
    </w:p>
    <w:p w14:paraId="289C550C">
      <w:pPr>
        <w:pStyle w:val="7"/>
        <w:jc w:val="center"/>
        <w:rPr>
          <w:rFonts w:hint="eastAsia" w:ascii="宋体" w:hAnsi="宋体" w:eastAsia="宋体" w:cs="宋体"/>
          <w:b/>
          <w:snapToGrid w:val="0"/>
          <w:color w:val="auto"/>
          <w:sz w:val="24"/>
          <w:highlight w:val="none"/>
        </w:rPr>
      </w:pPr>
      <w:r>
        <w:rPr>
          <w:rFonts w:hint="eastAsia" w:ascii="宋体" w:hAnsi="宋体" w:eastAsia="宋体" w:cs="宋体"/>
          <w:b/>
          <w:snapToGrid w:val="0"/>
          <w:color w:val="auto"/>
          <w:sz w:val="24"/>
          <w:highlight w:val="none"/>
        </w:rPr>
        <w:t>第一章 投标人须知</w:t>
      </w:r>
      <w:bookmarkEnd w:id="3"/>
      <w:bookmarkEnd w:id="4"/>
      <w:bookmarkEnd w:id="5"/>
      <w:bookmarkEnd w:id="6"/>
    </w:p>
    <w:p w14:paraId="0F3DFF72">
      <w:pPr>
        <w:pStyle w:val="4"/>
        <w:bidi w:val="0"/>
        <w:rPr>
          <w:rFonts w:hint="eastAsia" w:ascii="宋体" w:hAnsi="宋体" w:eastAsia="宋体" w:cs="宋体"/>
        </w:rPr>
      </w:pPr>
      <w:bookmarkStart w:id="8" w:name="_Hlt127175444"/>
      <w:bookmarkEnd w:id="8"/>
      <w:bookmarkStart w:id="9" w:name="_Toc27520"/>
      <w:bookmarkStart w:id="10" w:name="_Toc117"/>
      <w:bookmarkStart w:id="11" w:name="_Toc22622"/>
      <w:bookmarkStart w:id="12" w:name="_Hlt120077520"/>
      <w:r>
        <w:rPr>
          <w:rFonts w:hint="eastAsia" w:ascii="宋体" w:hAnsi="宋体" w:eastAsia="宋体" w:cs="宋体"/>
        </w:rPr>
        <w:t>第一节 投标人须知前附表</w:t>
      </w:r>
      <w:bookmarkEnd w:id="9"/>
      <w:bookmarkEnd w:id="10"/>
      <w:bookmarkEnd w:id="11"/>
    </w:p>
    <w:tbl>
      <w:tblPr>
        <w:tblStyle w:val="31"/>
        <w:tblW w:w="1065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50"/>
        <w:gridCol w:w="1707"/>
        <w:gridCol w:w="8200"/>
      </w:tblGrid>
      <w:tr w14:paraId="4343944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03FFD70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DAE136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内容</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F02FE85">
            <w:pPr>
              <w:pageBreakBefore w:val="0"/>
              <w:tabs>
                <w:tab w:val="left" w:pos="1180"/>
              </w:tabs>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说明与要求</w:t>
            </w:r>
          </w:p>
        </w:tc>
      </w:tr>
      <w:tr w14:paraId="1825F7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6969E5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D57B065">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项目名称</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F2860C6">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庆云镇“金叶子”示范带项目（土佳寮村二期）施工</w:t>
            </w:r>
          </w:p>
        </w:tc>
      </w:tr>
      <w:tr w14:paraId="16FAEB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11A2AE2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5D7EC2E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项目业主</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8C657E4">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乐昌市庆云镇人民政府</w:t>
            </w:r>
          </w:p>
        </w:tc>
      </w:tr>
      <w:tr w14:paraId="3B7DD9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7C2FBE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7250FD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项目批准部门</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400197D">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乐昌市发展和改革局</w:t>
            </w:r>
          </w:p>
        </w:tc>
      </w:tr>
      <w:tr w14:paraId="1C0477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1602C35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81BE3D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项目批准文号</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84B330E">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w:t>
            </w:r>
            <w:r>
              <w:rPr>
                <w:rFonts w:hint="eastAsia" w:hAnsi="宋体" w:cs="宋体"/>
                <w:snapToGrid w:val="0"/>
                <w:color w:val="auto"/>
                <w:kern w:val="0"/>
                <w:sz w:val="24"/>
                <w:szCs w:val="24"/>
                <w:highlight w:val="none"/>
                <w:lang w:val="en-US" w:eastAsia="zh-CN"/>
              </w:rPr>
              <w:t>乐发改投审〔2024〕73号</w:t>
            </w:r>
          </w:p>
        </w:tc>
      </w:tr>
      <w:tr w14:paraId="338954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B3C97C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AA15FE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项目代码</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EB4DC25">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2403-440281-04-01-921401</w:t>
            </w:r>
          </w:p>
        </w:tc>
      </w:tr>
      <w:tr w14:paraId="2C7B91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0112C09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5E30526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资金来源</w:t>
            </w:r>
          </w:p>
          <w:p w14:paraId="646A933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及出资比例</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A7BDA0D">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上级</w:t>
            </w:r>
            <w:r>
              <w:rPr>
                <w:rFonts w:hint="eastAsia" w:hAnsi="宋体" w:cs="宋体"/>
                <w:snapToGrid w:val="0"/>
                <w:color w:val="auto"/>
                <w:kern w:val="0"/>
                <w:sz w:val="24"/>
                <w:szCs w:val="24"/>
                <w:highlight w:val="none"/>
                <w:lang w:val="en-US" w:eastAsia="zh-CN"/>
              </w:rPr>
              <w:t>财政</w:t>
            </w:r>
            <w:r>
              <w:rPr>
                <w:rFonts w:hint="eastAsia" w:ascii="宋体" w:hAnsi="宋体" w:eastAsia="宋体" w:cs="宋体"/>
                <w:snapToGrid w:val="0"/>
                <w:color w:val="auto"/>
                <w:kern w:val="0"/>
                <w:sz w:val="24"/>
                <w:szCs w:val="24"/>
                <w:highlight w:val="none"/>
                <w:lang w:val="en-US" w:eastAsia="zh-CN"/>
              </w:rPr>
              <w:t>资金，不足部分由业主单位自筹解决</w:t>
            </w:r>
            <w:r>
              <w:rPr>
                <w:rFonts w:hint="eastAsia" w:hAnsi="宋体" w:cs="宋体"/>
                <w:snapToGrid w:val="0"/>
                <w:color w:val="auto"/>
                <w:kern w:val="0"/>
                <w:sz w:val="24"/>
                <w:szCs w:val="24"/>
                <w:highlight w:val="none"/>
                <w:lang w:val="en-US" w:eastAsia="zh-CN"/>
              </w:rPr>
              <w:t>；</w:t>
            </w:r>
            <w:r>
              <w:rPr>
                <w:rFonts w:hint="eastAsia" w:ascii="宋体" w:hAnsi="宋体" w:eastAsia="宋体" w:cs="宋体"/>
                <w:snapToGrid w:val="0"/>
                <w:color w:val="auto"/>
                <w:kern w:val="0"/>
                <w:sz w:val="24"/>
                <w:szCs w:val="24"/>
                <w:highlight w:val="none"/>
                <w:lang w:val="en-US" w:eastAsia="zh-CN"/>
              </w:rPr>
              <w:t>100%</w:t>
            </w:r>
          </w:p>
        </w:tc>
      </w:tr>
      <w:tr w14:paraId="187D06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0E867A7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ADD688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520E6A7">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rPr>
            </w:pPr>
            <w:r>
              <w:rPr>
                <w:rFonts w:hint="eastAsia" w:hAnsi="宋体" w:cs="宋体"/>
                <w:snapToGrid w:val="0"/>
                <w:color w:val="auto"/>
                <w:kern w:val="0"/>
                <w:sz w:val="24"/>
                <w:szCs w:val="24"/>
                <w:highlight w:val="none"/>
                <w:lang w:val="en-US" w:eastAsia="zh-CN"/>
              </w:rPr>
              <w:t>乐昌市庆云镇人民政府</w:t>
            </w:r>
          </w:p>
        </w:tc>
      </w:tr>
      <w:tr w14:paraId="537E3F9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F84BE1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54C2227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DFEA801">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w:t>
            </w:r>
            <w:r>
              <w:rPr>
                <w:rFonts w:hint="eastAsia" w:hAnsi="宋体" w:cs="宋体"/>
                <w:snapToGrid w:val="0"/>
                <w:color w:val="auto"/>
                <w:kern w:val="0"/>
                <w:sz w:val="24"/>
                <w:szCs w:val="24"/>
                <w:highlight w:val="none"/>
                <w:lang w:val="en-US" w:eastAsia="zh-CN"/>
              </w:rPr>
              <w:t>韶关众信项目管理有限公司</w:t>
            </w:r>
          </w:p>
        </w:tc>
      </w:tr>
      <w:tr w14:paraId="659F212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8FD5FD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F952EC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设计单位</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011A3E60">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color w:val="auto"/>
                <w:kern w:val="2"/>
                <w:sz w:val="24"/>
                <w:szCs w:val="24"/>
                <w:highlight w:val="none"/>
                <w:lang w:val="en-US" w:eastAsia="zh-CN" w:bidi="ar-SA"/>
              </w:rPr>
              <w:t>中亿国际设计集团有限公司</w:t>
            </w:r>
          </w:p>
        </w:tc>
      </w:tr>
      <w:tr w14:paraId="5FCBCD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43175B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4EA05C8F">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造价咨询单位</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1CF11F7">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中图设计有限公司</w:t>
            </w:r>
          </w:p>
        </w:tc>
      </w:tr>
      <w:tr w14:paraId="092B8D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1089AA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0816FB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监理单位</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11F5BF5D">
            <w:pPr>
              <w:pageBreakBefore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w:t>
            </w:r>
            <w:r>
              <w:rPr>
                <w:rFonts w:hint="eastAsia" w:hAnsi="宋体" w:cs="宋体"/>
                <w:snapToGrid w:val="0"/>
                <w:color w:val="auto"/>
                <w:kern w:val="0"/>
                <w:sz w:val="24"/>
                <w:szCs w:val="24"/>
                <w:highlight w:val="none"/>
                <w:lang w:val="en-US" w:eastAsia="zh-CN"/>
              </w:rPr>
              <w:t xml:space="preserve"> </w:t>
            </w:r>
            <w:r>
              <w:rPr>
                <w:rFonts w:hint="eastAsia" w:ascii="宋体" w:hAnsi="宋体" w:eastAsia="宋体" w:cs="宋体"/>
                <w:snapToGrid w:val="0"/>
                <w:color w:val="auto"/>
                <w:kern w:val="0"/>
                <w:sz w:val="24"/>
                <w:szCs w:val="24"/>
                <w:highlight w:val="none"/>
                <w:lang w:val="en-US" w:eastAsia="zh-CN"/>
              </w:rPr>
              <w:t>开复项目管理有限公司</w:t>
            </w:r>
          </w:p>
        </w:tc>
      </w:tr>
      <w:tr w14:paraId="134E98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0FEC30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880B25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建设地点</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582B8F5">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庆云镇</w:t>
            </w:r>
            <w:r>
              <w:rPr>
                <w:rFonts w:hint="eastAsia" w:hAnsi="宋体" w:cs="宋体"/>
                <w:snapToGrid w:val="0"/>
                <w:color w:val="auto"/>
                <w:kern w:val="0"/>
                <w:sz w:val="24"/>
                <w:szCs w:val="24"/>
                <w:highlight w:val="none"/>
                <w:lang w:val="en-US" w:eastAsia="zh-CN"/>
              </w:rPr>
              <w:t>土佳寮村</w:t>
            </w:r>
          </w:p>
        </w:tc>
      </w:tr>
      <w:tr w14:paraId="758748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03F68F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5EDAF9F">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建设内容和规模</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C1C3A06">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巷道改造、村内排水系统建设、机耕路建设、村庄环境整治等基础配套设施建设</w:t>
            </w:r>
            <w:r>
              <w:rPr>
                <w:rFonts w:hint="eastAsia" w:hAnsi="宋体" w:cs="宋体"/>
                <w:snapToGrid w:val="0"/>
                <w:color w:val="auto"/>
                <w:kern w:val="0"/>
                <w:sz w:val="24"/>
                <w:szCs w:val="24"/>
                <w:highlight w:val="none"/>
                <w:lang w:val="en-US" w:eastAsia="zh-CN"/>
              </w:rPr>
              <w:t>。</w:t>
            </w:r>
          </w:p>
        </w:tc>
      </w:tr>
      <w:tr w14:paraId="0FCA66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9EBB2D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FBC5E4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项目总投资</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16C6C10">
            <w:pPr>
              <w:keepNext w:val="0"/>
              <w:keepLines w:val="0"/>
              <w:pageBreakBefore w:val="0"/>
              <w:widowControl/>
              <w:suppressLineNumbers w:val="0"/>
              <w:kinsoku/>
              <w:overflowPunct/>
              <w:topLinePunct w:val="0"/>
              <w:autoSpaceDE/>
              <w:autoSpaceDN/>
              <w:bidi w:val="0"/>
              <w:spacing w:line="360" w:lineRule="auto"/>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项目估算总投资3355.48万元，其中：建安工程费用</w:t>
            </w:r>
            <w:r>
              <w:rPr>
                <w:rFonts w:hint="default" w:hAnsi="宋体" w:cs="宋体"/>
                <w:snapToGrid w:val="0"/>
                <w:color w:val="auto"/>
                <w:kern w:val="0"/>
                <w:sz w:val="24"/>
                <w:szCs w:val="24"/>
                <w:highlight w:val="none"/>
                <w:lang w:val="en-US" w:eastAsia="zh-CN"/>
              </w:rPr>
              <w:t>504.78</w:t>
            </w:r>
            <w:r>
              <w:rPr>
                <w:rFonts w:hint="eastAsia" w:ascii="宋体" w:hAnsi="宋体" w:eastAsia="宋体" w:cs="宋体"/>
                <w:snapToGrid w:val="0"/>
                <w:color w:val="auto"/>
                <w:kern w:val="0"/>
                <w:sz w:val="24"/>
                <w:szCs w:val="24"/>
                <w:highlight w:val="none"/>
                <w:lang w:val="en-US" w:eastAsia="zh-CN"/>
              </w:rPr>
              <w:t>万元</w:t>
            </w:r>
            <w:r>
              <w:rPr>
                <w:rFonts w:hint="eastAsia" w:hAnsi="宋体" w:cs="宋体"/>
                <w:snapToGrid w:val="0"/>
                <w:color w:val="auto"/>
                <w:kern w:val="0"/>
                <w:sz w:val="24"/>
                <w:szCs w:val="24"/>
                <w:highlight w:val="none"/>
                <w:lang w:val="en-US" w:eastAsia="zh-CN"/>
              </w:rPr>
              <w:t>。</w:t>
            </w:r>
          </w:p>
        </w:tc>
      </w:tr>
      <w:tr w14:paraId="406A76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1703FFD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34B42FE5">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招标范围</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449B29C">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施工图纸和工程量清单范围内</w:t>
            </w:r>
            <w:r>
              <w:rPr>
                <w:rFonts w:hint="eastAsia" w:ascii="宋体" w:hAnsi="宋体" w:eastAsia="宋体" w:cs="宋体"/>
                <w:bCs/>
                <w:snapToGrid w:val="0"/>
                <w:color w:val="auto"/>
                <w:kern w:val="0"/>
                <w:sz w:val="24"/>
                <w:szCs w:val="24"/>
                <w:highlight w:val="none"/>
              </w:rPr>
              <w:t>等</w:t>
            </w:r>
            <w:r>
              <w:rPr>
                <w:rFonts w:hint="eastAsia" w:ascii="宋体" w:hAnsi="宋体" w:eastAsia="宋体" w:cs="宋体"/>
                <w:bCs/>
                <w:snapToGrid w:val="0"/>
                <w:color w:val="auto"/>
                <w:kern w:val="0"/>
                <w:sz w:val="24"/>
                <w:szCs w:val="24"/>
                <w:highlight w:val="none"/>
                <w:lang w:val="en-US" w:eastAsia="zh-CN"/>
              </w:rPr>
              <w:t>所有</w:t>
            </w:r>
            <w:r>
              <w:rPr>
                <w:rFonts w:hint="eastAsia" w:ascii="宋体" w:hAnsi="宋体" w:eastAsia="宋体" w:cs="宋体"/>
                <w:bCs/>
                <w:snapToGrid w:val="0"/>
                <w:color w:val="auto"/>
                <w:kern w:val="0"/>
                <w:sz w:val="24"/>
                <w:szCs w:val="24"/>
                <w:highlight w:val="none"/>
              </w:rPr>
              <w:t>工程</w:t>
            </w:r>
            <w:r>
              <w:rPr>
                <w:rFonts w:hint="eastAsia" w:hAnsi="宋体" w:cs="宋体"/>
                <w:bCs/>
                <w:snapToGrid w:val="0"/>
                <w:color w:val="auto"/>
                <w:kern w:val="0"/>
                <w:sz w:val="24"/>
                <w:szCs w:val="24"/>
                <w:highlight w:val="none"/>
                <w:lang w:val="en-US" w:eastAsia="zh-CN"/>
              </w:rPr>
              <w:t>施工</w:t>
            </w:r>
            <w:r>
              <w:rPr>
                <w:rFonts w:hint="eastAsia" w:ascii="宋体" w:hAnsi="宋体" w:eastAsia="宋体" w:cs="宋体"/>
                <w:bCs/>
                <w:snapToGrid w:val="0"/>
                <w:color w:val="auto"/>
                <w:kern w:val="0"/>
                <w:sz w:val="24"/>
                <w:szCs w:val="24"/>
                <w:highlight w:val="none"/>
              </w:rPr>
              <w:t>。</w:t>
            </w:r>
          </w:p>
        </w:tc>
      </w:tr>
      <w:tr w14:paraId="47BF65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C39543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4577D4B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标段划分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1B130BD">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本招标项目不划分标段。</w:t>
            </w:r>
          </w:p>
        </w:tc>
      </w:tr>
      <w:tr w14:paraId="0C093F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270310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02A13E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工期</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04E5DE8">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本招标项目施工工期为</w:t>
            </w:r>
            <w:r>
              <w:rPr>
                <w:rFonts w:hint="eastAsia" w:hAnsi="宋体" w:cs="宋体"/>
                <w:bCs/>
                <w:snapToGrid w:val="0"/>
                <w:color w:val="auto"/>
                <w:kern w:val="0"/>
                <w:sz w:val="24"/>
                <w:szCs w:val="24"/>
                <w:highlight w:val="none"/>
                <w:lang w:val="en-US" w:eastAsia="zh-CN"/>
              </w:rPr>
              <w:t>90</w:t>
            </w:r>
            <w:r>
              <w:rPr>
                <w:rFonts w:hint="eastAsia" w:ascii="宋体" w:hAnsi="宋体" w:eastAsia="宋体" w:cs="宋体"/>
                <w:bCs/>
                <w:snapToGrid w:val="0"/>
                <w:color w:val="auto"/>
                <w:kern w:val="0"/>
                <w:sz w:val="24"/>
                <w:szCs w:val="24"/>
                <w:highlight w:val="none"/>
              </w:rPr>
              <w:t>个日历天。</w:t>
            </w:r>
          </w:p>
        </w:tc>
      </w:tr>
      <w:tr w14:paraId="03A4D8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9EEF96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68CE0E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质量标准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097E129F">
            <w:pPr>
              <w:pStyle w:val="7"/>
              <w:pageBreakBefore w:val="0"/>
              <w:kinsoku/>
              <w:overflowPunct/>
              <w:topLinePunct w:val="0"/>
              <w:autoSpaceDE/>
              <w:autoSpaceDN/>
              <w:bidi w:val="0"/>
              <w:spacing w:before="0" w:beforeLines="0" w:after="0" w:afterLines="0" w:line="360" w:lineRule="auto"/>
              <w:ind w:firstLine="240" w:firstLineChars="100"/>
              <w:textAlignment w:val="auto"/>
              <w:rPr>
                <w:rFonts w:hint="default" w:ascii="宋体" w:hAnsi="宋体" w:eastAsia="宋体" w:cs="宋体"/>
                <w:color w:val="auto"/>
                <w:sz w:val="24"/>
                <w:szCs w:val="24"/>
                <w:highlight w:val="none"/>
                <w:lang w:val="en-US"/>
              </w:rPr>
            </w:pPr>
            <w:bookmarkStart w:id="13" w:name="_Hlt106417017"/>
            <w:bookmarkEnd w:id="13"/>
            <w:bookmarkStart w:id="14" w:name="OLE_LINK1"/>
            <w:r>
              <w:rPr>
                <w:rFonts w:hint="eastAsia" w:ascii="宋体" w:hAnsi="宋体" w:eastAsia="宋体" w:cs="宋体"/>
                <w:bCs/>
                <w:snapToGrid w:val="0"/>
                <w:color w:val="auto"/>
                <w:kern w:val="0"/>
                <w:sz w:val="24"/>
                <w:szCs w:val="24"/>
                <w:highlight w:val="none"/>
                <w:lang w:val="en-US" w:eastAsia="zh-CN" w:bidi="ar-SA"/>
              </w:rPr>
              <w:t>符合现行国家有关工程施工质量验收规范和标准的要求</w:t>
            </w:r>
            <w:r>
              <w:rPr>
                <w:rFonts w:hint="eastAsia" w:ascii="宋体" w:hAnsi="宋体" w:cs="宋体"/>
                <w:bCs/>
                <w:snapToGrid w:val="0"/>
                <w:color w:val="auto"/>
                <w:kern w:val="0"/>
                <w:sz w:val="24"/>
                <w:szCs w:val="24"/>
                <w:highlight w:val="none"/>
                <w:lang w:val="en-US" w:eastAsia="zh-CN" w:bidi="ar-SA"/>
              </w:rPr>
              <w:t>，质量目标达到合格</w:t>
            </w:r>
            <w:bookmarkEnd w:id="14"/>
            <w:r>
              <w:rPr>
                <w:rFonts w:hint="eastAsia" w:ascii="宋体" w:hAnsi="宋体" w:cs="宋体"/>
                <w:bCs/>
                <w:snapToGrid w:val="0"/>
                <w:color w:val="auto"/>
                <w:kern w:val="0"/>
                <w:sz w:val="24"/>
                <w:szCs w:val="24"/>
                <w:highlight w:val="none"/>
                <w:lang w:val="en-US" w:eastAsia="zh-CN" w:bidi="ar-SA"/>
              </w:rPr>
              <w:t>。</w:t>
            </w:r>
          </w:p>
        </w:tc>
      </w:tr>
      <w:tr w14:paraId="1C80C9B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2F9FA4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46F74D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房屋建筑工程</w:t>
            </w:r>
          </w:p>
          <w:p w14:paraId="1FFD2BB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绿色建筑标准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3E23767">
            <w:pPr>
              <w:pStyle w:val="29"/>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240"/>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本招标项目不纳入绿色建设实施范围。</w:t>
            </w:r>
          </w:p>
        </w:tc>
      </w:tr>
      <w:tr w14:paraId="2E7B62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A25331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8D17C9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装配式建筑标准</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4B3C593">
            <w:pPr>
              <w:pStyle w:val="29"/>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240"/>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本招标项目不纳入装配式建造建设实施范围。</w:t>
            </w:r>
          </w:p>
        </w:tc>
      </w:tr>
      <w:tr w14:paraId="740BAD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A36B4D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9CE8DB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招标控制价</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0529A66">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color w:val="auto"/>
                <w:highlight w:val="none"/>
                <w:lang w:val="en-US" w:eastAsia="zh-CN"/>
              </w:rPr>
            </w:pPr>
            <w:r>
              <w:rPr>
                <w:rFonts w:hint="eastAsia" w:ascii="宋体" w:hAnsi="宋体" w:eastAsia="宋体" w:cs="宋体"/>
                <w:i w:val="0"/>
                <w:iCs w:val="0"/>
                <w:caps w:val="0"/>
                <w:color w:val="auto"/>
                <w:spacing w:val="0"/>
                <w:sz w:val="24"/>
                <w:szCs w:val="24"/>
                <w:highlight w:val="none"/>
                <w:u w:val="none"/>
              </w:rPr>
              <w:t>本项目招标控制价为人民币（大写）：</w:t>
            </w:r>
            <w:r>
              <w:rPr>
                <w:rFonts w:hint="eastAsia" w:ascii="宋体" w:hAnsi="宋体" w:eastAsia="宋体" w:cs="宋体"/>
                <w:i w:val="0"/>
                <w:iCs w:val="0"/>
                <w:caps w:val="0"/>
                <w:color w:val="auto"/>
                <w:spacing w:val="0"/>
                <w:sz w:val="24"/>
                <w:szCs w:val="24"/>
                <w:highlight w:val="none"/>
                <w:u w:val="single"/>
                <w:lang w:val="en-US" w:eastAsia="zh-CN"/>
              </w:rPr>
              <w:t>伍佰零肆万柒仟捌佰捌拾元捌角玖分</w:t>
            </w:r>
            <w:r>
              <w:rPr>
                <w:rFonts w:hint="eastAsia" w:ascii="宋体" w:hAnsi="宋体" w:eastAsia="宋体" w:cs="宋体"/>
                <w:i w:val="0"/>
                <w:iCs w:val="0"/>
                <w:caps w:val="0"/>
                <w:color w:val="auto"/>
                <w:spacing w:val="0"/>
                <w:sz w:val="24"/>
                <w:szCs w:val="24"/>
                <w:highlight w:val="none"/>
                <w:u w:val="single"/>
              </w:rPr>
              <w:t>（¥</w:t>
            </w:r>
            <w:r>
              <w:rPr>
                <w:rFonts w:hint="eastAsia" w:ascii="宋体" w:hAnsi="宋体" w:eastAsia="宋体" w:cs="宋体"/>
                <w:i w:val="0"/>
                <w:iCs w:val="0"/>
                <w:caps w:val="0"/>
                <w:color w:val="auto"/>
                <w:spacing w:val="0"/>
                <w:sz w:val="24"/>
                <w:szCs w:val="24"/>
                <w:highlight w:val="none"/>
                <w:u w:val="single"/>
                <w:lang w:val="en-US" w:eastAsia="zh-CN"/>
              </w:rPr>
              <w:t>5047880.89</w:t>
            </w:r>
            <w:r>
              <w:rPr>
                <w:rFonts w:hint="eastAsia" w:ascii="宋体" w:hAnsi="宋体" w:eastAsia="宋体" w:cs="宋体"/>
                <w:i w:val="0"/>
                <w:iCs w:val="0"/>
                <w:caps w:val="0"/>
                <w:color w:val="auto"/>
                <w:spacing w:val="0"/>
                <w:sz w:val="24"/>
                <w:szCs w:val="24"/>
                <w:highlight w:val="none"/>
                <w:u w:val="single"/>
              </w:rPr>
              <w:t>元），其中绿色施工安全防护措施费(不得低于）：¥</w:t>
            </w:r>
            <w:r>
              <w:rPr>
                <w:rFonts w:hint="eastAsia" w:ascii="宋体" w:hAnsi="宋体" w:eastAsia="宋体" w:cs="宋体"/>
                <w:i w:val="0"/>
                <w:iCs w:val="0"/>
                <w:caps w:val="0"/>
                <w:color w:val="auto"/>
                <w:spacing w:val="0"/>
                <w:sz w:val="24"/>
                <w:szCs w:val="24"/>
                <w:highlight w:val="none"/>
                <w:u w:val="single"/>
                <w:lang w:val="en-US" w:eastAsia="zh-CN"/>
              </w:rPr>
              <w:t>239845.50元</w:t>
            </w:r>
            <w:r>
              <w:rPr>
                <w:rFonts w:hint="eastAsia" w:ascii="宋体" w:hAnsi="宋体" w:eastAsia="宋体" w:cs="宋体"/>
                <w:i w:val="0"/>
                <w:iCs w:val="0"/>
                <w:caps w:val="0"/>
                <w:color w:val="auto"/>
                <w:spacing w:val="0"/>
                <w:sz w:val="24"/>
                <w:szCs w:val="24"/>
                <w:highlight w:val="none"/>
                <w:u w:val="single"/>
              </w:rPr>
              <w:t>，暂</w:t>
            </w:r>
            <w:r>
              <w:rPr>
                <w:rFonts w:hint="eastAsia" w:ascii="宋体" w:hAnsi="宋体" w:eastAsia="宋体" w:cs="宋体"/>
                <w:i w:val="0"/>
                <w:iCs w:val="0"/>
                <w:caps w:val="0"/>
                <w:color w:val="auto"/>
                <w:spacing w:val="0"/>
                <w:sz w:val="24"/>
                <w:szCs w:val="24"/>
                <w:highlight w:val="none"/>
                <w:u w:val="single"/>
                <w:lang w:val="en-US" w:eastAsia="zh-CN"/>
              </w:rPr>
              <w:t>列金额</w:t>
            </w:r>
            <w:r>
              <w:rPr>
                <w:rFonts w:hint="eastAsia" w:ascii="宋体" w:hAnsi="宋体" w:eastAsia="宋体" w:cs="宋体"/>
                <w:i w:val="0"/>
                <w:iCs w:val="0"/>
                <w:caps w:val="0"/>
                <w:color w:val="auto"/>
                <w:spacing w:val="0"/>
                <w:sz w:val="24"/>
                <w:szCs w:val="24"/>
                <w:highlight w:val="none"/>
                <w:u w:val="single"/>
              </w:rPr>
              <w:t>（统一报价）：¥</w:t>
            </w:r>
            <w:r>
              <w:rPr>
                <w:rFonts w:hint="eastAsia" w:ascii="宋体" w:hAnsi="宋体" w:eastAsia="宋体" w:cs="宋体"/>
                <w:i w:val="0"/>
                <w:iCs w:val="0"/>
                <w:caps w:val="0"/>
                <w:color w:val="auto"/>
                <w:spacing w:val="0"/>
                <w:sz w:val="24"/>
                <w:szCs w:val="24"/>
                <w:highlight w:val="none"/>
                <w:u w:val="single"/>
                <w:lang w:val="en-US" w:eastAsia="zh-CN"/>
              </w:rPr>
              <w:t>50000.00</w:t>
            </w:r>
            <w:r>
              <w:rPr>
                <w:rFonts w:hint="eastAsia" w:ascii="宋体" w:hAnsi="宋体" w:eastAsia="宋体" w:cs="宋体"/>
                <w:i w:val="0"/>
                <w:iCs w:val="0"/>
                <w:caps w:val="0"/>
                <w:color w:val="auto"/>
                <w:spacing w:val="0"/>
                <w:sz w:val="24"/>
                <w:szCs w:val="24"/>
                <w:highlight w:val="none"/>
                <w:u w:val="single"/>
              </w:rPr>
              <w:t>元。</w:t>
            </w:r>
          </w:p>
        </w:tc>
      </w:tr>
      <w:tr w14:paraId="518C35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99C064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C8C52D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投标人资格要求</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D7A9311">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1．本次招标</w:t>
            </w:r>
            <w:r>
              <w:rPr>
                <w:rFonts w:hint="eastAsia" w:hAnsi="宋体" w:cs="宋体"/>
                <w:snapToGrid w:val="0"/>
                <w:color w:val="auto"/>
                <w:kern w:val="0"/>
                <w:sz w:val="24"/>
                <w:szCs w:val="24"/>
                <w:highlight w:val="none"/>
                <w:lang w:val="en-US" w:eastAsia="zh-CN"/>
              </w:rPr>
              <w:t>不</w:t>
            </w:r>
            <w:r>
              <w:rPr>
                <w:rFonts w:hint="eastAsia" w:ascii="宋体" w:hAnsi="宋体" w:eastAsia="宋体" w:cs="宋体"/>
                <w:snapToGrid w:val="0"/>
                <w:color w:val="auto"/>
                <w:kern w:val="0"/>
                <w:sz w:val="24"/>
                <w:szCs w:val="24"/>
                <w:highlight w:val="none"/>
              </w:rPr>
              <w:t>接受联合体投标</w:t>
            </w:r>
            <w:r>
              <w:rPr>
                <w:rFonts w:hint="eastAsia" w:hAnsi="宋体" w:cs="宋体"/>
                <w:snapToGrid w:val="0"/>
                <w:color w:val="auto"/>
                <w:kern w:val="0"/>
                <w:sz w:val="24"/>
                <w:szCs w:val="24"/>
                <w:highlight w:val="none"/>
                <w:lang w:eastAsia="zh-CN"/>
              </w:rPr>
              <w:t>。</w:t>
            </w:r>
          </w:p>
          <w:p w14:paraId="351DEBD5">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2．资质要求</w:t>
            </w:r>
          </w:p>
          <w:p w14:paraId="3727C33F">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 投标人须具备独立法人资格，按国家法律经营。</w:t>
            </w:r>
          </w:p>
          <w:p w14:paraId="2A3E9BB6">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 投标人须持有建设行政主管部门颁发的企业资质证书及安全生产许可证。</w:t>
            </w:r>
          </w:p>
          <w:p w14:paraId="69292A69">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i w:val="0"/>
                <w:iCs w:val="0"/>
                <w:caps w:val="0"/>
                <w:color w:val="auto"/>
                <w:spacing w:val="0"/>
                <w:sz w:val="24"/>
                <w:szCs w:val="24"/>
                <w:highlight w:val="none"/>
                <w:u w:val="single"/>
                <w:shd w:val="clear" w:fill="FFFFFF"/>
              </w:rPr>
            </w:pPr>
            <w:r>
              <w:rPr>
                <w:rFonts w:hint="eastAsia" w:ascii="宋体" w:hAnsi="宋体" w:eastAsia="宋体" w:cs="宋体"/>
                <w:snapToGrid w:val="0"/>
                <w:color w:val="auto"/>
                <w:kern w:val="0"/>
                <w:sz w:val="24"/>
                <w:szCs w:val="24"/>
                <w:highlight w:val="none"/>
              </w:rPr>
              <w:t>2.3 投标人须具备以下资质：具备建设行政主管部门颁发的</w:t>
            </w:r>
            <w:r>
              <w:rPr>
                <w:rFonts w:hint="eastAsia" w:ascii="宋体" w:hAnsi="宋体" w:eastAsia="宋体" w:cs="宋体"/>
                <w:b/>
                <w:bCs/>
                <w:snapToGrid w:val="0"/>
                <w:color w:val="auto"/>
                <w:kern w:val="0"/>
                <w:sz w:val="24"/>
                <w:szCs w:val="24"/>
                <w:highlight w:val="none"/>
                <w:u w:val="single"/>
                <w:lang w:eastAsia="zh-CN"/>
              </w:rPr>
              <w:t>建筑工程施工总承包</w:t>
            </w:r>
            <w:r>
              <w:rPr>
                <w:rFonts w:hint="eastAsia" w:hAnsi="宋体" w:cs="宋体"/>
                <w:b/>
                <w:bCs/>
                <w:snapToGrid w:val="0"/>
                <w:color w:val="auto"/>
                <w:kern w:val="0"/>
                <w:sz w:val="24"/>
                <w:szCs w:val="24"/>
                <w:highlight w:val="none"/>
                <w:u w:val="single"/>
                <w:lang w:val="en-US" w:eastAsia="zh-CN"/>
              </w:rPr>
              <w:t>叁</w:t>
            </w:r>
            <w:r>
              <w:rPr>
                <w:rFonts w:hint="eastAsia" w:ascii="宋体" w:hAnsi="宋体" w:eastAsia="宋体" w:cs="宋体"/>
                <w:b/>
                <w:bCs/>
                <w:snapToGrid w:val="0"/>
                <w:color w:val="auto"/>
                <w:kern w:val="0"/>
                <w:sz w:val="24"/>
                <w:szCs w:val="24"/>
                <w:highlight w:val="none"/>
                <w:u w:val="single"/>
                <w:lang w:eastAsia="zh-CN"/>
              </w:rPr>
              <w:t>级以上（含</w:t>
            </w:r>
            <w:r>
              <w:rPr>
                <w:rFonts w:hint="eastAsia" w:hAnsi="宋体" w:cs="宋体"/>
                <w:b/>
                <w:bCs/>
                <w:snapToGrid w:val="0"/>
                <w:color w:val="auto"/>
                <w:kern w:val="0"/>
                <w:sz w:val="24"/>
                <w:szCs w:val="24"/>
                <w:highlight w:val="none"/>
                <w:u w:val="single"/>
                <w:lang w:val="en-US" w:eastAsia="zh-CN"/>
              </w:rPr>
              <w:t>叁</w:t>
            </w:r>
            <w:r>
              <w:rPr>
                <w:rFonts w:hint="eastAsia" w:ascii="宋体" w:hAnsi="宋体" w:eastAsia="宋体" w:cs="宋体"/>
                <w:b/>
                <w:bCs/>
                <w:snapToGrid w:val="0"/>
                <w:color w:val="auto"/>
                <w:kern w:val="0"/>
                <w:sz w:val="24"/>
                <w:szCs w:val="24"/>
                <w:highlight w:val="none"/>
                <w:u w:val="single"/>
                <w:lang w:eastAsia="zh-CN"/>
              </w:rPr>
              <w:t>级）</w:t>
            </w:r>
            <w:r>
              <w:rPr>
                <w:rFonts w:hint="eastAsia" w:hAnsi="宋体" w:cs="宋体"/>
                <w:b/>
                <w:bCs/>
                <w:snapToGrid w:val="0"/>
                <w:color w:val="auto"/>
                <w:kern w:val="0"/>
                <w:sz w:val="24"/>
                <w:szCs w:val="24"/>
                <w:highlight w:val="none"/>
                <w:u w:val="single"/>
                <w:lang w:val="en-US" w:eastAsia="zh-CN"/>
              </w:rPr>
              <w:t>或市政公用工程施工总承包叁级以上（含叁级）</w:t>
            </w:r>
            <w:r>
              <w:rPr>
                <w:rFonts w:hint="eastAsia" w:ascii="宋体" w:hAnsi="宋体" w:eastAsia="宋体" w:cs="宋体"/>
                <w:snapToGrid w:val="0"/>
                <w:color w:val="auto"/>
                <w:kern w:val="0"/>
                <w:sz w:val="24"/>
                <w:szCs w:val="24"/>
                <w:highlight w:val="none"/>
              </w:rPr>
              <w:t>资质。</w:t>
            </w:r>
          </w:p>
          <w:p w14:paraId="6C3907A4">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6D9952C6">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3．相关人员要求</w:t>
            </w:r>
          </w:p>
          <w:p w14:paraId="4255D045">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3.1 </w:t>
            </w:r>
            <w:r>
              <w:rPr>
                <w:rFonts w:hint="eastAsia" w:ascii="宋体" w:hAnsi="宋体" w:eastAsia="宋体" w:cs="宋体"/>
                <w:color w:val="auto"/>
                <w:sz w:val="24"/>
                <w:szCs w:val="24"/>
                <w:highlight w:val="none"/>
              </w:rPr>
              <w:t>投标人拟派项目经理为</w:t>
            </w:r>
            <w:r>
              <w:rPr>
                <w:rFonts w:hint="eastAsia" w:hAnsi="宋体" w:cs="宋体"/>
                <w:b/>
                <w:bCs/>
                <w:snapToGrid w:val="0"/>
                <w:color w:val="auto"/>
                <w:kern w:val="0"/>
                <w:sz w:val="24"/>
                <w:szCs w:val="24"/>
                <w:highlight w:val="none"/>
                <w:u w:val="single"/>
                <w:lang w:val="en-US" w:eastAsia="zh-CN"/>
              </w:rPr>
              <w:t>建筑</w:t>
            </w:r>
            <w:r>
              <w:rPr>
                <w:rFonts w:hint="eastAsia" w:ascii="宋体" w:hAnsi="宋体" w:eastAsia="宋体" w:cs="宋体"/>
                <w:b/>
                <w:bCs/>
                <w:color w:val="auto"/>
                <w:sz w:val="24"/>
                <w:szCs w:val="24"/>
                <w:highlight w:val="none"/>
                <w:u w:val="single"/>
              </w:rPr>
              <w:t>工程</w:t>
            </w:r>
            <w:r>
              <w:rPr>
                <w:rFonts w:hint="eastAsia" w:hAnsi="宋体" w:cs="宋体"/>
                <w:b/>
                <w:bCs/>
                <w:color w:val="auto"/>
                <w:sz w:val="24"/>
                <w:szCs w:val="24"/>
                <w:highlight w:val="none"/>
                <w:u w:val="single"/>
                <w:lang w:val="en-US" w:eastAsia="zh-CN"/>
              </w:rPr>
              <w:t>或</w:t>
            </w:r>
            <w:r>
              <w:rPr>
                <w:rFonts w:hint="eastAsia" w:hAnsi="宋体" w:cs="宋体"/>
                <w:b/>
                <w:bCs/>
                <w:snapToGrid w:val="0"/>
                <w:color w:val="auto"/>
                <w:kern w:val="0"/>
                <w:sz w:val="24"/>
                <w:szCs w:val="24"/>
                <w:highlight w:val="none"/>
                <w:u w:val="single"/>
                <w:lang w:val="en-US" w:eastAsia="zh-CN"/>
              </w:rPr>
              <w:t>市政公用工程</w:t>
            </w:r>
            <w:r>
              <w:rPr>
                <w:rFonts w:hint="eastAsia" w:ascii="宋体" w:hAnsi="宋体" w:eastAsia="宋体" w:cs="宋体"/>
                <w:color w:val="auto"/>
                <w:sz w:val="24"/>
                <w:szCs w:val="24"/>
                <w:highlight w:val="none"/>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1863C2DA">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3.2 拟派项目技术负责人须具备</w:t>
            </w:r>
            <w:r>
              <w:rPr>
                <w:rFonts w:hint="eastAsia" w:ascii="宋体" w:hAnsi="宋体" w:eastAsia="宋体" w:cs="宋体"/>
                <w:snapToGrid w:val="0"/>
                <w:color w:val="auto"/>
                <w:kern w:val="0"/>
                <w:sz w:val="24"/>
                <w:szCs w:val="24"/>
                <w:highlight w:val="none"/>
                <w:u w:val="single"/>
              </w:rPr>
              <w:t xml:space="preserve"> </w:t>
            </w:r>
            <w:r>
              <w:rPr>
                <w:rFonts w:hint="eastAsia" w:hAnsi="宋体" w:cs="宋体"/>
                <w:b/>
                <w:bCs/>
                <w:snapToGrid w:val="0"/>
                <w:color w:val="auto"/>
                <w:kern w:val="0"/>
                <w:sz w:val="24"/>
                <w:szCs w:val="24"/>
                <w:highlight w:val="none"/>
                <w:u w:val="single"/>
                <w:lang w:val="en-US" w:eastAsia="zh-CN"/>
              </w:rPr>
              <w:t>中</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级以上（含</w:t>
            </w:r>
            <w:r>
              <w:rPr>
                <w:rFonts w:hint="eastAsia" w:hAnsi="宋体" w:cs="宋体"/>
                <w:b/>
                <w:bCs/>
                <w:snapToGrid w:val="0"/>
                <w:color w:val="auto"/>
                <w:kern w:val="0"/>
                <w:sz w:val="24"/>
                <w:szCs w:val="24"/>
                <w:highlight w:val="none"/>
                <w:u w:val="single"/>
                <w:lang w:val="en-US" w:eastAsia="zh-CN"/>
              </w:rPr>
              <w:t>中</w:t>
            </w:r>
            <w:r>
              <w:rPr>
                <w:rFonts w:hint="eastAsia" w:ascii="宋体" w:hAnsi="宋体" w:eastAsia="宋体" w:cs="宋体"/>
                <w:snapToGrid w:val="0"/>
                <w:color w:val="auto"/>
                <w:kern w:val="0"/>
                <w:sz w:val="24"/>
                <w:szCs w:val="24"/>
                <w:highlight w:val="none"/>
              </w:rPr>
              <w:t>级）技术职称。</w:t>
            </w:r>
          </w:p>
          <w:p w14:paraId="79460FF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3.3 </w:t>
            </w:r>
            <w:bookmarkStart w:id="15" w:name="OLE_LINK3"/>
            <w:r>
              <w:rPr>
                <w:rFonts w:hint="eastAsia" w:ascii="宋体" w:hAnsi="宋体" w:eastAsia="宋体" w:cs="宋体"/>
                <w:snapToGrid w:val="0"/>
                <w:color w:val="auto"/>
                <w:kern w:val="0"/>
                <w:sz w:val="24"/>
                <w:szCs w:val="24"/>
                <w:highlight w:val="none"/>
              </w:rPr>
              <w:t>拟派专职安全生产管理人员须具备有效安全生产考核合格证明（C证，安全生产考核合格证书或“广东省建筑施工企业管理人员安全生产考核信息系统”考核合格信息打印页），且不少于</w:t>
            </w:r>
            <w:r>
              <w:rPr>
                <w:rFonts w:hint="eastAsia" w:hAnsi="宋体" w:cs="宋体"/>
                <w:b/>
                <w:bCs/>
                <w:snapToGrid w:val="0"/>
                <w:color w:val="auto"/>
                <w:kern w:val="0"/>
                <w:sz w:val="24"/>
                <w:szCs w:val="24"/>
                <w:highlight w:val="none"/>
                <w:u w:val="single"/>
                <w:lang w:val="en-US" w:eastAsia="zh-CN"/>
              </w:rPr>
              <w:t>1</w:t>
            </w:r>
            <w:r>
              <w:rPr>
                <w:rFonts w:hint="eastAsia" w:ascii="宋体" w:hAnsi="宋体" w:eastAsia="宋体" w:cs="宋体"/>
                <w:b w:val="0"/>
                <w:bCs w:val="0"/>
                <w:snapToGrid w:val="0"/>
                <w:color w:val="auto"/>
                <w:kern w:val="0"/>
                <w:sz w:val="24"/>
                <w:szCs w:val="24"/>
                <w:highlight w:val="none"/>
              </w:rPr>
              <w:t>人</w:t>
            </w:r>
            <w:r>
              <w:rPr>
                <w:rFonts w:hint="eastAsia" w:ascii="宋体" w:hAnsi="宋体" w:eastAsia="宋体" w:cs="宋体"/>
                <w:snapToGrid w:val="0"/>
                <w:color w:val="auto"/>
                <w:kern w:val="0"/>
                <w:sz w:val="24"/>
                <w:szCs w:val="24"/>
                <w:highlight w:val="none"/>
              </w:rPr>
              <w:t xml:space="preserve">。 </w:t>
            </w:r>
            <w:bookmarkEnd w:id="15"/>
          </w:p>
          <w:p w14:paraId="29737B1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3.4 投标人（包括组成联合体的所有成员单位）与其拟派往本项目管理机构的所有人员之间必须具备合法、唯一的劳动聘用关系</w:t>
            </w:r>
            <w:r>
              <w:rPr>
                <w:rFonts w:hint="eastAsia" w:ascii="宋体" w:hAnsi="宋体" w:eastAsia="宋体" w:cs="宋体"/>
                <w:color w:val="auto"/>
                <w:highlight w:val="none"/>
              </w:rPr>
              <w:t>（提供社保证明或劳动合同）</w:t>
            </w:r>
            <w:r>
              <w:rPr>
                <w:rFonts w:hint="eastAsia" w:ascii="宋体" w:hAnsi="宋体" w:eastAsia="宋体" w:cs="宋体"/>
                <w:snapToGrid w:val="0"/>
                <w:color w:val="auto"/>
                <w:kern w:val="0"/>
                <w:sz w:val="24"/>
                <w:szCs w:val="24"/>
                <w:highlight w:val="none"/>
              </w:rPr>
              <w:t>。拟派人员中具备注册执业资格的，其注册单位须与投标人保持一致。</w:t>
            </w:r>
          </w:p>
          <w:p w14:paraId="18F168C6">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4．禁止投标条款：</w:t>
            </w:r>
          </w:p>
          <w:p w14:paraId="23888EC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4.1 投标人不得存在下列情形之一：    </w:t>
            </w:r>
          </w:p>
          <w:p w14:paraId="354741F6">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（1）为招标人不具有独立法人资格的附属机构（单位）；</w:t>
            </w:r>
          </w:p>
          <w:p w14:paraId="57CAA41B">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（2）为本招标项目前期准备提供设计或咨询服务的；</w:t>
            </w:r>
          </w:p>
          <w:p w14:paraId="566D1FC4">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（3）与本招标项目的其他投标人为同一个单位负责人；</w:t>
            </w:r>
          </w:p>
          <w:p w14:paraId="43A3F5F2">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（4）与本招标项目的其他投标人存在控股、管理关系；</w:t>
            </w:r>
          </w:p>
          <w:p w14:paraId="15E65E66">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（5）为本招标项目的监理人；</w:t>
            </w:r>
          </w:p>
          <w:p w14:paraId="6FDD9FA0">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（6）为本招标项目的代建人；</w:t>
            </w:r>
          </w:p>
          <w:p w14:paraId="32780C4A">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（7）为本招标项目的招标代理机构；</w:t>
            </w:r>
          </w:p>
          <w:p w14:paraId="317E8406">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（8）与本招标项目的监理人或代建人或招标代理机构同为一个法定代表人；</w:t>
            </w:r>
          </w:p>
          <w:p w14:paraId="26E29C52">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（9）与本招标项目的监理人或代建人或招标代理机构存在控股或参股关系；</w:t>
            </w:r>
          </w:p>
          <w:p w14:paraId="22ABB9C2">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（10）与本招标项目的监理人或代建人或招标代理机构存在相互任职或工作关系；</w:t>
            </w:r>
          </w:p>
          <w:p w14:paraId="1A90C8CC">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（11）被依法暂停或者取消投标资格；</w:t>
            </w:r>
          </w:p>
          <w:p w14:paraId="5ECB49EF">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（12）被责令停产停业、暂扣或者吊销许可证、暂扣或者吊销执照；</w:t>
            </w:r>
          </w:p>
          <w:p w14:paraId="6680F65B">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（13）进入清算程序，或被宣告破产，或其他丧失履约能力的情形；</w:t>
            </w:r>
          </w:p>
          <w:p w14:paraId="15F8AB56">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3FEB3425">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4.2 招标人拒绝以下名单中的单位参加本次投标：</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8"/>
              <w:gridCol w:w="3791"/>
              <w:gridCol w:w="3558"/>
            </w:tblGrid>
            <w:tr w14:paraId="1AB1B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18" w:type="dxa"/>
                  <w:noWrap w:val="0"/>
                  <w:vAlign w:val="center"/>
                </w:tcPr>
                <w:p w14:paraId="219E8BE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791" w:type="dxa"/>
                  <w:noWrap w:val="0"/>
                  <w:vAlign w:val="center"/>
                </w:tcPr>
                <w:p w14:paraId="28B376AC">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558" w:type="dxa"/>
                  <w:noWrap w:val="0"/>
                  <w:vAlign w:val="center"/>
                </w:tcPr>
                <w:p w14:paraId="7D448FB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006D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18" w:type="dxa"/>
                  <w:noWrap w:val="0"/>
                  <w:vAlign w:val="center"/>
                </w:tcPr>
                <w:p w14:paraId="78F67FAB">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w:t>
                  </w:r>
                </w:p>
              </w:tc>
              <w:tc>
                <w:tcPr>
                  <w:tcW w:w="3791" w:type="dxa"/>
                  <w:noWrap w:val="0"/>
                  <w:vAlign w:val="center"/>
                </w:tcPr>
                <w:p w14:paraId="02E6C4DC">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中图设计有限公司</w:t>
                  </w:r>
                </w:p>
              </w:tc>
              <w:tc>
                <w:tcPr>
                  <w:tcW w:w="3558" w:type="dxa"/>
                  <w:noWrap w:val="0"/>
                  <w:vAlign w:val="center"/>
                </w:tcPr>
                <w:p w14:paraId="598F6AC8">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造价</w:t>
                  </w:r>
                  <w:r>
                    <w:rPr>
                      <w:rFonts w:hint="eastAsia" w:ascii="宋体" w:hAnsi="宋体" w:eastAsia="宋体" w:cs="宋体"/>
                      <w:color w:val="auto"/>
                      <w:sz w:val="24"/>
                      <w:szCs w:val="24"/>
                      <w:highlight w:val="none"/>
                    </w:rPr>
                    <w:t>单位</w:t>
                  </w:r>
                </w:p>
              </w:tc>
            </w:tr>
            <w:tr w14:paraId="4D02B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18" w:type="dxa"/>
                  <w:noWrap w:val="0"/>
                  <w:vAlign w:val="center"/>
                </w:tcPr>
                <w:p w14:paraId="291919F0">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3791" w:type="dxa"/>
                  <w:noWrap w:val="0"/>
                  <w:vAlign w:val="center"/>
                </w:tcPr>
                <w:p w14:paraId="4C4A05E7">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中亿国际设计集团有限公司</w:t>
                  </w:r>
                </w:p>
              </w:tc>
              <w:tc>
                <w:tcPr>
                  <w:tcW w:w="3558" w:type="dxa"/>
                  <w:noWrap w:val="0"/>
                  <w:vAlign w:val="center"/>
                </w:tcPr>
                <w:p w14:paraId="1C099387">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为本招标项目的设计单位</w:t>
                  </w:r>
                </w:p>
              </w:tc>
            </w:tr>
            <w:tr w14:paraId="77C63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18" w:type="dxa"/>
                  <w:noWrap w:val="0"/>
                  <w:vAlign w:val="center"/>
                </w:tcPr>
                <w:p w14:paraId="621FAFC1">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3</w:t>
                  </w:r>
                </w:p>
              </w:tc>
              <w:tc>
                <w:tcPr>
                  <w:tcW w:w="3791" w:type="dxa"/>
                  <w:noWrap w:val="0"/>
                  <w:vAlign w:val="center"/>
                </w:tcPr>
                <w:p w14:paraId="35689255">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韶关众信项目管理有限公司</w:t>
                  </w:r>
                </w:p>
              </w:tc>
              <w:tc>
                <w:tcPr>
                  <w:tcW w:w="3558" w:type="dxa"/>
                  <w:noWrap w:val="0"/>
                  <w:vAlign w:val="center"/>
                </w:tcPr>
                <w:p w14:paraId="0C7AA57D">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7EB4F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8" w:type="dxa"/>
                  <w:noWrap w:val="0"/>
                  <w:vAlign w:val="center"/>
                </w:tcPr>
                <w:p w14:paraId="6A75E1EA">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4</w:t>
                  </w:r>
                </w:p>
              </w:tc>
              <w:tc>
                <w:tcPr>
                  <w:tcW w:w="3791" w:type="dxa"/>
                  <w:noWrap w:val="0"/>
                  <w:vAlign w:val="center"/>
                </w:tcPr>
                <w:p w14:paraId="060547EF">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乐昌市庆云镇人民政府</w:t>
                  </w:r>
                </w:p>
              </w:tc>
              <w:tc>
                <w:tcPr>
                  <w:tcW w:w="3558" w:type="dxa"/>
                  <w:noWrap w:val="0"/>
                  <w:vAlign w:val="center"/>
                </w:tcPr>
                <w:p w14:paraId="1219A10A">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7327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8" w:type="dxa"/>
                  <w:noWrap w:val="0"/>
                  <w:vAlign w:val="center"/>
                </w:tcPr>
                <w:p w14:paraId="4407F704">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3791" w:type="dxa"/>
                  <w:noWrap w:val="0"/>
                  <w:vAlign w:val="center"/>
                </w:tcPr>
                <w:p w14:paraId="72B75B72">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韶关德光勘测工程有限公司</w:t>
                  </w:r>
                </w:p>
              </w:tc>
              <w:tc>
                <w:tcPr>
                  <w:tcW w:w="3558" w:type="dxa"/>
                  <w:noWrap w:val="0"/>
                  <w:vAlign w:val="center"/>
                </w:tcPr>
                <w:p w14:paraId="43FAEA8A">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为本招标项目的</w:t>
                  </w:r>
                  <w:r>
                    <w:rPr>
                      <w:rFonts w:hint="eastAsia" w:ascii="宋体" w:hAnsi="宋体" w:cs="宋体"/>
                      <w:color w:val="auto"/>
                      <w:sz w:val="24"/>
                      <w:szCs w:val="24"/>
                      <w:highlight w:val="none"/>
                      <w:lang w:val="en-US" w:eastAsia="zh-CN"/>
                    </w:rPr>
                    <w:t>测绘</w:t>
                  </w:r>
                  <w:r>
                    <w:rPr>
                      <w:rFonts w:hint="eastAsia" w:ascii="宋体" w:hAnsi="宋体" w:eastAsia="宋体" w:cs="宋体"/>
                      <w:color w:val="auto"/>
                      <w:sz w:val="24"/>
                      <w:szCs w:val="24"/>
                      <w:highlight w:val="none"/>
                      <w:lang w:val="en-US" w:eastAsia="zh-CN"/>
                    </w:rPr>
                    <w:t>单位</w:t>
                  </w:r>
                </w:p>
              </w:tc>
            </w:tr>
            <w:tr w14:paraId="1B28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8" w:type="dxa"/>
                  <w:noWrap w:val="0"/>
                  <w:vAlign w:val="center"/>
                </w:tcPr>
                <w:p w14:paraId="25B00356">
                  <w:pPr>
                    <w:pStyle w:val="136"/>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3791" w:type="dxa"/>
                  <w:noWrap w:val="0"/>
                  <w:vAlign w:val="center"/>
                </w:tcPr>
                <w:p w14:paraId="4B8E6031">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乐昌市农业农村局(乐昌市乡村振兴局)</w:t>
                  </w:r>
                </w:p>
              </w:tc>
              <w:tc>
                <w:tcPr>
                  <w:tcW w:w="3558" w:type="dxa"/>
                  <w:noWrap w:val="0"/>
                  <w:vAlign w:val="center"/>
                </w:tcPr>
                <w:p w14:paraId="72C44426">
                  <w:pPr>
                    <w:pStyle w:val="136"/>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监督单位</w:t>
                  </w:r>
                </w:p>
              </w:tc>
            </w:tr>
            <w:tr w14:paraId="449AA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18" w:type="dxa"/>
                  <w:noWrap w:val="0"/>
                  <w:vAlign w:val="center"/>
                </w:tcPr>
                <w:p w14:paraId="1C696E5C">
                  <w:pPr>
                    <w:pStyle w:val="136"/>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3791" w:type="dxa"/>
                  <w:noWrap w:val="0"/>
                  <w:vAlign w:val="center"/>
                </w:tcPr>
                <w:p w14:paraId="41CBC22A">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世纪工程项目管理有限公司</w:t>
                  </w:r>
                </w:p>
              </w:tc>
              <w:tc>
                <w:tcPr>
                  <w:tcW w:w="3558" w:type="dxa"/>
                  <w:noWrap w:val="0"/>
                  <w:vAlign w:val="center"/>
                </w:tcPr>
                <w:p w14:paraId="1F7A8524">
                  <w:pPr>
                    <w:pStyle w:val="136"/>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cs="宋体"/>
                      <w:snapToGrid w:val="0"/>
                      <w:color w:val="auto"/>
                      <w:kern w:val="0"/>
                      <w:sz w:val="24"/>
                      <w:szCs w:val="24"/>
                      <w:highlight w:val="none"/>
                      <w:lang w:val="en-US" w:eastAsia="zh-CN"/>
                    </w:rPr>
                    <w:t>可研编制</w:t>
                  </w:r>
                  <w:r>
                    <w:rPr>
                      <w:rFonts w:hint="eastAsia" w:ascii="宋体" w:hAnsi="宋体" w:eastAsia="宋体" w:cs="宋体"/>
                      <w:snapToGrid w:val="0"/>
                      <w:color w:val="auto"/>
                      <w:kern w:val="0"/>
                      <w:sz w:val="24"/>
                      <w:szCs w:val="24"/>
                      <w:highlight w:val="none"/>
                      <w:lang w:val="en-US" w:eastAsia="zh-CN"/>
                    </w:rPr>
                    <w:t>单位</w:t>
                  </w:r>
                </w:p>
              </w:tc>
            </w:tr>
          </w:tbl>
          <w:p w14:paraId="427119F9">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5．其他要求</w:t>
            </w:r>
          </w:p>
          <w:p w14:paraId="3EBCBD77">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272FB9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698CE4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154C681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05EBAC7">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1．投标人须缴纳金额为人民币</w:t>
            </w:r>
            <w:r>
              <w:rPr>
                <w:rFonts w:hint="eastAsia" w:hAnsi="宋体" w:cs="宋体"/>
                <w:b/>
                <w:bCs/>
                <w:snapToGrid w:val="0"/>
                <w:color w:val="auto"/>
                <w:kern w:val="0"/>
                <w:sz w:val="24"/>
                <w:szCs w:val="24"/>
                <w:highlight w:val="none"/>
                <w:u w:val="single"/>
                <w:lang w:val="en-US" w:eastAsia="zh-CN"/>
              </w:rPr>
              <w:t>10</w:t>
            </w:r>
            <w:r>
              <w:rPr>
                <w:rFonts w:hint="eastAsia" w:ascii="宋体" w:hAnsi="宋体" w:eastAsia="宋体" w:cs="宋体"/>
                <w:b/>
                <w:bCs/>
                <w:snapToGrid w:val="0"/>
                <w:color w:val="auto"/>
                <w:kern w:val="0"/>
                <w:sz w:val="24"/>
                <w:szCs w:val="24"/>
                <w:highlight w:val="none"/>
                <w:u w:val="single"/>
                <w:lang w:val="en-US" w:eastAsia="zh-CN"/>
              </w:rPr>
              <w:t>万元</w:t>
            </w:r>
            <w:r>
              <w:rPr>
                <w:rFonts w:hint="eastAsia" w:ascii="宋体" w:hAnsi="宋体" w:eastAsia="宋体" w:cs="宋体"/>
                <w:snapToGrid w:val="0"/>
                <w:color w:val="auto"/>
                <w:kern w:val="0"/>
                <w:sz w:val="24"/>
                <w:szCs w:val="24"/>
                <w:highlight w:val="none"/>
              </w:rPr>
              <w:t xml:space="preserve">的投标保证。 </w:t>
            </w:r>
          </w:p>
          <w:p w14:paraId="61546BCA">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2．投标保证的形式包括投标保证金、投标保证担保、投标保证保险三种，由投标人自主选择。</w:t>
            </w:r>
          </w:p>
          <w:p w14:paraId="474B25F5">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15420630">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153557F9">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w:t>
            </w:r>
            <w:r>
              <w:rPr>
                <w:rFonts w:hint="eastAsia" w:ascii="宋体" w:hAnsi="宋体" w:eastAsia="宋体" w:cs="宋体"/>
                <w:snapToGrid w:val="0"/>
                <w:color w:val="auto"/>
                <w:kern w:val="0"/>
                <w:sz w:val="24"/>
                <w:szCs w:val="24"/>
                <w:highlight w:val="none"/>
                <w:lang w:eastAsia="zh-CN"/>
              </w:rPr>
              <w:t>在【服务指南】栏目中下载《韶关市公共资源建设工程交易系统-投标人操作指南》，了解网上投保具体操作流程。逾期投保的，其投标无效。</w:t>
            </w:r>
          </w:p>
          <w:p w14:paraId="0DB566A1">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416664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08CB4DD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17F06E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投标有效期</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8266D7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本次招标的投标有效期为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bCs/>
                <w:snapToGrid w:val="0"/>
                <w:color w:val="auto"/>
                <w:kern w:val="0"/>
                <w:sz w:val="24"/>
                <w:szCs w:val="24"/>
                <w:highlight w:val="none"/>
                <w:u w:val="single"/>
                <w:lang w:val="en-US" w:eastAsia="zh-CN"/>
              </w:rPr>
              <w:t>90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个日历天。</w:t>
            </w:r>
          </w:p>
        </w:tc>
      </w:tr>
      <w:tr w14:paraId="410DF1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01346D0C">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758CB85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w:t>
            </w:r>
          </w:p>
          <w:p w14:paraId="66AE878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组成</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709A65AC">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投标文件包括商务标书、经济标书、施工组织设计三个分册。</w:t>
            </w:r>
          </w:p>
        </w:tc>
      </w:tr>
      <w:tr w14:paraId="458E50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A8AE3B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28C8E53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施工组织设计</w:t>
            </w:r>
          </w:p>
          <w:p w14:paraId="29559B9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评审方式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23CD5B0C">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本次招标施工组织设计</w:t>
            </w:r>
            <w:r>
              <w:rPr>
                <w:rFonts w:hint="eastAsia" w:ascii="宋体" w:hAnsi="宋体" w:eastAsia="宋体" w:cs="宋体"/>
                <w:snapToGrid w:val="0"/>
                <w:color w:val="auto"/>
                <w:kern w:val="0"/>
                <w:sz w:val="24"/>
                <w:szCs w:val="24"/>
                <w:highlight w:val="none"/>
                <w:u w:val="single"/>
              </w:rPr>
              <w:t xml:space="preserve"> 不采用 </w:t>
            </w:r>
            <w:r>
              <w:rPr>
                <w:rFonts w:hint="eastAsia" w:ascii="宋体" w:hAnsi="宋体" w:eastAsia="宋体" w:cs="宋体"/>
                <w:snapToGrid w:val="0"/>
                <w:color w:val="auto"/>
                <w:kern w:val="0"/>
                <w:sz w:val="24"/>
                <w:szCs w:val="24"/>
                <w:highlight w:val="none"/>
              </w:rPr>
              <w:t>“暗标”方式进行评审。</w:t>
            </w:r>
          </w:p>
        </w:tc>
      </w:tr>
      <w:tr w14:paraId="4C86D5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A7829B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CA88E7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57F21DE0">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评标委员会由</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人组成，其中招标人代表</w:t>
            </w:r>
            <w:r>
              <w:rPr>
                <w:rFonts w:hint="eastAsia" w:ascii="宋体" w:hAnsi="宋体" w:eastAsia="宋体" w:cs="宋体"/>
                <w:snapToGrid w:val="0"/>
                <w:color w:val="auto"/>
                <w:kern w:val="0"/>
                <w:sz w:val="24"/>
                <w:szCs w:val="24"/>
                <w:highlight w:val="none"/>
                <w:u w:val="single"/>
              </w:rPr>
              <w:t xml:space="preserve"> 0 </w:t>
            </w:r>
            <w:r>
              <w:rPr>
                <w:rFonts w:hint="eastAsia" w:ascii="宋体" w:hAnsi="宋体" w:eastAsia="宋体" w:cs="宋体"/>
                <w:snapToGrid w:val="0"/>
                <w:color w:val="auto"/>
                <w:kern w:val="0"/>
                <w:sz w:val="24"/>
                <w:szCs w:val="24"/>
                <w:highlight w:val="none"/>
              </w:rPr>
              <w:t>人，专家</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人。专家从</w:t>
            </w:r>
            <w:r>
              <w:rPr>
                <w:rFonts w:hint="eastAsia" w:ascii="宋体" w:hAnsi="宋体" w:eastAsia="宋体" w:cs="宋体"/>
                <w:snapToGrid w:val="0"/>
                <w:color w:val="auto"/>
                <w:kern w:val="0"/>
                <w:sz w:val="24"/>
                <w:szCs w:val="24"/>
                <w:highlight w:val="none"/>
                <w:u w:val="single"/>
              </w:rPr>
              <w:t>广东省综合评标评审专家库</w:t>
            </w:r>
            <w:r>
              <w:rPr>
                <w:rFonts w:hint="eastAsia" w:hAnsi="宋体" w:cs="宋体"/>
                <w:snapToGrid w:val="0"/>
                <w:color w:val="auto"/>
                <w:kern w:val="0"/>
                <w:sz w:val="24"/>
                <w:szCs w:val="24"/>
                <w:highlight w:val="none"/>
                <w:u w:val="single"/>
                <w:lang w:val="en-US" w:eastAsia="zh-CN"/>
              </w:rPr>
              <w:t>-韶关区域</w:t>
            </w:r>
            <w:r>
              <w:rPr>
                <w:rFonts w:hint="eastAsia" w:ascii="宋体" w:hAnsi="宋体" w:eastAsia="宋体" w:cs="宋体"/>
                <w:snapToGrid w:val="0"/>
                <w:color w:val="auto"/>
                <w:kern w:val="0"/>
                <w:sz w:val="24"/>
                <w:szCs w:val="24"/>
                <w:highlight w:val="none"/>
              </w:rPr>
              <w:t>中随机抽取，其中技术类专家</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人，经济类专家</w:t>
            </w:r>
            <w:r>
              <w:rPr>
                <w:rFonts w:hint="eastAsia" w:ascii="宋体" w:hAnsi="宋体" w:eastAsia="宋体" w:cs="宋体"/>
                <w:snapToGrid w:val="0"/>
                <w:color w:val="auto"/>
                <w:kern w:val="0"/>
                <w:sz w:val="24"/>
                <w:szCs w:val="24"/>
                <w:highlight w:val="none"/>
                <w:u w:val="single"/>
              </w:rPr>
              <w:t xml:space="preserve"> 2 </w:t>
            </w:r>
            <w:r>
              <w:rPr>
                <w:rFonts w:hint="eastAsia" w:ascii="宋体" w:hAnsi="宋体" w:eastAsia="宋体" w:cs="宋体"/>
                <w:snapToGrid w:val="0"/>
                <w:color w:val="auto"/>
                <w:kern w:val="0"/>
                <w:sz w:val="24"/>
                <w:szCs w:val="24"/>
                <w:highlight w:val="none"/>
              </w:rPr>
              <w:t>人。</w:t>
            </w:r>
          </w:p>
        </w:tc>
      </w:tr>
      <w:tr w14:paraId="4F7F99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45496C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F3BD1D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评标方法</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F102AA9">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综合评估法</w:t>
            </w:r>
          </w:p>
        </w:tc>
      </w:tr>
      <w:tr w14:paraId="7968CA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19CC47C7">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28</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007952E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p w14:paraId="3FED06F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1CCADAB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hAnsi="宋体" w:cs="宋体"/>
                <w:snapToGrid w:val="0"/>
                <w:color w:val="auto"/>
                <w:kern w:val="0"/>
                <w:sz w:val="24"/>
                <w:szCs w:val="24"/>
                <w:highlight w:val="none"/>
                <w:lang w:eastAsia="zh-CN"/>
              </w:rPr>
              <w:t>乐昌市庆云镇人民政府</w:t>
            </w:r>
          </w:p>
          <w:p w14:paraId="3D9D11F4">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办公地址：韶关市乐昌市庆云镇政府</w:t>
            </w:r>
          </w:p>
          <w:p w14:paraId="2516A4A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联系人（部门）：</w:t>
            </w:r>
            <w:r>
              <w:rPr>
                <w:rFonts w:hint="eastAsia" w:hAnsi="宋体" w:cs="宋体"/>
                <w:snapToGrid w:val="0"/>
                <w:color w:val="auto"/>
                <w:kern w:val="0"/>
                <w:sz w:val="24"/>
                <w:szCs w:val="24"/>
                <w:highlight w:val="none"/>
                <w:lang w:val="en-US" w:eastAsia="zh-CN"/>
              </w:rPr>
              <w:t>陈工</w:t>
            </w:r>
          </w:p>
          <w:p w14:paraId="461153CF">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联系电话：0751-5700688</w:t>
            </w:r>
          </w:p>
        </w:tc>
      </w:tr>
      <w:tr w14:paraId="05D27A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BA8A97A">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29</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32E04E9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p w14:paraId="1F0BF6C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49B2575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hAnsi="宋体" w:cs="宋体"/>
                <w:snapToGrid w:val="0"/>
                <w:color w:val="auto"/>
                <w:kern w:val="0"/>
                <w:sz w:val="24"/>
                <w:szCs w:val="24"/>
                <w:highlight w:val="none"/>
                <w:lang w:eastAsia="zh-CN"/>
              </w:rPr>
              <w:t>韶关众信项目管理有限公司</w:t>
            </w:r>
          </w:p>
          <w:p w14:paraId="27DF7349">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办公地址：</w:t>
            </w:r>
            <w:r>
              <w:rPr>
                <w:rFonts w:hint="eastAsia" w:ascii="宋体" w:hAnsi="宋体" w:eastAsia="宋体" w:cs="宋体"/>
                <w:snapToGrid w:val="0"/>
                <w:color w:val="auto"/>
                <w:kern w:val="0"/>
                <w:sz w:val="24"/>
                <w:szCs w:val="24"/>
                <w:highlight w:val="none"/>
                <w:lang w:val="en-US" w:eastAsia="zh-CN" w:bidi="ar-SA"/>
              </w:rPr>
              <w:t>韶关市武江区西联镇老阳山村323线旁新五洲国际汽配用品商贸城A1幢610号</w:t>
            </w:r>
          </w:p>
          <w:p w14:paraId="33CE60DB">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联系人（</w:t>
            </w:r>
            <w:r>
              <w:rPr>
                <w:rFonts w:hint="eastAsia" w:ascii="宋体" w:hAnsi="宋体" w:eastAsia="宋体" w:cs="宋体"/>
                <w:snapToGrid w:val="0"/>
                <w:color w:val="auto"/>
                <w:kern w:val="0"/>
                <w:sz w:val="24"/>
                <w:szCs w:val="24"/>
                <w:highlight w:val="none"/>
                <w:lang w:eastAsia="zh-CN"/>
              </w:rPr>
              <w:t>部门）</w:t>
            </w:r>
            <w:r>
              <w:rPr>
                <w:rFonts w:hint="eastAsia" w:ascii="宋体" w:hAnsi="宋体" w:eastAsia="宋体" w:cs="宋体"/>
                <w:snapToGrid w:val="0"/>
                <w:color w:val="auto"/>
                <w:kern w:val="0"/>
                <w:sz w:val="24"/>
                <w:szCs w:val="24"/>
                <w:highlight w:val="none"/>
                <w:lang w:val="en-US" w:eastAsia="zh-CN" w:bidi="ar-SA"/>
              </w:rPr>
              <w:t>：张工</w:t>
            </w:r>
          </w:p>
          <w:p w14:paraId="465685D3">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default" w:ascii="宋体" w:hAnsi="宋体" w:eastAsia="宋体" w:cs="宋体"/>
                <w:snapToGrid w:val="0"/>
                <w:color w:val="auto"/>
                <w:kern w:val="0"/>
                <w:sz w:val="24"/>
                <w:szCs w:val="24"/>
                <w:highlight w:val="none"/>
                <w:lang w:val="en-US"/>
              </w:rPr>
            </w:pPr>
            <w:r>
              <w:rPr>
                <w:rFonts w:hint="eastAsia" w:ascii="宋体" w:hAnsi="宋体" w:eastAsia="宋体" w:cs="宋体"/>
                <w:snapToGrid w:val="0"/>
                <w:color w:val="auto"/>
                <w:kern w:val="0"/>
                <w:sz w:val="24"/>
                <w:szCs w:val="24"/>
                <w:highlight w:val="none"/>
              </w:rPr>
              <w:t>联系电</w:t>
            </w:r>
            <w:r>
              <w:rPr>
                <w:rFonts w:hint="eastAsia" w:ascii="宋体" w:hAnsi="宋体" w:eastAsia="宋体" w:cs="宋体"/>
                <w:snapToGrid w:val="0"/>
                <w:color w:val="auto"/>
                <w:kern w:val="0"/>
                <w:sz w:val="24"/>
                <w:szCs w:val="24"/>
                <w:highlight w:val="none"/>
                <w:lang w:eastAsia="zh-CN"/>
              </w:rPr>
              <w:t>话：</w:t>
            </w:r>
            <w:r>
              <w:rPr>
                <w:rFonts w:hint="eastAsia" w:ascii="宋体" w:hAnsi="宋体" w:eastAsia="宋体" w:cs="宋体"/>
                <w:strike w:val="0"/>
                <w:dstrike w:val="0"/>
                <w:snapToGrid w:val="0"/>
                <w:color w:val="auto"/>
                <w:kern w:val="0"/>
                <w:sz w:val="24"/>
                <w:szCs w:val="24"/>
                <w:highlight w:val="none"/>
                <w:lang w:val="en-US" w:eastAsia="zh-CN"/>
              </w:rPr>
              <w:t>0751-8821012</w:t>
            </w:r>
          </w:p>
        </w:tc>
      </w:tr>
      <w:tr w14:paraId="521E9E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009B1A78">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30</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DB0542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交易场所</w:t>
            </w:r>
          </w:p>
          <w:p w14:paraId="0C124CE5">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6C4A8FF2">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单位名称：韶关市公共资源交易中心</w:t>
            </w:r>
          </w:p>
          <w:p w14:paraId="16008F4A">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办公地址：乐昌市昌山北路23号韶关市公共资源交易中心乐昌分中心</w:t>
            </w:r>
          </w:p>
          <w:p w14:paraId="5FCCD17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联系人（部门）：工程交易部</w:t>
            </w:r>
          </w:p>
          <w:p w14:paraId="3D659A8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联系电话：0751-5570106</w:t>
            </w:r>
          </w:p>
        </w:tc>
      </w:tr>
      <w:bookmarkEnd w:id="12"/>
      <w:tr w14:paraId="35E60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59CB0AD">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bookmarkStart w:id="16" w:name="_Toc122769943"/>
            <w:bookmarkStart w:id="17" w:name="_Toc122859103"/>
            <w:bookmarkStart w:id="18" w:name="_Toc5853"/>
            <w:bookmarkStart w:id="19" w:name="_Toc122671103"/>
            <w:r>
              <w:rPr>
                <w:rFonts w:hint="eastAsia" w:hAnsi="宋体" w:cs="宋体"/>
                <w:snapToGrid w:val="0"/>
                <w:color w:val="auto"/>
                <w:kern w:val="0"/>
                <w:sz w:val="24"/>
                <w:szCs w:val="24"/>
                <w:highlight w:val="none"/>
                <w:lang w:val="en-US" w:eastAsia="zh-CN"/>
              </w:rPr>
              <w:t>31</w:t>
            </w:r>
          </w:p>
        </w:tc>
        <w:tc>
          <w:tcPr>
            <w:tcW w:w="1707" w:type="dxa"/>
            <w:tcBorders>
              <w:top w:val="single" w:color="auto" w:sz="4" w:space="0"/>
              <w:left w:val="single" w:color="auto" w:sz="4" w:space="0"/>
              <w:bottom w:val="single" w:color="auto" w:sz="4" w:space="0"/>
              <w:right w:val="single" w:color="auto" w:sz="4" w:space="0"/>
            </w:tcBorders>
            <w:noWrap w:val="0"/>
            <w:vAlign w:val="center"/>
          </w:tcPr>
          <w:p w14:paraId="66BDEA6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行政监督部门</w:t>
            </w:r>
          </w:p>
          <w:p w14:paraId="14AF60BF">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00" w:type="dxa"/>
            <w:tcBorders>
              <w:top w:val="single" w:color="auto" w:sz="4" w:space="0"/>
              <w:left w:val="single" w:color="auto" w:sz="4" w:space="0"/>
              <w:bottom w:val="single" w:color="auto" w:sz="4" w:space="0"/>
              <w:right w:val="single" w:color="auto" w:sz="4" w:space="0"/>
            </w:tcBorders>
            <w:noWrap w:val="0"/>
            <w:vAlign w:val="center"/>
          </w:tcPr>
          <w:p w14:paraId="325AD830">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单位名称：乐昌市农业农村局(乐昌市乡村振兴局)</w:t>
            </w:r>
          </w:p>
          <w:p w14:paraId="53B50606">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办公地址：韶关市乐昌市大昌路54号</w:t>
            </w:r>
          </w:p>
          <w:p w14:paraId="3F6C5E35">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联系人(部门)：</w:t>
            </w:r>
            <w:r>
              <w:rPr>
                <w:rFonts w:hint="eastAsia" w:ascii="宋体" w:hAnsi="宋体" w:eastAsia="宋体" w:cs="宋体"/>
                <w:color w:val="auto"/>
                <w:sz w:val="24"/>
                <w:szCs w:val="24"/>
                <w:highlight w:val="none"/>
              </w:rPr>
              <w:t>监督股</w:t>
            </w:r>
          </w:p>
          <w:p w14:paraId="2E2F24B4">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联系电话：0751-5502889</w:t>
            </w:r>
          </w:p>
        </w:tc>
      </w:tr>
      <w:bookmarkEnd w:id="16"/>
      <w:bookmarkEnd w:id="17"/>
      <w:bookmarkEnd w:id="18"/>
      <w:bookmarkEnd w:id="19"/>
    </w:tbl>
    <w:p w14:paraId="1EF25035">
      <w:pPr>
        <w:pStyle w:val="4"/>
        <w:wordWrap w:val="0"/>
        <w:autoSpaceDE/>
        <w:autoSpaceDN/>
        <w:snapToGrid w:val="0"/>
        <w:spacing w:before="260" w:after="260" w:line="360" w:lineRule="exact"/>
        <w:jc w:val="both"/>
        <w:rPr>
          <w:rFonts w:hint="eastAsia" w:ascii="宋体" w:hAnsi="宋体" w:eastAsia="宋体" w:cs="宋体"/>
          <w:b/>
          <w:snapToGrid w:val="0"/>
          <w:color w:val="auto"/>
          <w:highlight w:val="none"/>
        </w:rPr>
        <w:sectPr>
          <w:footerReference r:id="rId6" w:type="default"/>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pgNumType w:start="1"/>
          <w:cols w:space="720" w:num="1"/>
          <w:docGrid w:linePitch="327" w:charSpace="0"/>
        </w:sectPr>
      </w:pPr>
    </w:p>
    <w:p w14:paraId="03E98E98">
      <w:pPr>
        <w:pStyle w:val="4"/>
        <w:bidi w:val="0"/>
        <w:rPr>
          <w:rFonts w:hint="eastAsia" w:ascii="宋体" w:hAnsi="宋体" w:eastAsia="宋体" w:cs="宋体"/>
        </w:rPr>
      </w:pPr>
      <w:bookmarkStart w:id="20" w:name="_Toc12786"/>
      <w:bookmarkStart w:id="21" w:name="_Toc27075"/>
      <w:bookmarkStart w:id="22" w:name="_Toc27937"/>
      <w:r>
        <w:rPr>
          <w:rFonts w:hint="eastAsia" w:ascii="宋体" w:hAnsi="宋体" w:eastAsia="宋体" w:cs="宋体"/>
        </w:rPr>
        <w:t>第二节 重要事项时间地点一览表</w:t>
      </w:r>
      <w:bookmarkEnd w:id="20"/>
      <w:bookmarkEnd w:id="21"/>
      <w:bookmarkEnd w:id="22"/>
    </w:p>
    <w:tbl>
      <w:tblPr>
        <w:tblStyle w:val="31"/>
        <w:tblW w:w="9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576"/>
        <w:gridCol w:w="7786"/>
      </w:tblGrid>
      <w:tr w14:paraId="0E38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573" w:type="dxa"/>
            <w:noWrap w:val="0"/>
            <w:vAlign w:val="center"/>
          </w:tcPr>
          <w:p w14:paraId="4AC3F393">
            <w:pPr>
              <w:pStyle w:val="136"/>
              <w:widowControl/>
              <w:spacing w:line="430" w:lineRule="atLeast"/>
              <w:jc w:val="center"/>
              <w:rPr>
                <w:rFonts w:hint="eastAsia" w:ascii="宋体" w:hAnsi="宋体" w:eastAsia="宋体" w:cs="宋体"/>
                <w:color w:val="auto"/>
                <w:kern w:val="0"/>
                <w:sz w:val="24"/>
                <w:szCs w:val="24"/>
                <w:highlight w:val="none"/>
              </w:rPr>
            </w:pPr>
            <w:bookmarkStart w:id="23" w:name="OLE_LINK2"/>
            <w:r>
              <w:rPr>
                <w:rFonts w:hint="eastAsia" w:ascii="宋体" w:hAnsi="宋体" w:eastAsia="宋体" w:cs="宋体"/>
                <w:color w:val="auto"/>
                <w:kern w:val="0"/>
                <w:sz w:val="24"/>
                <w:szCs w:val="24"/>
                <w:highlight w:val="none"/>
              </w:rPr>
              <w:t>1</w:t>
            </w:r>
          </w:p>
        </w:tc>
        <w:tc>
          <w:tcPr>
            <w:tcW w:w="1576" w:type="dxa"/>
            <w:noWrap w:val="0"/>
            <w:vAlign w:val="center"/>
          </w:tcPr>
          <w:p w14:paraId="6F264F79">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招标公告</w:t>
            </w:r>
          </w:p>
          <w:p w14:paraId="275FF2B4">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发布时间</w:t>
            </w:r>
          </w:p>
        </w:tc>
        <w:tc>
          <w:tcPr>
            <w:tcW w:w="7786" w:type="dxa"/>
            <w:noWrap w:val="0"/>
            <w:vAlign w:val="center"/>
          </w:tcPr>
          <w:p w14:paraId="6412179F">
            <w:pPr>
              <w:keepNext w:val="0"/>
              <w:keepLines w:val="0"/>
              <w:pageBreakBefore w:val="0"/>
              <w:kinsoku/>
              <w:wordWrap/>
              <w:overflowPunct/>
              <w:topLinePunct w:val="0"/>
              <w:autoSpaceDE/>
              <w:autoSpaceDN/>
              <w:bidi w:val="0"/>
              <w:adjustRightInd/>
              <w:snapToGrid/>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hAnsi="宋体" w:cs="宋体"/>
                <w:color w:val="auto"/>
                <w:kern w:val="0"/>
                <w:sz w:val="24"/>
                <w:szCs w:val="24"/>
                <w:highlight w:val="none"/>
                <w:lang w:val="en-US" w:eastAsia="zh-CN"/>
              </w:rPr>
              <w:t>8</w:t>
            </w:r>
            <w:r>
              <w:rPr>
                <w:rFonts w:hint="eastAsia" w:ascii="宋体" w:hAnsi="宋体" w:eastAsia="宋体" w:cs="宋体"/>
                <w:color w:val="auto"/>
                <w:kern w:val="0"/>
                <w:sz w:val="24"/>
                <w:szCs w:val="24"/>
                <w:highlight w:val="none"/>
              </w:rPr>
              <w:t>月</w:t>
            </w:r>
            <w:r>
              <w:rPr>
                <w:rFonts w:hint="eastAsia" w:hAnsi="宋体" w:cs="宋体"/>
                <w:color w:val="auto"/>
                <w:kern w:val="0"/>
                <w:sz w:val="24"/>
                <w:szCs w:val="24"/>
                <w:highlight w:val="none"/>
                <w:lang w:val="en-US" w:eastAsia="zh-CN"/>
              </w:rPr>
              <w:t>29</w:t>
            </w:r>
            <w:r>
              <w:rPr>
                <w:rFonts w:hint="eastAsia" w:ascii="宋体" w:hAnsi="宋体" w:eastAsia="宋体" w:cs="宋体"/>
                <w:color w:val="auto"/>
                <w:kern w:val="0"/>
                <w:sz w:val="24"/>
                <w:szCs w:val="24"/>
                <w:highlight w:val="none"/>
              </w:rPr>
              <w:t>日</w:t>
            </w:r>
            <w:r>
              <w:rPr>
                <w:rFonts w:hint="eastAsia" w:hAnsi="宋体" w:cs="宋体"/>
                <w:color w:val="auto"/>
                <w:kern w:val="0"/>
                <w:sz w:val="24"/>
                <w:szCs w:val="24"/>
                <w:highlight w:val="none"/>
                <w:lang w:val="en-US" w:eastAsia="zh-CN"/>
              </w:rPr>
              <w:t>20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 xml:space="preserve"> </w:t>
            </w:r>
            <w:r>
              <w:rPr>
                <w:rFonts w:hint="eastAsia" w:hAnsi="宋体" w:cs="宋体"/>
                <w:color w:val="auto"/>
                <w:kern w:val="0"/>
                <w:sz w:val="24"/>
                <w:szCs w:val="24"/>
                <w:highlight w:val="none"/>
                <w:lang w:val="en-US" w:eastAsia="zh-CN"/>
              </w:rPr>
              <w:t>00</w:t>
            </w:r>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分</w:t>
            </w:r>
          </w:p>
        </w:tc>
      </w:tr>
      <w:tr w14:paraId="2CA72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573" w:type="dxa"/>
            <w:noWrap w:val="0"/>
            <w:vAlign w:val="center"/>
          </w:tcPr>
          <w:p w14:paraId="0C1FA411">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1576" w:type="dxa"/>
            <w:noWrap w:val="0"/>
            <w:vAlign w:val="center"/>
          </w:tcPr>
          <w:p w14:paraId="0EC522E8">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获取招标文件截止时间</w:t>
            </w:r>
          </w:p>
        </w:tc>
        <w:tc>
          <w:tcPr>
            <w:tcW w:w="7786" w:type="dxa"/>
            <w:noWrap w:val="0"/>
            <w:vAlign w:val="center"/>
          </w:tcPr>
          <w:p w14:paraId="4172A84F">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24</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40FC6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573" w:type="dxa"/>
            <w:noWrap w:val="0"/>
            <w:vAlign w:val="center"/>
          </w:tcPr>
          <w:p w14:paraId="21073FDE">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1576" w:type="dxa"/>
            <w:noWrap w:val="0"/>
            <w:vAlign w:val="center"/>
          </w:tcPr>
          <w:p w14:paraId="47F9F92F">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网上提问</w:t>
            </w:r>
          </w:p>
          <w:p w14:paraId="1195D7D7">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截止时间</w:t>
            </w:r>
          </w:p>
        </w:tc>
        <w:tc>
          <w:tcPr>
            <w:tcW w:w="7786" w:type="dxa"/>
            <w:noWrap w:val="0"/>
            <w:vAlign w:val="center"/>
          </w:tcPr>
          <w:p w14:paraId="784088AB">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 xml:space="preserve">9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 xml:space="preserve">14  </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29B38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3" w:type="dxa"/>
            <w:noWrap w:val="0"/>
            <w:vAlign w:val="center"/>
          </w:tcPr>
          <w:p w14:paraId="72FCD689">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1576" w:type="dxa"/>
            <w:noWrap w:val="0"/>
            <w:vAlign w:val="center"/>
          </w:tcPr>
          <w:p w14:paraId="1070966A">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网上答疑</w:t>
            </w:r>
          </w:p>
          <w:p w14:paraId="73070CD1">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时间</w:t>
            </w:r>
          </w:p>
        </w:tc>
        <w:tc>
          <w:tcPr>
            <w:tcW w:w="7786" w:type="dxa"/>
            <w:noWrap w:val="0"/>
            <w:vAlign w:val="center"/>
          </w:tcPr>
          <w:p w14:paraId="1D95A868">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 xml:space="preserve"> 9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 xml:space="preserve"> 14 </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分至</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 xml:space="preserve">9  </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 xml:space="preserve"> 17</w:t>
            </w:r>
            <w:bookmarkStart w:id="387" w:name="_GoBack"/>
            <w:bookmarkEnd w:id="387"/>
            <w:r>
              <w:rPr>
                <w:rFonts w:hint="eastAsia" w:ascii="宋体" w:hAnsi="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lang w:val="en-US" w:eastAsia="zh-CN"/>
              </w:rPr>
              <w:t>0</w:t>
            </w:r>
            <w:r>
              <w:rPr>
                <w:rFonts w:hint="eastAsia" w:ascii="宋体" w:hAnsi="宋体" w:eastAsia="宋体" w:cs="宋体"/>
                <w:color w:val="auto"/>
                <w:kern w:val="0"/>
                <w:sz w:val="24"/>
                <w:szCs w:val="24"/>
                <w:highlight w:val="none"/>
              </w:rPr>
              <w:t>分</w:t>
            </w:r>
          </w:p>
        </w:tc>
      </w:tr>
      <w:tr w14:paraId="2C62E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573" w:type="dxa"/>
            <w:noWrap w:val="0"/>
            <w:vAlign w:val="center"/>
          </w:tcPr>
          <w:p w14:paraId="51EA735C">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1576" w:type="dxa"/>
            <w:noWrap w:val="0"/>
            <w:vAlign w:val="center"/>
          </w:tcPr>
          <w:p w14:paraId="19C3266C">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投标保证缴</w:t>
            </w:r>
          </w:p>
          <w:p w14:paraId="697B9BD6">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纳截止时间</w:t>
            </w:r>
          </w:p>
        </w:tc>
        <w:tc>
          <w:tcPr>
            <w:tcW w:w="7786" w:type="dxa"/>
            <w:noWrap w:val="0"/>
            <w:vAlign w:val="center"/>
          </w:tcPr>
          <w:p w14:paraId="5453517F">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投标保证金到账截止时间：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23</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p w14:paraId="1977505D">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投标保证担保上传截止时间：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23</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p w14:paraId="7A0427C3">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投标保证保险投保截止时间：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23</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160E2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573" w:type="dxa"/>
            <w:noWrap w:val="0"/>
            <w:vAlign w:val="center"/>
          </w:tcPr>
          <w:p w14:paraId="5EF9DBC7">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w:t>
            </w:r>
          </w:p>
        </w:tc>
        <w:tc>
          <w:tcPr>
            <w:tcW w:w="1576" w:type="dxa"/>
            <w:noWrap w:val="0"/>
            <w:vAlign w:val="center"/>
          </w:tcPr>
          <w:p w14:paraId="7CEB49BF">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电子投标</w:t>
            </w:r>
          </w:p>
          <w:p w14:paraId="15FDC19B">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截止时间</w:t>
            </w:r>
          </w:p>
        </w:tc>
        <w:tc>
          <w:tcPr>
            <w:tcW w:w="7786" w:type="dxa"/>
            <w:noWrap w:val="0"/>
            <w:vAlign w:val="center"/>
          </w:tcPr>
          <w:p w14:paraId="76449AA2">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24</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46F1C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573" w:type="dxa"/>
            <w:noWrap w:val="0"/>
            <w:vAlign w:val="center"/>
          </w:tcPr>
          <w:p w14:paraId="40AA20FA">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w:t>
            </w:r>
          </w:p>
        </w:tc>
        <w:tc>
          <w:tcPr>
            <w:tcW w:w="1576" w:type="dxa"/>
            <w:noWrap w:val="0"/>
            <w:vAlign w:val="center"/>
          </w:tcPr>
          <w:p w14:paraId="6EBAF583">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投标相关资料（如有）</w:t>
            </w:r>
          </w:p>
          <w:p w14:paraId="3ED99428">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递交时间</w:t>
            </w:r>
          </w:p>
        </w:tc>
        <w:tc>
          <w:tcPr>
            <w:tcW w:w="7786" w:type="dxa"/>
            <w:noWrap w:val="0"/>
            <w:vAlign w:val="center"/>
          </w:tcPr>
          <w:p w14:paraId="2D6AAF23">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24</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分至</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24</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233B2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573" w:type="dxa"/>
            <w:noWrap w:val="0"/>
            <w:vAlign w:val="center"/>
          </w:tcPr>
          <w:p w14:paraId="42F65B35">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w:t>
            </w:r>
          </w:p>
        </w:tc>
        <w:tc>
          <w:tcPr>
            <w:tcW w:w="1576" w:type="dxa"/>
            <w:noWrap w:val="0"/>
            <w:vAlign w:val="center"/>
          </w:tcPr>
          <w:p w14:paraId="753A3A76">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投标相关资料（如有）</w:t>
            </w:r>
          </w:p>
          <w:p w14:paraId="355B246A">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递交时间</w:t>
            </w:r>
          </w:p>
        </w:tc>
        <w:tc>
          <w:tcPr>
            <w:tcW w:w="7786" w:type="dxa"/>
            <w:noWrap w:val="0"/>
            <w:vAlign w:val="center"/>
          </w:tcPr>
          <w:p w14:paraId="0596B4AA">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递交场所：韶关市公共资源交易中心</w:t>
            </w:r>
          </w:p>
          <w:p w14:paraId="2157A5EE">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地址：韶关市公共资源交易中心乐昌分中心（地址：乐昌市昌山北路23号），具体递交场所以当日现场通知为准。</w:t>
            </w:r>
          </w:p>
        </w:tc>
      </w:tr>
      <w:tr w14:paraId="1C9BF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573" w:type="dxa"/>
            <w:noWrap w:val="0"/>
            <w:vAlign w:val="center"/>
          </w:tcPr>
          <w:p w14:paraId="6B851734">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1576" w:type="dxa"/>
            <w:noWrap w:val="0"/>
            <w:vAlign w:val="center"/>
          </w:tcPr>
          <w:p w14:paraId="51A14E0A">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开标时间</w:t>
            </w:r>
          </w:p>
        </w:tc>
        <w:tc>
          <w:tcPr>
            <w:tcW w:w="7786" w:type="dxa"/>
            <w:noWrap w:val="0"/>
            <w:vAlign w:val="center"/>
          </w:tcPr>
          <w:p w14:paraId="59B9E66D">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cs="宋体"/>
                <w:color w:val="auto"/>
                <w:kern w:val="0"/>
                <w:sz w:val="24"/>
                <w:szCs w:val="24"/>
                <w:highlight w:val="none"/>
                <w:lang w:val="en-US" w:eastAsia="zh-CN"/>
              </w:rPr>
              <w:t>9</w:t>
            </w:r>
            <w:r>
              <w:rPr>
                <w:rFonts w:hint="eastAsia" w:ascii="宋体" w:hAnsi="宋体" w:eastAsia="宋体" w:cs="宋体"/>
                <w:color w:val="auto"/>
                <w:kern w:val="0"/>
                <w:sz w:val="24"/>
                <w:szCs w:val="24"/>
                <w:highlight w:val="none"/>
              </w:rPr>
              <w:t>月</w:t>
            </w:r>
            <w:r>
              <w:rPr>
                <w:rFonts w:hint="eastAsia" w:ascii="宋体" w:hAnsi="宋体" w:cs="宋体"/>
                <w:color w:val="auto"/>
                <w:kern w:val="0"/>
                <w:sz w:val="24"/>
                <w:szCs w:val="24"/>
                <w:highlight w:val="none"/>
                <w:lang w:val="en-US" w:eastAsia="zh-CN"/>
              </w:rPr>
              <w:t>24</w:t>
            </w:r>
            <w:r>
              <w:rPr>
                <w:rFonts w:hint="eastAsia" w:ascii="宋体" w:hAnsi="宋体" w:eastAsia="宋体" w:cs="宋体"/>
                <w:color w:val="auto"/>
                <w:kern w:val="0"/>
                <w:sz w:val="24"/>
                <w:szCs w:val="24"/>
                <w:highlight w:val="none"/>
              </w:rPr>
              <w:t>日</w:t>
            </w:r>
            <w:r>
              <w:rPr>
                <w:rFonts w:hint="eastAsia" w:ascii="宋体" w:hAnsi="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1A210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573" w:type="dxa"/>
            <w:noWrap w:val="0"/>
            <w:vAlign w:val="center"/>
          </w:tcPr>
          <w:p w14:paraId="63C8F01C">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1576" w:type="dxa"/>
            <w:noWrap w:val="0"/>
            <w:vAlign w:val="center"/>
          </w:tcPr>
          <w:p w14:paraId="38748C2D">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开标地点</w:t>
            </w:r>
          </w:p>
        </w:tc>
        <w:tc>
          <w:tcPr>
            <w:tcW w:w="7786" w:type="dxa"/>
            <w:noWrap w:val="0"/>
            <w:vAlign w:val="center"/>
          </w:tcPr>
          <w:p w14:paraId="75EDC2AA">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开标场所：韶关市公共资源交易中心</w:t>
            </w:r>
          </w:p>
          <w:p w14:paraId="5D480D55">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地址：韶关市公共资源交易中心乐昌分中心（地址：乐昌市昌山北路23号），具体开标室以当日现场通知为准。</w:t>
            </w:r>
          </w:p>
        </w:tc>
      </w:tr>
      <w:tr w14:paraId="0DC8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2149" w:type="dxa"/>
            <w:gridSpan w:val="2"/>
            <w:noWrap w:val="0"/>
            <w:vAlign w:val="center"/>
          </w:tcPr>
          <w:p w14:paraId="081A5EFE">
            <w:pPr>
              <w:pStyle w:val="136"/>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c>
          <w:tcPr>
            <w:tcW w:w="7786" w:type="dxa"/>
            <w:noWrap w:val="0"/>
            <w:vAlign w:val="center"/>
          </w:tcPr>
          <w:p w14:paraId="4FB4DA9D">
            <w:pPr>
              <w:pStyle w:val="136"/>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bookmarkEnd w:id="23"/>
    </w:tbl>
    <w:p w14:paraId="116B1DD8">
      <w:pPr>
        <w:pStyle w:val="3"/>
        <w:tabs>
          <w:tab w:val="left" w:pos="885"/>
        </w:tabs>
        <w:wordWrap w:val="0"/>
        <w:autoSpaceDE/>
        <w:autoSpaceDN/>
        <w:snapToGrid w:val="0"/>
        <w:spacing w:line="440" w:lineRule="exact"/>
        <w:ind w:left="885" w:hanging="885"/>
        <w:jc w:val="center"/>
        <w:rPr>
          <w:rFonts w:hint="eastAsia" w:ascii="宋体" w:hAnsi="宋体" w:eastAsia="宋体" w:cs="宋体"/>
          <w:snapToGrid w:val="0"/>
          <w:color w:val="auto"/>
          <w:sz w:val="24"/>
          <w:highlight w:val="none"/>
        </w:rPr>
        <w:sectPr>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cols w:space="720" w:num="1"/>
          <w:docGrid w:linePitch="327" w:charSpace="0"/>
        </w:sectPr>
      </w:pPr>
    </w:p>
    <w:p w14:paraId="0E47CFD2">
      <w:pPr>
        <w:pStyle w:val="4"/>
        <w:bidi w:val="0"/>
        <w:rPr>
          <w:rFonts w:hint="eastAsia" w:ascii="宋体" w:hAnsi="宋体" w:eastAsia="宋体" w:cs="宋体"/>
        </w:rPr>
      </w:pPr>
      <w:bookmarkStart w:id="24" w:name="_Hlt87793819"/>
      <w:bookmarkEnd w:id="24"/>
      <w:bookmarkStart w:id="25" w:name="_Toc16803"/>
      <w:bookmarkStart w:id="26" w:name="_Toc5895"/>
      <w:bookmarkStart w:id="27" w:name="_Toc18202"/>
      <w:bookmarkStart w:id="28" w:name="_Toc30390"/>
      <w:bookmarkStart w:id="29" w:name="_Hlt69698705"/>
      <w:bookmarkStart w:id="30" w:name="_Hlt69698754"/>
      <w:r>
        <w:rPr>
          <w:rFonts w:hint="eastAsia" w:ascii="宋体" w:hAnsi="宋体" w:eastAsia="宋体" w:cs="宋体"/>
        </w:rPr>
        <w:t>第三节 投标人须知</w:t>
      </w:r>
      <w:bookmarkEnd w:id="25"/>
      <w:bookmarkStart w:id="31" w:name="_Hlt69669159"/>
      <w:bookmarkEnd w:id="31"/>
      <w:r>
        <w:rPr>
          <w:rFonts w:hint="eastAsia" w:ascii="宋体" w:hAnsi="宋体" w:eastAsia="宋体" w:cs="宋体"/>
        </w:rPr>
        <w:t>正文</w:t>
      </w:r>
      <w:bookmarkEnd w:id="26"/>
      <w:bookmarkEnd w:id="27"/>
      <w:bookmarkEnd w:id="28"/>
      <w:bookmarkEnd w:id="29"/>
      <w:bookmarkEnd w:id="30"/>
    </w:p>
    <w:p w14:paraId="6B4FD6E0">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b/>
          <w:snapToGrid w:val="0"/>
          <w:color w:val="auto"/>
          <w:highlight w:val="none"/>
        </w:rPr>
      </w:pPr>
      <w:bookmarkStart w:id="32" w:name="_Hlt109358474"/>
      <w:bookmarkEnd w:id="32"/>
      <w:bookmarkStart w:id="33" w:name="_Hlt119991399"/>
      <w:bookmarkEnd w:id="33"/>
      <w:bookmarkStart w:id="34" w:name="_Hlt78795222"/>
      <w:bookmarkEnd w:id="34"/>
      <w:bookmarkStart w:id="35" w:name="_Hlt74474735"/>
      <w:bookmarkEnd w:id="35"/>
      <w:bookmarkStart w:id="36" w:name="_Hlt87948285"/>
      <w:bookmarkEnd w:id="36"/>
      <w:bookmarkStart w:id="37" w:name="_Toc26083"/>
      <w:r>
        <w:rPr>
          <w:rFonts w:hint="eastAsia" w:hAnsi="宋体" w:cs="宋体"/>
          <w:snapToGrid w:val="0"/>
          <w:color w:val="auto"/>
          <w:kern w:val="0"/>
          <w:sz w:val="24"/>
          <w:szCs w:val="24"/>
          <w:highlight w:val="none"/>
          <w:u w:val="single"/>
          <w:lang w:val="en-US" w:eastAsia="zh-CN"/>
        </w:rPr>
        <w:t>庆云镇“金叶子”示范带项目</w:t>
      </w:r>
      <w:r>
        <w:rPr>
          <w:rFonts w:hint="eastAsia" w:ascii="宋体" w:hAnsi="宋体" w:eastAsia="宋体" w:cs="宋体"/>
          <w:snapToGrid w:val="0"/>
          <w:color w:val="auto"/>
          <w:kern w:val="0"/>
          <w:sz w:val="24"/>
          <w:szCs w:val="24"/>
          <w:highlight w:val="none"/>
        </w:rPr>
        <w:t>业经</w:t>
      </w:r>
      <w:r>
        <w:rPr>
          <w:rFonts w:hint="eastAsia" w:ascii="宋体" w:hAnsi="宋体" w:eastAsia="宋体" w:cs="宋体"/>
          <w:snapToGrid w:val="0"/>
          <w:color w:val="auto"/>
          <w:kern w:val="0"/>
          <w:sz w:val="24"/>
          <w:szCs w:val="24"/>
          <w:highlight w:val="none"/>
          <w:u w:val="single"/>
          <w:lang w:val="en-US" w:eastAsia="zh-CN"/>
        </w:rPr>
        <w:t>乐昌市发展和改革局关于庆云镇“金叶子”示范带项目可行性研究报告的批复</w:t>
      </w:r>
      <w:r>
        <w:rPr>
          <w:rFonts w:hint="eastAsia" w:ascii="宋体" w:hAnsi="宋体" w:eastAsia="宋体" w:cs="宋体"/>
          <w:snapToGrid w:val="0"/>
          <w:color w:val="auto"/>
          <w:kern w:val="0"/>
          <w:szCs w:val="24"/>
          <w:highlight w:val="none"/>
          <w:u w:val="single"/>
        </w:rPr>
        <w:t>（</w:t>
      </w:r>
      <w:r>
        <w:rPr>
          <w:rFonts w:hint="eastAsia" w:hAnsi="宋体" w:cs="宋体"/>
          <w:snapToGrid w:val="0"/>
          <w:color w:val="auto"/>
          <w:kern w:val="0"/>
          <w:szCs w:val="24"/>
          <w:highlight w:val="none"/>
          <w:u w:val="single"/>
          <w:lang w:val="en-US" w:eastAsia="zh-CN"/>
        </w:rPr>
        <w:t>乐发改投审〔2024〕73号</w:t>
      </w:r>
      <w:r>
        <w:rPr>
          <w:rFonts w:hint="eastAsia" w:ascii="宋体" w:hAnsi="宋体" w:eastAsia="宋体" w:cs="宋体"/>
          <w:snapToGrid w:val="0"/>
          <w:color w:val="auto"/>
          <w:kern w:val="0"/>
          <w:szCs w:val="24"/>
          <w:highlight w:val="none"/>
          <w:u w:val="single"/>
        </w:rPr>
        <w:t>）</w:t>
      </w:r>
      <w:r>
        <w:rPr>
          <w:rStyle w:val="149"/>
          <w:rFonts w:hint="eastAsia" w:ascii="宋体" w:hAnsi="宋体" w:eastAsia="宋体" w:cs="宋体"/>
          <w:color w:val="auto"/>
          <w:kern w:val="0"/>
          <w:szCs w:val="24"/>
          <w:highlight w:val="none"/>
        </w:rPr>
        <w:t>批准建设</w:t>
      </w:r>
      <w:r>
        <w:rPr>
          <w:rFonts w:hint="eastAsia" w:ascii="宋体" w:hAnsi="宋体" w:eastAsia="宋体" w:cs="宋体"/>
          <w:snapToGrid w:val="0"/>
          <w:color w:val="auto"/>
          <w:kern w:val="0"/>
          <w:szCs w:val="24"/>
          <w:highlight w:val="none"/>
        </w:rPr>
        <w:t>，项目代码为</w:t>
      </w:r>
      <w:r>
        <w:rPr>
          <w:rFonts w:hint="eastAsia" w:hAnsi="宋体" w:cs="宋体"/>
          <w:snapToGrid w:val="0"/>
          <w:color w:val="auto"/>
          <w:kern w:val="0"/>
          <w:szCs w:val="24"/>
          <w:highlight w:val="none"/>
          <w:u w:val="single"/>
          <w:lang w:val="en-US" w:eastAsia="zh-CN"/>
        </w:rPr>
        <w:t>2403-440281-04-01-921401</w:t>
      </w:r>
      <w:r>
        <w:rPr>
          <w:rFonts w:hint="eastAsia" w:ascii="宋体" w:hAnsi="宋体" w:eastAsia="宋体" w:cs="宋体"/>
          <w:snapToGrid w:val="0"/>
          <w:color w:val="auto"/>
          <w:kern w:val="0"/>
          <w:szCs w:val="24"/>
          <w:highlight w:val="none"/>
        </w:rPr>
        <w:t>。本项目业主为</w:t>
      </w:r>
      <w:r>
        <w:rPr>
          <w:rFonts w:hint="eastAsia" w:hAnsi="宋体" w:cs="宋体"/>
          <w:i w:val="0"/>
          <w:iCs w:val="0"/>
          <w:caps w:val="0"/>
          <w:color w:val="auto"/>
          <w:spacing w:val="0"/>
          <w:sz w:val="24"/>
          <w:szCs w:val="24"/>
          <w:highlight w:val="none"/>
          <w:u w:val="single"/>
          <w:shd w:val="clear" w:color="auto" w:fill="FFFFFF"/>
          <w:lang w:eastAsia="zh-CN"/>
        </w:rPr>
        <w:t>乐昌市庆云镇人民政府</w:t>
      </w:r>
      <w:r>
        <w:rPr>
          <w:rFonts w:hint="eastAsia" w:ascii="宋体" w:hAnsi="宋体" w:eastAsia="宋体" w:cs="宋体"/>
          <w:snapToGrid w:val="0"/>
          <w:color w:val="auto"/>
          <w:kern w:val="0"/>
          <w:szCs w:val="24"/>
          <w:highlight w:val="none"/>
        </w:rPr>
        <w:t>，建设资金来自</w:t>
      </w:r>
      <w:r>
        <w:rPr>
          <w:rFonts w:hint="eastAsia" w:ascii="宋体" w:hAnsi="宋体" w:eastAsia="宋体" w:cs="宋体"/>
          <w:snapToGrid w:val="0"/>
          <w:color w:val="auto"/>
          <w:kern w:val="0"/>
          <w:szCs w:val="24"/>
          <w:highlight w:val="none"/>
          <w:u w:val="single"/>
          <w:lang w:val="en-US" w:eastAsia="zh-CN"/>
        </w:rPr>
        <w:t>上级财政资金，不足部分由业主单位自筹解决</w:t>
      </w:r>
      <w:r>
        <w:rPr>
          <w:rFonts w:hint="eastAsia" w:ascii="宋体" w:hAnsi="宋体" w:eastAsia="宋体" w:cs="宋体"/>
          <w:snapToGrid w:val="0"/>
          <w:color w:val="auto"/>
          <w:kern w:val="0"/>
          <w:szCs w:val="24"/>
          <w:highlight w:val="none"/>
          <w:u w:val="single"/>
        </w:rPr>
        <w:t>，</w:t>
      </w:r>
      <w:r>
        <w:rPr>
          <w:rStyle w:val="149"/>
          <w:rFonts w:hint="eastAsia" w:ascii="宋体" w:hAnsi="宋体" w:eastAsia="宋体" w:cs="宋体"/>
          <w:color w:val="auto"/>
          <w:kern w:val="0"/>
          <w:szCs w:val="24"/>
          <w:highlight w:val="none"/>
        </w:rPr>
        <w:t>出资比例为</w:t>
      </w:r>
      <w:r>
        <w:rPr>
          <w:rFonts w:hint="eastAsia" w:ascii="宋体" w:hAnsi="宋体" w:eastAsia="宋体" w:cs="宋体"/>
          <w:snapToGrid w:val="0"/>
          <w:color w:val="auto"/>
          <w:kern w:val="0"/>
          <w:szCs w:val="24"/>
          <w:highlight w:val="none"/>
          <w:u w:val="single"/>
        </w:rPr>
        <w:t>100%</w:t>
      </w:r>
      <w:r>
        <w:rPr>
          <w:rFonts w:hint="eastAsia" w:ascii="宋体" w:hAnsi="宋体" w:eastAsia="宋体" w:cs="宋体"/>
          <w:snapToGrid w:val="0"/>
          <w:color w:val="auto"/>
          <w:kern w:val="0"/>
          <w:szCs w:val="24"/>
          <w:highlight w:val="none"/>
        </w:rPr>
        <w:t>，招标人为</w:t>
      </w:r>
      <w:r>
        <w:rPr>
          <w:rFonts w:hint="eastAsia" w:hAnsi="宋体" w:cs="宋体"/>
          <w:color w:val="auto"/>
          <w:kern w:val="0"/>
          <w:szCs w:val="24"/>
          <w:highlight w:val="none"/>
          <w:u w:val="single"/>
          <w:lang w:eastAsia="zh-CN"/>
        </w:rPr>
        <w:t>乐昌市庆云镇人民政府</w:t>
      </w:r>
      <w:r>
        <w:rPr>
          <w:rFonts w:hint="eastAsia" w:ascii="宋体" w:hAnsi="宋体" w:eastAsia="宋体" w:cs="宋体"/>
          <w:snapToGrid w:val="0"/>
          <w:color w:val="auto"/>
          <w:kern w:val="0"/>
          <w:szCs w:val="24"/>
          <w:highlight w:val="none"/>
        </w:rPr>
        <w:t>，招标代理机构为</w:t>
      </w:r>
      <w:r>
        <w:rPr>
          <w:rFonts w:hint="eastAsia" w:hAnsi="宋体" w:cs="宋体"/>
          <w:color w:val="auto"/>
          <w:kern w:val="0"/>
          <w:szCs w:val="24"/>
          <w:highlight w:val="none"/>
          <w:u w:val="single"/>
          <w:lang w:eastAsia="zh-CN"/>
        </w:rPr>
        <w:t>韶关众信项目管理有限公司</w:t>
      </w:r>
      <w:r>
        <w:rPr>
          <w:rFonts w:hint="eastAsia" w:ascii="宋体" w:hAnsi="宋体" w:eastAsia="宋体" w:cs="宋体"/>
          <w:snapToGrid w:val="0"/>
          <w:color w:val="auto"/>
          <w:kern w:val="0"/>
          <w:szCs w:val="24"/>
          <w:highlight w:val="none"/>
        </w:rPr>
        <w:t>。项目已具备招标条件，现对该项目的</w:t>
      </w:r>
      <w:r>
        <w:rPr>
          <w:rFonts w:hint="eastAsia" w:hAnsi="宋体" w:cs="宋体"/>
          <w:snapToGrid w:val="0"/>
          <w:color w:val="auto"/>
          <w:kern w:val="0"/>
          <w:szCs w:val="24"/>
          <w:highlight w:val="none"/>
          <w:u w:val="single"/>
          <w:lang w:val="en-US" w:eastAsia="zh-CN"/>
        </w:rPr>
        <w:t>土佳寮村二期）施工</w:t>
      </w:r>
      <w:r>
        <w:rPr>
          <w:rFonts w:hint="eastAsia" w:ascii="宋体" w:hAnsi="宋体" w:eastAsia="宋体" w:cs="宋体"/>
          <w:snapToGrid w:val="0"/>
          <w:color w:val="auto"/>
          <w:kern w:val="0"/>
          <w:szCs w:val="24"/>
          <w:highlight w:val="none"/>
        </w:rPr>
        <w:t>进行公开招标。</w:t>
      </w:r>
    </w:p>
    <w:p w14:paraId="7D40808D">
      <w:pPr>
        <w:pStyle w:val="5"/>
        <w:pageBreakBefore w:val="0"/>
        <w:kinsoku/>
        <w:overflowPunct/>
        <w:topLinePunct w:val="0"/>
        <w:autoSpaceDE/>
        <w:autoSpaceDN/>
        <w:bidi w:val="0"/>
        <w:spacing w:beforeLines="0" w:afterLines="0" w:line="360" w:lineRule="auto"/>
        <w:ind w:firstLine="482" w:firstLineChars="200"/>
        <w:textAlignment w:val="auto"/>
        <w:rPr>
          <w:rFonts w:hint="eastAsia" w:ascii="宋体" w:hAnsi="宋体" w:eastAsia="宋体" w:cs="宋体"/>
        </w:rPr>
      </w:pPr>
      <w:bookmarkStart w:id="38" w:name="_Toc25995"/>
      <w:r>
        <w:rPr>
          <w:rFonts w:hint="eastAsia" w:ascii="宋体" w:hAnsi="宋体" w:eastAsia="宋体" w:cs="宋体"/>
        </w:rPr>
        <w:t>1．项目概况、招标范围和标段划分、投标费用</w:t>
      </w:r>
      <w:bookmarkEnd w:id="38"/>
    </w:p>
    <w:p w14:paraId="1EACA4CC">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w:t>
      </w:r>
      <w:r>
        <w:rPr>
          <w:rFonts w:hint="eastAsia" w:ascii="宋体" w:hAnsi="宋体" w:eastAsia="宋体" w:cs="宋体"/>
          <w:snapToGrid w:val="0"/>
          <w:color w:val="auto"/>
          <w:kern w:val="0"/>
          <w:sz w:val="24"/>
          <w:highlight w:val="none"/>
        </w:rPr>
        <w:t xml:space="preserve"> 项目概况</w:t>
      </w:r>
    </w:p>
    <w:p w14:paraId="1BF623B3">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1.1.1</w:t>
      </w:r>
      <w:r>
        <w:rPr>
          <w:rFonts w:hint="eastAsia" w:ascii="宋体" w:hAnsi="宋体" w:eastAsia="宋体" w:cs="宋体"/>
          <w:snapToGrid w:val="0"/>
          <w:color w:val="auto"/>
          <w:kern w:val="0"/>
          <w:sz w:val="24"/>
          <w:szCs w:val="24"/>
          <w:highlight w:val="none"/>
        </w:rPr>
        <w:t xml:space="preserve"> 建设地点：</w:t>
      </w:r>
      <w:r>
        <w:rPr>
          <w:rFonts w:hint="eastAsia" w:ascii="宋体" w:hAnsi="宋体" w:eastAsia="宋体" w:cs="宋体"/>
          <w:snapToGrid w:val="0"/>
          <w:color w:val="auto"/>
          <w:kern w:val="0"/>
          <w:sz w:val="24"/>
          <w:szCs w:val="24"/>
          <w:highlight w:val="none"/>
          <w:u w:val="single"/>
          <w:lang w:val="en-US" w:eastAsia="zh-CN"/>
        </w:rPr>
        <w:t>庆云镇</w:t>
      </w:r>
      <w:r>
        <w:rPr>
          <w:rFonts w:hint="eastAsia" w:hAnsi="宋体" w:cs="宋体"/>
          <w:snapToGrid w:val="0"/>
          <w:color w:val="auto"/>
          <w:kern w:val="0"/>
          <w:sz w:val="24"/>
          <w:szCs w:val="24"/>
          <w:highlight w:val="none"/>
          <w:u w:val="single"/>
          <w:lang w:val="en-US" w:eastAsia="zh-CN"/>
        </w:rPr>
        <w:t>土佳寮村</w:t>
      </w:r>
      <w:r>
        <w:rPr>
          <w:rFonts w:hint="eastAsia" w:ascii="宋体" w:hAnsi="宋体" w:eastAsia="宋体" w:cs="宋体"/>
          <w:snapToGrid w:val="0"/>
          <w:color w:val="auto"/>
          <w:kern w:val="0"/>
          <w:sz w:val="24"/>
          <w:szCs w:val="24"/>
          <w:highlight w:val="none"/>
          <w:u w:val="single"/>
          <w:lang w:val="en-US" w:eastAsia="zh-CN"/>
        </w:rPr>
        <w:t>。</w:t>
      </w:r>
    </w:p>
    <w:p w14:paraId="4366B74E">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
          <w:bCs/>
          <w:snapToGrid w:val="0"/>
          <w:color w:val="auto"/>
          <w:kern w:val="0"/>
          <w:sz w:val="24"/>
          <w:szCs w:val="24"/>
          <w:highlight w:val="none"/>
        </w:rPr>
        <w:t>1.1.2</w:t>
      </w:r>
      <w:r>
        <w:rPr>
          <w:rFonts w:hint="eastAsia" w:ascii="宋体" w:hAnsi="宋体" w:eastAsia="宋体" w:cs="宋体"/>
          <w:snapToGrid w:val="0"/>
          <w:color w:val="auto"/>
          <w:kern w:val="0"/>
          <w:sz w:val="24"/>
          <w:szCs w:val="24"/>
          <w:highlight w:val="none"/>
        </w:rPr>
        <w:t xml:space="preserve"> 建设内容和规模：</w:t>
      </w:r>
      <w:r>
        <w:rPr>
          <w:rFonts w:hint="eastAsia" w:ascii="宋体" w:hAnsi="宋体" w:eastAsia="宋体" w:cs="宋体"/>
          <w:snapToGrid w:val="0"/>
          <w:color w:val="auto"/>
          <w:kern w:val="0"/>
          <w:sz w:val="24"/>
          <w:szCs w:val="24"/>
          <w:highlight w:val="none"/>
          <w:u w:val="single"/>
          <w:lang w:val="en-US" w:eastAsia="zh-CN"/>
        </w:rPr>
        <w:t>巷道改造、村内排水系统建设、机耕路建设、村庄环境整治等基础配套设施建设</w:t>
      </w:r>
      <w:r>
        <w:rPr>
          <w:rFonts w:hint="eastAsia" w:hAnsi="宋体" w:cs="宋体"/>
          <w:snapToGrid w:val="0"/>
          <w:color w:val="auto"/>
          <w:kern w:val="0"/>
          <w:sz w:val="24"/>
          <w:szCs w:val="24"/>
          <w:highlight w:val="none"/>
          <w:u w:val="single"/>
          <w:lang w:val="en-US" w:eastAsia="zh-CN"/>
        </w:rPr>
        <w:t>。</w:t>
      </w:r>
    </w:p>
    <w:p w14:paraId="55657727">
      <w:pPr>
        <w:pStyle w:val="136"/>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u w:val="single"/>
          <w:lang w:val="en-US" w:eastAsia="zh-CN"/>
        </w:rPr>
      </w:pPr>
      <w:r>
        <w:rPr>
          <w:rFonts w:hint="eastAsia" w:ascii="宋体" w:hAnsi="宋体" w:eastAsia="宋体" w:cs="宋体"/>
          <w:snapToGrid w:val="0"/>
          <w:color w:val="auto"/>
          <w:kern w:val="0"/>
          <w:sz w:val="24"/>
          <w:szCs w:val="24"/>
          <w:highlight w:val="none"/>
          <w:u w:val="none"/>
          <w:lang w:val="en-US" w:eastAsia="zh-CN"/>
        </w:rPr>
        <w:t>1.1.3 项目总投资：</w:t>
      </w:r>
      <w:r>
        <w:rPr>
          <w:rFonts w:hint="eastAsia" w:ascii="宋体" w:hAnsi="宋体" w:eastAsia="宋体" w:cs="宋体"/>
          <w:snapToGrid w:val="0"/>
          <w:color w:val="auto"/>
          <w:kern w:val="0"/>
          <w:sz w:val="24"/>
          <w:szCs w:val="24"/>
          <w:highlight w:val="none"/>
          <w:u w:val="single"/>
          <w:lang w:val="en-US" w:eastAsia="zh-CN"/>
        </w:rPr>
        <w:t>项目估算总投资3355.48万元，其中：建安工程费用504.78万元</w:t>
      </w:r>
      <w:r>
        <w:rPr>
          <w:rFonts w:hint="eastAsia" w:ascii="宋体" w:hAnsi="宋体" w:cs="宋体"/>
          <w:snapToGrid w:val="0"/>
          <w:color w:val="auto"/>
          <w:kern w:val="0"/>
          <w:sz w:val="24"/>
          <w:szCs w:val="24"/>
          <w:highlight w:val="none"/>
          <w:u w:val="single"/>
          <w:lang w:val="en-US" w:eastAsia="zh-CN"/>
        </w:rPr>
        <w:t>。</w:t>
      </w:r>
    </w:p>
    <w:p w14:paraId="102F29EC">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 </w:t>
      </w:r>
      <w:r>
        <w:rPr>
          <w:rFonts w:hint="eastAsia" w:ascii="宋体" w:hAnsi="宋体" w:eastAsia="宋体" w:cs="宋体"/>
          <w:snapToGrid w:val="0"/>
          <w:color w:val="auto"/>
          <w:kern w:val="0"/>
          <w:sz w:val="24"/>
          <w:highlight w:val="none"/>
        </w:rPr>
        <w:t>招标范围和标段划分</w:t>
      </w:r>
    </w:p>
    <w:p w14:paraId="77393BAB">
      <w:pPr>
        <w:pStyle w:val="136"/>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highlight w:val="none"/>
          <w:u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 xml:space="preserve"> 招标范围：</w:t>
      </w:r>
      <w:r>
        <w:rPr>
          <w:rFonts w:hint="eastAsia" w:ascii="宋体" w:hAnsi="宋体" w:eastAsia="宋体" w:cs="宋体"/>
          <w:snapToGrid w:val="0"/>
          <w:color w:val="auto"/>
          <w:kern w:val="0"/>
          <w:sz w:val="24"/>
          <w:highlight w:val="none"/>
          <w:u w:val="single"/>
          <w:lang w:val="en-US" w:eastAsia="zh-CN"/>
        </w:rPr>
        <w:t>施工图纸和工程量清单范围内</w:t>
      </w:r>
      <w:r>
        <w:rPr>
          <w:rFonts w:hint="eastAsia" w:ascii="宋体" w:hAnsi="宋体" w:eastAsia="宋体" w:cs="宋体"/>
          <w:snapToGrid w:val="0"/>
          <w:color w:val="auto"/>
          <w:kern w:val="0"/>
          <w:sz w:val="24"/>
          <w:highlight w:val="none"/>
          <w:u w:val="single"/>
        </w:rPr>
        <w:t>等</w:t>
      </w:r>
      <w:r>
        <w:rPr>
          <w:rFonts w:hint="eastAsia" w:ascii="宋体" w:hAnsi="宋体" w:eastAsia="宋体" w:cs="宋体"/>
          <w:snapToGrid w:val="0"/>
          <w:color w:val="auto"/>
          <w:kern w:val="0"/>
          <w:sz w:val="24"/>
          <w:highlight w:val="none"/>
          <w:u w:val="single"/>
          <w:lang w:val="en-US" w:eastAsia="zh-CN"/>
        </w:rPr>
        <w:t>所有</w:t>
      </w:r>
      <w:r>
        <w:rPr>
          <w:rFonts w:hint="eastAsia" w:ascii="宋体" w:hAnsi="宋体" w:eastAsia="宋体" w:cs="宋体"/>
          <w:snapToGrid w:val="0"/>
          <w:color w:val="auto"/>
          <w:kern w:val="0"/>
          <w:sz w:val="24"/>
          <w:highlight w:val="none"/>
          <w:u w:val="single"/>
        </w:rPr>
        <w:t>工程</w:t>
      </w:r>
      <w:r>
        <w:rPr>
          <w:rFonts w:hint="eastAsia" w:ascii="宋体" w:hAnsi="宋体" w:cs="宋体"/>
          <w:snapToGrid w:val="0"/>
          <w:color w:val="auto"/>
          <w:kern w:val="0"/>
          <w:sz w:val="24"/>
          <w:highlight w:val="none"/>
          <w:u w:val="single"/>
          <w:lang w:val="en-US" w:eastAsia="zh-CN"/>
        </w:rPr>
        <w:t>施工</w:t>
      </w:r>
      <w:r>
        <w:rPr>
          <w:rFonts w:hint="eastAsia" w:ascii="宋体" w:hAnsi="宋体" w:eastAsia="宋体" w:cs="宋体"/>
          <w:snapToGrid w:val="0"/>
          <w:color w:val="auto"/>
          <w:kern w:val="0"/>
          <w:sz w:val="24"/>
          <w:highlight w:val="none"/>
          <w:u w:val="single"/>
        </w:rPr>
        <w:t>。</w:t>
      </w:r>
      <w:r>
        <w:rPr>
          <w:rFonts w:hint="eastAsia" w:ascii="宋体" w:hAnsi="宋体" w:eastAsia="宋体" w:cs="宋体"/>
          <w:snapToGrid w:val="0"/>
          <w:color w:val="auto"/>
          <w:kern w:val="0"/>
          <w:sz w:val="24"/>
          <w:highlight w:val="none"/>
          <w:u w:val="none"/>
        </w:rPr>
        <w:t xml:space="preserve">       </w:t>
      </w:r>
    </w:p>
    <w:p w14:paraId="396E0281">
      <w:pPr>
        <w:pStyle w:val="4"/>
        <w:pageBreakBefore w:val="0"/>
        <w:kinsoku/>
        <w:wordWrap w:val="0"/>
        <w:overflowPunct/>
        <w:topLinePunct w:val="0"/>
        <w:autoSpaceDE/>
        <w:autoSpaceDN/>
        <w:bidi w:val="0"/>
        <w:snapToGrid w:val="0"/>
        <w:spacing w:line="360" w:lineRule="auto"/>
        <w:ind w:firstLine="482" w:firstLineChars="200"/>
        <w:jc w:val="both"/>
        <w:textAlignment w:val="auto"/>
        <w:rPr>
          <w:rFonts w:hint="eastAsia" w:ascii="宋体" w:hAnsi="宋体" w:eastAsia="宋体" w:cs="宋体"/>
          <w:b/>
          <w:snapToGrid w:val="0"/>
          <w:color w:val="auto"/>
          <w:highlight w:val="none"/>
        </w:rPr>
      </w:pPr>
      <w:bookmarkStart w:id="39" w:name="_Toc3268"/>
      <w:bookmarkStart w:id="40" w:name="_Toc9332"/>
      <w:bookmarkStart w:id="41" w:name="_Toc19291"/>
      <w:r>
        <w:rPr>
          <w:rFonts w:hint="eastAsia" w:ascii="宋体" w:hAnsi="宋体" w:eastAsia="宋体" w:cs="宋体"/>
          <w:b/>
          <w:bCs/>
          <w:snapToGrid w:val="0"/>
          <w:color w:val="auto"/>
          <w:highlight w:val="none"/>
        </w:rPr>
        <w:t>1.2.2</w:t>
      </w:r>
      <w:r>
        <w:rPr>
          <w:rFonts w:hint="eastAsia" w:ascii="宋体" w:hAnsi="宋体" w:eastAsia="宋体" w:cs="宋体"/>
          <w:snapToGrid w:val="0"/>
          <w:color w:val="auto"/>
          <w:highlight w:val="none"/>
        </w:rPr>
        <w:t xml:space="preserve"> 标段划分：本招标项目不划分标段。</w:t>
      </w:r>
      <w:bookmarkEnd w:id="37"/>
      <w:bookmarkEnd w:id="39"/>
      <w:bookmarkEnd w:id="40"/>
      <w:bookmarkEnd w:id="41"/>
    </w:p>
    <w:p w14:paraId="0032F87A">
      <w:pPr>
        <w:pageBreakBefore w:val="0"/>
        <w:tabs>
          <w:tab w:val="left" w:pos="7020"/>
        </w:tabs>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1.3</w:t>
      </w:r>
      <w:r>
        <w:rPr>
          <w:rFonts w:hint="eastAsia" w:ascii="宋体" w:hAnsi="宋体" w:eastAsia="宋体" w:cs="宋体"/>
          <w:snapToGrid w:val="0"/>
          <w:color w:val="auto"/>
          <w:kern w:val="0"/>
          <w:szCs w:val="24"/>
          <w:highlight w:val="none"/>
        </w:rPr>
        <w:t xml:space="preserve"> 投标费用</w:t>
      </w:r>
      <w:r>
        <w:rPr>
          <w:rFonts w:hint="eastAsia" w:ascii="宋体" w:hAnsi="宋体" w:eastAsia="宋体" w:cs="宋体"/>
          <w:snapToGrid w:val="0"/>
          <w:color w:val="auto"/>
          <w:kern w:val="0"/>
          <w:highlight w:val="none"/>
        </w:rPr>
        <w:t>：投标人应承担所有准备和参加投标的相关费用，不论投标结果如何，招标人均无义务和责任承担这些费用。</w:t>
      </w:r>
    </w:p>
    <w:p w14:paraId="5CEF5FBE">
      <w:pPr>
        <w:pStyle w:val="4"/>
        <w:wordWrap w:val="0"/>
        <w:autoSpaceDE/>
        <w:autoSpaceDN/>
        <w:snapToGrid w:val="0"/>
        <w:spacing w:line="440" w:lineRule="exact"/>
        <w:ind w:firstLine="480"/>
        <w:jc w:val="both"/>
        <w:rPr>
          <w:rFonts w:hint="eastAsia" w:ascii="宋体" w:hAnsi="宋体" w:eastAsia="宋体" w:cs="宋体"/>
          <w:b/>
          <w:snapToGrid w:val="0"/>
          <w:color w:val="auto"/>
          <w:highlight w:val="none"/>
        </w:rPr>
      </w:pPr>
      <w:bookmarkStart w:id="42" w:name="_Toc18676"/>
      <w:bookmarkStart w:id="43" w:name="_Toc15329"/>
    </w:p>
    <w:p w14:paraId="76CFAE3B">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bookmarkStart w:id="44" w:name="_Toc14498"/>
      <w:r>
        <w:rPr>
          <w:rFonts w:hint="eastAsia" w:ascii="宋体" w:hAnsi="宋体" w:eastAsia="宋体" w:cs="宋体"/>
          <w:sz w:val="24"/>
          <w:szCs w:val="24"/>
        </w:rPr>
        <w:t>2．投标人资格要求</w:t>
      </w:r>
      <w:bookmarkEnd w:id="42"/>
      <w:bookmarkEnd w:id="43"/>
      <w:bookmarkEnd w:id="44"/>
      <w:bookmarkStart w:id="45" w:name="_Hlt74496495"/>
      <w:bookmarkEnd w:id="45"/>
    </w:p>
    <w:p w14:paraId="2FF4AC2A">
      <w:pPr>
        <w:wordWrap w:val="0"/>
        <w:adjustRightInd w:val="0"/>
        <w:snapToGrid w:val="0"/>
        <w:spacing w:line="360" w:lineRule="auto"/>
        <w:ind w:firstLine="482" w:firstLineChars="200"/>
        <w:jc w:val="left"/>
        <w:rPr>
          <w:rFonts w:hint="eastAsia" w:ascii="宋体" w:hAnsi="宋体" w:eastAsia="宋体" w:cs="宋体"/>
          <w:snapToGrid w:val="0"/>
          <w:color w:val="auto"/>
          <w:kern w:val="0"/>
          <w:highlight w:val="none"/>
        </w:rPr>
      </w:pPr>
      <w:r>
        <w:rPr>
          <w:rFonts w:hint="eastAsia" w:hAnsi="宋体" w:cs="宋体"/>
          <w:b/>
          <w:bCs/>
          <w:snapToGrid w:val="0"/>
          <w:color w:val="auto"/>
          <w:kern w:val="0"/>
          <w:highlight w:val="none"/>
          <w:lang w:val="en-US" w:eastAsia="zh-CN"/>
        </w:rPr>
        <w:t>2.</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本次招标</w:t>
      </w:r>
      <w:r>
        <w:rPr>
          <w:rFonts w:hint="eastAsia" w:hAnsi="宋体" w:cs="宋体"/>
          <w:snapToGrid w:val="0"/>
          <w:color w:val="auto"/>
          <w:kern w:val="0"/>
          <w:highlight w:val="none"/>
          <w:lang w:val="en-US" w:eastAsia="zh-CN"/>
        </w:rPr>
        <w:t>不</w:t>
      </w:r>
      <w:r>
        <w:rPr>
          <w:rFonts w:hint="eastAsia" w:ascii="宋体" w:hAnsi="宋体" w:eastAsia="宋体" w:cs="宋体"/>
          <w:snapToGrid w:val="0"/>
          <w:color w:val="auto"/>
          <w:kern w:val="0"/>
          <w:highlight w:val="none"/>
        </w:rPr>
        <w:t>接受联合体投标。</w:t>
      </w:r>
    </w:p>
    <w:p w14:paraId="3CFDF61A">
      <w:pPr>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资格资质要求</w:t>
      </w:r>
    </w:p>
    <w:p w14:paraId="346F9D1E">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2.2.1</w:t>
      </w:r>
      <w:r>
        <w:rPr>
          <w:rFonts w:hint="eastAsia" w:ascii="宋体" w:hAnsi="宋体" w:eastAsia="宋体" w:cs="宋体"/>
          <w:snapToGrid w:val="0"/>
          <w:color w:val="auto"/>
          <w:kern w:val="0"/>
          <w:sz w:val="24"/>
          <w:szCs w:val="24"/>
          <w:highlight w:val="none"/>
        </w:rPr>
        <w:t xml:space="preserve"> 投标人须具备独立法人资格，按国家法律经营。</w:t>
      </w:r>
    </w:p>
    <w:p w14:paraId="25B2AA74">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2.2.2</w:t>
      </w:r>
      <w:r>
        <w:rPr>
          <w:rFonts w:hint="eastAsia" w:ascii="宋体" w:hAnsi="宋体" w:eastAsia="宋体" w:cs="宋体"/>
          <w:snapToGrid w:val="0"/>
          <w:color w:val="auto"/>
          <w:kern w:val="0"/>
          <w:sz w:val="24"/>
          <w:szCs w:val="24"/>
          <w:highlight w:val="none"/>
        </w:rPr>
        <w:t xml:space="preserve"> 投标人须持有建设行政主管部门颁发的企业资质证书及安全生产许可证。</w:t>
      </w:r>
    </w:p>
    <w:p w14:paraId="52D212C2">
      <w:pPr>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2.2.3</w:t>
      </w:r>
      <w:r>
        <w:rPr>
          <w:rFonts w:hint="eastAsia" w:ascii="宋体" w:hAnsi="宋体" w:eastAsia="宋体" w:cs="宋体"/>
          <w:snapToGrid w:val="0"/>
          <w:color w:val="auto"/>
          <w:kern w:val="0"/>
          <w:sz w:val="24"/>
          <w:szCs w:val="24"/>
          <w:highlight w:val="none"/>
        </w:rPr>
        <w:t xml:space="preserve"> 投标人须具备以下资质：具备建设行政主管部门颁发的</w:t>
      </w:r>
      <w:r>
        <w:rPr>
          <w:rFonts w:hint="eastAsia" w:ascii="宋体" w:hAnsi="宋体" w:eastAsia="宋体" w:cs="宋体"/>
          <w:b/>
          <w:bCs/>
          <w:snapToGrid w:val="0"/>
          <w:color w:val="auto"/>
          <w:kern w:val="0"/>
          <w:sz w:val="24"/>
          <w:szCs w:val="24"/>
          <w:highlight w:val="none"/>
          <w:u w:val="single"/>
          <w:lang w:eastAsia="zh-CN"/>
        </w:rPr>
        <w:t>建筑工程施工总承包</w:t>
      </w:r>
      <w:r>
        <w:rPr>
          <w:rFonts w:hint="eastAsia" w:hAnsi="宋体" w:cs="宋体"/>
          <w:b/>
          <w:bCs/>
          <w:snapToGrid w:val="0"/>
          <w:color w:val="auto"/>
          <w:kern w:val="0"/>
          <w:sz w:val="24"/>
          <w:szCs w:val="24"/>
          <w:highlight w:val="none"/>
          <w:u w:val="single"/>
          <w:lang w:val="en-US" w:eastAsia="zh-CN"/>
        </w:rPr>
        <w:t>叁</w:t>
      </w:r>
      <w:r>
        <w:rPr>
          <w:rFonts w:hint="eastAsia" w:ascii="宋体" w:hAnsi="宋体" w:eastAsia="宋体" w:cs="宋体"/>
          <w:b/>
          <w:bCs/>
          <w:snapToGrid w:val="0"/>
          <w:color w:val="auto"/>
          <w:kern w:val="0"/>
          <w:sz w:val="24"/>
          <w:szCs w:val="24"/>
          <w:highlight w:val="none"/>
          <w:u w:val="single"/>
          <w:lang w:eastAsia="zh-CN"/>
        </w:rPr>
        <w:t>级以上（含</w:t>
      </w:r>
      <w:r>
        <w:rPr>
          <w:rFonts w:hint="eastAsia" w:hAnsi="宋体" w:cs="宋体"/>
          <w:b/>
          <w:bCs/>
          <w:snapToGrid w:val="0"/>
          <w:color w:val="auto"/>
          <w:kern w:val="0"/>
          <w:sz w:val="24"/>
          <w:szCs w:val="24"/>
          <w:highlight w:val="none"/>
          <w:u w:val="single"/>
          <w:lang w:val="en-US" w:eastAsia="zh-CN"/>
        </w:rPr>
        <w:t>叁</w:t>
      </w:r>
      <w:r>
        <w:rPr>
          <w:rFonts w:hint="eastAsia" w:ascii="宋体" w:hAnsi="宋体" w:eastAsia="宋体" w:cs="宋体"/>
          <w:b/>
          <w:bCs/>
          <w:snapToGrid w:val="0"/>
          <w:color w:val="auto"/>
          <w:kern w:val="0"/>
          <w:sz w:val="24"/>
          <w:szCs w:val="24"/>
          <w:highlight w:val="none"/>
          <w:u w:val="single"/>
          <w:lang w:eastAsia="zh-CN"/>
        </w:rPr>
        <w:t>级）</w:t>
      </w:r>
      <w:r>
        <w:rPr>
          <w:rFonts w:hint="eastAsia" w:hAnsi="宋体" w:cs="宋体"/>
          <w:b/>
          <w:bCs/>
          <w:snapToGrid w:val="0"/>
          <w:color w:val="auto"/>
          <w:kern w:val="0"/>
          <w:sz w:val="24"/>
          <w:szCs w:val="24"/>
          <w:highlight w:val="none"/>
          <w:u w:val="single"/>
          <w:lang w:val="en-US" w:eastAsia="zh-CN"/>
        </w:rPr>
        <w:t>或市政公用工程施工总承包叁级以上（含叁级）</w:t>
      </w:r>
      <w:r>
        <w:rPr>
          <w:rFonts w:hint="eastAsia" w:ascii="宋体" w:hAnsi="宋体" w:eastAsia="宋体" w:cs="宋体"/>
          <w:snapToGrid w:val="0"/>
          <w:color w:val="auto"/>
          <w:kern w:val="0"/>
          <w:sz w:val="24"/>
          <w:szCs w:val="24"/>
          <w:highlight w:val="none"/>
        </w:rPr>
        <w:t>资质。</w:t>
      </w:r>
    </w:p>
    <w:p w14:paraId="448FEE66">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2.2.4</w:t>
      </w:r>
      <w:r>
        <w:rPr>
          <w:rFonts w:hint="eastAsia" w:ascii="宋体" w:hAnsi="宋体" w:eastAsia="宋体" w:cs="宋体"/>
          <w:snapToGrid w:val="0"/>
          <w:color w:val="auto"/>
          <w:kern w:val="0"/>
          <w:sz w:val="24"/>
          <w:szCs w:val="24"/>
          <w:highlight w:val="none"/>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4634C68A">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相关人员要求</w:t>
      </w:r>
    </w:p>
    <w:p w14:paraId="455F2D5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2.3.1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000000"/>
          <w:sz w:val="24"/>
          <w:szCs w:val="24"/>
        </w:rPr>
        <w:t>投标人拟派项目经理为</w:t>
      </w:r>
      <w:r>
        <w:rPr>
          <w:rFonts w:hint="eastAsia" w:ascii="宋体" w:hAnsi="宋体" w:eastAsia="宋体" w:cs="宋体"/>
          <w:b/>
          <w:bCs/>
          <w:snapToGrid w:val="0"/>
          <w:color w:val="auto"/>
          <w:kern w:val="0"/>
          <w:sz w:val="24"/>
          <w:szCs w:val="24"/>
          <w:highlight w:val="none"/>
          <w:u w:val="single"/>
          <w:lang w:eastAsia="zh-CN"/>
        </w:rPr>
        <w:t>建筑工程</w:t>
      </w:r>
      <w:r>
        <w:rPr>
          <w:rFonts w:hint="eastAsia" w:hAnsi="宋体" w:cs="宋体"/>
          <w:b/>
          <w:bCs/>
          <w:snapToGrid w:val="0"/>
          <w:color w:val="auto"/>
          <w:kern w:val="0"/>
          <w:sz w:val="24"/>
          <w:szCs w:val="24"/>
          <w:highlight w:val="none"/>
          <w:u w:val="single"/>
          <w:lang w:val="en-US" w:eastAsia="zh-CN"/>
        </w:rPr>
        <w:t>或市政公用工程</w:t>
      </w:r>
      <w:r>
        <w:rPr>
          <w:rFonts w:hint="eastAsia" w:ascii="宋体" w:hAnsi="宋体" w:eastAsia="宋体" w:cs="宋体"/>
          <w:color w:val="000000"/>
          <w:sz w:val="24"/>
          <w:szCs w:val="24"/>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422EE8B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2.3.2</w:t>
      </w:r>
      <w:r>
        <w:rPr>
          <w:rFonts w:hint="eastAsia" w:ascii="宋体" w:hAnsi="宋体" w:eastAsia="宋体" w:cs="宋体"/>
          <w:snapToGrid w:val="0"/>
          <w:color w:val="auto"/>
          <w:kern w:val="0"/>
          <w:sz w:val="24"/>
          <w:szCs w:val="24"/>
          <w:highlight w:val="none"/>
        </w:rPr>
        <w:t xml:space="preserve"> 拟派项目技术负责人须具备</w:t>
      </w:r>
      <w:r>
        <w:rPr>
          <w:rFonts w:hint="eastAsia" w:ascii="宋体" w:hAnsi="宋体" w:eastAsia="宋体" w:cs="宋体"/>
          <w:snapToGrid w:val="0"/>
          <w:color w:val="auto"/>
          <w:kern w:val="0"/>
          <w:sz w:val="24"/>
          <w:szCs w:val="24"/>
          <w:highlight w:val="none"/>
          <w:u w:val="single"/>
        </w:rPr>
        <w:t xml:space="preserve"> </w:t>
      </w:r>
      <w:r>
        <w:rPr>
          <w:rFonts w:hint="eastAsia" w:hAnsi="宋体" w:cs="宋体"/>
          <w:b/>
          <w:bCs/>
          <w:snapToGrid w:val="0"/>
          <w:color w:val="auto"/>
          <w:kern w:val="0"/>
          <w:sz w:val="24"/>
          <w:szCs w:val="24"/>
          <w:highlight w:val="none"/>
          <w:u w:val="single"/>
          <w:lang w:val="en-US" w:eastAsia="zh-CN"/>
        </w:rPr>
        <w:t>中</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级以上（含</w:t>
      </w:r>
      <w:r>
        <w:rPr>
          <w:rFonts w:hint="eastAsia" w:hAnsi="宋体" w:cs="宋体"/>
          <w:b/>
          <w:bCs/>
          <w:snapToGrid w:val="0"/>
          <w:color w:val="auto"/>
          <w:kern w:val="0"/>
          <w:sz w:val="24"/>
          <w:szCs w:val="24"/>
          <w:highlight w:val="none"/>
          <w:u w:val="single"/>
          <w:lang w:val="en-US" w:eastAsia="zh-CN"/>
        </w:rPr>
        <w:t>中</w:t>
      </w:r>
      <w:r>
        <w:rPr>
          <w:rFonts w:hint="eastAsia" w:ascii="宋体" w:hAnsi="宋体" w:eastAsia="宋体" w:cs="宋体"/>
          <w:snapToGrid w:val="0"/>
          <w:color w:val="auto"/>
          <w:kern w:val="0"/>
          <w:sz w:val="24"/>
          <w:szCs w:val="24"/>
          <w:highlight w:val="none"/>
        </w:rPr>
        <w:t>级）技术职称。</w:t>
      </w:r>
    </w:p>
    <w:p w14:paraId="6C774AB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2.3.3</w:t>
      </w:r>
      <w:r>
        <w:rPr>
          <w:rFonts w:hint="eastAsia" w:ascii="宋体" w:hAnsi="宋体" w:eastAsia="宋体" w:cs="宋体"/>
          <w:snapToGrid w:val="0"/>
          <w:color w:val="auto"/>
          <w:kern w:val="0"/>
          <w:sz w:val="24"/>
          <w:szCs w:val="24"/>
          <w:highlight w:val="none"/>
        </w:rPr>
        <w:t xml:space="preserve">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b/>
          <w:bCs/>
          <w:snapToGrid w:val="0"/>
          <w:color w:val="auto"/>
          <w:kern w:val="0"/>
          <w:sz w:val="24"/>
          <w:szCs w:val="24"/>
          <w:highlight w:val="none"/>
          <w:u w:val="single"/>
        </w:rPr>
        <w:t xml:space="preserve"> </w:t>
      </w:r>
      <w:r>
        <w:rPr>
          <w:rFonts w:hint="eastAsia" w:hAnsi="宋体" w:cs="宋体"/>
          <w:b/>
          <w:bCs/>
          <w:snapToGrid w:val="0"/>
          <w:color w:val="auto"/>
          <w:kern w:val="0"/>
          <w:sz w:val="24"/>
          <w:szCs w:val="24"/>
          <w:highlight w:val="none"/>
          <w:u w:val="single"/>
          <w:lang w:val="en-US" w:eastAsia="zh-CN"/>
        </w:rPr>
        <w:t>1</w:t>
      </w:r>
      <w:r>
        <w:rPr>
          <w:rFonts w:hint="eastAsia" w:ascii="宋体" w:hAnsi="宋体" w:eastAsia="宋体" w:cs="宋体"/>
          <w:snapToGrid w:val="0"/>
          <w:color w:val="auto"/>
          <w:kern w:val="0"/>
          <w:sz w:val="24"/>
          <w:szCs w:val="24"/>
          <w:highlight w:val="none"/>
        </w:rPr>
        <w:t xml:space="preserve">人。 </w:t>
      </w:r>
    </w:p>
    <w:p w14:paraId="0257CC64">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2.3.4</w:t>
      </w:r>
      <w:r>
        <w:rPr>
          <w:rFonts w:hint="eastAsia" w:ascii="宋体" w:hAnsi="宋体" w:eastAsia="宋体" w:cs="宋体"/>
          <w:snapToGrid w:val="0"/>
          <w:color w:val="auto"/>
          <w:kern w:val="0"/>
          <w:sz w:val="24"/>
          <w:szCs w:val="24"/>
          <w:highlight w:val="none"/>
        </w:rPr>
        <w:t xml:space="preserve"> 投标人（包括组成联合体的所有成员单位）与其拟派往本项目管理机构的所有人员之间必须具备合法、唯一的劳动聘用关系（提供社保证明或劳动合同）。拟派人员中具备注册执业资格的，其注册单位须与投标人保持一致。</w:t>
      </w:r>
    </w:p>
    <w:p w14:paraId="65EA183B">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 xml:space="preserve"> 禁止投标条款</w:t>
      </w:r>
    </w:p>
    <w:p w14:paraId="12063E8F">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2.4.1</w:t>
      </w:r>
      <w:r>
        <w:rPr>
          <w:rFonts w:hint="eastAsia" w:ascii="宋体" w:hAnsi="宋体" w:eastAsia="宋体" w:cs="宋体"/>
          <w:snapToGrid w:val="0"/>
          <w:color w:val="auto"/>
          <w:kern w:val="0"/>
          <w:sz w:val="24"/>
          <w:szCs w:val="24"/>
          <w:highlight w:val="none"/>
        </w:rPr>
        <w:t xml:space="preserve"> 投标人不得存在下列情形之一：</w:t>
      </w:r>
    </w:p>
    <w:p w14:paraId="2EC9706F">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（1）为招标人不具有独立法人资格的附属机构（单位）；</w:t>
      </w:r>
    </w:p>
    <w:p w14:paraId="3996B863">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（2）为本招标项目前期准备提供设计或咨询服务的；</w:t>
      </w:r>
    </w:p>
    <w:p w14:paraId="57385067">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（3）与本招标项目的其他投标人为同一个单位负责人；</w:t>
      </w:r>
    </w:p>
    <w:p w14:paraId="1A49386F">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（4）与本招标项目的其他投标人存在控股、管理关系；</w:t>
      </w:r>
    </w:p>
    <w:p w14:paraId="5B7045E6">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（5）为本招标项目的监理人；</w:t>
      </w:r>
    </w:p>
    <w:p w14:paraId="19AC8E76">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（6）为本招标项目的代建人；</w:t>
      </w:r>
    </w:p>
    <w:p w14:paraId="13F665AF">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（7）为本招标项目的招标代理机构；</w:t>
      </w:r>
    </w:p>
    <w:p w14:paraId="5CAB39C9">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（8）与本招标项目的监理人或代建人或招标代理机构同为一个法定代表人；</w:t>
      </w:r>
    </w:p>
    <w:p w14:paraId="315599AC">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（9）与本招标项目的监理人或代建人或招标代理机构存在控股或参股关系；</w:t>
      </w:r>
    </w:p>
    <w:p w14:paraId="0A706C48">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（10）与本招标项目的监理人或代建人或招标代理机构存在相互任职或工作关系；</w:t>
      </w:r>
    </w:p>
    <w:p w14:paraId="6A768289">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（11）被依法暂停或者取消投标资格；</w:t>
      </w:r>
    </w:p>
    <w:p w14:paraId="7AAA2804">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（12）被责令停产停业、暂扣或者吊销许可证、暂扣或者吊销执照；</w:t>
      </w:r>
    </w:p>
    <w:p w14:paraId="066CD7FE">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（13）进入清算程序，或被宣告破产，或其他丧失履约能力的情形；</w:t>
      </w:r>
    </w:p>
    <w:p w14:paraId="501A4728">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0262D6A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2.4.2</w:t>
      </w:r>
      <w:r>
        <w:rPr>
          <w:rFonts w:hint="eastAsia" w:ascii="宋体" w:hAnsi="宋体" w:eastAsia="宋体" w:cs="宋体"/>
          <w:snapToGrid w:val="0"/>
          <w:color w:val="auto"/>
          <w:kern w:val="0"/>
          <w:sz w:val="24"/>
          <w:szCs w:val="24"/>
          <w:highlight w:val="none"/>
        </w:rPr>
        <w:t xml:space="preserve"> 招标人拒绝以下名单中的单位参加本次投标：</w:t>
      </w:r>
    </w:p>
    <w:tbl>
      <w:tblPr>
        <w:tblStyle w:val="31"/>
        <w:tblW w:w="8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4368"/>
        <w:gridCol w:w="3690"/>
      </w:tblGrid>
      <w:tr w14:paraId="17EC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65" w:type="dxa"/>
            <w:noWrap w:val="0"/>
            <w:vAlign w:val="center"/>
          </w:tcPr>
          <w:p w14:paraId="3D71A48E">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368" w:type="dxa"/>
            <w:noWrap w:val="0"/>
            <w:vAlign w:val="center"/>
          </w:tcPr>
          <w:p w14:paraId="5BFF19AD">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90" w:type="dxa"/>
            <w:noWrap w:val="0"/>
            <w:vAlign w:val="center"/>
          </w:tcPr>
          <w:p w14:paraId="67EBB3E2">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22AF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65" w:type="dxa"/>
            <w:noWrap w:val="0"/>
            <w:vAlign w:val="center"/>
          </w:tcPr>
          <w:p w14:paraId="47112569">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4368" w:type="dxa"/>
            <w:noWrap w:val="0"/>
            <w:vAlign w:val="center"/>
          </w:tcPr>
          <w:p w14:paraId="05BAB268">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中图设计有限公司</w:t>
            </w:r>
          </w:p>
        </w:tc>
        <w:tc>
          <w:tcPr>
            <w:tcW w:w="3690" w:type="dxa"/>
            <w:noWrap w:val="0"/>
            <w:vAlign w:val="center"/>
          </w:tcPr>
          <w:p w14:paraId="27D5BFC2">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造价</w:t>
            </w:r>
            <w:r>
              <w:rPr>
                <w:rFonts w:hint="eastAsia" w:ascii="宋体" w:hAnsi="宋体" w:eastAsia="宋体" w:cs="宋体"/>
                <w:color w:val="auto"/>
                <w:sz w:val="24"/>
                <w:szCs w:val="24"/>
                <w:highlight w:val="none"/>
              </w:rPr>
              <w:t>单位</w:t>
            </w:r>
          </w:p>
        </w:tc>
      </w:tr>
      <w:tr w14:paraId="194E3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65" w:type="dxa"/>
            <w:noWrap w:val="0"/>
            <w:vAlign w:val="center"/>
          </w:tcPr>
          <w:p w14:paraId="3BDF0496">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4368" w:type="dxa"/>
            <w:noWrap w:val="0"/>
            <w:vAlign w:val="center"/>
          </w:tcPr>
          <w:p w14:paraId="32E81769">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中亿国际设计集团有限公司</w:t>
            </w:r>
          </w:p>
        </w:tc>
        <w:tc>
          <w:tcPr>
            <w:tcW w:w="3690" w:type="dxa"/>
            <w:noWrap w:val="0"/>
            <w:vAlign w:val="center"/>
          </w:tcPr>
          <w:p w14:paraId="16BAC701">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为本招标项目的设计单位</w:t>
            </w:r>
          </w:p>
        </w:tc>
      </w:tr>
      <w:tr w14:paraId="188D7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65" w:type="dxa"/>
            <w:noWrap w:val="0"/>
            <w:vAlign w:val="center"/>
          </w:tcPr>
          <w:p w14:paraId="54054B19">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4368" w:type="dxa"/>
            <w:noWrap w:val="0"/>
            <w:vAlign w:val="center"/>
          </w:tcPr>
          <w:p w14:paraId="3D79F91B">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韶关众信项目管理有限公司</w:t>
            </w:r>
          </w:p>
        </w:tc>
        <w:tc>
          <w:tcPr>
            <w:tcW w:w="3690" w:type="dxa"/>
            <w:noWrap w:val="0"/>
            <w:vAlign w:val="center"/>
          </w:tcPr>
          <w:p w14:paraId="06A0BED2">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2E9CE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5" w:type="dxa"/>
            <w:noWrap w:val="0"/>
            <w:vAlign w:val="center"/>
          </w:tcPr>
          <w:p w14:paraId="1C09DADD">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4368" w:type="dxa"/>
            <w:noWrap w:val="0"/>
            <w:vAlign w:val="center"/>
          </w:tcPr>
          <w:p w14:paraId="7BD21F87">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乐昌市庆云镇人民政府</w:t>
            </w:r>
          </w:p>
        </w:tc>
        <w:tc>
          <w:tcPr>
            <w:tcW w:w="3690" w:type="dxa"/>
            <w:noWrap w:val="0"/>
            <w:vAlign w:val="center"/>
          </w:tcPr>
          <w:p w14:paraId="09490530">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3B57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485FEF2C">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5</w:t>
            </w:r>
          </w:p>
        </w:tc>
        <w:tc>
          <w:tcPr>
            <w:tcW w:w="4368" w:type="dxa"/>
            <w:noWrap w:val="0"/>
            <w:vAlign w:val="center"/>
          </w:tcPr>
          <w:p w14:paraId="179F9DEB">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韶关德光勘测工程有限公司</w:t>
            </w:r>
          </w:p>
        </w:tc>
        <w:tc>
          <w:tcPr>
            <w:tcW w:w="3690" w:type="dxa"/>
            <w:noWrap w:val="0"/>
            <w:vAlign w:val="center"/>
          </w:tcPr>
          <w:p w14:paraId="6154257D">
            <w:pPr>
              <w:pStyle w:val="136"/>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cs="宋体"/>
                <w:color w:val="auto"/>
                <w:sz w:val="24"/>
                <w:szCs w:val="24"/>
                <w:highlight w:val="none"/>
                <w:lang w:val="en-US" w:eastAsia="zh-CN"/>
              </w:rPr>
              <w:t>测绘</w:t>
            </w:r>
            <w:r>
              <w:rPr>
                <w:rFonts w:hint="eastAsia" w:ascii="宋体" w:hAnsi="宋体" w:eastAsia="宋体" w:cs="宋体"/>
                <w:color w:val="auto"/>
                <w:sz w:val="24"/>
                <w:szCs w:val="24"/>
                <w:highlight w:val="none"/>
                <w:lang w:val="en-US" w:eastAsia="zh-CN"/>
              </w:rPr>
              <w:t>单位</w:t>
            </w:r>
          </w:p>
        </w:tc>
      </w:tr>
      <w:tr w14:paraId="2C2FF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6AC935C4">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6</w:t>
            </w:r>
          </w:p>
        </w:tc>
        <w:tc>
          <w:tcPr>
            <w:tcW w:w="4368" w:type="dxa"/>
            <w:noWrap w:val="0"/>
            <w:vAlign w:val="center"/>
          </w:tcPr>
          <w:p w14:paraId="0EA542D5">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乐昌市农业农村局(乐昌市乡村振兴局)</w:t>
            </w:r>
          </w:p>
        </w:tc>
        <w:tc>
          <w:tcPr>
            <w:tcW w:w="3690" w:type="dxa"/>
            <w:noWrap w:val="0"/>
            <w:vAlign w:val="center"/>
          </w:tcPr>
          <w:p w14:paraId="1BD4EA6C">
            <w:pPr>
              <w:pStyle w:val="136"/>
              <w:wordWrap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监督单位</w:t>
            </w:r>
          </w:p>
        </w:tc>
      </w:tr>
      <w:tr w14:paraId="4650D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7D0FA549">
            <w:pPr>
              <w:pStyle w:val="136"/>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4368" w:type="dxa"/>
            <w:noWrap w:val="0"/>
            <w:vAlign w:val="center"/>
          </w:tcPr>
          <w:p w14:paraId="658127A4">
            <w:pPr>
              <w:pStyle w:val="136"/>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世纪工程项目管理有限公司</w:t>
            </w:r>
          </w:p>
        </w:tc>
        <w:tc>
          <w:tcPr>
            <w:tcW w:w="3690" w:type="dxa"/>
            <w:noWrap w:val="0"/>
            <w:vAlign w:val="center"/>
          </w:tcPr>
          <w:p w14:paraId="6C7D383B">
            <w:pPr>
              <w:pStyle w:val="136"/>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cs="宋体"/>
                <w:snapToGrid w:val="0"/>
                <w:color w:val="auto"/>
                <w:kern w:val="0"/>
                <w:sz w:val="24"/>
                <w:szCs w:val="24"/>
                <w:highlight w:val="none"/>
                <w:lang w:val="en-US" w:eastAsia="zh-CN"/>
              </w:rPr>
              <w:t>可研编制</w:t>
            </w:r>
            <w:r>
              <w:rPr>
                <w:rFonts w:hint="eastAsia" w:ascii="宋体" w:hAnsi="宋体" w:eastAsia="宋体" w:cs="宋体"/>
                <w:snapToGrid w:val="0"/>
                <w:color w:val="auto"/>
                <w:kern w:val="0"/>
                <w:sz w:val="24"/>
                <w:szCs w:val="24"/>
                <w:highlight w:val="none"/>
                <w:lang w:val="en-US" w:eastAsia="zh-CN"/>
              </w:rPr>
              <w:t>单位</w:t>
            </w:r>
          </w:p>
        </w:tc>
      </w:tr>
    </w:tbl>
    <w:p w14:paraId="3B94FC85">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2.5</w:t>
      </w:r>
      <w:r>
        <w:rPr>
          <w:rFonts w:hint="eastAsia" w:ascii="宋体" w:hAnsi="宋体" w:eastAsia="宋体" w:cs="宋体"/>
          <w:snapToGrid w:val="0"/>
          <w:color w:val="auto"/>
          <w:kern w:val="0"/>
          <w:sz w:val="24"/>
          <w:szCs w:val="24"/>
          <w:highlight w:val="none"/>
        </w:rPr>
        <w:t xml:space="preserve"> 其他要求</w:t>
      </w:r>
    </w:p>
    <w:p w14:paraId="03EF2113">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z w:val="24"/>
          <w:szCs w:val="24"/>
        </w:rPr>
      </w:pPr>
      <w:r>
        <w:rPr>
          <w:rFonts w:hint="eastAsia" w:ascii="宋体" w:hAnsi="宋体" w:eastAsia="宋体" w:cs="宋体"/>
          <w:snapToGrid w:val="0"/>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bookmarkStart w:id="46" w:name="_Toc4046"/>
      <w:bookmarkStart w:id="47" w:name="_Toc6745"/>
      <w:bookmarkStart w:id="48" w:name="_Toc22815"/>
      <w:bookmarkStart w:id="49" w:name="_Toc7546"/>
    </w:p>
    <w:p w14:paraId="0D15EAB2">
      <w:pPr>
        <w:rPr>
          <w:rFonts w:hint="eastAsia"/>
        </w:rPr>
      </w:pPr>
    </w:p>
    <w:p w14:paraId="54FCFAD0">
      <w:pPr>
        <w:pStyle w:val="5"/>
        <w:keepNext/>
        <w:keepLines/>
        <w:pageBreakBefore w:val="0"/>
        <w:widowControl/>
        <w:kinsoku/>
        <w:wordWrap/>
        <w:overflowPunct/>
        <w:topLinePunct w:val="0"/>
        <w:autoSpaceDE/>
        <w:autoSpaceDN/>
        <w:bidi w:val="0"/>
        <w:adjustRightInd/>
        <w:snapToGrid/>
        <w:spacing w:beforeLines="0" w:afterLines="0" w:line="360" w:lineRule="auto"/>
        <w:ind w:left="0" w:leftChars="0" w:right="0" w:firstLine="482" w:firstLineChars="200"/>
        <w:textAlignment w:val="auto"/>
        <w:rPr>
          <w:rFonts w:hint="eastAsia" w:ascii="宋体" w:hAnsi="宋体" w:eastAsia="宋体" w:cs="宋体"/>
          <w:sz w:val="24"/>
          <w:szCs w:val="24"/>
        </w:rPr>
      </w:pPr>
      <w:r>
        <w:rPr>
          <w:rFonts w:hint="eastAsia" w:ascii="宋体" w:hAnsi="宋体" w:eastAsia="宋体" w:cs="宋体"/>
          <w:sz w:val="24"/>
          <w:szCs w:val="24"/>
        </w:rPr>
        <w:t>3．招标文件的获取</w:t>
      </w:r>
      <w:bookmarkEnd w:id="46"/>
      <w:bookmarkEnd w:id="47"/>
      <w:bookmarkEnd w:id="48"/>
      <w:bookmarkEnd w:id="49"/>
    </w:p>
    <w:p w14:paraId="75826C3F">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3.1 </w:t>
      </w:r>
      <w:r>
        <w:rPr>
          <w:rFonts w:hint="eastAsia" w:ascii="宋体" w:hAnsi="宋体" w:eastAsia="宋体" w:cs="宋体"/>
          <w:snapToGrid w:val="0"/>
          <w:color w:val="auto"/>
          <w:kern w:val="0"/>
          <w:sz w:val="24"/>
          <w:szCs w:val="24"/>
          <w:highlight w:val="none"/>
        </w:rPr>
        <w:t>本次招标实行电子投标。</w:t>
      </w:r>
    </w:p>
    <w:p w14:paraId="78642359">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本次招标实行电子投标。本项目招标文件随招标公告一并在</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网站发布。招标文件一经在</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发布，视为</w:t>
      </w:r>
      <w:r>
        <w:rPr>
          <w:rFonts w:hint="eastAsia" w:ascii="宋体" w:hAnsi="宋体" w:eastAsia="宋体" w:cs="宋体"/>
          <w:snapToGrid w:val="0"/>
          <w:color w:val="auto"/>
          <w:kern w:val="0"/>
          <w:sz w:val="24"/>
          <w:szCs w:val="24"/>
          <w:highlight w:val="none"/>
          <w:lang w:eastAsia="zh-CN"/>
        </w:rPr>
        <w:t>发送</w:t>
      </w:r>
      <w:r>
        <w:rPr>
          <w:rFonts w:hint="eastAsia" w:ascii="宋体" w:hAnsi="宋体" w:eastAsia="宋体" w:cs="宋体"/>
          <w:snapToGrid w:val="0"/>
          <w:color w:val="auto"/>
          <w:kern w:val="0"/>
          <w:sz w:val="24"/>
          <w:szCs w:val="24"/>
          <w:highlight w:val="none"/>
        </w:rPr>
        <w:t>投标人，招标文件及相关附件由投标人自行在</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网站下载。请于招标文件获取期间,（见本章第二节“重要事项时间地点一览表”）招标文件获取期间与招标公告发布时间一致，投标人须登录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，使用新建设工程交易系统进行下载招标文件及相关附件，并于电子投标截止时间（见本章第二节“重要事项时间地点一览表”）前完成电子投标。投标人可登录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，在【</w:t>
      </w:r>
      <w:r>
        <w:rPr>
          <w:rFonts w:hint="eastAsia" w:ascii="宋体" w:hAnsi="宋体" w:eastAsia="宋体" w:cs="宋体"/>
          <w:snapToGrid w:val="0"/>
          <w:color w:val="auto"/>
          <w:kern w:val="0"/>
          <w:sz w:val="24"/>
          <w:szCs w:val="24"/>
          <w:highlight w:val="none"/>
          <w:lang w:val="en-US" w:eastAsia="zh-CN"/>
        </w:rPr>
        <w:t>服务指南</w:t>
      </w:r>
      <w:r>
        <w:rPr>
          <w:rFonts w:hint="eastAsia" w:ascii="宋体" w:hAnsi="宋体" w:eastAsia="宋体" w:cs="宋体"/>
          <w:snapToGrid w:val="0"/>
          <w:color w:val="auto"/>
          <w:kern w:val="0"/>
          <w:sz w:val="24"/>
          <w:szCs w:val="24"/>
          <w:highlight w:val="none"/>
        </w:rPr>
        <w:t>】栏目中建设工程交易中下载《韶关市公共资源一体化平台——建设工程交易投标人操作指南（电子评标）》（附件</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），了解网上获取招标文件操作流程。技术咨询电话：0751-8379671 伍先生，业务咨询电话：0751-8633211、8379023。</w:t>
      </w:r>
    </w:p>
    <w:p w14:paraId="5EC21C43">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3.2 </w:t>
      </w:r>
      <w:r>
        <w:rPr>
          <w:rFonts w:hint="eastAsia" w:ascii="宋体" w:hAnsi="宋体" w:eastAsia="宋体" w:cs="宋体"/>
          <w:snapToGrid w:val="0"/>
          <w:color w:val="auto"/>
          <w:kern w:val="0"/>
          <w:sz w:val="24"/>
          <w:szCs w:val="24"/>
          <w:highlight w:val="none"/>
        </w:rPr>
        <w:t>只有申领了数字证书（CA）、“粤企签”或GDCA/SZCA/NETCA等符合法律法规规定的电子印章，并在交易系统中完成企业信息数据入库的投标人，方可使用建设工程交易系统进行招标文件及附件获取和电子投标。</w:t>
      </w:r>
    </w:p>
    <w:p w14:paraId="5AEC5462">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首次在韶关市参与建设工程招标投标活动的投标人，必须在平台系统上传企业相关资料办理企业入库事宜。投标人可登录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办理办理企业入库、数字证书及电子印章事宜，具体请在平台查阅相应的交易指引。</w:t>
      </w:r>
    </w:p>
    <w:p w14:paraId="4A3E6A8D">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253A6472">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09D48805">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投标保证</w:t>
      </w:r>
    </w:p>
    <w:p w14:paraId="0214A323">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3.3.1</w:t>
      </w:r>
      <w:r>
        <w:rPr>
          <w:rFonts w:hint="eastAsia" w:ascii="宋体" w:hAnsi="宋体" w:eastAsia="宋体" w:cs="宋体"/>
          <w:snapToGrid w:val="0"/>
          <w:color w:val="auto"/>
          <w:kern w:val="0"/>
          <w:sz w:val="24"/>
          <w:szCs w:val="24"/>
          <w:highlight w:val="none"/>
        </w:rPr>
        <w:t xml:space="preserve"> 投标人须缴纳金额为人民币</w:t>
      </w:r>
      <w:r>
        <w:rPr>
          <w:rFonts w:hint="eastAsia" w:hAnsi="宋体" w:cs="宋体"/>
          <w:b/>
          <w:bCs/>
          <w:snapToGrid w:val="0"/>
          <w:color w:val="auto"/>
          <w:kern w:val="0"/>
          <w:sz w:val="24"/>
          <w:szCs w:val="24"/>
          <w:highlight w:val="none"/>
          <w:u w:val="single"/>
          <w:lang w:val="en-US" w:eastAsia="zh-CN"/>
        </w:rPr>
        <w:t>10</w:t>
      </w:r>
      <w:r>
        <w:rPr>
          <w:rFonts w:hint="eastAsia" w:ascii="宋体" w:hAnsi="宋体" w:eastAsia="宋体" w:cs="宋体"/>
          <w:b/>
          <w:bCs/>
          <w:snapToGrid w:val="0"/>
          <w:color w:val="auto"/>
          <w:kern w:val="0"/>
          <w:sz w:val="24"/>
          <w:szCs w:val="24"/>
          <w:highlight w:val="none"/>
          <w:u w:val="single"/>
          <w:lang w:val="en-US" w:eastAsia="zh-CN"/>
        </w:rPr>
        <w:t>万元</w:t>
      </w:r>
      <w:r>
        <w:rPr>
          <w:rFonts w:hint="eastAsia" w:ascii="宋体" w:hAnsi="宋体" w:eastAsia="宋体" w:cs="宋体"/>
          <w:snapToGrid w:val="0"/>
          <w:color w:val="auto"/>
          <w:kern w:val="0"/>
          <w:sz w:val="24"/>
          <w:szCs w:val="24"/>
          <w:highlight w:val="none"/>
        </w:rPr>
        <w:t xml:space="preserve">的投标保证。  </w:t>
      </w:r>
    </w:p>
    <w:p w14:paraId="74CA0DAE">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3.3.2</w:t>
      </w:r>
      <w:r>
        <w:rPr>
          <w:rFonts w:hint="eastAsia" w:ascii="宋体" w:hAnsi="宋体" w:eastAsia="宋体" w:cs="宋体"/>
          <w:snapToGrid w:val="0"/>
          <w:color w:val="auto"/>
          <w:kern w:val="0"/>
          <w:sz w:val="24"/>
          <w:szCs w:val="24"/>
          <w:highlight w:val="none"/>
        </w:rPr>
        <w:t xml:space="preserve"> 投标保证的形式包括投标保证金、投标保证担保、投标保证保险三种，由投标人自主选择。</w:t>
      </w:r>
    </w:p>
    <w:p w14:paraId="38E29663">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739A209A">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6CDEA163">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在【服务指南】栏目中下载《韶关市公共资源建设工程交易系统-投标人操作指南》，了解网上投保具体操作流程。逾期投保的，其投标无效。</w:t>
      </w:r>
      <w:r>
        <w:rPr>
          <w:rFonts w:hint="eastAsia" w:ascii="宋体" w:hAnsi="宋体" w:eastAsia="宋体" w:cs="宋体"/>
          <w:color w:val="auto"/>
          <w:sz w:val="24"/>
          <w:szCs w:val="24"/>
          <w:highlight w:val="none"/>
        </w:rPr>
        <w:t xml:space="preserve">    </w:t>
      </w:r>
    </w:p>
    <w:p w14:paraId="0C171785">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rPr>
      </w:pPr>
      <w:r>
        <w:rPr>
          <w:rFonts w:hint="eastAsia" w:ascii="宋体" w:hAnsi="宋体" w:eastAsia="宋体" w:cs="宋体"/>
          <w:snapToGrid w:val="0"/>
          <w:color w:val="auto"/>
          <w:kern w:val="0"/>
          <w:sz w:val="24"/>
          <w:szCs w:val="24"/>
          <w:highlight w:val="none"/>
        </w:rPr>
        <w:t>温馨提醒：</w:t>
      </w:r>
      <w:r>
        <w:rPr>
          <w:rFonts w:hint="eastAsia" w:ascii="宋体" w:hAnsi="宋体" w:eastAsia="宋体" w:cs="宋体"/>
          <w:color w:val="000000"/>
          <w:sz w:val="24"/>
          <w:szCs w:val="24"/>
        </w:rPr>
        <w:t>1.投标人采用投标保证担保或投标保证保险的，为避免在评标过程中因有效期发生争议，建议投标人将银行保函或电子保单有效期设置为较招标文件规定的投标有效期延长不少于20个日历天。</w:t>
      </w:r>
    </w:p>
    <w:p w14:paraId="075A8FC1">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rPr>
      </w:pPr>
      <w:r>
        <w:rPr>
          <w:rFonts w:hint="eastAsia" w:ascii="宋体" w:hAnsi="宋体" w:eastAsia="宋体" w:cs="宋体"/>
          <w:color w:val="000000"/>
          <w:sz w:val="24"/>
          <w:szCs w:val="24"/>
        </w:rPr>
        <w:t>2.根据《建设工程质量保证金管理办法》等有关规定，发包人应按照合同约定方式预留保证金（按规定，比例不得高于工程价款结算总额的3%）。合同约定由承包人以银行保函替代预留保证金的，保函金额不得高于工程价款结算总额的3%。</w:t>
      </w:r>
    </w:p>
    <w:p w14:paraId="6F62C598">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rPr>
      </w:pPr>
      <w:r>
        <w:rPr>
          <w:rFonts w:hint="eastAsia" w:ascii="宋体" w:hAnsi="宋体" w:eastAsia="宋体" w:cs="宋体"/>
          <w:color w:val="000000"/>
          <w:sz w:val="24"/>
          <w:szCs w:val="24"/>
        </w:rPr>
        <w:t>3.根据《保障农民工工资支付条例》，发包人必须落实工程款支付担保制度，需有项目预付款。2017年2月，国务院出台《关于促进建筑业持续健康发展的意见》，要求“严格执行工程预付款制度，及时按合同约定足额向承包单位支付预付款。通过工程款支付担保等经济、法律手段约束建设单位履约行为，预防拖欠工程款。”</w:t>
      </w:r>
    </w:p>
    <w:p w14:paraId="669767A1">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000000"/>
          <w:sz w:val="24"/>
          <w:szCs w:val="24"/>
        </w:rPr>
        <w:t>4.根据《关于印发广东省根治欠薪冬季专项行动工作方案的通知》（粤治欠办函〔2021〕49号）要求，鼓励项目采用担保，担保形式可包括银行保函、工程保证保险以及专业工程担保公司保函等。</w:t>
      </w:r>
    </w:p>
    <w:p w14:paraId="3084D084">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若投标人因自身原因未能正确完成</w:t>
      </w:r>
      <w:r>
        <w:rPr>
          <w:rFonts w:hint="eastAsia" w:ascii="宋体" w:hAnsi="宋体" w:eastAsia="宋体" w:cs="宋体"/>
          <w:snapToGrid w:val="0"/>
          <w:color w:val="auto"/>
          <w:kern w:val="0"/>
          <w:sz w:val="24"/>
          <w:szCs w:val="24"/>
          <w:highlight w:val="none"/>
          <w:lang w:eastAsia="zh-CN"/>
        </w:rPr>
        <w:t>获取招标文件</w:t>
      </w:r>
      <w:r>
        <w:rPr>
          <w:rFonts w:hint="eastAsia" w:ascii="宋体" w:hAnsi="宋体" w:eastAsia="宋体" w:cs="宋体"/>
          <w:snapToGrid w:val="0"/>
          <w:color w:val="auto"/>
          <w:kern w:val="0"/>
          <w:sz w:val="24"/>
          <w:szCs w:val="24"/>
          <w:highlight w:val="none"/>
        </w:rPr>
        <w:t>、电子投标、缴纳投标保证的，其投标无效。</w:t>
      </w:r>
    </w:p>
    <w:p w14:paraId="012C2006">
      <w:pPr>
        <w:pageBreakBefore w:val="0"/>
        <w:numPr>
          <w:ilvl w:val="0"/>
          <w:numId w:val="0"/>
        </w:numPr>
        <w:tabs>
          <w:tab w:val="left" w:pos="288"/>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lang w:val="en-US" w:eastAsia="zh-CN" w:bidi="ar-SA"/>
        </w:rPr>
      </w:pPr>
    </w:p>
    <w:p w14:paraId="3679213B">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bookmarkStart w:id="50" w:name="_Toc10093"/>
      <w:r>
        <w:rPr>
          <w:rFonts w:hint="eastAsia" w:ascii="宋体" w:hAnsi="宋体" w:eastAsia="宋体" w:cs="宋体"/>
          <w:sz w:val="24"/>
          <w:szCs w:val="24"/>
          <w:lang w:val="en-US" w:eastAsia="zh-CN"/>
        </w:rPr>
        <w:t>4．</w:t>
      </w:r>
      <w:r>
        <w:rPr>
          <w:rFonts w:hint="eastAsia" w:ascii="宋体" w:hAnsi="宋体" w:eastAsia="宋体" w:cs="宋体"/>
          <w:sz w:val="24"/>
          <w:szCs w:val="24"/>
        </w:rPr>
        <w:t>工期要求</w:t>
      </w:r>
      <w:bookmarkEnd w:id="50"/>
      <w:bookmarkStart w:id="51" w:name="_Toc7508"/>
    </w:p>
    <w:p w14:paraId="752ABE47">
      <w:pPr>
        <w:pStyle w:val="7"/>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firstLine="480" w:firstLineChars="200"/>
        <w:textAlignment w:val="auto"/>
        <w:rPr>
          <w:rFonts w:hint="default" w:ascii="宋体" w:hAnsi="宋体" w:eastAsia="宋体" w:cs="宋体"/>
          <w:b w:val="0"/>
          <w:bCs/>
          <w:snapToGrid w:val="0"/>
          <w:color w:val="auto"/>
          <w:sz w:val="24"/>
          <w:szCs w:val="24"/>
          <w:highlight w:val="none"/>
          <w:lang w:val="en-US" w:eastAsia="zh-CN"/>
        </w:rPr>
      </w:pPr>
      <w:bookmarkStart w:id="52" w:name="_Toc16606"/>
      <w:bookmarkStart w:id="53" w:name="_Toc3615"/>
      <w:r>
        <w:rPr>
          <w:rFonts w:hint="eastAsia" w:ascii="宋体" w:hAnsi="宋体" w:eastAsia="宋体" w:cs="宋体"/>
          <w:b w:val="0"/>
          <w:bCs/>
          <w:snapToGrid w:val="0"/>
          <w:color w:val="auto"/>
          <w:sz w:val="24"/>
          <w:szCs w:val="24"/>
          <w:highlight w:val="none"/>
        </w:rPr>
        <w:t>本招标项目施工工期为</w:t>
      </w:r>
      <w:r>
        <w:rPr>
          <w:rFonts w:hint="eastAsia" w:ascii="宋体" w:hAnsi="宋体" w:cs="宋体"/>
          <w:b w:val="0"/>
          <w:bCs/>
          <w:snapToGrid w:val="0"/>
          <w:color w:val="0000FF"/>
          <w:sz w:val="24"/>
          <w:szCs w:val="24"/>
          <w:highlight w:val="none"/>
          <w:lang w:val="en-US" w:eastAsia="zh-CN"/>
        </w:rPr>
        <w:t>90</w:t>
      </w:r>
      <w:r>
        <w:rPr>
          <w:rFonts w:hint="eastAsia" w:ascii="宋体" w:hAnsi="宋体" w:eastAsia="宋体" w:cs="宋体"/>
          <w:b w:val="0"/>
          <w:bCs/>
          <w:snapToGrid w:val="0"/>
          <w:color w:val="0000FF"/>
          <w:sz w:val="24"/>
          <w:szCs w:val="24"/>
          <w:highlight w:val="none"/>
        </w:rPr>
        <w:t>个</w:t>
      </w:r>
      <w:r>
        <w:rPr>
          <w:rFonts w:hint="eastAsia" w:ascii="宋体" w:hAnsi="宋体" w:eastAsia="宋体" w:cs="宋体"/>
          <w:b w:val="0"/>
          <w:bCs/>
          <w:snapToGrid w:val="0"/>
          <w:color w:val="auto"/>
          <w:sz w:val="24"/>
          <w:szCs w:val="24"/>
          <w:highlight w:val="none"/>
        </w:rPr>
        <w:t>日历天</w:t>
      </w:r>
      <w:r>
        <w:rPr>
          <w:rFonts w:hint="eastAsia" w:ascii="宋体" w:hAnsi="宋体" w:cs="宋体"/>
          <w:b w:val="0"/>
          <w:bCs/>
          <w:snapToGrid w:val="0"/>
          <w:color w:val="auto"/>
          <w:sz w:val="24"/>
          <w:szCs w:val="24"/>
          <w:highlight w:val="none"/>
          <w:lang w:eastAsia="zh-CN"/>
        </w:rPr>
        <w:t>，</w:t>
      </w:r>
      <w:r>
        <w:rPr>
          <w:rFonts w:hint="eastAsia" w:ascii="宋体" w:hAnsi="宋体" w:cs="宋体"/>
          <w:b w:val="0"/>
          <w:bCs/>
          <w:snapToGrid w:val="0"/>
          <w:color w:val="auto"/>
          <w:sz w:val="24"/>
          <w:szCs w:val="24"/>
          <w:highlight w:val="none"/>
          <w:lang w:val="en-US" w:eastAsia="zh-CN"/>
        </w:rPr>
        <w:t>中标人必须在招标工期内完成招标范围内的全部内容。</w:t>
      </w:r>
    </w:p>
    <w:p w14:paraId="223EE753">
      <w:pPr>
        <w:rPr>
          <w:rFonts w:hint="eastAsia"/>
          <w:sz w:val="13"/>
          <w:szCs w:val="8"/>
        </w:rPr>
      </w:pPr>
      <w:bookmarkStart w:id="54" w:name="_Toc762"/>
    </w:p>
    <w:p w14:paraId="368E989C">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r>
        <w:rPr>
          <w:rFonts w:hint="eastAsia" w:ascii="宋体" w:hAnsi="宋体" w:eastAsia="宋体" w:cs="宋体"/>
          <w:sz w:val="24"/>
          <w:szCs w:val="24"/>
        </w:rPr>
        <w:t>5．质量标准和材料、机械要求</w:t>
      </w:r>
      <w:bookmarkEnd w:id="51"/>
      <w:bookmarkEnd w:id="52"/>
      <w:bookmarkEnd w:id="53"/>
      <w:bookmarkEnd w:id="54"/>
    </w:p>
    <w:p w14:paraId="6C46306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施工工艺严格按照国家和广东省的有关现行施工技术规范及标准执行，工程质量标准须达到</w:t>
      </w:r>
      <w:r>
        <w:rPr>
          <w:rFonts w:hint="eastAsia" w:ascii="宋体" w:hAnsi="宋体" w:eastAsia="宋体" w:cs="宋体"/>
          <w:snapToGrid w:val="0"/>
          <w:color w:val="auto"/>
          <w:kern w:val="0"/>
          <w:sz w:val="24"/>
          <w:szCs w:val="24"/>
          <w:highlight w:val="none"/>
          <w:u w:val="single"/>
          <w:lang w:val="en-US" w:eastAsia="zh-CN"/>
        </w:rPr>
        <w:t>符合现行国家有关工程施工质量验收规范和标准的要求，质量目标达到合格</w:t>
      </w:r>
      <w:r>
        <w:rPr>
          <w:rFonts w:hint="eastAsia" w:ascii="宋体" w:hAnsi="宋体" w:eastAsia="宋体" w:cs="宋体"/>
          <w:snapToGrid w:val="0"/>
          <w:color w:val="auto"/>
          <w:kern w:val="0"/>
          <w:sz w:val="24"/>
          <w:szCs w:val="24"/>
          <w:highlight w:val="none"/>
          <w:u w:val="single"/>
        </w:rPr>
        <w:t>。如未达到合格标准，则按合同价款的 1 %向招标人返纳质量违约金，并由中标人负责返修至合格标准，返修费用由中标人承担，同时承担所有的责任及经济损失。</w:t>
      </w:r>
    </w:p>
    <w:p w14:paraId="3304964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中标人在施工中如果工程质量不符合设计要求和有关规定，招标人或监理单位要求停工和返工的必须立即执行，并承担由此产生的各种费用，工期不予顺延。</w:t>
      </w:r>
    </w:p>
    <w:p w14:paraId="582EA22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5.3</w:t>
      </w:r>
      <w:r>
        <w:rPr>
          <w:rFonts w:hint="eastAsia" w:ascii="宋体" w:hAnsi="宋体" w:eastAsia="宋体" w:cs="宋体"/>
          <w:snapToGrid w:val="0"/>
          <w:color w:val="auto"/>
          <w:kern w:val="0"/>
          <w:sz w:val="24"/>
          <w:szCs w:val="24"/>
          <w:highlight w:val="none"/>
        </w:rPr>
        <w:t xml:space="preserve"> 保修期限按《建设工程质量管理条例》（中华人民共和国国务院令第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467823C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5.4</w:t>
      </w:r>
      <w:r>
        <w:rPr>
          <w:rFonts w:hint="eastAsia" w:ascii="宋体" w:hAnsi="宋体" w:eastAsia="宋体" w:cs="宋体"/>
          <w:snapToGrid w:val="0"/>
          <w:color w:val="auto"/>
          <w:kern w:val="0"/>
          <w:sz w:val="24"/>
          <w:szCs w:val="24"/>
          <w:highlight w:val="none"/>
        </w:rPr>
        <w:t xml:space="preserve"> 工程使用的主要材料质量要求不低于招标工程量清单所列的要求。主要材料必须先提供样板给招标人确定其颜色、等级等，</w:t>
      </w:r>
      <w:r>
        <w:rPr>
          <w:rFonts w:hint="eastAsia" w:ascii="宋体" w:hAnsi="宋体" w:eastAsia="宋体" w:cs="宋体"/>
          <w:snapToGrid w:val="0"/>
          <w:color w:val="auto"/>
          <w:kern w:val="0"/>
          <w:sz w:val="24"/>
          <w:szCs w:val="24"/>
          <w:highlight w:val="none"/>
          <w:lang w:val="zh-CN"/>
        </w:rPr>
        <w:t>并经检测部门检测合格</w:t>
      </w:r>
      <w:r>
        <w:rPr>
          <w:rFonts w:hint="eastAsia" w:ascii="宋体" w:hAnsi="宋体" w:eastAsia="宋体" w:cs="宋体"/>
          <w:snapToGrid w:val="0"/>
          <w:color w:val="auto"/>
          <w:kern w:val="0"/>
          <w:sz w:val="24"/>
          <w:szCs w:val="24"/>
          <w:highlight w:val="none"/>
        </w:rPr>
        <w:t>方可使用，所有材料必须使用合格产品。</w:t>
      </w:r>
    </w:p>
    <w:p w14:paraId="1BE7B07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i/>
          <w:iCs/>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5.5</w:t>
      </w:r>
      <w:r>
        <w:rPr>
          <w:rFonts w:hint="eastAsia" w:ascii="宋体" w:hAnsi="宋体" w:eastAsia="宋体" w:cs="宋体"/>
          <w:snapToGrid w:val="0"/>
          <w:color w:val="auto"/>
          <w:kern w:val="0"/>
          <w:sz w:val="24"/>
          <w:szCs w:val="24"/>
          <w:highlight w:val="none"/>
        </w:rPr>
        <w:t xml:space="preserve"> 根据韶关市人民政府《关于加快推进全市绿色建筑发展工作的通知》（韶府办明电〔2013〕277号）有关规定，本招标项目</w:t>
      </w:r>
      <w:r>
        <w:rPr>
          <w:rFonts w:hint="eastAsia" w:ascii="宋体" w:hAnsi="宋体" w:eastAsia="宋体" w:cs="宋体"/>
          <w:snapToGrid w:val="0"/>
          <w:color w:val="auto"/>
          <w:kern w:val="0"/>
          <w:sz w:val="24"/>
          <w:szCs w:val="24"/>
          <w:highlight w:val="none"/>
          <w:lang w:val="en-US" w:eastAsia="zh-CN"/>
        </w:rPr>
        <w:t>不</w:t>
      </w:r>
      <w:r>
        <w:rPr>
          <w:rFonts w:hint="eastAsia" w:ascii="宋体" w:hAnsi="宋体" w:eastAsia="宋体" w:cs="宋体"/>
          <w:snapToGrid w:val="0"/>
          <w:color w:val="auto"/>
          <w:kern w:val="0"/>
          <w:sz w:val="24"/>
          <w:szCs w:val="24"/>
          <w:highlight w:val="none"/>
        </w:rPr>
        <w:t>纳入绿色建设实施范围</w:t>
      </w:r>
      <w:r>
        <w:rPr>
          <w:rFonts w:hint="eastAsia" w:ascii="宋体" w:hAnsi="宋体" w:eastAsia="宋体" w:cs="宋体"/>
          <w:snapToGrid w:val="0"/>
          <w:color w:val="auto"/>
          <w:kern w:val="0"/>
          <w:sz w:val="24"/>
          <w:szCs w:val="24"/>
          <w:highlight w:val="none"/>
          <w:lang w:eastAsia="zh-CN"/>
        </w:rPr>
        <w:t>。</w:t>
      </w:r>
    </w:p>
    <w:p w14:paraId="394857E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bookmarkStart w:id="55" w:name="_Hlt88974078"/>
      <w:bookmarkEnd w:id="55"/>
      <w:bookmarkStart w:id="56" w:name="_Hlt120502666"/>
      <w:bookmarkEnd w:id="56"/>
      <w:bookmarkStart w:id="57" w:name="_Hlt74496537"/>
      <w:bookmarkEnd w:id="57"/>
      <w:bookmarkStart w:id="58" w:name="_Hlt69699204"/>
      <w:bookmarkEnd w:id="58"/>
      <w:bookmarkStart w:id="59" w:name="_Hlt69356505"/>
      <w:bookmarkEnd w:id="59"/>
      <w:bookmarkStart w:id="60" w:name="_Hlt121563076"/>
      <w:bookmarkEnd w:id="60"/>
      <w:bookmarkStart w:id="61" w:name="_Hlt74493474"/>
      <w:bookmarkEnd w:id="61"/>
      <w:bookmarkStart w:id="62" w:name="_Hlt111690342"/>
      <w:bookmarkEnd w:id="62"/>
      <w:bookmarkStart w:id="63" w:name="_Toc2679"/>
      <w:r>
        <w:rPr>
          <w:rFonts w:hint="eastAsia" w:ascii="宋体" w:hAnsi="宋体" w:eastAsia="宋体" w:cs="宋体"/>
          <w:b/>
          <w:bCs/>
          <w:snapToGrid w:val="0"/>
          <w:color w:val="auto"/>
          <w:kern w:val="0"/>
          <w:sz w:val="24"/>
          <w:szCs w:val="24"/>
          <w:highlight w:val="none"/>
        </w:rPr>
        <w:t>5.</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则中标人必须使用合格材料或设备，主要材料和设备在使用之前通知监理工程师验收，经验收合格后方可使用。</w:t>
      </w:r>
    </w:p>
    <w:p w14:paraId="0027055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5.</w:t>
      </w:r>
      <w:r>
        <w:rPr>
          <w:rFonts w:hint="eastAsia" w:ascii="宋体" w:hAnsi="宋体" w:eastAsia="宋体" w:cs="宋体"/>
          <w:b/>
          <w:bCs/>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工程使用的主要材料质量要求：不低于强制标准所列的要求，主要材料必须先提供样板或相关资料给招标人同意确定其规格、型号、颜色、等级等，</w:t>
      </w:r>
      <w:r>
        <w:rPr>
          <w:rFonts w:hint="eastAsia" w:ascii="宋体" w:hAnsi="宋体" w:eastAsia="宋体" w:cs="宋体"/>
          <w:color w:val="auto"/>
          <w:sz w:val="24"/>
          <w:szCs w:val="24"/>
          <w:highlight w:val="none"/>
          <w:lang w:val="zh-CN"/>
        </w:rPr>
        <w:t>并经发包人委托的第三方检测部门检测合格</w:t>
      </w:r>
      <w:r>
        <w:rPr>
          <w:rFonts w:hint="eastAsia" w:ascii="宋体" w:hAnsi="宋体" w:eastAsia="宋体" w:cs="宋体"/>
          <w:color w:val="auto"/>
          <w:sz w:val="24"/>
          <w:szCs w:val="24"/>
          <w:highlight w:val="none"/>
        </w:rPr>
        <w:t>方可使用，所有材料必须使用合格产品。</w:t>
      </w:r>
      <w:bookmarkStart w:id="64" w:name="_Toc2752"/>
      <w:bookmarkStart w:id="65" w:name="_Toc26469"/>
    </w:p>
    <w:p w14:paraId="5A1DF315">
      <w:pPr>
        <w:pStyle w:val="4"/>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p w14:paraId="3BBEE2BB">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bookmarkStart w:id="66" w:name="_Toc23462"/>
      <w:r>
        <w:rPr>
          <w:rFonts w:hint="eastAsia" w:ascii="宋体" w:hAnsi="宋体" w:eastAsia="宋体" w:cs="宋体"/>
          <w:sz w:val="24"/>
          <w:szCs w:val="24"/>
        </w:rPr>
        <w:t>6．施工条件及现场踏勘</w:t>
      </w:r>
      <w:bookmarkEnd w:id="63"/>
      <w:bookmarkEnd w:id="64"/>
      <w:bookmarkEnd w:id="65"/>
      <w:bookmarkEnd w:id="66"/>
    </w:p>
    <w:p w14:paraId="0E745FA0">
      <w:pPr>
        <w:pStyle w:val="13"/>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6.1</w:t>
      </w:r>
      <w:r>
        <w:rPr>
          <w:rFonts w:hint="eastAsia" w:ascii="宋体" w:hAnsi="宋体" w:eastAsia="宋体" w:cs="宋体"/>
          <w:snapToGrid w:val="0"/>
          <w:color w:val="auto"/>
          <w:kern w:val="0"/>
          <w:sz w:val="24"/>
          <w:szCs w:val="24"/>
          <w:highlight w:val="none"/>
        </w:rPr>
        <w:t xml:space="preserve"> 招标人仅在本招标项目征地红线范围内提供场地，其他一切场地费用由中标人自行负责（含临时道路）。</w:t>
      </w:r>
    </w:p>
    <w:p w14:paraId="388A15E2">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6.2</w:t>
      </w:r>
      <w:r>
        <w:rPr>
          <w:rFonts w:hint="eastAsia" w:ascii="宋体" w:hAnsi="宋体" w:eastAsia="宋体" w:cs="宋体"/>
          <w:snapToGrid w:val="0"/>
          <w:color w:val="auto"/>
          <w:kern w:val="0"/>
          <w:sz w:val="24"/>
          <w:szCs w:val="24"/>
          <w:highlight w:val="none"/>
        </w:rPr>
        <w:t xml:space="preserve"> 施工用水：</w:t>
      </w:r>
      <w:r>
        <w:rPr>
          <w:rFonts w:hint="eastAsia" w:ascii="宋体" w:hAnsi="宋体" w:eastAsia="宋体" w:cs="宋体"/>
          <w:snapToGrid w:val="0"/>
          <w:color w:val="auto"/>
          <w:kern w:val="0"/>
          <w:sz w:val="24"/>
          <w:szCs w:val="24"/>
          <w:highlight w:val="none"/>
          <w:u w:val="single"/>
        </w:rPr>
        <w:t xml:space="preserve"> 由中标人自行解决，费用考虑在投标报价中。</w:t>
      </w:r>
    </w:p>
    <w:p w14:paraId="493BCA03">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6.3</w:t>
      </w:r>
      <w:r>
        <w:rPr>
          <w:rFonts w:hint="eastAsia" w:ascii="宋体" w:hAnsi="宋体" w:eastAsia="宋体" w:cs="宋体"/>
          <w:snapToGrid w:val="0"/>
          <w:color w:val="auto"/>
          <w:kern w:val="0"/>
          <w:sz w:val="24"/>
          <w:szCs w:val="24"/>
          <w:highlight w:val="none"/>
        </w:rPr>
        <w:t xml:space="preserve"> 施工用电：</w:t>
      </w:r>
      <w:r>
        <w:rPr>
          <w:rFonts w:hint="eastAsia" w:ascii="宋体" w:hAnsi="宋体" w:eastAsia="宋体" w:cs="宋体"/>
          <w:snapToGrid w:val="0"/>
          <w:color w:val="auto"/>
          <w:kern w:val="0"/>
          <w:sz w:val="24"/>
          <w:szCs w:val="24"/>
          <w:highlight w:val="none"/>
          <w:u w:val="single"/>
        </w:rPr>
        <w:t xml:space="preserve"> 由中标人自行解决，费用考虑在投标报价中。</w:t>
      </w:r>
    </w:p>
    <w:p w14:paraId="270E4462">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6.4</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highlight w:val="none"/>
        </w:rPr>
        <w:t>施工用水、用电各提供一驳接点</w:t>
      </w:r>
      <w:r>
        <w:rPr>
          <w:rFonts w:hint="eastAsia" w:hAnsi="宋体" w:cs="宋体"/>
          <w:snapToGrid w:val="0"/>
          <w:color w:val="auto"/>
          <w:kern w:val="0"/>
          <w:highlight w:val="none"/>
          <w:lang w:val="en-US" w:eastAsia="zh-CN"/>
        </w:rPr>
        <w:t>到现场旁边</w:t>
      </w:r>
      <w:r>
        <w:rPr>
          <w:rFonts w:hint="eastAsia" w:ascii="宋体" w:hAnsi="宋体" w:eastAsia="宋体" w:cs="宋体"/>
          <w:snapToGrid w:val="0"/>
          <w:color w:val="auto"/>
          <w:kern w:val="0"/>
          <w:highlight w:val="none"/>
        </w:rPr>
        <w:t>。要求中标人单独安装水表、电表，其水、电费按项目所在地</w:t>
      </w:r>
      <w:r>
        <w:rPr>
          <w:rFonts w:hint="eastAsia" w:ascii="宋体" w:hAnsi="宋体" w:eastAsia="宋体" w:cs="宋体"/>
          <w:snapToGrid w:val="0"/>
          <w:color w:val="auto"/>
          <w:kern w:val="0"/>
          <w:highlight w:val="none"/>
          <w:u w:val="single"/>
        </w:rPr>
        <w:t>乐昌市</w:t>
      </w:r>
      <w:r>
        <w:rPr>
          <w:rFonts w:hint="eastAsia" w:ascii="宋体" w:hAnsi="宋体" w:eastAsia="宋体" w:cs="宋体"/>
          <w:snapToGrid w:val="0"/>
          <w:color w:val="auto"/>
          <w:kern w:val="0"/>
          <w:highlight w:val="none"/>
        </w:rPr>
        <w:t>基建工程水、电计费标准计算并由中标人缴纳。</w:t>
      </w:r>
    </w:p>
    <w:p w14:paraId="47DF0AF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6.5</w:t>
      </w:r>
      <w:r>
        <w:rPr>
          <w:rFonts w:hint="eastAsia" w:ascii="宋体" w:hAnsi="宋体" w:eastAsia="宋体" w:cs="宋体"/>
          <w:snapToGrid w:val="0"/>
          <w:color w:val="auto"/>
          <w:kern w:val="0"/>
          <w:sz w:val="24"/>
          <w:szCs w:val="24"/>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76432248">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6.6</w:t>
      </w:r>
      <w:r>
        <w:rPr>
          <w:rFonts w:hint="eastAsia" w:ascii="宋体" w:hAnsi="宋体" w:eastAsia="宋体" w:cs="宋体"/>
          <w:snapToGrid w:val="0"/>
          <w:color w:val="auto"/>
          <w:kern w:val="0"/>
          <w:sz w:val="24"/>
          <w:szCs w:val="24"/>
          <w:highlight w:val="none"/>
        </w:rPr>
        <w:t xml:space="preserve"> 在现场踏勘过程中，投标人应确保自身安全，投标人如果发生人身伤亡、财物或其他损失，法律法规有规定的按有关规定处理，没有规定的由投标人自行负责。</w:t>
      </w:r>
    </w:p>
    <w:p w14:paraId="3C01384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6.7</w:t>
      </w:r>
      <w:r>
        <w:rPr>
          <w:rFonts w:hint="eastAsia" w:ascii="宋体" w:hAnsi="宋体" w:eastAsia="宋体" w:cs="宋体"/>
          <w:snapToGrid w:val="0"/>
          <w:color w:val="auto"/>
          <w:kern w:val="0"/>
          <w:sz w:val="24"/>
          <w:szCs w:val="24"/>
          <w:highlight w:val="none"/>
        </w:rPr>
        <w:t xml:space="preserve"> 现场踏勘期间的交通、食宿由投标人自行安排，费用自理。</w:t>
      </w:r>
      <w:bookmarkStart w:id="67" w:name="_Toc18204"/>
    </w:p>
    <w:p w14:paraId="797F33BC">
      <w:pPr>
        <w:pStyle w:val="4"/>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bookmarkStart w:id="68" w:name="_Toc7565"/>
      <w:bookmarkStart w:id="69" w:name="_Toc17908"/>
    </w:p>
    <w:p w14:paraId="6E292294">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bookmarkStart w:id="70" w:name="_Toc29845"/>
      <w:r>
        <w:rPr>
          <w:rFonts w:hint="eastAsia" w:ascii="宋体" w:hAnsi="宋体" w:eastAsia="宋体" w:cs="宋体"/>
          <w:sz w:val="24"/>
          <w:szCs w:val="24"/>
        </w:rPr>
        <w:t>7．招标文件的提问和答疑</w:t>
      </w:r>
      <w:bookmarkEnd w:id="67"/>
      <w:bookmarkEnd w:id="68"/>
      <w:bookmarkEnd w:id="69"/>
      <w:bookmarkEnd w:id="70"/>
      <w:bookmarkStart w:id="71" w:name="_Hlt74496410"/>
      <w:bookmarkEnd w:id="71"/>
    </w:p>
    <w:p w14:paraId="750E3CB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bCs/>
          <w:snapToGrid w:val="0"/>
          <w:color w:val="auto"/>
          <w:kern w:val="0"/>
          <w:sz w:val="24"/>
          <w:szCs w:val="24"/>
          <w:highlight w:val="none"/>
        </w:rPr>
        <w:t>7.1</w:t>
      </w:r>
      <w:r>
        <w:rPr>
          <w:rFonts w:hint="eastAsia" w:ascii="宋体" w:hAnsi="宋体" w:eastAsia="宋体" w:cs="宋体"/>
          <w:snapToGrid w:val="0"/>
          <w:color w:val="auto"/>
          <w:kern w:val="0"/>
          <w:sz w:val="24"/>
          <w:szCs w:val="24"/>
          <w:highlight w:val="none"/>
        </w:rPr>
        <w:t xml:space="preserve"> 投标人若对招标文件（含施工图、招标工程量清单）有疑问，应在提问截止时间（见本章第二节“重要事项时间地点一览表”）前使用建设工程交易系统提出问题。未在指定时间前、未采用指定方式提出的，招标人不予受理</w:t>
      </w:r>
      <w:r>
        <w:rPr>
          <w:rFonts w:hint="eastAsia" w:ascii="宋体" w:hAnsi="宋体" w:eastAsia="宋体" w:cs="宋体"/>
          <w:snapToGrid w:val="0"/>
          <w:color w:val="auto"/>
          <w:kern w:val="0"/>
          <w:sz w:val="24"/>
          <w:szCs w:val="24"/>
          <w:highlight w:val="none"/>
          <w:lang w:bidi="ar"/>
        </w:rPr>
        <w:t>。</w:t>
      </w:r>
    </w:p>
    <w:p w14:paraId="0E75655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7.2 </w:t>
      </w:r>
      <w:r>
        <w:rPr>
          <w:rFonts w:hint="eastAsia" w:ascii="宋体" w:hAnsi="宋体" w:eastAsia="宋体" w:cs="宋体"/>
          <w:snapToGrid w:val="0"/>
          <w:color w:val="auto"/>
          <w:kern w:val="0"/>
          <w:sz w:val="24"/>
          <w:szCs w:val="24"/>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501444FF">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7.3</w:t>
      </w:r>
      <w:r>
        <w:rPr>
          <w:rFonts w:hint="eastAsia" w:ascii="宋体" w:hAnsi="宋体" w:eastAsia="宋体" w:cs="宋体"/>
          <w:snapToGrid w:val="0"/>
          <w:color w:val="auto"/>
          <w:kern w:val="0"/>
          <w:sz w:val="24"/>
          <w:szCs w:val="24"/>
          <w:highlight w:val="none"/>
        </w:rPr>
        <w:t xml:space="preserve"> 招标人对招标文件所作的答疑（或修改）公告，构成招标文件的组成部分。</w:t>
      </w:r>
      <w:bookmarkStart w:id="72" w:name="_Hlt69699188"/>
      <w:bookmarkEnd w:id="72"/>
      <w:bookmarkStart w:id="73" w:name="_Hlt92513715"/>
      <w:bookmarkEnd w:id="73"/>
      <w:bookmarkStart w:id="74" w:name="_Hlt92513711"/>
      <w:bookmarkEnd w:id="74"/>
      <w:bookmarkStart w:id="75" w:name="_Toc12685"/>
      <w:bookmarkStart w:id="76" w:name="_Toc15556"/>
      <w:bookmarkStart w:id="77" w:name="_Toc29680"/>
    </w:p>
    <w:p w14:paraId="5CE4EECB">
      <w:pPr>
        <w:pStyle w:val="4"/>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p w14:paraId="17738FC0">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bookmarkStart w:id="78" w:name="_Toc21026"/>
      <w:r>
        <w:rPr>
          <w:rFonts w:hint="eastAsia" w:ascii="宋体" w:hAnsi="宋体" w:eastAsia="宋体" w:cs="宋体"/>
          <w:sz w:val="24"/>
          <w:szCs w:val="24"/>
        </w:rPr>
        <w:t>8．招标控制价</w:t>
      </w:r>
      <w:bookmarkEnd w:id="75"/>
      <w:bookmarkEnd w:id="76"/>
      <w:bookmarkEnd w:id="78"/>
    </w:p>
    <w:p w14:paraId="13F6DED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snapToGrid w:val="0"/>
          <w:color w:val="auto"/>
          <w:kern w:val="0"/>
          <w:sz w:val="24"/>
          <w:szCs w:val="24"/>
          <w:highlight w:val="none"/>
        </w:rPr>
        <w:t xml:space="preserve"> 本招标项目按照以下依据编制招标控制价：</w:t>
      </w:r>
    </w:p>
    <w:p w14:paraId="7698ABA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（1）《建设工程工程量清单计价规范》（GB50500—2013）；</w:t>
      </w:r>
    </w:p>
    <w:p w14:paraId="40C7E32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2</w:t>
      </w: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《房屋建筑与装饰工程工程量计算规范》（GB50854-2013）；</w:t>
      </w:r>
    </w:p>
    <w:p w14:paraId="250B8E9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3</w:t>
      </w: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《市政工程工程量清单计价规范》（GB50857-2013）；</w:t>
      </w:r>
    </w:p>
    <w:p w14:paraId="3925014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广东省建设工程计价依据（2018）》。具体包括：《广东省房屋建筑与装饰工程综合定额（2018）》《广东省市政工程综合定额（2018）》《广东省通用安装工程综合定额（2018）》《广东省建设工程施工机具台班费用编制规则（2018）》等；</w:t>
      </w:r>
    </w:p>
    <w:p w14:paraId="2B45EB9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）施工图及相关资料；</w:t>
      </w:r>
    </w:p>
    <w:p w14:paraId="4ED3393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）招标文件及招标工程量清单；</w:t>
      </w:r>
    </w:p>
    <w:p w14:paraId="2F33385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）施工现场情况、工程特点及常规施工方案；</w:t>
      </w:r>
    </w:p>
    <w:p w14:paraId="5BE0990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rPr>
        <w:t>）项目所在地工程造价管理机构发布的工程造价信息，工程造价信息缺项的，参照市场价格；</w:t>
      </w:r>
    </w:p>
    <w:p w14:paraId="3C4FBBA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9</w:t>
      </w:r>
      <w:r>
        <w:rPr>
          <w:rFonts w:hint="eastAsia" w:ascii="宋体" w:hAnsi="宋体" w:eastAsia="宋体" w:cs="宋体"/>
          <w:snapToGrid w:val="0"/>
          <w:color w:val="auto"/>
          <w:kern w:val="0"/>
          <w:sz w:val="24"/>
          <w:szCs w:val="24"/>
          <w:highlight w:val="none"/>
        </w:rPr>
        <w:t>）与建设项目相关的标准、规范、技术资料。</w:t>
      </w:r>
    </w:p>
    <w:p w14:paraId="489BE36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hAnsi="宋体" w:cs="宋体"/>
          <w:color w:val="auto"/>
          <w:sz w:val="24"/>
          <w:szCs w:val="24"/>
          <w:highlight w:val="none"/>
          <w:shd w:val="clear" w:color="auto" w:fill="FFFFFF"/>
          <w:lang w:val="en-US" w:eastAsia="zh-CN"/>
        </w:rPr>
      </w:pPr>
      <w:r>
        <w:rPr>
          <w:rFonts w:hint="eastAsia" w:hAnsi="宋体" w:cs="宋体"/>
          <w:b/>
          <w:bCs/>
          <w:color w:val="auto"/>
          <w:sz w:val="24"/>
          <w:szCs w:val="24"/>
          <w:highlight w:val="none"/>
          <w:shd w:val="clear" w:fill="FFFFFF"/>
          <w:lang w:val="en-US" w:eastAsia="zh-CN"/>
        </w:rPr>
        <w:t>8.2</w:t>
      </w:r>
      <w:r>
        <w:rPr>
          <w:rFonts w:hint="eastAsia" w:ascii="宋体" w:hAnsi="宋体" w:eastAsia="宋体" w:cs="宋体"/>
          <w:i w:val="0"/>
          <w:iCs w:val="0"/>
          <w:caps w:val="0"/>
          <w:color w:val="auto"/>
          <w:spacing w:val="0"/>
          <w:sz w:val="24"/>
          <w:szCs w:val="24"/>
          <w:highlight w:val="none"/>
          <w:u w:val="none"/>
        </w:rPr>
        <w:t>本项目招标控制价为人民币（大写）：</w:t>
      </w:r>
      <w:r>
        <w:rPr>
          <w:rFonts w:hint="eastAsia" w:ascii="宋体" w:hAnsi="宋体" w:eastAsia="宋体" w:cs="宋体"/>
          <w:i w:val="0"/>
          <w:iCs w:val="0"/>
          <w:caps w:val="0"/>
          <w:color w:val="auto"/>
          <w:spacing w:val="0"/>
          <w:sz w:val="24"/>
          <w:szCs w:val="24"/>
          <w:highlight w:val="none"/>
          <w:u w:val="single"/>
          <w:lang w:val="en-US" w:eastAsia="zh-CN"/>
        </w:rPr>
        <w:t>伍佰零肆万柒仟捌佰捌拾元捌角玖分</w:t>
      </w:r>
      <w:r>
        <w:rPr>
          <w:rFonts w:hint="eastAsia" w:ascii="宋体" w:hAnsi="宋体" w:eastAsia="宋体" w:cs="宋体"/>
          <w:i w:val="0"/>
          <w:iCs w:val="0"/>
          <w:caps w:val="0"/>
          <w:color w:val="auto"/>
          <w:spacing w:val="0"/>
          <w:sz w:val="24"/>
          <w:szCs w:val="24"/>
          <w:highlight w:val="none"/>
          <w:u w:val="single"/>
        </w:rPr>
        <w:t>（¥</w:t>
      </w:r>
      <w:r>
        <w:rPr>
          <w:rFonts w:hint="eastAsia" w:ascii="宋体" w:hAnsi="宋体" w:eastAsia="宋体" w:cs="宋体"/>
          <w:i w:val="0"/>
          <w:iCs w:val="0"/>
          <w:caps w:val="0"/>
          <w:color w:val="auto"/>
          <w:spacing w:val="0"/>
          <w:sz w:val="24"/>
          <w:szCs w:val="24"/>
          <w:highlight w:val="none"/>
          <w:u w:val="single"/>
          <w:lang w:val="en-US" w:eastAsia="zh-CN"/>
        </w:rPr>
        <w:t>5047880.89</w:t>
      </w:r>
      <w:r>
        <w:rPr>
          <w:rFonts w:hint="eastAsia" w:ascii="宋体" w:hAnsi="宋体" w:eastAsia="宋体" w:cs="宋体"/>
          <w:i w:val="0"/>
          <w:iCs w:val="0"/>
          <w:caps w:val="0"/>
          <w:color w:val="auto"/>
          <w:spacing w:val="0"/>
          <w:sz w:val="24"/>
          <w:szCs w:val="24"/>
          <w:highlight w:val="none"/>
          <w:u w:val="single"/>
        </w:rPr>
        <w:t>元），其中绿色施工安全防护措施费(不得低于）：¥</w:t>
      </w:r>
      <w:r>
        <w:rPr>
          <w:rFonts w:hint="eastAsia" w:ascii="宋体" w:hAnsi="宋体" w:eastAsia="宋体" w:cs="宋体"/>
          <w:i w:val="0"/>
          <w:iCs w:val="0"/>
          <w:caps w:val="0"/>
          <w:color w:val="auto"/>
          <w:spacing w:val="0"/>
          <w:sz w:val="24"/>
          <w:szCs w:val="24"/>
          <w:highlight w:val="none"/>
          <w:u w:val="single"/>
          <w:lang w:val="en-US" w:eastAsia="zh-CN"/>
        </w:rPr>
        <w:t>239845.50元</w:t>
      </w:r>
      <w:r>
        <w:rPr>
          <w:rFonts w:hint="eastAsia" w:ascii="宋体" w:hAnsi="宋体" w:eastAsia="宋体" w:cs="宋体"/>
          <w:i w:val="0"/>
          <w:iCs w:val="0"/>
          <w:caps w:val="0"/>
          <w:color w:val="auto"/>
          <w:spacing w:val="0"/>
          <w:sz w:val="24"/>
          <w:szCs w:val="24"/>
          <w:highlight w:val="none"/>
          <w:u w:val="single"/>
        </w:rPr>
        <w:t>，暂</w:t>
      </w:r>
      <w:r>
        <w:rPr>
          <w:rFonts w:hint="eastAsia" w:ascii="宋体" w:hAnsi="宋体" w:eastAsia="宋体" w:cs="宋体"/>
          <w:i w:val="0"/>
          <w:iCs w:val="0"/>
          <w:caps w:val="0"/>
          <w:color w:val="auto"/>
          <w:spacing w:val="0"/>
          <w:sz w:val="24"/>
          <w:szCs w:val="24"/>
          <w:highlight w:val="none"/>
          <w:u w:val="single"/>
          <w:lang w:val="en-US" w:eastAsia="zh-CN"/>
        </w:rPr>
        <w:t>列金额</w:t>
      </w:r>
      <w:r>
        <w:rPr>
          <w:rFonts w:hint="eastAsia" w:ascii="宋体" w:hAnsi="宋体" w:eastAsia="宋体" w:cs="宋体"/>
          <w:i w:val="0"/>
          <w:iCs w:val="0"/>
          <w:caps w:val="0"/>
          <w:color w:val="auto"/>
          <w:spacing w:val="0"/>
          <w:sz w:val="24"/>
          <w:szCs w:val="24"/>
          <w:highlight w:val="none"/>
          <w:u w:val="single"/>
        </w:rPr>
        <w:t>（统一报价）：¥</w:t>
      </w:r>
      <w:r>
        <w:rPr>
          <w:rFonts w:hint="eastAsia" w:ascii="宋体" w:hAnsi="宋体" w:eastAsia="宋体" w:cs="宋体"/>
          <w:i w:val="0"/>
          <w:iCs w:val="0"/>
          <w:caps w:val="0"/>
          <w:color w:val="auto"/>
          <w:spacing w:val="0"/>
          <w:sz w:val="24"/>
          <w:szCs w:val="24"/>
          <w:highlight w:val="none"/>
          <w:u w:val="single"/>
          <w:lang w:val="en-US" w:eastAsia="zh-CN"/>
        </w:rPr>
        <w:t>50000.00</w:t>
      </w:r>
      <w:r>
        <w:rPr>
          <w:rFonts w:hint="eastAsia" w:ascii="宋体" w:hAnsi="宋体" w:eastAsia="宋体" w:cs="宋体"/>
          <w:i w:val="0"/>
          <w:iCs w:val="0"/>
          <w:caps w:val="0"/>
          <w:color w:val="auto"/>
          <w:spacing w:val="0"/>
          <w:sz w:val="24"/>
          <w:szCs w:val="24"/>
          <w:highlight w:val="none"/>
          <w:u w:val="single"/>
        </w:rPr>
        <w:t>元。</w:t>
      </w:r>
      <w:r>
        <w:rPr>
          <w:rFonts w:hint="eastAsia" w:hAnsi="宋体" w:cs="宋体"/>
          <w:b w:val="0"/>
          <w:bCs w:val="0"/>
          <w:color w:val="auto"/>
          <w:sz w:val="24"/>
          <w:szCs w:val="24"/>
          <w:highlight w:val="none"/>
          <w:shd w:val="clear" w:color="auto" w:fill="FFFFFF"/>
          <w:lang w:eastAsia="zh-CN"/>
        </w:rPr>
        <w:t>具体详见下表：</w:t>
      </w:r>
    </w:p>
    <w:tbl>
      <w:tblPr>
        <w:tblStyle w:val="31"/>
        <w:tblW w:w="100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3342"/>
        <w:gridCol w:w="1663"/>
        <w:gridCol w:w="1013"/>
        <w:gridCol w:w="1721"/>
        <w:gridCol w:w="1242"/>
      </w:tblGrid>
      <w:tr w14:paraId="69CBD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77" w:type="dxa"/>
            <w:vMerge w:val="restart"/>
            <w:noWrap w:val="0"/>
            <w:vAlign w:val="center"/>
          </w:tcPr>
          <w:p w14:paraId="1F834E75">
            <w:pPr>
              <w:pStyle w:val="153"/>
              <w:spacing w:before="62" w:line="24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pacing w:val="3"/>
                <w:sz w:val="21"/>
                <w:szCs w:val="21"/>
                <w:highlight w:val="none"/>
              </w:rPr>
              <w:t>序号</w:t>
            </w:r>
          </w:p>
        </w:tc>
        <w:tc>
          <w:tcPr>
            <w:tcW w:w="3342" w:type="dxa"/>
            <w:vMerge w:val="restart"/>
            <w:noWrap w:val="0"/>
            <w:vAlign w:val="center"/>
          </w:tcPr>
          <w:p w14:paraId="19CE9276">
            <w:pPr>
              <w:pStyle w:val="153"/>
              <w:spacing w:before="61" w:line="24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pacing w:val="3"/>
                <w:sz w:val="21"/>
                <w:szCs w:val="21"/>
                <w:highlight w:val="none"/>
              </w:rPr>
              <w:t>单项工程名称</w:t>
            </w:r>
          </w:p>
        </w:tc>
        <w:tc>
          <w:tcPr>
            <w:tcW w:w="1663" w:type="dxa"/>
            <w:vMerge w:val="restart"/>
            <w:noWrap w:val="0"/>
            <w:vAlign w:val="center"/>
          </w:tcPr>
          <w:p w14:paraId="107ADF05">
            <w:pPr>
              <w:pStyle w:val="153"/>
              <w:spacing w:before="62" w:line="24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rPr>
              <w:t>金额（元）</w:t>
            </w:r>
          </w:p>
        </w:tc>
        <w:tc>
          <w:tcPr>
            <w:tcW w:w="3976" w:type="dxa"/>
            <w:gridSpan w:val="3"/>
            <w:noWrap w:val="0"/>
            <w:vAlign w:val="center"/>
          </w:tcPr>
          <w:p w14:paraId="24F8D072">
            <w:pPr>
              <w:pStyle w:val="153"/>
              <w:spacing w:before="89" w:line="240" w:lineRule="auto"/>
              <w:ind w:left="1517" w:leftChars="0"/>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z w:val="21"/>
                <w:szCs w:val="21"/>
                <w:highlight w:val="none"/>
              </w:rPr>
              <w:t>其中:（元）</w:t>
            </w:r>
          </w:p>
        </w:tc>
      </w:tr>
      <w:tr w14:paraId="0CE33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1077" w:type="dxa"/>
            <w:vMerge w:val="continue"/>
            <w:noWrap w:val="0"/>
            <w:vAlign w:val="center"/>
          </w:tcPr>
          <w:p w14:paraId="07BFE3FE">
            <w:pPr>
              <w:spacing w:line="240" w:lineRule="auto"/>
              <w:jc w:val="center"/>
              <w:rPr>
                <w:rFonts w:hint="eastAsia" w:ascii="宋体" w:hAnsi="宋体" w:eastAsia="宋体" w:cs="宋体"/>
                <w:i w:val="0"/>
                <w:iCs w:val="0"/>
                <w:color w:val="auto"/>
                <w:sz w:val="21"/>
                <w:szCs w:val="21"/>
                <w:highlight w:val="none"/>
                <w:u w:val="none"/>
              </w:rPr>
            </w:pPr>
          </w:p>
        </w:tc>
        <w:tc>
          <w:tcPr>
            <w:tcW w:w="3342" w:type="dxa"/>
            <w:vMerge w:val="continue"/>
            <w:noWrap w:val="0"/>
            <w:vAlign w:val="center"/>
          </w:tcPr>
          <w:p w14:paraId="743A0395">
            <w:pPr>
              <w:spacing w:line="240" w:lineRule="auto"/>
              <w:jc w:val="center"/>
              <w:rPr>
                <w:rFonts w:hint="eastAsia" w:ascii="宋体" w:hAnsi="宋体" w:eastAsia="宋体" w:cs="宋体"/>
                <w:i w:val="0"/>
                <w:iCs w:val="0"/>
                <w:color w:val="auto"/>
                <w:sz w:val="21"/>
                <w:szCs w:val="21"/>
                <w:highlight w:val="none"/>
                <w:u w:val="none"/>
              </w:rPr>
            </w:pPr>
          </w:p>
        </w:tc>
        <w:tc>
          <w:tcPr>
            <w:tcW w:w="1663" w:type="dxa"/>
            <w:vMerge w:val="continue"/>
            <w:noWrap w:val="0"/>
            <w:vAlign w:val="center"/>
          </w:tcPr>
          <w:p w14:paraId="090394FF">
            <w:pPr>
              <w:spacing w:line="240" w:lineRule="auto"/>
              <w:jc w:val="center"/>
              <w:rPr>
                <w:rFonts w:hint="eastAsia" w:ascii="宋体" w:hAnsi="宋体" w:eastAsia="宋体" w:cs="宋体"/>
                <w:i w:val="0"/>
                <w:iCs w:val="0"/>
                <w:color w:val="auto"/>
                <w:sz w:val="21"/>
                <w:szCs w:val="21"/>
                <w:highlight w:val="none"/>
                <w:u w:val="none"/>
              </w:rPr>
            </w:pPr>
          </w:p>
        </w:tc>
        <w:tc>
          <w:tcPr>
            <w:tcW w:w="1013" w:type="dxa"/>
            <w:noWrap w:val="0"/>
            <w:vAlign w:val="center"/>
          </w:tcPr>
          <w:p w14:paraId="52F89640">
            <w:pPr>
              <w:pStyle w:val="153"/>
              <w:spacing w:before="207" w:line="24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pacing w:val="1"/>
                <w:sz w:val="21"/>
                <w:szCs w:val="21"/>
                <w:highlight w:val="none"/>
              </w:rPr>
              <w:t>暂估价</w:t>
            </w:r>
          </w:p>
        </w:tc>
        <w:tc>
          <w:tcPr>
            <w:tcW w:w="1721" w:type="dxa"/>
            <w:noWrap w:val="0"/>
            <w:vAlign w:val="center"/>
          </w:tcPr>
          <w:p w14:paraId="5F15329C">
            <w:pPr>
              <w:pStyle w:val="153"/>
              <w:spacing w:before="116" w:line="24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pacing w:val="3"/>
                <w:sz w:val="21"/>
                <w:szCs w:val="21"/>
                <w:highlight w:val="none"/>
              </w:rPr>
              <w:t>绿色施工安全防护措施费</w:t>
            </w:r>
          </w:p>
        </w:tc>
        <w:tc>
          <w:tcPr>
            <w:tcW w:w="1242" w:type="dxa"/>
            <w:noWrap w:val="0"/>
            <w:vAlign w:val="center"/>
          </w:tcPr>
          <w:p w14:paraId="5F5916D1">
            <w:pPr>
              <w:pStyle w:val="153"/>
              <w:spacing w:before="206" w:line="240" w:lineRule="auto"/>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color w:val="auto"/>
                <w:spacing w:val="2"/>
                <w:sz w:val="21"/>
                <w:szCs w:val="21"/>
                <w:highlight w:val="none"/>
              </w:rPr>
              <w:t>规费</w:t>
            </w:r>
          </w:p>
        </w:tc>
      </w:tr>
      <w:tr w14:paraId="3148A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2F6984C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1 </w:t>
            </w:r>
          </w:p>
        </w:tc>
        <w:tc>
          <w:tcPr>
            <w:tcW w:w="3342" w:type="dxa"/>
            <w:noWrap w:val="0"/>
            <w:vAlign w:val="center"/>
          </w:tcPr>
          <w:p w14:paraId="2081370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56"/>
                <w:rFonts w:hint="eastAsia" w:ascii="宋体" w:hAnsi="宋体" w:eastAsia="宋体" w:cs="宋体"/>
                <w:sz w:val="21"/>
                <w:szCs w:val="21"/>
                <w:lang w:val="en-US" w:eastAsia="zh-CN" w:bidi="ar"/>
              </w:rPr>
              <w:t>土佳寮村委会坤坑、大坪村小组</w:t>
            </w:r>
          </w:p>
        </w:tc>
        <w:tc>
          <w:tcPr>
            <w:tcW w:w="1663" w:type="dxa"/>
            <w:noWrap w:val="0"/>
            <w:vAlign w:val="center"/>
          </w:tcPr>
          <w:p w14:paraId="10EB730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1210326.15</w:t>
            </w:r>
          </w:p>
        </w:tc>
        <w:tc>
          <w:tcPr>
            <w:tcW w:w="1013" w:type="dxa"/>
            <w:noWrap w:val="0"/>
            <w:vAlign w:val="top"/>
          </w:tcPr>
          <w:p w14:paraId="003CC00D">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3876D3B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54132.39</w:t>
            </w:r>
          </w:p>
        </w:tc>
        <w:tc>
          <w:tcPr>
            <w:tcW w:w="1242" w:type="dxa"/>
            <w:noWrap w:val="0"/>
            <w:vAlign w:val="center"/>
          </w:tcPr>
          <w:p w14:paraId="3BEEA57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01681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0CDA96B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1.1 </w:t>
            </w:r>
          </w:p>
        </w:tc>
        <w:tc>
          <w:tcPr>
            <w:tcW w:w="3342" w:type="dxa"/>
            <w:noWrap w:val="0"/>
            <w:vAlign w:val="center"/>
          </w:tcPr>
          <w:p w14:paraId="0E5124D9">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56"/>
                <w:rFonts w:hint="eastAsia" w:ascii="宋体" w:hAnsi="宋体" w:eastAsia="宋体" w:cs="宋体"/>
                <w:sz w:val="21"/>
                <w:szCs w:val="21"/>
                <w:lang w:val="en-US" w:eastAsia="zh-CN" w:bidi="ar"/>
              </w:rPr>
              <w:t>土佳寮村委会坤坑、大坪村小组-园建部分</w:t>
            </w:r>
          </w:p>
        </w:tc>
        <w:tc>
          <w:tcPr>
            <w:tcW w:w="1663" w:type="dxa"/>
            <w:noWrap w:val="0"/>
            <w:vAlign w:val="center"/>
          </w:tcPr>
          <w:p w14:paraId="020B37A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907470.79</w:t>
            </w:r>
          </w:p>
        </w:tc>
        <w:tc>
          <w:tcPr>
            <w:tcW w:w="1013" w:type="dxa"/>
            <w:noWrap w:val="0"/>
            <w:vAlign w:val="top"/>
          </w:tcPr>
          <w:p w14:paraId="566FCBA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065DD7B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36140.73</w:t>
            </w:r>
          </w:p>
        </w:tc>
        <w:tc>
          <w:tcPr>
            <w:tcW w:w="1242" w:type="dxa"/>
            <w:noWrap w:val="0"/>
            <w:vAlign w:val="center"/>
          </w:tcPr>
          <w:p w14:paraId="2D5898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3281B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33F864A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1.2 </w:t>
            </w:r>
          </w:p>
        </w:tc>
        <w:tc>
          <w:tcPr>
            <w:tcW w:w="3342" w:type="dxa"/>
            <w:noWrap w:val="0"/>
            <w:vAlign w:val="center"/>
          </w:tcPr>
          <w:p w14:paraId="5DCCD84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56"/>
                <w:rFonts w:hint="eastAsia" w:ascii="宋体" w:hAnsi="宋体" w:eastAsia="宋体" w:cs="宋体"/>
                <w:sz w:val="21"/>
                <w:szCs w:val="21"/>
                <w:lang w:val="en-US" w:eastAsia="zh-CN" w:bidi="ar"/>
              </w:rPr>
              <w:t>土佳寮村委会坤坑、大坪村小组-环境</w:t>
            </w:r>
            <w:r>
              <w:rPr>
                <w:rStyle w:val="156"/>
                <w:rFonts w:hint="eastAsia" w:ascii="宋体" w:hAnsi="宋体" w:eastAsia="宋体" w:cs="宋体"/>
                <w:sz w:val="21"/>
                <w:szCs w:val="21"/>
                <w:lang w:val="en-US" w:eastAsia="zh-CN" w:bidi="ar"/>
              </w:rPr>
              <w:br w:type="textWrapping"/>
            </w:r>
            <w:r>
              <w:rPr>
                <w:rStyle w:val="156"/>
                <w:rFonts w:hint="eastAsia" w:ascii="宋体" w:hAnsi="宋体" w:eastAsia="宋体" w:cs="宋体"/>
                <w:sz w:val="21"/>
                <w:szCs w:val="21"/>
                <w:lang w:val="en-US" w:eastAsia="zh-CN" w:bidi="ar"/>
              </w:rPr>
              <w:t>整治</w:t>
            </w:r>
          </w:p>
        </w:tc>
        <w:tc>
          <w:tcPr>
            <w:tcW w:w="1663" w:type="dxa"/>
            <w:noWrap w:val="0"/>
            <w:vAlign w:val="center"/>
          </w:tcPr>
          <w:p w14:paraId="7A0176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000000"/>
                <w:kern w:val="0"/>
                <w:sz w:val="21"/>
                <w:szCs w:val="21"/>
                <w:u w:val="none"/>
                <w:lang w:val="en-US" w:eastAsia="zh-CN" w:bidi="ar"/>
              </w:rPr>
              <w:t>97863.36</w:t>
            </w:r>
          </w:p>
        </w:tc>
        <w:tc>
          <w:tcPr>
            <w:tcW w:w="1013" w:type="dxa"/>
            <w:noWrap w:val="0"/>
            <w:vAlign w:val="top"/>
          </w:tcPr>
          <w:p w14:paraId="41F6609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72BFB8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2866.44</w:t>
            </w:r>
          </w:p>
        </w:tc>
        <w:tc>
          <w:tcPr>
            <w:tcW w:w="1242" w:type="dxa"/>
            <w:noWrap w:val="0"/>
            <w:vAlign w:val="center"/>
          </w:tcPr>
          <w:p w14:paraId="2305EA2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03F21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25D85D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1.3 </w:t>
            </w:r>
          </w:p>
        </w:tc>
        <w:tc>
          <w:tcPr>
            <w:tcW w:w="3342" w:type="dxa"/>
            <w:noWrap w:val="0"/>
            <w:vAlign w:val="center"/>
          </w:tcPr>
          <w:p w14:paraId="00FE3197">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56"/>
                <w:rFonts w:hint="eastAsia" w:ascii="宋体" w:hAnsi="宋体" w:eastAsia="宋体" w:cs="宋体"/>
                <w:sz w:val="21"/>
                <w:szCs w:val="21"/>
                <w:lang w:val="en-US" w:eastAsia="zh-CN" w:bidi="ar"/>
              </w:rPr>
              <w:t>土佳寮村委会坤坑、大坪村小组-太阳能路灯</w:t>
            </w:r>
          </w:p>
        </w:tc>
        <w:tc>
          <w:tcPr>
            <w:tcW w:w="1663" w:type="dxa"/>
            <w:noWrap w:val="0"/>
            <w:vAlign w:val="center"/>
          </w:tcPr>
          <w:p w14:paraId="2F34D67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166230.72</w:t>
            </w:r>
          </w:p>
        </w:tc>
        <w:tc>
          <w:tcPr>
            <w:tcW w:w="1013" w:type="dxa"/>
            <w:noWrap w:val="0"/>
            <w:vAlign w:val="top"/>
          </w:tcPr>
          <w:p w14:paraId="03E9FBBF">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09246AF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13383.35</w:t>
            </w:r>
          </w:p>
        </w:tc>
        <w:tc>
          <w:tcPr>
            <w:tcW w:w="1242" w:type="dxa"/>
            <w:noWrap w:val="0"/>
            <w:vAlign w:val="center"/>
          </w:tcPr>
          <w:p w14:paraId="1DA34AAC">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2FA2D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1B910CD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1.4 </w:t>
            </w:r>
          </w:p>
        </w:tc>
        <w:tc>
          <w:tcPr>
            <w:tcW w:w="3342" w:type="dxa"/>
            <w:noWrap w:val="0"/>
            <w:vAlign w:val="center"/>
          </w:tcPr>
          <w:p w14:paraId="38314CE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56"/>
                <w:rFonts w:hint="eastAsia" w:ascii="宋体" w:hAnsi="宋体" w:eastAsia="宋体" w:cs="宋体"/>
                <w:sz w:val="21"/>
                <w:szCs w:val="21"/>
                <w:lang w:val="en-US" w:eastAsia="zh-CN" w:bidi="ar"/>
              </w:rPr>
              <w:t>土佳寮村委会坤坑、大坪小组（小公园）-环境整治</w:t>
            </w:r>
          </w:p>
        </w:tc>
        <w:tc>
          <w:tcPr>
            <w:tcW w:w="1663" w:type="dxa"/>
            <w:noWrap w:val="0"/>
            <w:vAlign w:val="center"/>
          </w:tcPr>
          <w:p w14:paraId="37589F1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10140.20</w:t>
            </w:r>
          </w:p>
        </w:tc>
        <w:tc>
          <w:tcPr>
            <w:tcW w:w="1013" w:type="dxa"/>
            <w:noWrap w:val="0"/>
            <w:vAlign w:val="top"/>
          </w:tcPr>
          <w:p w14:paraId="5B33C8FE">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08CD8B3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394.94</w:t>
            </w:r>
          </w:p>
        </w:tc>
        <w:tc>
          <w:tcPr>
            <w:tcW w:w="1242" w:type="dxa"/>
            <w:noWrap w:val="0"/>
            <w:vAlign w:val="center"/>
          </w:tcPr>
          <w:p w14:paraId="44A7132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3EC1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7725CD4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1.5 </w:t>
            </w:r>
          </w:p>
        </w:tc>
        <w:tc>
          <w:tcPr>
            <w:tcW w:w="3342" w:type="dxa"/>
            <w:noWrap w:val="0"/>
            <w:vAlign w:val="center"/>
          </w:tcPr>
          <w:p w14:paraId="54F39A50">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Style w:val="156"/>
                <w:rFonts w:hint="eastAsia" w:ascii="宋体" w:hAnsi="宋体" w:eastAsia="宋体" w:cs="宋体"/>
                <w:sz w:val="21"/>
                <w:szCs w:val="21"/>
                <w:lang w:val="en-US" w:eastAsia="zh-CN" w:bidi="ar"/>
              </w:rPr>
              <w:t>土佳寮村委会坤坑、大坪小组（小公园）-园建部分</w:t>
            </w:r>
          </w:p>
        </w:tc>
        <w:tc>
          <w:tcPr>
            <w:tcW w:w="1663" w:type="dxa"/>
            <w:noWrap w:val="0"/>
            <w:vAlign w:val="center"/>
          </w:tcPr>
          <w:p w14:paraId="471C138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000000"/>
                <w:kern w:val="0"/>
                <w:sz w:val="21"/>
                <w:szCs w:val="21"/>
                <w:u w:val="none"/>
                <w:lang w:val="en-US" w:eastAsia="zh-CN" w:bidi="ar"/>
              </w:rPr>
              <w:t>28621.08</w:t>
            </w:r>
          </w:p>
        </w:tc>
        <w:tc>
          <w:tcPr>
            <w:tcW w:w="1013" w:type="dxa"/>
            <w:noWrap w:val="0"/>
            <w:vAlign w:val="top"/>
          </w:tcPr>
          <w:p w14:paraId="3DF2ECBB">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17B1BB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1346.93</w:t>
            </w:r>
          </w:p>
        </w:tc>
        <w:tc>
          <w:tcPr>
            <w:tcW w:w="1242" w:type="dxa"/>
            <w:noWrap w:val="0"/>
            <w:vAlign w:val="center"/>
          </w:tcPr>
          <w:p w14:paraId="6C6DCC99">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58F55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3C37FAF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2 </w:t>
            </w:r>
          </w:p>
        </w:tc>
        <w:tc>
          <w:tcPr>
            <w:tcW w:w="3342" w:type="dxa"/>
            <w:noWrap w:val="0"/>
            <w:vAlign w:val="center"/>
          </w:tcPr>
          <w:p w14:paraId="0482CEA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土佳寮村委会雷打石村小组</w:t>
            </w:r>
          </w:p>
        </w:tc>
        <w:tc>
          <w:tcPr>
            <w:tcW w:w="1663" w:type="dxa"/>
            <w:noWrap w:val="0"/>
            <w:vAlign w:val="center"/>
          </w:tcPr>
          <w:p w14:paraId="5385CAB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000000"/>
                <w:kern w:val="0"/>
                <w:sz w:val="21"/>
                <w:szCs w:val="21"/>
                <w:u w:val="none"/>
                <w:lang w:val="en-US" w:eastAsia="zh-CN" w:bidi="ar"/>
              </w:rPr>
              <w:t>479884.46</w:t>
            </w:r>
          </w:p>
        </w:tc>
        <w:tc>
          <w:tcPr>
            <w:tcW w:w="1013" w:type="dxa"/>
            <w:noWrap w:val="0"/>
            <w:vAlign w:val="top"/>
          </w:tcPr>
          <w:p w14:paraId="6B1C633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2192E49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25696.52</w:t>
            </w:r>
          </w:p>
        </w:tc>
        <w:tc>
          <w:tcPr>
            <w:tcW w:w="1242" w:type="dxa"/>
            <w:noWrap w:val="0"/>
            <w:vAlign w:val="center"/>
          </w:tcPr>
          <w:p w14:paraId="44FFDEC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199EB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572C773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2.1 </w:t>
            </w:r>
          </w:p>
        </w:tc>
        <w:tc>
          <w:tcPr>
            <w:tcW w:w="3342" w:type="dxa"/>
            <w:noWrap w:val="0"/>
            <w:vAlign w:val="center"/>
          </w:tcPr>
          <w:p w14:paraId="790F7DD1">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土佳寮村委会雷打石村小组-园建部分</w:t>
            </w:r>
          </w:p>
        </w:tc>
        <w:tc>
          <w:tcPr>
            <w:tcW w:w="1663" w:type="dxa"/>
            <w:noWrap w:val="0"/>
            <w:vAlign w:val="center"/>
          </w:tcPr>
          <w:p w14:paraId="5658A47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369487.88</w:t>
            </w:r>
          </w:p>
        </w:tc>
        <w:tc>
          <w:tcPr>
            <w:tcW w:w="1013" w:type="dxa"/>
            <w:noWrap w:val="0"/>
            <w:vAlign w:val="top"/>
          </w:tcPr>
          <w:p w14:paraId="1C52DBA8">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47E519D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17290.96</w:t>
            </w:r>
          </w:p>
        </w:tc>
        <w:tc>
          <w:tcPr>
            <w:tcW w:w="1242" w:type="dxa"/>
            <w:noWrap w:val="0"/>
            <w:vAlign w:val="center"/>
          </w:tcPr>
          <w:p w14:paraId="025F9D3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024AD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60DC937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2.2 </w:t>
            </w:r>
          </w:p>
        </w:tc>
        <w:tc>
          <w:tcPr>
            <w:tcW w:w="3342" w:type="dxa"/>
            <w:noWrap w:val="0"/>
            <w:vAlign w:val="center"/>
          </w:tcPr>
          <w:p w14:paraId="75FEC668">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土佳寮村委会雷打石村小组-环境整治</w:t>
            </w:r>
          </w:p>
        </w:tc>
        <w:tc>
          <w:tcPr>
            <w:tcW w:w="1663" w:type="dxa"/>
            <w:noWrap w:val="0"/>
            <w:vAlign w:val="center"/>
          </w:tcPr>
          <w:p w14:paraId="334A487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10658.15</w:t>
            </w:r>
          </w:p>
        </w:tc>
        <w:tc>
          <w:tcPr>
            <w:tcW w:w="1013" w:type="dxa"/>
            <w:noWrap w:val="0"/>
            <w:vAlign w:val="top"/>
          </w:tcPr>
          <w:p w14:paraId="1AC33AA4">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0076441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375.55</w:t>
            </w:r>
          </w:p>
        </w:tc>
        <w:tc>
          <w:tcPr>
            <w:tcW w:w="1242" w:type="dxa"/>
            <w:noWrap w:val="0"/>
            <w:vAlign w:val="center"/>
          </w:tcPr>
          <w:p w14:paraId="272728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43E02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44A182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2.3 </w:t>
            </w:r>
          </w:p>
        </w:tc>
        <w:tc>
          <w:tcPr>
            <w:tcW w:w="3342" w:type="dxa"/>
            <w:noWrap w:val="0"/>
            <w:vAlign w:val="center"/>
          </w:tcPr>
          <w:p w14:paraId="49091813">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土佳寮村委会雷打石村小组-太阳能路灯</w:t>
            </w:r>
          </w:p>
        </w:tc>
        <w:tc>
          <w:tcPr>
            <w:tcW w:w="1663" w:type="dxa"/>
            <w:noWrap w:val="0"/>
            <w:vAlign w:val="center"/>
          </w:tcPr>
          <w:p w14:paraId="03A00ADE">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99738.43</w:t>
            </w:r>
          </w:p>
        </w:tc>
        <w:tc>
          <w:tcPr>
            <w:tcW w:w="1013" w:type="dxa"/>
            <w:noWrap w:val="0"/>
            <w:vAlign w:val="top"/>
          </w:tcPr>
          <w:p w14:paraId="3251553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36EAC54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lang w:val="en-US"/>
              </w:rPr>
            </w:pPr>
            <w:r>
              <w:rPr>
                <w:rFonts w:hint="eastAsia" w:ascii="宋体" w:hAnsi="宋体" w:eastAsia="宋体" w:cs="宋体"/>
                <w:i w:val="0"/>
                <w:iCs w:val="0"/>
                <w:color w:val="000000"/>
                <w:kern w:val="0"/>
                <w:sz w:val="21"/>
                <w:szCs w:val="21"/>
                <w:u w:val="none"/>
                <w:lang w:val="en-US" w:eastAsia="zh-CN" w:bidi="ar"/>
              </w:rPr>
              <w:t>8030.01</w:t>
            </w:r>
          </w:p>
        </w:tc>
        <w:tc>
          <w:tcPr>
            <w:tcW w:w="1242" w:type="dxa"/>
            <w:noWrap w:val="0"/>
            <w:vAlign w:val="center"/>
          </w:tcPr>
          <w:p w14:paraId="3700DC7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193E2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78D0CB5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3 </w:t>
            </w:r>
          </w:p>
        </w:tc>
        <w:tc>
          <w:tcPr>
            <w:tcW w:w="3342" w:type="dxa"/>
            <w:noWrap w:val="0"/>
            <w:vAlign w:val="center"/>
          </w:tcPr>
          <w:p w14:paraId="4D00DC6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土佳寮村委会上里坪村小组</w:t>
            </w:r>
          </w:p>
        </w:tc>
        <w:tc>
          <w:tcPr>
            <w:tcW w:w="1663" w:type="dxa"/>
            <w:noWrap w:val="0"/>
            <w:vAlign w:val="center"/>
          </w:tcPr>
          <w:p w14:paraId="7FD8DB5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884186.61</w:t>
            </w:r>
          </w:p>
        </w:tc>
        <w:tc>
          <w:tcPr>
            <w:tcW w:w="1013" w:type="dxa"/>
            <w:noWrap w:val="0"/>
            <w:vAlign w:val="top"/>
          </w:tcPr>
          <w:p w14:paraId="28F84683">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3A14F3B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44286.95</w:t>
            </w:r>
          </w:p>
        </w:tc>
        <w:tc>
          <w:tcPr>
            <w:tcW w:w="1242" w:type="dxa"/>
            <w:noWrap w:val="0"/>
            <w:vAlign w:val="center"/>
          </w:tcPr>
          <w:p w14:paraId="47DF9A0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664A8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56D2017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3.1 </w:t>
            </w:r>
          </w:p>
        </w:tc>
        <w:tc>
          <w:tcPr>
            <w:tcW w:w="3342" w:type="dxa"/>
            <w:noWrap w:val="0"/>
            <w:vAlign w:val="center"/>
          </w:tcPr>
          <w:p w14:paraId="2B702D8B">
            <w:pPr>
              <w:keepNext w:val="0"/>
              <w:keepLines w:val="0"/>
              <w:widowControl/>
              <w:suppressLineNumbers w:val="0"/>
              <w:jc w:val="left"/>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土佳寮村委会上里坪村小组-园建部分</w:t>
            </w:r>
          </w:p>
        </w:tc>
        <w:tc>
          <w:tcPr>
            <w:tcW w:w="1663" w:type="dxa"/>
            <w:noWrap w:val="0"/>
            <w:vAlign w:val="center"/>
          </w:tcPr>
          <w:p w14:paraId="7476674F">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670592.41</w:t>
            </w:r>
          </w:p>
        </w:tc>
        <w:tc>
          <w:tcPr>
            <w:tcW w:w="1013" w:type="dxa"/>
            <w:noWrap w:val="0"/>
            <w:vAlign w:val="top"/>
          </w:tcPr>
          <w:p w14:paraId="78C06B47">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2762028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30456.88</w:t>
            </w:r>
          </w:p>
        </w:tc>
        <w:tc>
          <w:tcPr>
            <w:tcW w:w="1242" w:type="dxa"/>
            <w:noWrap w:val="0"/>
            <w:vAlign w:val="center"/>
          </w:tcPr>
          <w:p w14:paraId="6A10913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63D44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586DC6A7">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 xml:space="preserve">3.2 </w:t>
            </w:r>
          </w:p>
        </w:tc>
        <w:tc>
          <w:tcPr>
            <w:tcW w:w="3342" w:type="dxa"/>
            <w:noWrap w:val="0"/>
            <w:vAlign w:val="center"/>
          </w:tcPr>
          <w:p w14:paraId="107619B0">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土佳寮村委会上里坪村小组-环境整治</w:t>
            </w:r>
          </w:p>
        </w:tc>
        <w:tc>
          <w:tcPr>
            <w:tcW w:w="1663" w:type="dxa"/>
            <w:noWrap w:val="0"/>
            <w:vAlign w:val="center"/>
          </w:tcPr>
          <w:p w14:paraId="426FBEA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000000"/>
                <w:kern w:val="0"/>
                <w:sz w:val="21"/>
                <w:szCs w:val="21"/>
                <w:u w:val="none"/>
                <w:lang w:val="en-US" w:eastAsia="zh-CN" w:bidi="ar"/>
              </w:rPr>
              <w:t>37737.29</w:t>
            </w:r>
          </w:p>
        </w:tc>
        <w:tc>
          <w:tcPr>
            <w:tcW w:w="1013" w:type="dxa"/>
            <w:noWrap w:val="0"/>
            <w:vAlign w:val="top"/>
          </w:tcPr>
          <w:p w14:paraId="2E78D011">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6CA1365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1491.17</w:t>
            </w:r>
          </w:p>
        </w:tc>
        <w:tc>
          <w:tcPr>
            <w:tcW w:w="1242" w:type="dxa"/>
            <w:noWrap w:val="0"/>
            <w:vAlign w:val="center"/>
          </w:tcPr>
          <w:p w14:paraId="70EEEFC8">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06FB9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39F3A8E4">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3.3 </w:t>
            </w:r>
          </w:p>
        </w:tc>
        <w:tc>
          <w:tcPr>
            <w:tcW w:w="3342" w:type="dxa"/>
            <w:noWrap w:val="0"/>
            <w:vAlign w:val="center"/>
          </w:tcPr>
          <w:p w14:paraId="329EC2B0">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土佳寮村委会上里坪村小组-太阳能路灯</w:t>
            </w:r>
          </w:p>
        </w:tc>
        <w:tc>
          <w:tcPr>
            <w:tcW w:w="1663" w:type="dxa"/>
            <w:noWrap w:val="0"/>
            <w:vAlign w:val="center"/>
          </w:tcPr>
          <w:p w14:paraId="1E3BB02D">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132984.58</w:t>
            </w:r>
          </w:p>
        </w:tc>
        <w:tc>
          <w:tcPr>
            <w:tcW w:w="1013" w:type="dxa"/>
            <w:noWrap w:val="0"/>
            <w:vAlign w:val="top"/>
          </w:tcPr>
          <w:p w14:paraId="63EA65C7">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31236466">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10706.68</w:t>
            </w:r>
          </w:p>
        </w:tc>
        <w:tc>
          <w:tcPr>
            <w:tcW w:w="1242" w:type="dxa"/>
            <w:noWrap w:val="0"/>
            <w:vAlign w:val="center"/>
          </w:tcPr>
          <w:p w14:paraId="4A73DCD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2913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04330A00">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3.4 </w:t>
            </w:r>
          </w:p>
        </w:tc>
        <w:tc>
          <w:tcPr>
            <w:tcW w:w="3342" w:type="dxa"/>
            <w:noWrap w:val="0"/>
            <w:vAlign w:val="center"/>
          </w:tcPr>
          <w:p w14:paraId="095CA272">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土佳寮村委会上里坪村小组（小广场) -环境整治</w:t>
            </w:r>
          </w:p>
        </w:tc>
        <w:tc>
          <w:tcPr>
            <w:tcW w:w="1663" w:type="dxa"/>
            <w:noWrap w:val="0"/>
            <w:vAlign w:val="center"/>
          </w:tcPr>
          <w:p w14:paraId="1B994ABB">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2658.24</w:t>
            </w:r>
          </w:p>
        </w:tc>
        <w:tc>
          <w:tcPr>
            <w:tcW w:w="1013" w:type="dxa"/>
            <w:noWrap w:val="0"/>
            <w:vAlign w:val="top"/>
          </w:tcPr>
          <w:p w14:paraId="796156A6">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163D4A39">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98.20</w:t>
            </w:r>
          </w:p>
        </w:tc>
        <w:tc>
          <w:tcPr>
            <w:tcW w:w="1242" w:type="dxa"/>
            <w:noWrap w:val="0"/>
            <w:vAlign w:val="center"/>
          </w:tcPr>
          <w:p w14:paraId="315D144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22EA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1077" w:type="dxa"/>
            <w:noWrap w:val="0"/>
            <w:vAlign w:val="center"/>
          </w:tcPr>
          <w:p w14:paraId="41E94664">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3.5 </w:t>
            </w:r>
          </w:p>
        </w:tc>
        <w:tc>
          <w:tcPr>
            <w:tcW w:w="3342" w:type="dxa"/>
            <w:noWrap w:val="0"/>
            <w:vAlign w:val="center"/>
          </w:tcPr>
          <w:p w14:paraId="5AEBB14F">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土佳寮村委会上里坪村小组（小广场) -园建部分</w:t>
            </w:r>
          </w:p>
        </w:tc>
        <w:tc>
          <w:tcPr>
            <w:tcW w:w="1663" w:type="dxa"/>
            <w:noWrap w:val="0"/>
            <w:vAlign w:val="center"/>
          </w:tcPr>
          <w:p w14:paraId="5FA0BB5D">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40214.09</w:t>
            </w:r>
          </w:p>
        </w:tc>
        <w:tc>
          <w:tcPr>
            <w:tcW w:w="1013" w:type="dxa"/>
            <w:noWrap w:val="0"/>
            <w:vAlign w:val="top"/>
          </w:tcPr>
          <w:p w14:paraId="7E970C9A">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35452009">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1534.02</w:t>
            </w:r>
          </w:p>
        </w:tc>
        <w:tc>
          <w:tcPr>
            <w:tcW w:w="1242" w:type="dxa"/>
            <w:noWrap w:val="0"/>
            <w:vAlign w:val="center"/>
          </w:tcPr>
          <w:p w14:paraId="2A33FCF6">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0034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744BF71B">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4 </w:t>
            </w:r>
          </w:p>
        </w:tc>
        <w:tc>
          <w:tcPr>
            <w:tcW w:w="3342" w:type="dxa"/>
            <w:noWrap w:val="0"/>
            <w:vAlign w:val="center"/>
          </w:tcPr>
          <w:p w14:paraId="0616B312">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土佳寮村委会塘田村小组</w:t>
            </w:r>
          </w:p>
        </w:tc>
        <w:tc>
          <w:tcPr>
            <w:tcW w:w="1663" w:type="dxa"/>
            <w:noWrap w:val="0"/>
            <w:vAlign w:val="center"/>
          </w:tcPr>
          <w:p w14:paraId="2EE06DFD">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502790.05</w:t>
            </w:r>
          </w:p>
        </w:tc>
        <w:tc>
          <w:tcPr>
            <w:tcW w:w="1013" w:type="dxa"/>
            <w:noWrap w:val="0"/>
            <w:vAlign w:val="top"/>
          </w:tcPr>
          <w:p w14:paraId="6B85858E">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407E0B32">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26979.27</w:t>
            </w:r>
          </w:p>
        </w:tc>
        <w:tc>
          <w:tcPr>
            <w:tcW w:w="1242" w:type="dxa"/>
            <w:noWrap w:val="0"/>
            <w:vAlign w:val="center"/>
          </w:tcPr>
          <w:p w14:paraId="29F8C7A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7DF4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71E0185A">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4.1 </w:t>
            </w:r>
          </w:p>
        </w:tc>
        <w:tc>
          <w:tcPr>
            <w:tcW w:w="3342" w:type="dxa"/>
            <w:noWrap w:val="0"/>
            <w:vAlign w:val="center"/>
          </w:tcPr>
          <w:p w14:paraId="453CEC27">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土佳寮村委会塘田村小组-园建部分</w:t>
            </w:r>
          </w:p>
        </w:tc>
        <w:tc>
          <w:tcPr>
            <w:tcW w:w="1663" w:type="dxa"/>
            <w:noWrap w:val="0"/>
            <w:vAlign w:val="center"/>
          </w:tcPr>
          <w:p w14:paraId="71339942">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239641.30</w:t>
            </w:r>
          </w:p>
        </w:tc>
        <w:tc>
          <w:tcPr>
            <w:tcW w:w="1013" w:type="dxa"/>
            <w:noWrap w:val="0"/>
            <w:vAlign w:val="top"/>
          </w:tcPr>
          <w:p w14:paraId="2CED032C">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5349E72B">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10246.37</w:t>
            </w:r>
          </w:p>
        </w:tc>
        <w:tc>
          <w:tcPr>
            <w:tcW w:w="1242" w:type="dxa"/>
            <w:noWrap w:val="0"/>
            <w:vAlign w:val="center"/>
          </w:tcPr>
          <w:p w14:paraId="3AB86A5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48D98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4DFEF550">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4.2 </w:t>
            </w:r>
          </w:p>
        </w:tc>
        <w:tc>
          <w:tcPr>
            <w:tcW w:w="3342" w:type="dxa"/>
            <w:noWrap w:val="0"/>
            <w:vAlign w:val="center"/>
          </w:tcPr>
          <w:p w14:paraId="58C69567">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土佳寮村委会塘田村小组-环境整治</w:t>
            </w:r>
          </w:p>
        </w:tc>
        <w:tc>
          <w:tcPr>
            <w:tcW w:w="1663" w:type="dxa"/>
            <w:noWrap w:val="0"/>
            <w:vAlign w:val="center"/>
          </w:tcPr>
          <w:p w14:paraId="5DC5727F">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58157.19</w:t>
            </w:r>
          </w:p>
        </w:tc>
        <w:tc>
          <w:tcPr>
            <w:tcW w:w="1013" w:type="dxa"/>
            <w:noWrap w:val="0"/>
            <w:vAlign w:val="top"/>
          </w:tcPr>
          <w:p w14:paraId="1529A24E">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03C96A19">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1960.21</w:t>
            </w:r>
          </w:p>
        </w:tc>
        <w:tc>
          <w:tcPr>
            <w:tcW w:w="1242" w:type="dxa"/>
            <w:noWrap w:val="0"/>
            <w:vAlign w:val="center"/>
          </w:tcPr>
          <w:p w14:paraId="4AE57C9D">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7D8B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31C0AA63">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4.3 </w:t>
            </w:r>
          </w:p>
        </w:tc>
        <w:tc>
          <w:tcPr>
            <w:tcW w:w="3342" w:type="dxa"/>
            <w:noWrap w:val="0"/>
            <w:vAlign w:val="center"/>
          </w:tcPr>
          <w:p w14:paraId="09C668CD">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土佳寮村委会塘田村小组-太阳能路灯</w:t>
            </w:r>
          </w:p>
        </w:tc>
        <w:tc>
          <w:tcPr>
            <w:tcW w:w="1663" w:type="dxa"/>
            <w:noWrap w:val="0"/>
            <w:vAlign w:val="center"/>
          </w:tcPr>
          <w:p w14:paraId="312679AD">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166230.72</w:t>
            </w:r>
          </w:p>
        </w:tc>
        <w:tc>
          <w:tcPr>
            <w:tcW w:w="1013" w:type="dxa"/>
            <w:noWrap w:val="0"/>
            <w:vAlign w:val="top"/>
          </w:tcPr>
          <w:p w14:paraId="259B8242">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162F29EC">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13383.35</w:t>
            </w:r>
          </w:p>
        </w:tc>
        <w:tc>
          <w:tcPr>
            <w:tcW w:w="1242" w:type="dxa"/>
            <w:noWrap w:val="0"/>
            <w:vAlign w:val="center"/>
          </w:tcPr>
          <w:p w14:paraId="2320FC51">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551EF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419C53CC">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4.4 </w:t>
            </w:r>
          </w:p>
        </w:tc>
        <w:tc>
          <w:tcPr>
            <w:tcW w:w="3342" w:type="dxa"/>
            <w:noWrap w:val="0"/>
            <w:vAlign w:val="center"/>
          </w:tcPr>
          <w:p w14:paraId="21C0BD2D">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土佳寮村委会塘田村小组（入村节点) -环境整治</w:t>
            </w:r>
          </w:p>
        </w:tc>
        <w:tc>
          <w:tcPr>
            <w:tcW w:w="1663" w:type="dxa"/>
            <w:noWrap w:val="0"/>
            <w:vAlign w:val="center"/>
          </w:tcPr>
          <w:p w14:paraId="60F252C9">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15485.88</w:t>
            </w:r>
          </w:p>
        </w:tc>
        <w:tc>
          <w:tcPr>
            <w:tcW w:w="1013" w:type="dxa"/>
            <w:noWrap w:val="0"/>
            <w:vAlign w:val="top"/>
          </w:tcPr>
          <w:p w14:paraId="4589C221">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73B783EA">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592.62</w:t>
            </w:r>
          </w:p>
        </w:tc>
        <w:tc>
          <w:tcPr>
            <w:tcW w:w="1242" w:type="dxa"/>
            <w:noWrap w:val="0"/>
            <w:vAlign w:val="center"/>
          </w:tcPr>
          <w:p w14:paraId="5C092A02">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3690B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48EBBB23">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4.5 </w:t>
            </w:r>
          </w:p>
        </w:tc>
        <w:tc>
          <w:tcPr>
            <w:tcW w:w="3342" w:type="dxa"/>
            <w:noWrap w:val="0"/>
            <w:vAlign w:val="center"/>
          </w:tcPr>
          <w:p w14:paraId="418454E2">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土佳寮村委会塘田村小组（入村节点) -园建部分</w:t>
            </w:r>
          </w:p>
        </w:tc>
        <w:tc>
          <w:tcPr>
            <w:tcW w:w="1663" w:type="dxa"/>
            <w:noWrap w:val="0"/>
            <w:vAlign w:val="center"/>
          </w:tcPr>
          <w:p w14:paraId="5BC5E55F">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23274.96</w:t>
            </w:r>
          </w:p>
        </w:tc>
        <w:tc>
          <w:tcPr>
            <w:tcW w:w="1013" w:type="dxa"/>
            <w:noWrap w:val="0"/>
            <w:vAlign w:val="top"/>
          </w:tcPr>
          <w:p w14:paraId="35960175">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00422A30">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796.72</w:t>
            </w:r>
          </w:p>
        </w:tc>
        <w:tc>
          <w:tcPr>
            <w:tcW w:w="1242" w:type="dxa"/>
            <w:noWrap w:val="0"/>
            <w:vAlign w:val="center"/>
          </w:tcPr>
          <w:p w14:paraId="5E36819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1C462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25DEB49D">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5 </w:t>
            </w:r>
          </w:p>
        </w:tc>
        <w:tc>
          <w:tcPr>
            <w:tcW w:w="3342" w:type="dxa"/>
            <w:noWrap w:val="0"/>
            <w:vAlign w:val="center"/>
          </w:tcPr>
          <w:p w14:paraId="4DD33281">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土佳寮村委会桐子坪村小组</w:t>
            </w:r>
          </w:p>
        </w:tc>
        <w:tc>
          <w:tcPr>
            <w:tcW w:w="1663" w:type="dxa"/>
            <w:noWrap w:val="0"/>
            <w:vAlign w:val="center"/>
          </w:tcPr>
          <w:p w14:paraId="42A2945D">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294512.35</w:t>
            </w:r>
          </w:p>
        </w:tc>
        <w:tc>
          <w:tcPr>
            <w:tcW w:w="1013" w:type="dxa"/>
            <w:noWrap w:val="0"/>
            <w:vAlign w:val="top"/>
          </w:tcPr>
          <w:p w14:paraId="2C364157">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58FE5CBE">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16588.65</w:t>
            </w:r>
          </w:p>
        </w:tc>
        <w:tc>
          <w:tcPr>
            <w:tcW w:w="1242" w:type="dxa"/>
            <w:noWrap w:val="0"/>
            <w:vAlign w:val="center"/>
          </w:tcPr>
          <w:p w14:paraId="51AE544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51DD3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112DF3B1">
            <w:pPr>
              <w:keepNext w:val="0"/>
              <w:keepLines w:val="0"/>
              <w:widowControl/>
              <w:suppressLineNumbers w:val="0"/>
              <w:jc w:val="center"/>
              <w:textAlignment w:val="center"/>
              <w:rPr>
                <w:rFonts w:hint="eastAsia" w:ascii="宋体" w:hAnsi="宋体" w:eastAsia="宋体" w:cs="宋体"/>
                <w:color w:val="auto"/>
                <w:spacing w:val="4"/>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 xml:space="preserve">5.1 </w:t>
            </w:r>
          </w:p>
        </w:tc>
        <w:tc>
          <w:tcPr>
            <w:tcW w:w="3342" w:type="dxa"/>
            <w:noWrap w:val="0"/>
            <w:vAlign w:val="center"/>
          </w:tcPr>
          <w:p w14:paraId="1523477C">
            <w:pPr>
              <w:keepNext w:val="0"/>
              <w:keepLines w:val="0"/>
              <w:widowControl/>
              <w:suppressLineNumbers w:val="0"/>
              <w:jc w:val="left"/>
              <w:textAlignment w:val="center"/>
              <w:rPr>
                <w:rFonts w:hint="eastAsia" w:ascii="宋体" w:hAnsi="宋体" w:eastAsia="宋体" w:cs="宋体"/>
                <w:color w:val="auto"/>
                <w:spacing w:val="3"/>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土佳寮村委会桐子坪村小组-园建部分</w:t>
            </w:r>
          </w:p>
        </w:tc>
        <w:tc>
          <w:tcPr>
            <w:tcW w:w="1663" w:type="dxa"/>
            <w:noWrap w:val="0"/>
            <w:vAlign w:val="center"/>
          </w:tcPr>
          <w:p w14:paraId="2DD84CA7">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180091.42</w:t>
            </w:r>
          </w:p>
        </w:tc>
        <w:tc>
          <w:tcPr>
            <w:tcW w:w="1013" w:type="dxa"/>
            <w:noWrap w:val="0"/>
            <w:vAlign w:val="top"/>
          </w:tcPr>
          <w:p w14:paraId="11855B57">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3772D6D4">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7986.67</w:t>
            </w:r>
          </w:p>
        </w:tc>
        <w:tc>
          <w:tcPr>
            <w:tcW w:w="1242" w:type="dxa"/>
            <w:noWrap w:val="0"/>
            <w:vAlign w:val="center"/>
          </w:tcPr>
          <w:p w14:paraId="2BF919F5">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5B363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7DB2FFED">
            <w:pPr>
              <w:keepNext w:val="0"/>
              <w:keepLines w:val="0"/>
              <w:widowControl/>
              <w:suppressLineNumbers w:val="0"/>
              <w:jc w:val="center"/>
              <w:textAlignment w:val="center"/>
              <w:rPr>
                <w:rFonts w:hint="eastAsia" w:ascii="宋体" w:hAnsi="宋体" w:eastAsia="宋体" w:cs="宋体"/>
                <w:color w:val="auto"/>
                <w:spacing w:val="3"/>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 xml:space="preserve">5.2 </w:t>
            </w:r>
          </w:p>
        </w:tc>
        <w:tc>
          <w:tcPr>
            <w:tcW w:w="3342" w:type="dxa"/>
            <w:noWrap w:val="0"/>
            <w:vAlign w:val="center"/>
          </w:tcPr>
          <w:p w14:paraId="48920FA3">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土佳寮村委会桐子坪村小组-环境整治</w:t>
            </w:r>
          </w:p>
        </w:tc>
        <w:tc>
          <w:tcPr>
            <w:tcW w:w="1663" w:type="dxa"/>
            <w:noWrap w:val="0"/>
            <w:vAlign w:val="center"/>
          </w:tcPr>
          <w:p w14:paraId="4E607633">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14682.50</w:t>
            </w:r>
          </w:p>
        </w:tc>
        <w:tc>
          <w:tcPr>
            <w:tcW w:w="1013" w:type="dxa"/>
            <w:noWrap w:val="0"/>
            <w:vAlign w:val="top"/>
          </w:tcPr>
          <w:p w14:paraId="5A71DE91">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26FA5D3F">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571.97</w:t>
            </w:r>
          </w:p>
        </w:tc>
        <w:tc>
          <w:tcPr>
            <w:tcW w:w="1242" w:type="dxa"/>
            <w:noWrap w:val="0"/>
            <w:vAlign w:val="center"/>
          </w:tcPr>
          <w:p w14:paraId="6640F7BA">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71AA0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323CBB5C">
            <w:pPr>
              <w:keepNext w:val="0"/>
              <w:keepLines w:val="0"/>
              <w:widowControl/>
              <w:suppressLineNumbers w:val="0"/>
              <w:jc w:val="center"/>
              <w:textAlignment w:val="center"/>
              <w:rPr>
                <w:rFonts w:hint="eastAsia" w:ascii="宋体" w:hAnsi="宋体" w:eastAsia="宋体" w:cs="宋体"/>
                <w:color w:val="auto"/>
                <w:spacing w:val="3"/>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 xml:space="preserve">5.3 </w:t>
            </w:r>
          </w:p>
        </w:tc>
        <w:tc>
          <w:tcPr>
            <w:tcW w:w="3342" w:type="dxa"/>
            <w:noWrap w:val="0"/>
            <w:vAlign w:val="center"/>
          </w:tcPr>
          <w:p w14:paraId="7D4F1767">
            <w:pPr>
              <w:keepNext w:val="0"/>
              <w:keepLines w:val="0"/>
              <w:widowControl/>
              <w:suppressLineNumbers w:val="0"/>
              <w:jc w:val="left"/>
              <w:textAlignment w:val="center"/>
              <w:rPr>
                <w:rFonts w:hint="eastAsia" w:ascii="宋体" w:hAnsi="宋体" w:eastAsia="宋体" w:cs="宋体"/>
                <w:color w:val="auto"/>
                <w:sz w:val="21"/>
                <w:szCs w:val="21"/>
                <w:highlight w:val="none"/>
              </w:rPr>
            </w:pPr>
            <w:r>
              <w:rPr>
                <w:rFonts w:hint="eastAsia" w:ascii="宋体" w:hAnsi="宋体" w:eastAsia="宋体" w:cs="宋体"/>
                <w:i w:val="0"/>
                <w:iCs w:val="0"/>
                <w:color w:val="000000"/>
                <w:kern w:val="0"/>
                <w:sz w:val="21"/>
                <w:szCs w:val="21"/>
                <w:u w:val="none"/>
                <w:lang w:val="en-US" w:eastAsia="zh-CN" w:bidi="ar"/>
              </w:rPr>
              <w:t>土佳寮村委会桐子坪村小组-太阳能路灯</w:t>
            </w:r>
          </w:p>
        </w:tc>
        <w:tc>
          <w:tcPr>
            <w:tcW w:w="1663" w:type="dxa"/>
            <w:noWrap w:val="0"/>
            <w:vAlign w:val="center"/>
          </w:tcPr>
          <w:p w14:paraId="74CD79FC">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99738.43</w:t>
            </w:r>
          </w:p>
        </w:tc>
        <w:tc>
          <w:tcPr>
            <w:tcW w:w="1013" w:type="dxa"/>
            <w:noWrap w:val="0"/>
            <w:vAlign w:val="top"/>
          </w:tcPr>
          <w:p w14:paraId="210BBA48">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03C7AC95">
            <w:pPr>
              <w:keepNext w:val="0"/>
              <w:keepLines w:val="0"/>
              <w:widowControl/>
              <w:suppressLineNumbers w:val="0"/>
              <w:jc w:val="center"/>
              <w:textAlignment w:val="center"/>
              <w:rPr>
                <w:rFonts w:hint="eastAsia" w:ascii="宋体" w:hAnsi="宋体" w:eastAsia="宋体" w:cs="宋体"/>
                <w:color w:val="auto"/>
                <w:spacing w:val="6"/>
                <w:position w:val="1"/>
                <w:sz w:val="21"/>
                <w:szCs w:val="21"/>
                <w:highlight w:val="none"/>
              </w:rPr>
            </w:pPr>
            <w:r>
              <w:rPr>
                <w:rFonts w:hint="eastAsia" w:ascii="宋体" w:hAnsi="宋体" w:eastAsia="宋体" w:cs="宋体"/>
                <w:i w:val="0"/>
                <w:iCs w:val="0"/>
                <w:color w:val="000000"/>
                <w:kern w:val="0"/>
                <w:sz w:val="21"/>
                <w:szCs w:val="21"/>
                <w:u w:val="none"/>
                <w:lang w:val="en-US" w:eastAsia="zh-CN" w:bidi="ar"/>
              </w:rPr>
              <w:t>8030.01</w:t>
            </w:r>
          </w:p>
        </w:tc>
        <w:tc>
          <w:tcPr>
            <w:tcW w:w="1242" w:type="dxa"/>
            <w:noWrap w:val="0"/>
            <w:vAlign w:val="center"/>
          </w:tcPr>
          <w:p w14:paraId="1ACB7700">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076D4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200A903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 </w:t>
            </w:r>
          </w:p>
        </w:tc>
        <w:tc>
          <w:tcPr>
            <w:tcW w:w="3342" w:type="dxa"/>
            <w:noWrap w:val="0"/>
            <w:vAlign w:val="center"/>
          </w:tcPr>
          <w:p w14:paraId="45801FC4">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土佳寮村委会洞头村小组</w:t>
            </w:r>
          </w:p>
        </w:tc>
        <w:tc>
          <w:tcPr>
            <w:tcW w:w="1663" w:type="dxa"/>
            <w:noWrap w:val="0"/>
            <w:vAlign w:val="center"/>
          </w:tcPr>
          <w:p w14:paraId="48DE371F">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1483254.90</w:t>
            </w:r>
          </w:p>
        </w:tc>
        <w:tc>
          <w:tcPr>
            <w:tcW w:w="1013" w:type="dxa"/>
            <w:noWrap w:val="0"/>
            <w:vAlign w:val="top"/>
          </w:tcPr>
          <w:p w14:paraId="484311F2">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767EAFC7">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65122.88</w:t>
            </w:r>
          </w:p>
        </w:tc>
        <w:tc>
          <w:tcPr>
            <w:tcW w:w="1242" w:type="dxa"/>
            <w:noWrap w:val="0"/>
            <w:vAlign w:val="center"/>
          </w:tcPr>
          <w:p w14:paraId="64DD29B3">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40E48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0130E10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6.1 </w:t>
            </w:r>
          </w:p>
        </w:tc>
        <w:tc>
          <w:tcPr>
            <w:tcW w:w="3342" w:type="dxa"/>
            <w:noWrap w:val="0"/>
            <w:vAlign w:val="center"/>
          </w:tcPr>
          <w:p w14:paraId="76EEDEDD">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土佳寮村委会洞头村小组-园建部分</w:t>
            </w:r>
          </w:p>
        </w:tc>
        <w:tc>
          <w:tcPr>
            <w:tcW w:w="1663" w:type="dxa"/>
            <w:noWrap w:val="0"/>
            <w:vAlign w:val="center"/>
          </w:tcPr>
          <w:p w14:paraId="17E4CEC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1194648.51</w:t>
            </w:r>
          </w:p>
        </w:tc>
        <w:tc>
          <w:tcPr>
            <w:tcW w:w="1013" w:type="dxa"/>
            <w:noWrap w:val="0"/>
            <w:vAlign w:val="top"/>
          </w:tcPr>
          <w:p w14:paraId="4C447995">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1F83FEE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47568.15</w:t>
            </w:r>
          </w:p>
        </w:tc>
        <w:tc>
          <w:tcPr>
            <w:tcW w:w="1242" w:type="dxa"/>
            <w:noWrap w:val="0"/>
            <w:vAlign w:val="center"/>
          </w:tcPr>
          <w:p w14:paraId="55D51294">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6FBE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054CCE4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6.2 </w:t>
            </w:r>
          </w:p>
        </w:tc>
        <w:tc>
          <w:tcPr>
            <w:tcW w:w="3342" w:type="dxa"/>
            <w:noWrap w:val="0"/>
            <w:vAlign w:val="center"/>
          </w:tcPr>
          <w:p w14:paraId="35D10D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土佳寮村委会洞头村小组-太阳能路灯</w:t>
            </w:r>
          </w:p>
        </w:tc>
        <w:tc>
          <w:tcPr>
            <w:tcW w:w="1663" w:type="dxa"/>
            <w:noWrap w:val="0"/>
            <w:vAlign w:val="center"/>
          </w:tcPr>
          <w:p w14:paraId="5DCB4519">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137140.36</w:t>
            </w:r>
          </w:p>
        </w:tc>
        <w:tc>
          <w:tcPr>
            <w:tcW w:w="1013" w:type="dxa"/>
            <w:noWrap w:val="0"/>
            <w:vAlign w:val="top"/>
          </w:tcPr>
          <w:p w14:paraId="1A4DAB91">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706595F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11041.27</w:t>
            </w:r>
          </w:p>
        </w:tc>
        <w:tc>
          <w:tcPr>
            <w:tcW w:w="1242" w:type="dxa"/>
            <w:noWrap w:val="0"/>
            <w:vAlign w:val="center"/>
          </w:tcPr>
          <w:p w14:paraId="70CB10BB">
            <w:pPr>
              <w:keepNext w:val="0"/>
              <w:keepLines w:val="0"/>
              <w:widowControl/>
              <w:suppressLineNumbers w:val="0"/>
              <w:jc w:val="center"/>
              <w:textAlignment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sz w:val="21"/>
                <w:szCs w:val="21"/>
                <w:highlight w:val="none"/>
                <w:u w:val="none"/>
                <w:lang w:val="en-US" w:eastAsia="zh-CN"/>
              </w:rPr>
              <w:t>/</w:t>
            </w:r>
          </w:p>
        </w:tc>
      </w:tr>
      <w:tr w14:paraId="16F7F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4C4C583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6.3 </w:t>
            </w:r>
          </w:p>
        </w:tc>
        <w:tc>
          <w:tcPr>
            <w:tcW w:w="3342" w:type="dxa"/>
            <w:noWrap w:val="0"/>
            <w:vAlign w:val="center"/>
          </w:tcPr>
          <w:p w14:paraId="446B99CE">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土佳寮村委会洞头村小组-环境整治</w:t>
            </w:r>
          </w:p>
        </w:tc>
        <w:tc>
          <w:tcPr>
            <w:tcW w:w="1663" w:type="dxa"/>
            <w:noWrap w:val="0"/>
            <w:vAlign w:val="center"/>
          </w:tcPr>
          <w:p w14:paraId="78735B1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730.19</w:t>
            </w:r>
          </w:p>
        </w:tc>
        <w:tc>
          <w:tcPr>
            <w:tcW w:w="1013" w:type="dxa"/>
            <w:noWrap w:val="0"/>
            <w:vAlign w:val="top"/>
          </w:tcPr>
          <w:p w14:paraId="6BDC051B">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16ACA9E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38.44</w:t>
            </w:r>
          </w:p>
        </w:tc>
        <w:tc>
          <w:tcPr>
            <w:tcW w:w="1242" w:type="dxa"/>
            <w:noWrap w:val="0"/>
            <w:vAlign w:val="top"/>
          </w:tcPr>
          <w:p w14:paraId="0FFC4C1A">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r>
      <w:tr w14:paraId="74018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405457E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6.4 </w:t>
            </w:r>
          </w:p>
        </w:tc>
        <w:tc>
          <w:tcPr>
            <w:tcW w:w="3342" w:type="dxa"/>
            <w:noWrap w:val="0"/>
            <w:vAlign w:val="center"/>
          </w:tcPr>
          <w:p w14:paraId="131B104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土佳寮村委会洞头村小组（小广场） -园建部分</w:t>
            </w:r>
          </w:p>
        </w:tc>
        <w:tc>
          <w:tcPr>
            <w:tcW w:w="1663" w:type="dxa"/>
            <w:noWrap w:val="0"/>
            <w:vAlign w:val="center"/>
          </w:tcPr>
          <w:p w14:paraId="381C20C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105094.52</w:t>
            </w:r>
          </w:p>
        </w:tc>
        <w:tc>
          <w:tcPr>
            <w:tcW w:w="1013" w:type="dxa"/>
            <w:noWrap w:val="0"/>
            <w:vAlign w:val="top"/>
          </w:tcPr>
          <w:p w14:paraId="5417C64C">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52B9957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4697.13</w:t>
            </w:r>
          </w:p>
        </w:tc>
        <w:tc>
          <w:tcPr>
            <w:tcW w:w="1242" w:type="dxa"/>
            <w:noWrap w:val="0"/>
            <w:vAlign w:val="top"/>
          </w:tcPr>
          <w:p w14:paraId="363A028F">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r>
      <w:tr w14:paraId="61A12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47179980">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6.5 </w:t>
            </w:r>
          </w:p>
        </w:tc>
        <w:tc>
          <w:tcPr>
            <w:tcW w:w="3342" w:type="dxa"/>
            <w:noWrap w:val="0"/>
            <w:vAlign w:val="center"/>
          </w:tcPr>
          <w:p w14:paraId="5B6EFD36">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土佳寮村委会洞头村小组（小广场） -环境整治</w:t>
            </w:r>
          </w:p>
        </w:tc>
        <w:tc>
          <w:tcPr>
            <w:tcW w:w="1663" w:type="dxa"/>
            <w:noWrap w:val="0"/>
            <w:vAlign w:val="center"/>
          </w:tcPr>
          <w:p w14:paraId="0DB9DD2B">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45641.32</w:t>
            </w:r>
          </w:p>
        </w:tc>
        <w:tc>
          <w:tcPr>
            <w:tcW w:w="1013" w:type="dxa"/>
            <w:noWrap w:val="0"/>
            <w:vAlign w:val="top"/>
          </w:tcPr>
          <w:p w14:paraId="47FB213A">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721C05F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1777.89</w:t>
            </w:r>
          </w:p>
        </w:tc>
        <w:tc>
          <w:tcPr>
            <w:tcW w:w="1242" w:type="dxa"/>
            <w:noWrap w:val="0"/>
            <w:vAlign w:val="top"/>
          </w:tcPr>
          <w:p w14:paraId="5E39052F">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r>
      <w:tr w14:paraId="29C6F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5A14D8E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7 </w:t>
            </w:r>
          </w:p>
        </w:tc>
        <w:tc>
          <w:tcPr>
            <w:tcW w:w="3342" w:type="dxa"/>
            <w:noWrap w:val="0"/>
            <w:vAlign w:val="center"/>
          </w:tcPr>
          <w:p w14:paraId="4F463A5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土佳寮村委会污水项目</w:t>
            </w:r>
          </w:p>
        </w:tc>
        <w:tc>
          <w:tcPr>
            <w:tcW w:w="1663" w:type="dxa"/>
            <w:noWrap w:val="0"/>
            <w:vAlign w:val="center"/>
          </w:tcPr>
          <w:p w14:paraId="5F5E42B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142926.37</w:t>
            </w:r>
          </w:p>
        </w:tc>
        <w:tc>
          <w:tcPr>
            <w:tcW w:w="1013" w:type="dxa"/>
            <w:noWrap w:val="0"/>
            <w:vAlign w:val="top"/>
          </w:tcPr>
          <w:p w14:paraId="684B8C8F">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10A8AE2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7038.84</w:t>
            </w:r>
          </w:p>
        </w:tc>
        <w:tc>
          <w:tcPr>
            <w:tcW w:w="1242" w:type="dxa"/>
            <w:noWrap w:val="0"/>
            <w:vAlign w:val="top"/>
          </w:tcPr>
          <w:p w14:paraId="4D96D8B5">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r>
      <w:tr w14:paraId="7021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175CF3B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7.1 </w:t>
            </w:r>
          </w:p>
        </w:tc>
        <w:tc>
          <w:tcPr>
            <w:tcW w:w="3342" w:type="dxa"/>
            <w:noWrap w:val="0"/>
            <w:vAlign w:val="center"/>
          </w:tcPr>
          <w:p w14:paraId="4308953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土佳寮村委会污水项目</w:t>
            </w:r>
          </w:p>
        </w:tc>
        <w:tc>
          <w:tcPr>
            <w:tcW w:w="1663" w:type="dxa"/>
            <w:noWrap w:val="0"/>
            <w:vAlign w:val="center"/>
          </w:tcPr>
          <w:p w14:paraId="63AD7C16">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142926.37</w:t>
            </w:r>
          </w:p>
        </w:tc>
        <w:tc>
          <w:tcPr>
            <w:tcW w:w="1013" w:type="dxa"/>
            <w:noWrap w:val="0"/>
            <w:vAlign w:val="top"/>
          </w:tcPr>
          <w:p w14:paraId="1997CBDB">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center"/>
          </w:tcPr>
          <w:p w14:paraId="7B4BEA48">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7038.84</w:t>
            </w:r>
          </w:p>
        </w:tc>
        <w:tc>
          <w:tcPr>
            <w:tcW w:w="1242" w:type="dxa"/>
            <w:noWrap w:val="0"/>
            <w:vAlign w:val="top"/>
          </w:tcPr>
          <w:p w14:paraId="17C4B0C4">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r>
      <w:tr w14:paraId="5E97B7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2BD4CF3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 </w:t>
            </w:r>
          </w:p>
        </w:tc>
        <w:tc>
          <w:tcPr>
            <w:tcW w:w="3342" w:type="dxa"/>
            <w:noWrap w:val="0"/>
            <w:vAlign w:val="center"/>
          </w:tcPr>
          <w:p w14:paraId="3C519C10">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暂列金</w:t>
            </w:r>
          </w:p>
        </w:tc>
        <w:tc>
          <w:tcPr>
            <w:tcW w:w="1663" w:type="dxa"/>
            <w:noWrap w:val="0"/>
            <w:vAlign w:val="center"/>
          </w:tcPr>
          <w:p w14:paraId="59B183BC">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50000.00</w:t>
            </w:r>
          </w:p>
        </w:tc>
        <w:tc>
          <w:tcPr>
            <w:tcW w:w="1013" w:type="dxa"/>
            <w:noWrap w:val="0"/>
            <w:vAlign w:val="top"/>
          </w:tcPr>
          <w:p w14:paraId="4AA4135E">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top"/>
          </w:tcPr>
          <w:p w14:paraId="63F85B2A">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p>
        </w:tc>
        <w:tc>
          <w:tcPr>
            <w:tcW w:w="1242" w:type="dxa"/>
            <w:noWrap w:val="0"/>
            <w:vAlign w:val="top"/>
          </w:tcPr>
          <w:p w14:paraId="0558BA57">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r>
      <w:tr w14:paraId="306CF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1077" w:type="dxa"/>
            <w:noWrap w:val="0"/>
            <w:vAlign w:val="center"/>
          </w:tcPr>
          <w:p w14:paraId="637658CA">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8.1 </w:t>
            </w:r>
          </w:p>
        </w:tc>
        <w:tc>
          <w:tcPr>
            <w:tcW w:w="3342" w:type="dxa"/>
            <w:noWrap w:val="0"/>
            <w:vAlign w:val="center"/>
          </w:tcPr>
          <w:p w14:paraId="1096BE48">
            <w:pPr>
              <w:keepNext w:val="0"/>
              <w:keepLines w:val="0"/>
              <w:widowControl/>
              <w:suppressLineNumbers w:val="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暂列金</w:t>
            </w:r>
          </w:p>
        </w:tc>
        <w:tc>
          <w:tcPr>
            <w:tcW w:w="1663" w:type="dxa"/>
            <w:noWrap w:val="0"/>
            <w:vAlign w:val="center"/>
          </w:tcPr>
          <w:p w14:paraId="044D7D2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000000"/>
                <w:kern w:val="0"/>
                <w:sz w:val="21"/>
                <w:szCs w:val="21"/>
                <w:u w:val="none"/>
                <w:lang w:val="en-US" w:eastAsia="zh-CN" w:bidi="ar"/>
              </w:rPr>
              <w:t>50000.00</w:t>
            </w:r>
          </w:p>
        </w:tc>
        <w:tc>
          <w:tcPr>
            <w:tcW w:w="1013" w:type="dxa"/>
            <w:noWrap w:val="0"/>
            <w:vAlign w:val="top"/>
          </w:tcPr>
          <w:p w14:paraId="4949F86E">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c>
          <w:tcPr>
            <w:tcW w:w="1721" w:type="dxa"/>
            <w:noWrap w:val="0"/>
            <w:vAlign w:val="top"/>
          </w:tcPr>
          <w:p w14:paraId="363C1FB6">
            <w:pPr>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w:t>
            </w:r>
          </w:p>
        </w:tc>
        <w:tc>
          <w:tcPr>
            <w:tcW w:w="1242" w:type="dxa"/>
            <w:noWrap w:val="0"/>
            <w:vAlign w:val="top"/>
          </w:tcPr>
          <w:p w14:paraId="48BCF12C">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kern w:val="0"/>
                <w:sz w:val="21"/>
                <w:szCs w:val="21"/>
                <w:highlight w:val="none"/>
                <w:u w:val="none"/>
                <w:lang w:val="en-US" w:eastAsia="zh-CN" w:bidi="ar"/>
              </w:rPr>
              <w:t>/</w:t>
            </w:r>
          </w:p>
        </w:tc>
      </w:tr>
      <w:tr w14:paraId="55F8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4419" w:type="dxa"/>
            <w:gridSpan w:val="2"/>
            <w:noWrap w:val="0"/>
            <w:vAlign w:val="center"/>
          </w:tcPr>
          <w:p w14:paraId="09F9380D">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合计</w:t>
            </w:r>
          </w:p>
        </w:tc>
        <w:tc>
          <w:tcPr>
            <w:tcW w:w="1663" w:type="dxa"/>
            <w:noWrap w:val="0"/>
            <w:vAlign w:val="center"/>
          </w:tcPr>
          <w:p w14:paraId="05D3C893">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5047880.89</w:t>
            </w:r>
          </w:p>
        </w:tc>
        <w:tc>
          <w:tcPr>
            <w:tcW w:w="1013" w:type="dxa"/>
            <w:noWrap w:val="0"/>
            <w:vAlign w:val="center"/>
          </w:tcPr>
          <w:p w14:paraId="210139F3">
            <w:pPr>
              <w:jc w:val="center"/>
              <w:rPr>
                <w:rFonts w:hint="eastAsia" w:ascii="宋体" w:hAnsi="宋体" w:eastAsia="宋体" w:cs="宋体"/>
                <w:i w:val="0"/>
                <w:iCs w:val="0"/>
                <w:color w:val="auto"/>
                <w:sz w:val="21"/>
                <w:szCs w:val="21"/>
                <w:highlight w:val="none"/>
                <w:u w:val="none"/>
                <w:lang w:val="en-US" w:eastAsia="zh-CN"/>
              </w:rPr>
            </w:pPr>
            <w:r>
              <w:rPr>
                <w:rFonts w:hint="eastAsia" w:ascii="宋体" w:hAnsi="宋体" w:eastAsia="宋体" w:cs="宋体"/>
                <w:i w:val="0"/>
                <w:iCs w:val="0"/>
                <w:color w:val="auto"/>
                <w:sz w:val="21"/>
                <w:szCs w:val="21"/>
                <w:highlight w:val="none"/>
                <w:u w:val="none"/>
                <w:lang w:val="en-US" w:eastAsia="zh-CN"/>
              </w:rPr>
              <w:t>/</w:t>
            </w:r>
          </w:p>
        </w:tc>
        <w:tc>
          <w:tcPr>
            <w:tcW w:w="1721" w:type="dxa"/>
            <w:noWrap w:val="0"/>
            <w:vAlign w:val="center"/>
          </w:tcPr>
          <w:p w14:paraId="4E0BCDE2">
            <w:pPr>
              <w:keepNext w:val="0"/>
              <w:keepLines w:val="0"/>
              <w:widowControl/>
              <w:suppressLineNumbers w:val="0"/>
              <w:jc w:val="center"/>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rPr>
              <w:t>239845.5</w:t>
            </w:r>
            <w:r>
              <w:rPr>
                <w:rFonts w:hint="eastAsia" w:ascii="宋体" w:hAnsi="宋体" w:eastAsia="宋体" w:cs="宋体"/>
                <w:color w:val="auto"/>
                <w:sz w:val="21"/>
                <w:szCs w:val="21"/>
                <w:highlight w:val="none"/>
                <w:lang w:val="en-US" w:eastAsia="zh-CN"/>
              </w:rPr>
              <w:t>0</w:t>
            </w:r>
          </w:p>
        </w:tc>
        <w:tc>
          <w:tcPr>
            <w:tcW w:w="1242" w:type="dxa"/>
            <w:noWrap w:val="0"/>
            <w:vAlign w:val="top"/>
          </w:tcPr>
          <w:p w14:paraId="04AE189D">
            <w:pPr>
              <w:jc w:val="center"/>
              <w:rPr>
                <w:rFonts w:hint="eastAsia" w:ascii="宋体" w:hAnsi="宋体" w:eastAsia="宋体" w:cs="宋体"/>
                <w:i w:val="0"/>
                <w:iCs w:val="0"/>
                <w:color w:val="auto"/>
                <w:sz w:val="21"/>
                <w:szCs w:val="21"/>
                <w:highlight w:val="none"/>
                <w:u w:val="none"/>
              </w:rPr>
            </w:pPr>
            <w:r>
              <w:rPr>
                <w:rFonts w:hint="eastAsia" w:ascii="宋体" w:hAnsi="宋体" w:eastAsia="宋体" w:cs="宋体"/>
                <w:i w:val="0"/>
                <w:iCs w:val="0"/>
                <w:color w:val="auto"/>
                <w:kern w:val="0"/>
                <w:sz w:val="21"/>
                <w:szCs w:val="21"/>
                <w:highlight w:val="none"/>
                <w:u w:val="none"/>
                <w:lang w:val="en-US" w:eastAsia="zh-CN" w:bidi="ar"/>
              </w:rPr>
              <w:t>/</w:t>
            </w:r>
          </w:p>
        </w:tc>
      </w:tr>
    </w:tbl>
    <w:p w14:paraId="5D6FAE86">
      <w:pPr>
        <w:pageBreakBefore w:val="0"/>
        <w:kinsoku/>
        <w:wordWrap w:val="0"/>
        <w:overflowPunct/>
        <w:topLinePunct w:val="0"/>
        <w:autoSpaceDE/>
        <w:autoSpaceDN/>
        <w:bidi w:val="0"/>
        <w:adjustRightInd w:val="0"/>
        <w:snapToGrid w:val="0"/>
        <w:spacing w:line="360" w:lineRule="auto"/>
        <w:ind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8.3</w:t>
      </w:r>
      <w:r>
        <w:rPr>
          <w:rFonts w:hint="eastAsia" w:ascii="宋体" w:hAnsi="宋体" w:eastAsia="宋体" w:cs="宋体"/>
          <w:snapToGrid w:val="0"/>
          <w:color w:val="auto"/>
          <w:kern w:val="0"/>
          <w:sz w:val="24"/>
          <w:szCs w:val="24"/>
          <w:highlight w:val="none"/>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19E4858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8.4</w:t>
      </w:r>
      <w:r>
        <w:rPr>
          <w:rFonts w:hint="eastAsia" w:ascii="宋体" w:hAnsi="宋体" w:eastAsia="宋体" w:cs="宋体"/>
          <w:snapToGrid w:val="0"/>
          <w:color w:val="auto"/>
          <w:kern w:val="0"/>
          <w:sz w:val="24"/>
          <w:szCs w:val="24"/>
          <w:highlight w:val="none"/>
        </w:rPr>
        <w:t xml:space="preserve"> 本招标项目以暂估价形式列入招标工程量清单中的材料、工程设备、专业工程（以下统称“暂估价项目”）包括：</w:t>
      </w:r>
      <w:r>
        <w:rPr>
          <w:rFonts w:hint="eastAsia" w:ascii="宋体" w:hAnsi="宋体" w:eastAsia="宋体" w:cs="宋体"/>
          <w:snapToGrid w:val="0"/>
          <w:color w:val="auto"/>
          <w:kern w:val="0"/>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r>
        <w:rPr>
          <w:rFonts w:hint="eastAsia" w:ascii="宋体" w:hAnsi="宋体" w:eastAsia="宋体" w:cs="宋体"/>
          <w:snapToGrid w:val="0"/>
          <w:color w:val="auto"/>
          <w:kern w:val="0"/>
          <w:sz w:val="24"/>
          <w:szCs w:val="24"/>
          <w:highlight w:val="none"/>
        </w:rPr>
        <w:t>。</w:t>
      </w:r>
    </w:p>
    <w:p w14:paraId="3F6C21E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kern w:val="0"/>
          <w:sz w:val="24"/>
          <w:szCs w:val="24"/>
          <w:highlight w:val="none"/>
        </w:rPr>
        <w:t xml:space="preserve"> 当暂估价项目的内容、标准、要求在项目实施过程中得以深化、明确、固定后，按以下原则发包：</w:t>
      </w:r>
    </w:p>
    <w:p w14:paraId="77C3560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（1）暂估价项目按工程、货物（指材料或工程设备，下同）的类别分类汇总的金额，达到必须招标规模标准的，由</w:t>
      </w:r>
      <w:r>
        <w:rPr>
          <w:rFonts w:hint="eastAsia" w:ascii="宋体" w:hAnsi="宋体" w:eastAsia="宋体" w:cs="宋体"/>
          <w:snapToGrid w:val="0"/>
          <w:color w:val="auto"/>
          <w:kern w:val="0"/>
          <w:sz w:val="24"/>
          <w:szCs w:val="24"/>
          <w:highlight w:val="none"/>
          <w:u w:val="single"/>
        </w:rPr>
        <w:t xml:space="preserve"> 中标人招标，招标人参与管理 </w:t>
      </w:r>
      <w:r>
        <w:rPr>
          <w:rFonts w:hint="eastAsia" w:ascii="宋体" w:hAnsi="宋体" w:eastAsia="宋体" w:cs="宋体"/>
          <w:snapToGrid w:val="0"/>
          <w:color w:val="auto"/>
          <w:kern w:val="0"/>
          <w:sz w:val="24"/>
          <w:szCs w:val="24"/>
          <w:highlight w:val="none"/>
        </w:rPr>
        <w:t>，确定专业工程承包人（或材料、工程设备供应商）和合同价格。</w:t>
      </w:r>
    </w:p>
    <w:p w14:paraId="13974D8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519B1A8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01103B0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786F4EA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（5）暂估价项目由其他承包人承包的，纳入中标人的管理和协调范围，由其他承包人向中标人承担质量、安全、文明施工、工期责任，中标人向招标人承担责任。</w:t>
      </w:r>
    </w:p>
    <w:p w14:paraId="7CD0EA9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sz w:val="24"/>
          <w:szCs w:val="24"/>
          <w:highlight w:val="none"/>
        </w:rPr>
      </w:pPr>
      <w:r>
        <w:rPr>
          <w:rFonts w:hint="eastAsia" w:ascii="宋体" w:hAnsi="宋体" w:eastAsia="宋体" w:cs="宋体"/>
          <w:b/>
          <w:bCs/>
          <w:snapToGrid w:val="0"/>
          <w:color w:val="auto"/>
          <w:kern w:val="0"/>
          <w:sz w:val="24"/>
          <w:szCs w:val="24"/>
          <w:highlight w:val="none"/>
        </w:rPr>
        <w:t>8.6</w:t>
      </w:r>
      <w:r>
        <w:rPr>
          <w:rFonts w:hint="eastAsia" w:ascii="宋体" w:hAnsi="宋体" w:eastAsia="宋体" w:cs="宋体"/>
          <w:snapToGrid w:val="0"/>
          <w:color w:val="auto"/>
          <w:kern w:val="0"/>
          <w:sz w:val="24"/>
          <w:szCs w:val="24"/>
          <w:highlight w:val="none"/>
        </w:rPr>
        <w:t xml:space="preserve"> 本招标项目以</w:t>
      </w:r>
      <w:r>
        <w:rPr>
          <w:rFonts w:hint="eastAsia" w:ascii="宋体" w:hAnsi="宋体" w:eastAsia="宋体" w:cs="宋体"/>
          <w:snapToGrid w:val="0"/>
          <w:color w:val="auto"/>
          <w:sz w:val="24"/>
          <w:szCs w:val="24"/>
          <w:highlight w:val="none"/>
        </w:rPr>
        <w:t>暂列金额</w:t>
      </w:r>
      <w:r>
        <w:rPr>
          <w:rFonts w:hint="eastAsia" w:ascii="宋体" w:hAnsi="宋体" w:eastAsia="宋体" w:cs="宋体"/>
          <w:snapToGrid w:val="0"/>
          <w:color w:val="auto"/>
          <w:kern w:val="0"/>
          <w:sz w:val="24"/>
          <w:szCs w:val="24"/>
          <w:highlight w:val="none"/>
        </w:rPr>
        <w:t>形式列入招标工程量清单中的</w:t>
      </w:r>
      <w:r>
        <w:rPr>
          <w:rFonts w:hint="eastAsia" w:ascii="宋体" w:hAnsi="宋体" w:eastAsia="宋体" w:cs="宋体"/>
          <w:snapToGrid w:val="0"/>
          <w:color w:val="auto"/>
          <w:sz w:val="24"/>
          <w:szCs w:val="24"/>
          <w:highlight w:val="none"/>
        </w:rPr>
        <w:t>所需货物和服务的采购</w:t>
      </w:r>
      <w:r>
        <w:rPr>
          <w:rFonts w:hint="eastAsia" w:ascii="宋体" w:hAnsi="宋体" w:eastAsia="宋体" w:cs="宋体"/>
          <w:snapToGrid w:val="0"/>
          <w:color w:val="auto"/>
          <w:kern w:val="0"/>
          <w:sz w:val="24"/>
          <w:szCs w:val="24"/>
          <w:highlight w:val="none"/>
        </w:rPr>
        <w:t>（以下统称“暂列金额项目”）若有</w:t>
      </w:r>
      <w:r>
        <w:rPr>
          <w:rFonts w:hint="eastAsia" w:ascii="宋体" w:hAnsi="宋体" w:eastAsia="宋体" w:cs="宋体"/>
          <w:snapToGrid w:val="0"/>
          <w:color w:val="auto"/>
          <w:sz w:val="24"/>
          <w:szCs w:val="24"/>
          <w:highlight w:val="none"/>
        </w:rPr>
        <w:t>发生，按照本节第</w:t>
      </w: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sz w:val="24"/>
          <w:szCs w:val="24"/>
          <w:highlight w:val="none"/>
        </w:rPr>
        <w:t>条的规定确定货物（或服务）供应商和合同价格。暂列金额项目由其他承包人承包的，纳入中标人的管理和协调范围，由其他承包人向中标人承担质量、安全、文明施工、工期责任，中标人向招标人承担责任。</w:t>
      </w:r>
    </w:p>
    <w:p w14:paraId="367930F3">
      <w:pPr>
        <w:pStyle w:val="4"/>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bookmarkStart w:id="79" w:name="_Toc17205"/>
      <w:bookmarkStart w:id="80" w:name="_Toc8163"/>
    </w:p>
    <w:p w14:paraId="5529C045">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bookmarkStart w:id="81" w:name="_Toc19680"/>
      <w:r>
        <w:rPr>
          <w:rFonts w:hint="eastAsia" w:ascii="宋体" w:hAnsi="宋体" w:eastAsia="宋体" w:cs="宋体"/>
          <w:sz w:val="24"/>
          <w:szCs w:val="24"/>
        </w:rPr>
        <w:t>9．投标报价</w:t>
      </w:r>
      <w:bookmarkEnd w:id="77"/>
      <w:bookmarkEnd w:id="79"/>
      <w:bookmarkEnd w:id="80"/>
      <w:bookmarkEnd w:id="81"/>
      <w:bookmarkStart w:id="82" w:name="_Hlt74498519"/>
      <w:bookmarkEnd w:id="82"/>
    </w:p>
    <w:p w14:paraId="0C5A58C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9.1</w:t>
      </w:r>
      <w:r>
        <w:rPr>
          <w:rFonts w:hint="eastAsia" w:ascii="宋体" w:hAnsi="宋体" w:eastAsia="宋体" w:cs="宋体"/>
          <w:snapToGrid w:val="0"/>
          <w:color w:val="auto"/>
          <w:kern w:val="0"/>
          <w:sz w:val="24"/>
          <w:szCs w:val="24"/>
          <w:highlight w:val="none"/>
        </w:rPr>
        <w:t xml:space="preserve"> 投标人应按照以下依据编制投标报价：</w:t>
      </w:r>
    </w:p>
    <w:p w14:paraId="5D6A41E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（1）《建设工程工程量清单计价规范》（GB50500—2013）；</w:t>
      </w:r>
    </w:p>
    <w:p w14:paraId="717BC6C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2</w:t>
      </w: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《房屋建筑与装饰工程工程量计算规范》（GB50854-2013）；</w:t>
      </w:r>
    </w:p>
    <w:p w14:paraId="12CBB3E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3</w:t>
      </w:r>
      <w:r>
        <w:rPr>
          <w:rFonts w:hint="eastAsia" w:hAnsi="宋体" w:cs="宋体"/>
          <w:snapToGrid w:val="0"/>
          <w:color w:val="auto"/>
          <w:kern w:val="0"/>
          <w:sz w:val="24"/>
          <w:szCs w:val="24"/>
          <w:highlight w:val="none"/>
          <w:lang w:eastAsia="zh-CN"/>
        </w:rPr>
        <w:t>）</w:t>
      </w:r>
      <w:r>
        <w:rPr>
          <w:rFonts w:hint="eastAsia" w:hAnsi="宋体" w:cs="宋体"/>
          <w:snapToGrid w:val="0"/>
          <w:color w:val="auto"/>
          <w:kern w:val="0"/>
          <w:sz w:val="24"/>
          <w:szCs w:val="24"/>
          <w:highlight w:val="none"/>
          <w:lang w:val="en-US" w:eastAsia="zh-CN"/>
        </w:rPr>
        <w:t>《市政工程工程量清单计价规范》（GB50857-2013）；</w:t>
      </w:r>
    </w:p>
    <w:p w14:paraId="607E091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广东省建设工程计价依据（2018）》。具体包括：《广东省房屋建筑与装饰工程综合定额（2018）》《广东省市政工程综合定额（2018）》《广东省通用安装工程综合定额（2018）》《广东省建设工程施工机具台班费用编制规则（2018）》等；</w:t>
      </w:r>
    </w:p>
    <w:p w14:paraId="0CA6109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）企业定额；</w:t>
      </w:r>
    </w:p>
    <w:p w14:paraId="37CD657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）招标文件及其答疑（或修改）公告、招标工程量清单；</w:t>
      </w:r>
    </w:p>
    <w:p w14:paraId="34A86C3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）施工图及相关资料；</w:t>
      </w:r>
    </w:p>
    <w:p w14:paraId="0078D64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rPr>
        <w:t>）施工现场情况、工程特点及投标时拟定的施工组织设计或施工方案；</w:t>
      </w:r>
    </w:p>
    <w:p w14:paraId="52709A9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9</w:t>
      </w:r>
      <w:r>
        <w:rPr>
          <w:rFonts w:hint="eastAsia" w:ascii="宋体" w:hAnsi="宋体" w:eastAsia="宋体" w:cs="宋体"/>
          <w:snapToGrid w:val="0"/>
          <w:color w:val="auto"/>
          <w:kern w:val="0"/>
          <w:sz w:val="24"/>
          <w:szCs w:val="24"/>
          <w:highlight w:val="none"/>
        </w:rPr>
        <w:t>）市场价格信息或项目所在地工程造价管理机构发布的工程造价信息；</w:t>
      </w:r>
    </w:p>
    <w:p w14:paraId="2F09033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）与建设项目相关的标准、规范、技术资料。</w:t>
      </w:r>
    </w:p>
    <w:p w14:paraId="45FDB2A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9.2</w:t>
      </w:r>
      <w:r>
        <w:rPr>
          <w:rFonts w:hint="eastAsia" w:ascii="宋体" w:hAnsi="宋体" w:eastAsia="宋体" w:cs="宋体"/>
          <w:snapToGrid w:val="0"/>
          <w:color w:val="auto"/>
          <w:kern w:val="0"/>
          <w:sz w:val="24"/>
          <w:szCs w:val="24"/>
          <w:highlight w:val="none"/>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w:t>
      </w:r>
      <w:bookmarkStart w:id="83" w:name="_Hlt66594003"/>
      <w:bookmarkEnd w:id="83"/>
      <w:r>
        <w:rPr>
          <w:rFonts w:hint="eastAsia" w:ascii="宋体" w:hAnsi="宋体" w:eastAsia="宋体" w:cs="宋体"/>
          <w:snapToGrid w:val="0"/>
          <w:color w:val="auto"/>
          <w:kern w:val="0"/>
          <w:sz w:val="24"/>
          <w:szCs w:val="24"/>
          <w:highlight w:val="none"/>
        </w:rPr>
        <w:t>所谓“一定范围内的风险”是指合同约定的风险。</w:t>
      </w:r>
      <w:bookmarkStart w:id="84" w:name="_Hlt69335755"/>
      <w:bookmarkEnd w:id="84"/>
    </w:p>
    <w:p w14:paraId="7D39C64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9.3</w:t>
      </w:r>
      <w:r>
        <w:rPr>
          <w:rFonts w:hint="eastAsia" w:ascii="宋体" w:hAnsi="宋体" w:eastAsia="宋体" w:cs="宋体"/>
          <w:snapToGrid w:val="0"/>
          <w:color w:val="auto"/>
          <w:kern w:val="0"/>
          <w:sz w:val="24"/>
          <w:szCs w:val="24"/>
          <w:highlight w:val="none"/>
        </w:rPr>
        <w:t xml:space="preserve"> 招标人及招标代理机构不集中组织现场踏勘，投标人需要了解现场情况的，可自行进行现场踏勘。各投标人应勘察施工现场及周围环境、地形、地貌、水文、交通等情况，以获得一切可能影响到投标的直</w:t>
      </w:r>
      <w:bookmarkStart w:id="85" w:name="_Hlt66509056"/>
      <w:bookmarkEnd w:id="85"/>
      <w:r>
        <w:rPr>
          <w:rFonts w:hint="eastAsia" w:ascii="宋体" w:hAnsi="宋体" w:eastAsia="宋体" w:cs="宋体"/>
          <w:snapToGrid w:val="0"/>
          <w:color w:val="auto"/>
          <w:kern w:val="0"/>
          <w:sz w:val="24"/>
          <w:szCs w:val="24"/>
          <w:highlight w:val="none"/>
        </w:rPr>
        <w:t>接资料。投标人应针对现场情况编制施工组织设计，并在编制投标报价时考虑现场情况的影响。</w:t>
      </w:r>
    </w:p>
    <w:p w14:paraId="305E512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9.4</w:t>
      </w:r>
      <w:r>
        <w:rPr>
          <w:rFonts w:hint="eastAsia" w:ascii="宋体" w:hAnsi="宋体" w:eastAsia="宋体" w:cs="宋体"/>
          <w:snapToGrid w:val="0"/>
          <w:color w:val="auto"/>
          <w:kern w:val="0"/>
          <w:sz w:val="24"/>
          <w:szCs w:val="24"/>
          <w:highlight w:val="none"/>
        </w:rPr>
        <w:t xml:space="preserve"> 招标人向投标人提供的有关现场的数据和资料，是招标人现有的能被投标人利用的资料，招标人对投标人做出的任何推论、理解和结论均不负责任。</w:t>
      </w:r>
    </w:p>
    <w:p w14:paraId="6A0D0CA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9.5</w:t>
      </w:r>
      <w:r>
        <w:rPr>
          <w:rFonts w:hint="eastAsia" w:ascii="宋体" w:hAnsi="宋体" w:eastAsia="宋体" w:cs="宋体"/>
          <w:snapToGrid w:val="0"/>
          <w:color w:val="auto"/>
          <w:kern w:val="0"/>
          <w:sz w:val="24"/>
          <w:szCs w:val="24"/>
          <w:highlight w:val="none"/>
        </w:rPr>
        <w:t xml:space="preserve"> 投标人必须按照招标工程量清单及表格填报价格。项目编码、项目名称、项目特征、计量单位、工程量必须与招标工程量清单一致。所有报价均以人民币“元”为单位，并保留小数点后两位。</w:t>
      </w:r>
    </w:p>
    <w:p w14:paraId="4C75A9D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9.6</w:t>
      </w:r>
      <w:r>
        <w:rPr>
          <w:rFonts w:hint="eastAsia" w:ascii="宋体" w:hAnsi="宋体" w:eastAsia="宋体" w:cs="宋体"/>
          <w:snapToGrid w:val="0"/>
          <w:color w:val="auto"/>
          <w:kern w:val="0"/>
          <w:sz w:val="24"/>
          <w:szCs w:val="24"/>
          <w:highlight w:val="none"/>
        </w:rPr>
        <w:t xml:space="preserve"> 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249A3E5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9.7</w:t>
      </w:r>
      <w:r>
        <w:rPr>
          <w:rFonts w:hint="eastAsia" w:ascii="宋体" w:hAnsi="宋体" w:eastAsia="宋体" w:cs="宋体"/>
          <w:snapToGrid w:val="0"/>
          <w:color w:val="auto"/>
          <w:kern w:val="0"/>
          <w:sz w:val="24"/>
          <w:szCs w:val="24"/>
          <w:highlight w:val="none"/>
        </w:rPr>
        <w:t xml:space="preserve"> 投标人的投标总价不得高于招标控制价，也不得低于工程成本。投标人对投标总价的所有优惠（降价、让利等），均应当反映在具体清单项目或其综合单价的报价上。</w:t>
      </w:r>
      <w:r>
        <w:rPr>
          <w:rFonts w:hint="eastAsia" w:ascii="宋体" w:hAnsi="宋体" w:eastAsia="宋体" w:cs="宋体"/>
          <w:b/>
          <w:snapToGrid w:val="0"/>
          <w:color w:val="auto"/>
          <w:kern w:val="0"/>
          <w:sz w:val="24"/>
          <w:szCs w:val="24"/>
          <w:highlight w:val="none"/>
        </w:rPr>
        <w:t>如果投标人的投标总价下浮率（投标总价下浮率＝100%－投标总价÷招标控制价×100%）高于15%时，投标人必须在投标文件中专项作出详细合理的书面说明并提供以往类似工程详细成本分析报告供评标委员会审查。</w:t>
      </w:r>
    </w:p>
    <w:p w14:paraId="4E0B4EE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9.8</w:t>
      </w:r>
      <w:r>
        <w:rPr>
          <w:rFonts w:hint="eastAsia" w:ascii="宋体" w:hAnsi="宋体" w:eastAsia="宋体" w:cs="宋体"/>
          <w:snapToGrid w:val="0"/>
          <w:color w:val="auto"/>
          <w:kern w:val="0"/>
          <w:sz w:val="24"/>
          <w:szCs w:val="24"/>
          <w:highlight w:val="none"/>
        </w:rPr>
        <w:t xml:space="preserve"> 投标人的绿色施工安全防护措施费报价必须达到或超过招标工程量清单中提供的绿色施工安全防护措施费。</w:t>
      </w:r>
    </w:p>
    <w:p w14:paraId="138CEB1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9.9</w:t>
      </w:r>
      <w:r>
        <w:rPr>
          <w:rFonts w:hint="eastAsia" w:ascii="宋体" w:hAnsi="宋体" w:eastAsia="宋体" w:cs="宋体"/>
          <w:snapToGrid w:val="0"/>
          <w:color w:val="auto"/>
          <w:kern w:val="0"/>
          <w:sz w:val="24"/>
          <w:szCs w:val="24"/>
          <w:highlight w:val="none"/>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bookmarkStart w:id="86" w:name="_（十）投标文件的编制、包装、密封"/>
      <w:bookmarkEnd w:id="86"/>
      <w:bookmarkStart w:id="87" w:name="_Toc11437"/>
      <w:bookmarkStart w:id="88" w:name="_Toc721"/>
      <w:bookmarkStart w:id="89" w:name="_Toc28889"/>
    </w:p>
    <w:p w14:paraId="2F1A0BDC">
      <w:pPr>
        <w:pStyle w:val="4"/>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p w14:paraId="5F3532CF">
      <w:pPr>
        <w:pStyle w:val="5"/>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sz w:val="24"/>
          <w:szCs w:val="24"/>
        </w:rPr>
      </w:pPr>
      <w:bookmarkStart w:id="90" w:name="_Toc15652"/>
      <w:r>
        <w:rPr>
          <w:rFonts w:hint="eastAsia" w:ascii="宋体" w:hAnsi="宋体" w:eastAsia="宋体" w:cs="宋体"/>
          <w:sz w:val="24"/>
          <w:szCs w:val="24"/>
        </w:rPr>
        <w:t>10．投标文件的编制</w:t>
      </w:r>
      <w:bookmarkStart w:id="91" w:name="_Hlt69332370"/>
      <w:bookmarkEnd w:id="91"/>
      <w:bookmarkStart w:id="92" w:name="_Hlt69208262"/>
      <w:bookmarkEnd w:id="92"/>
      <w:r>
        <w:rPr>
          <w:rFonts w:hint="eastAsia" w:ascii="宋体" w:hAnsi="宋体" w:eastAsia="宋体" w:cs="宋体"/>
          <w:sz w:val="24"/>
          <w:szCs w:val="24"/>
        </w:rPr>
        <w:t>要求</w:t>
      </w:r>
      <w:bookmarkEnd w:id="87"/>
      <w:bookmarkEnd w:id="88"/>
      <w:bookmarkEnd w:id="89"/>
      <w:bookmarkEnd w:id="90"/>
      <w:bookmarkStart w:id="93" w:name="_Hlt74495594"/>
      <w:bookmarkEnd w:id="93"/>
      <w:bookmarkStart w:id="94" w:name="_Hlt74497202"/>
      <w:bookmarkEnd w:id="94"/>
      <w:bookmarkStart w:id="95" w:name="_Hlt78768224"/>
      <w:bookmarkEnd w:id="95"/>
      <w:bookmarkStart w:id="96" w:name="_Toc17114"/>
    </w:p>
    <w:p w14:paraId="5707B7FA">
      <w:pPr>
        <w:pStyle w:val="5"/>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snapToGrid w:val="0"/>
          <w:color w:val="auto"/>
          <w:kern w:val="0"/>
          <w:sz w:val="24"/>
          <w:szCs w:val="24"/>
          <w:highlight w:val="none"/>
        </w:rPr>
      </w:pPr>
      <w:bookmarkStart w:id="97" w:name="_Toc3493"/>
      <w:bookmarkStart w:id="98" w:name="_Toc32090"/>
      <w:bookmarkStart w:id="99" w:name="_Toc8710"/>
      <w:bookmarkStart w:id="100" w:name="_Toc15062"/>
      <w:r>
        <w:rPr>
          <w:rFonts w:hint="eastAsia" w:ascii="宋体" w:hAnsi="宋体" w:eastAsia="宋体" w:cs="宋体"/>
          <w:b/>
          <w:bCs/>
          <w:snapToGrid w:val="0"/>
          <w:color w:val="auto"/>
          <w:kern w:val="0"/>
          <w:sz w:val="24"/>
          <w:szCs w:val="24"/>
          <w:highlight w:val="none"/>
        </w:rPr>
        <w:t>10.1</w:t>
      </w:r>
      <w:r>
        <w:rPr>
          <w:rFonts w:hint="eastAsia" w:ascii="宋体" w:hAnsi="宋体" w:eastAsia="宋体" w:cs="宋体"/>
          <w:bCs/>
          <w:snapToGrid w:val="0"/>
          <w:color w:val="auto"/>
          <w:kern w:val="0"/>
          <w:sz w:val="24"/>
          <w:szCs w:val="24"/>
          <w:highlight w:val="none"/>
        </w:rPr>
        <w:t xml:space="preserve"> 一般要求</w:t>
      </w:r>
      <w:bookmarkEnd w:id="96"/>
      <w:bookmarkEnd w:id="97"/>
      <w:bookmarkEnd w:id="98"/>
      <w:bookmarkEnd w:id="99"/>
      <w:bookmarkEnd w:id="100"/>
    </w:p>
    <w:p w14:paraId="557D012A">
      <w:pPr>
        <w:pStyle w:val="13"/>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投标文件应按第六章 投标文件格式规定的内容，投标人提交的投标文件应当使用招标文件所提供的投标文件全部格式。</w:t>
      </w:r>
    </w:p>
    <w:p w14:paraId="22F00A5D">
      <w:pPr>
        <w:pStyle w:val="13"/>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10.1.1</w:t>
      </w:r>
      <w:r>
        <w:rPr>
          <w:rFonts w:hint="eastAsia" w:ascii="宋体" w:hAnsi="宋体" w:eastAsia="宋体" w:cs="宋体"/>
          <w:snapToGrid w:val="0"/>
          <w:color w:val="auto"/>
          <w:kern w:val="0"/>
          <w:sz w:val="24"/>
          <w:szCs w:val="24"/>
          <w:highlight w:val="none"/>
        </w:rPr>
        <w:t xml:space="preserve"> 投标人必须响应招标文件，并在充分理解招标人提供的全部文件、设计图纸、资料及现场条件的基础</w:t>
      </w:r>
      <w:bookmarkStart w:id="101" w:name="_Hlt78709790"/>
      <w:bookmarkEnd w:id="101"/>
      <w:r>
        <w:rPr>
          <w:rFonts w:hint="eastAsia" w:ascii="宋体" w:hAnsi="宋体" w:eastAsia="宋体" w:cs="宋体"/>
          <w:snapToGrid w:val="0"/>
          <w:color w:val="auto"/>
          <w:kern w:val="0"/>
          <w:sz w:val="24"/>
          <w:szCs w:val="24"/>
          <w:highlight w:val="none"/>
        </w:rPr>
        <w:t>上编制投标文件。因投标文件不符合招标文件的要求而造成的损失和后果，由投标人自行承担。</w:t>
      </w:r>
      <w:bookmarkStart w:id="102" w:name="_Hlt74496890"/>
      <w:bookmarkEnd w:id="102"/>
    </w:p>
    <w:p w14:paraId="689F97EF">
      <w:pPr>
        <w:pStyle w:val="13"/>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10.1.2</w:t>
      </w:r>
      <w:r>
        <w:rPr>
          <w:rFonts w:hint="eastAsia" w:ascii="宋体" w:hAnsi="宋体" w:eastAsia="宋体" w:cs="宋体"/>
          <w:snapToGrid w:val="0"/>
          <w:color w:val="auto"/>
          <w:kern w:val="0"/>
          <w:sz w:val="24"/>
          <w:szCs w:val="24"/>
          <w:highlight w:val="none"/>
        </w:rPr>
        <w:t xml:space="preserve"> 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交易指引。</w:t>
      </w:r>
    </w:p>
    <w:p w14:paraId="506E8FBF">
      <w:pPr>
        <w:pStyle w:val="13"/>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w:t>
      </w:r>
      <w:r>
        <w:rPr>
          <w:rFonts w:hint="eastAsia" w:ascii="宋体" w:hAnsi="宋体" w:eastAsia="宋体" w:cs="宋体"/>
          <w:snapToGrid w:val="0"/>
          <w:color w:val="auto"/>
          <w:kern w:val="0"/>
          <w:sz w:val="24"/>
          <w:szCs w:val="24"/>
          <w:highlight w:val="none"/>
        </w:rPr>
        <w:t>投标文件需按以下要求签字、盖章：电子投标文件：</w:t>
      </w:r>
    </w:p>
    <w:p w14:paraId="318DCE26">
      <w:pPr>
        <w:pStyle w:val="13"/>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10.1.3.1</w:t>
      </w:r>
      <w:r>
        <w:rPr>
          <w:rFonts w:hint="eastAsia" w:ascii="宋体" w:hAnsi="宋体" w:eastAsia="宋体" w:cs="宋体"/>
          <w:snapToGrid w:val="0"/>
          <w:color w:val="auto"/>
          <w:kern w:val="0"/>
          <w:sz w:val="24"/>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59589981">
      <w:pPr>
        <w:pStyle w:val="13"/>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10.1.3.2</w:t>
      </w:r>
      <w:r>
        <w:rPr>
          <w:rFonts w:hint="eastAsia" w:ascii="宋体" w:hAnsi="宋体" w:eastAsia="宋体" w:cs="宋体"/>
          <w:snapToGrid w:val="0"/>
          <w:color w:val="auto"/>
          <w:kern w:val="0"/>
          <w:sz w:val="24"/>
          <w:szCs w:val="24"/>
          <w:highlight w:val="none"/>
        </w:rPr>
        <w:t>投标文件封套、封面、组成内容中凡要求录入投标人名称且注明“盖单位章”处盖单位法人公章（电子印章）。</w:t>
      </w:r>
    </w:p>
    <w:p w14:paraId="6F6DC280">
      <w:pPr>
        <w:pStyle w:val="13"/>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10.1.3.3 </w:t>
      </w:r>
      <w:r>
        <w:rPr>
          <w:rFonts w:hint="eastAsia" w:ascii="宋体" w:hAnsi="宋体" w:eastAsia="宋体" w:cs="宋体"/>
          <w:snapToGrid w:val="0"/>
          <w:color w:val="auto"/>
          <w:kern w:val="0"/>
          <w:sz w:val="24"/>
          <w:szCs w:val="24"/>
          <w:highlight w:val="none"/>
        </w:rPr>
        <w:t>投标文件的签字均为签字人本人亲笔署名或签章（电子印章），其余部分的复印件无须另行签字、盖章。</w:t>
      </w:r>
    </w:p>
    <w:p w14:paraId="22B0637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10.1.3.4</w:t>
      </w:r>
      <w:r>
        <w:rPr>
          <w:rFonts w:hint="eastAsia" w:ascii="宋体" w:hAnsi="宋体" w:eastAsia="宋体" w:cs="宋体"/>
          <w:snapToGrid w:val="0"/>
          <w:color w:val="auto"/>
          <w:kern w:val="0"/>
          <w:sz w:val="24"/>
          <w:szCs w:val="24"/>
          <w:highlight w:val="none"/>
        </w:rPr>
        <w:t xml:space="preserve"> 联合体投标的，除《联合体协议书》外，由联合体牵头人按以上要求签亲笔署名或签章（电子印章）即可。</w:t>
      </w:r>
      <w:bookmarkStart w:id="103" w:name="_Toc257031159"/>
      <w:bookmarkStart w:id="104" w:name="_Toc29774"/>
      <w:bookmarkStart w:id="105" w:name="_Toc274313880"/>
    </w:p>
    <w:p w14:paraId="2E3F5761">
      <w:pPr>
        <w:pStyle w:val="5"/>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val="0"/>
          <w:bCs w:val="0"/>
          <w:snapToGrid w:val="0"/>
          <w:color w:val="auto"/>
          <w:kern w:val="0"/>
          <w:sz w:val="24"/>
          <w:szCs w:val="24"/>
          <w:highlight w:val="none"/>
        </w:rPr>
      </w:pPr>
      <w:bookmarkStart w:id="106" w:name="_Toc27367"/>
      <w:bookmarkStart w:id="107" w:name="_Toc18037"/>
      <w:bookmarkStart w:id="108" w:name="_Toc3004"/>
      <w:bookmarkStart w:id="109" w:name="_Toc2278"/>
      <w:r>
        <w:rPr>
          <w:rFonts w:hint="eastAsia" w:ascii="宋体" w:hAnsi="宋体" w:eastAsia="宋体" w:cs="宋体"/>
          <w:b/>
          <w:bCs/>
          <w:snapToGrid w:val="0"/>
          <w:color w:val="auto"/>
          <w:kern w:val="0"/>
          <w:sz w:val="24"/>
          <w:szCs w:val="24"/>
          <w:highlight w:val="none"/>
        </w:rPr>
        <w:t xml:space="preserve">10.2 </w:t>
      </w:r>
      <w:r>
        <w:rPr>
          <w:rFonts w:hint="eastAsia" w:ascii="宋体" w:hAnsi="宋体" w:eastAsia="宋体" w:cs="宋体"/>
          <w:b w:val="0"/>
          <w:bCs w:val="0"/>
          <w:snapToGrid w:val="0"/>
          <w:color w:val="auto"/>
          <w:kern w:val="0"/>
          <w:sz w:val="24"/>
          <w:szCs w:val="24"/>
          <w:highlight w:val="none"/>
        </w:rPr>
        <w:t>商务标书的编制要求</w:t>
      </w:r>
      <w:bookmarkEnd w:id="103"/>
      <w:bookmarkEnd w:id="104"/>
      <w:bookmarkEnd w:id="105"/>
      <w:bookmarkEnd w:id="106"/>
      <w:bookmarkEnd w:id="107"/>
      <w:bookmarkEnd w:id="108"/>
      <w:bookmarkEnd w:id="109"/>
    </w:p>
    <w:p w14:paraId="272C947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Cs/>
          <w:snapToGrid w:val="0"/>
          <w:color w:val="auto"/>
          <w:kern w:val="0"/>
          <w:sz w:val="24"/>
          <w:szCs w:val="24"/>
          <w:highlight w:val="none"/>
        </w:rPr>
        <w:t>商务标书</w:t>
      </w:r>
      <w:r>
        <w:rPr>
          <w:rFonts w:hint="eastAsia" w:ascii="宋体" w:hAnsi="宋体" w:eastAsia="宋体" w:cs="宋体"/>
          <w:snapToGrid w:val="0"/>
          <w:color w:val="auto"/>
          <w:kern w:val="0"/>
          <w:sz w:val="24"/>
          <w:szCs w:val="24"/>
          <w:highlight w:val="none"/>
        </w:rPr>
        <w:t>包括但不限于以下内容：</w:t>
      </w:r>
    </w:p>
    <w:p w14:paraId="16B0106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5E6E16A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（2）目录； </w:t>
      </w:r>
    </w:p>
    <w:p w14:paraId="6FE639E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（3）《投标函》（格式二）；</w:t>
      </w:r>
    </w:p>
    <w:p w14:paraId="4F630FC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（4）《各项承诺一览表》（格式三）；</w:t>
      </w:r>
    </w:p>
    <w:p w14:paraId="4C8B8A9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（5）《授权委托书》（格式四）；</w:t>
      </w:r>
    </w:p>
    <w:p w14:paraId="445C4A5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（6）《法定代表人身份证明》（格式五）；</w:t>
      </w:r>
    </w:p>
    <w:p w14:paraId="385CA39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（7）《联合体协议书》（格式六）及所附资料；</w:t>
      </w:r>
    </w:p>
    <w:p w14:paraId="5FCB22D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（8）投标保证缴纳证明（投标人采用投标保证金的，附建设工程交易系统《缴纳投标保证金通知书》页面截图打印件和银行转账单</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snapToGrid w:val="0"/>
          <w:color w:val="auto"/>
          <w:kern w:val="0"/>
          <w:sz w:val="24"/>
          <w:szCs w:val="24"/>
          <w:highlight w:val="none"/>
        </w:rPr>
        <w:t>；采用投标保证担保的，附银行保函</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snapToGrid w:val="0"/>
          <w:color w:val="auto"/>
          <w:kern w:val="0"/>
          <w:sz w:val="24"/>
          <w:szCs w:val="24"/>
          <w:highlight w:val="none"/>
        </w:rPr>
        <w:t>；采用投标保证保险的，附电子保单和</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韶关市公共资源交易一体化平台保证金缴纳信息</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snapToGrid w:val="0"/>
          <w:color w:val="auto"/>
          <w:kern w:val="0"/>
          <w:sz w:val="24"/>
          <w:szCs w:val="24"/>
          <w:highlight w:val="none"/>
        </w:rPr>
        <w:t>页面截图）；</w:t>
      </w:r>
    </w:p>
    <w:p w14:paraId="2614360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（9）《投标人基本情况表》（格式七）及所附资料；</w:t>
      </w:r>
    </w:p>
    <w:p w14:paraId="2F12A26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（10）《项目经理简历表》（格式八）及所附资料；</w:t>
      </w:r>
    </w:p>
    <w:p w14:paraId="2F9DD43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（11）《项目经理任职声明》（格式九）；</w:t>
      </w:r>
    </w:p>
    <w:p w14:paraId="7B6B351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（12）《项目技术负责人简历表》（格式十）及所附资料；</w:t>
      </w:r>
    </w:p>
    <w:p w14:paraId="603C15D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《专职安全员简历表》（格式十一）及所附资料</w:t>
      </w:r>
      <w:r>
        <w:rPr>
          <w:rFonts w:hint="eastAsia" w:ascii="宋体" w:hAnsi="宋体" w:eastAsia="宋体" w:cs="宋体"/>
          <w:snapToGrid w:val="0"/>
          <w:color w:val="auto"/>
          <w:kern w:val="0"/>
          <w:sz w:val="24"/>
          <w:szCs w:val="24"/>
          <w:highlight w:val="none"/>
          <w:lang w:val="en-US" w:eastAsia="zh-CN"/>
        </w:rPr>
        <w:t>；</w:t>
      </w:r>
    </w:p>
    <w:p w14:paraId="00ABA82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）《项目管理机构组成表》（格式十</w:t>
      </w:r>
      <w:r>
        <w:rPr>
          <w:rFonts w:hint="eastAsia" w:ascii="宋体" w:hAnsi="宋体" w:eastAsia="宋体" w:cs="宋体"/>
          <w:snapToGrid w:val="0"/>
          <w:color w:val="auto"/>
          <w:kern w:val="0"/>
          <w:sz w:val="24"/>
          <w:szCs w:val="24"/>
          <w:highlight w:val="none"/>
          <w:lang w:val="en-US" w:eastAsia="zh-CN"/>
        </w:rPr>
        <w:t>二</w:t>
      </w:r>
      <w:r>
        <w:rPr>
          <w:rFonts w:hint="eastAsia" w:ascii="宋体" w:hAnsi="宋体" w:eastAsia="宋体" w:cs="宋体"/>
          <w:snapToGrid w:val="0"/>
          <w:color w:val="auto"/>
          <w:kern w:val="0"/>
          <w:sz w:val="24"/>
          <w:szCs w:val="24"/>
          <w:highlight w:val="none"/>
        </w:rPr>
        <w:t>）及所附资料；</w:t>
      </w:r>
    </w:p>
    <w:p w14:paraId="11074DC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）本节第15.5.1目“评标方法”要求提供的评审资料；</w:t>
      </w:r>
    </w:p>
    <w:p w14:paraId="52A724F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p>
    <w:p w14:paraId="4823FDD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10.2.2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目中所列出的商务标书组成内容中，第（1）至第（1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）项所有投标人均应提供，</w:t>
      </w:r>
      <w:r>
        <w:rPr>
          <w:rFonts w:hint="eastAsia" w:ascii="宋体" w:hAnsi="宋体" w:eastAsia="宋体" w:cs="宋体"/>
          <w:b/>
          <w:bCs/>
          <w:snapToGrid w:val="0"/>
          <w:color w:val="auto"/>
          <w:kern w:val="0"/>
          <w:sz w:val="24"/>
          <w:szCs w:val="24"/>
          <w:highlight w:val="none"/>
        </w:rPr>
        <w:t>但非联合体投标的，无需提供第（7）项内容。</w:t>
      </w:r>
    </w:p>
    <w:p w14:paraId="0AB4A6F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10.2.3</w:t>
      </w:r>
      <w:r>
        <w:rPr>
          <w:rFonts w:hint="eastAsia" w:ascii="宋体" w:hAnsi="宋体" w:eastAsia="宋体" w:cs="宋体"/>
          <w:snapToGrid w:val="0"/>
          <w:color w:val="auto"/>
          <w:kern w:val="0"/>
          <w:sz w:val="24"/>
          <w:szCs w:val="24"/>
          <w:highlight w:val="none"/>
        </w:rPr>
        <w:t>本节第</w:t>
      </w: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目中所列出的商务标书组成内容中，第（1）至第（1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）项所有投标人均应提供</w:t>
      </w:r>
      <w:r>
        <w:rPr>
          <w:rFonts w:hint="eastAsia" w:ascii="宋体" w:hAnsi="宋体" w:eastAsia="宋体" w:cs="宋体"/>
          <w:b/>
          <w:bCs/>
          <w:snapToGrid w:val="0"/>
          <w:color w:val="auto"/>
          <w:kern w:val="0"/>
          <w:sz w:val="24"/>
          <w:szCs w:val="24"/>
          <w:highlight w:val="none"/>
        </w:rPr>
        <w:t>，</w:t>
      </w:r>
      <w:r>
        <w:rPr>
          <w:rFonts w:hint="eastAsia" w:ascii="宋体" w:hAnsi="宋体" w:eastAsia="宋体" w:cs="宋体"/>
          <w:snapToGrid w:val="0"/>
          <w:color w:val="auto"/>
          <w:kern w:val="0"/>
          <w:sz w:val="24"/>
          <w:szCs w:val="24"/>
          <w:highlight w:val="none"/>
        </w:rPr>
        <w:t>应按顺序整理、编排后，逐页（页码起始从封面开始）连续标记页码。</w:t>
      </w:r>
    </w:p>
    <w:p w14:paraId="7872BA5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10.2.</w:t>
      </w:r>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bCs/>
          <w:snapToGrid w:val="0"/>
          <w:color w:val="auto"/>
          <w:kern w:val="0"/>
          <w:sz w:val="24"/>
          <w:szCs w:val="24"/>
          <w:highlight w:val="none"/>
        </w:rPr>
        <w:t>商务标书</w:t>
      </w:r>
      <w:r>
        <w:rPr>
          <w:rFonts w:hint="eastAsia" w:ascii="宋体" w:hAnsi="宋体" w:eastAsia="宋体" w:cs="宋体"/>
          <w:snapToGrid w:val="0"/>
          <w:color w:val="auto"/>
          <w:kern w:val="0"/>
          <w:sz w:val="24"/>
          <w:szCs w:val="24"/>
          <w:highlight w:val="none"/>
        </w:rPr>
        <w:t>电子文件制作要求</w:t>
      </w:r>
    </w:p>
    <w:p w14:paraId="4A99F9B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投标人应将</w:t>
      </w:r>
      <w:r>
        <w:rPr>
          <w:rFonts w:hint="eastAsia" w:ascii="宋体" w:hAnsi="宋体" w:eastAsia="宋体" w:cs="宋体"/>
          <w:bCs/>
          <w:snapToGrid w:val="0"/>
          <w:color w:val="auto"/>
          <w:kern w:val="0"/>
          <w:sz w:val="24"/>
          <w:szCs w:val="24"/>
          <w:highlight w:val="none"/>
        </w:rPr>
        <w:t>商务标书正本的</w:t>
      </w:r>
      <w:r>
        <w:rPr>
          <w:rFonts w:hint="eastAsia" w:ascii="宋体" w:hAnsi="宋体" w:eastAsia="宋体" w:cs="宋体"/>
          <w:snapToGrid w:val="0"/>
          <w:color w:val="auto"/>
          <w:kern w:val="0"/>
          <w:sz w:val="24"/>
          <w:szCs w:val="24"/>
          <w:highlight w:val="none"/>
        </w:rPr>
        <w:t>所有内容按本节第</w:t>
      </w: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目规定的顺序整理、编排后，从封面开始标记页码，作成一个PDF格式电子文件</w:t>
      </w:r>
      <w:r>
        <w:rPr>
          <w:rFonts w:hint="eastAsia" w:ascii="宋体" w:hAnsi="宋体" w:eastAsia="宋体" w:cs="宋体"/>
          <w:snapToGrid w:val="0"/>
          <w:color w:val="auto"/>
          <w:kern w:val="0"/>
          <w:sz w:val="24"/>
          <w:szCs w:val="24"/>
          <w:highlight w:val="none"/>
          <w:lang w:eastAsia="zh-CN"/>
        </w:rPr>
        <w:t>。</w:t>
      </w:r>
      <w:bookmarkStart w:id="110" w:name="_Hlt87783273"/>
      <w:bookmarkEnd w:id="110"/>
      <w:bookmarkStart w:id="111" w:name="_Hlt69670029"/>
      <w:bookmarkEnd w:id="111"/>
      <w:bookmarkStart w:id="112" w:name="_Toc274313881"/>
      <w:bookmarkStart w:id="113" w:name="_Toc23486"/>
    </w:p>
    <w:p w14:paraId="6B6308AC">
      <w:pPr>
        <w:pStyle w:val="5"/>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bCs/>
          <w:snapToGrid w:val="0"/>
          <w:color w:val="auto"/>
          <w:kern w:val="0"/>
          <w:sz w:val="24"/>
          <w:szCs w:val="24"/>
          <w:highlight w:val="none"/>
        </w:rPr>
      </w:pPr>
      <w:bookmarkStart w:id="114" w:name="_Toc1257"/>
      <w:bookmarkStart w:id="115" w:name="_Toc30069"/>
      <w:bookmarkStart w:id="116" w:name="_Toc24061"/>
      <w:bookmarkStart w:id="117" w:name="_Toc6621"/>
      <w:r>
        <w:rPr>
          <w:rFonts w:hint="eastAsia" w:ascii="宋体" w:hAnsi="宋体" w:eastAsia="宋体" w:cs="宋体"/>
          <w:b/>
          <w:bCs/>
          <w:snapToGrid w:val="0"/>
          <w:color w:val="auto"/>
          <w:kern w:val="0"/>
          <w:sz w:val="24"/>
          <w:szCs w:val="24"/>
          <w:highlight w:val="none"/>
        </w:rPr>
        <w:t>10.3</w:t>
      </w:r>
      <w:bookmarkStart w:id="118" w:name="_Hlt69670035"/>
      <w:bookmarkEnd w:id="118"/>
      <w:r>
        <w:rPr>
          <w:rFonts w:hint="eastAsia" w:ascii="宋体" w:hAnsi="宋体" w:eastAsia="宋体" w:cs="宋体"/>
          <w:b/>
          <w:bCs/>
          <w:snapToGrid w:val="0"/>
          <w:color w:val="auto"/>
          <w:kern w:val="0"/>
          <w:sz w:val="24"/>
          <w:szCs w:val="24"/>
          <w:highlight w:val="none"/>
        </w:rPr>
        <w:t xml:space="preserve"> 经济标书的编制要求</w:t>
      </w:r>
      <w:bookmarkEnd w:id="112"/>
      <w:bookmarkEnd w:id="113"/>
      <w:bookmarkEnd w:id="114"/>
      <w:bookmarkEnd w:id="115"/>
      <w:bookmarkEnd w:id="116"/>
      <w:bookmarkEnd w:id="117"/>
    </w:p>
    <w:p w14:paraId="61A42BA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 xml:space="preserve"> 经济标书包括以下内容：</w:t>
      </w:r>
    </w:p>
    <w:p w14:paraId="4FA83E1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20672FD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（2）目录；</w:t>
      </w:r>
    </w:p>
    <w:p w14:paraId="57C8B67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（3）《投标总价》；</w:t>
      </w:r>
    </w:p>
    <w:p w14:paraId="78937E6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说明：《投标总价》的格式按照《建设工程工程量清单计价规范》（GB50500—2013）执行，并应满足以下要求：</w:t>
      </w:r>
    </w:p>
    <w:p w14:paraId="06DB848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w:t>
      </w:r>
      <w:r>
        <w:rPr>
          <w:rFonts w:hint="eastAsia" w:hAnsi="宋体"/>
          <w:color w:val="auto"/>
          <w:kern w:val="0"/>
        </w:rPr>
        <w:t>《投标总价扉页》（即扉—</w:t>
      </w:r>
      <w:r>
        <w:rPr>
          <w:rFonts w:hint="eastAsia" w:ascii="Times New Roman"/>
          <w:color w:val="auto"/>
          <w:kern w:val="0"/>
        </w:rPr>
        <w:t>3</w:t>
      </w:r>
      <w:r>
        <w:rPr>
          <w:rFonts w:hint="eastAsia" w:hAnsi="宋体"/>
          <w:color w:val="auto"/>
          <w:kern w:val="0"/>
        </w:rPr>
        <w:t>）后应附编制人的造价工程师注册证书彩色扫描件（须扫描至变更注册栏，一级造价师或二级造价师均可提供电子证书）；投</w:t>
      </w:r>
      <w:r>
        <w:rPr>
          <w:rFonts w:hint="eastAsia" w:hAnsi="宋体"/>
          <w:kern w:val="0"/>
        </w:rPr>
        <w:t>标人委托造价咨询单位编制《投标总价》的，在该扉页“投标人”栏目加盖造价咨询人公章，并在该扉页后附造价咨询人的营业执照副本彩色扫描件。</w:t>
      </w:r>
    </w:p>
    <w:p w14:paraId="628229D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w:t>
      </w:r>
      <w:bookmarkStart w:id="119" w:name="_Hlt69699579"/>
      <w:bookmarkEnd w:id="119"/>
      <w:r>
        <w:rPr>
          <w:rFonts w:hint="eastAsia" w:ascii="宋体" w:hAnsi="宋体" w:eastAsia="宋体" w:cs="宋体"/>
          <w:snapToGrid w:val="0"/>
          <w:color w:val="auto"/>
          <w:kern w:val="0"/>
          <w:sz w:val="24"/>
          <w:szCs w:val="24"/>
          <w:highlight w:val="none"/>
        </w:rPr>
        <w:t>投标人认为有必要补充的其他资料（例如关于投标总价下浮率超过15%的书面说明和佐证材料）。</w:t>
      </w:r>
    </w:p>
    <w:p w14:paraId="2A85C0D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目中所列出的经济标书组成内容中，第（1）至第（3）项所有投标人均应提供</w:t>
      </w:r>
      <w:bookmarkStart w:id="120" w:name="_Hlt145127239"/>
      <w:bookmarkEnd w:id="120"/>
      <w:bookmarkStart w:id="121" w:name="_Toc7035"/>
      <w:r>
        <w:rPr>
          <w:rFonts w:hint="eastAsia" w:ascii="宋体" w:hAnsi="宋体" w:eastAsia="宋体" w:cs="宋体"/>
          <w:snapToGrid w:val="0"/>
          <w:color w:val="auto"/>
          <w:kern w:val="0"/>
          <w:sz w:val="24"/>
          <w:szCs w:val="24"/>
          <w:highlight w:val="none"/>
        </w:rPr>
        <w:t>。</w:t>
      </w:r>
    </w:p>
    <w:p w14:paraId="083160C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10.3.3</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经济标书的组成内容按本节第10.3.1目规定的顺序整理、编排后，逐页（页码起始从封面开始）连续标记页码。</w:t>
      </w:r>
    </w:p>
    <w:p w14:paraId="62FF682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w:t>
      </w:r>
      <w:r>
        <w:rPr>
          <w:rFonts w:hint="eastAsia" w:ascii="宋体" w:hAnsi="宋体" w:eastAsia="宋体" w:cs="宋体"/>
          <w:bCs/>
          <w:snapToGrid w:val="0"/>
          <w:color w:val="auto"/>
          <w:kern w:val="0"/>
          <w:sz w:val="24"/>
          <w:szCs w:val="24"/>
          <w:highlight w:val="none"/>
        </w:rPr>
        <w:t xml:space="preserve"> 施工组织设计的编制要求</w:t>
      </w:r>
    </w:p>
    <w:p w14:paraId="4F3D70C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10.4.1</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施工组织设计的编制依据包括且不限于</w:t>
      </w:r>
      <w:r>
        <w:rPr>
          <w:rFonts w:hint="eastAsia" w:ascii="宋体" w:hAnsi="宋体" w:eastAsia="宋体" w:cs="宋体"/>
          <w:bCs/>
          <w:snapToGrid w:val="0"/>
          <w:color w:val="auto"/>
          <w:kern w:val="0"/>
          <w:sz w:val="24"/>
          <w:szCs w:val="24"/>
          <w:highlight w:val="none"/>
        </w:rPr>
        <w:t>：</w:t>
      </w:r>
    </w:p>
    <w:p w14:paraId="174AF61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（1）招标文件及</w:t>
      </w:r>
      <w:r>
        <w:rPr>
          <w:rFonts w:hint="eastAsia" w:ascii="宋体" w:hAnsi="宋体" w:eastAsia="宋体" w:cs="宋体"/>
          <w:snapToGrid w:val="0"/>
          <w:color w:val="auto"/>
          <w:kern w:val="0"/>
          <w:sz w:val="24"/>
          <w:szCs w:val="24"/>
          <w:highlight w:val="none"/>
        </w:rPr>
        <w:t>其答疑（或修改）公告；</w:t>
      </w:r>
    </w:p>
    <w:p w14:paraId="2B873E0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（2）施工图及相关资料；</w:t>
      </w:r>
    </w:p>
    <w:p w14:paraId="0B78C3B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（3）施工现场情况、工程特点；</w:t>
      </w:r>
    </w:p>
    <w:p w14:paraId="32416D3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（4）相关法律、法规、规定；</w:t>
      </w:r>
    </w:p>
    <w:p w14:paraId="5D0F5EF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7EF823F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（6）企业内部标准、工法。</w:t>
      </w:r>
    </w:p>
    <w:p w14:paraId="6BD5953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10.4.2</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施工组织设计包括但不限于以下内容：</w:t>
      </w:r>
    </w:p>
    <w:bookmarkEnd w:id="121"/>
    <w:p w14:paraId="2E515BDE">
      <w:pPr>
        <w:wordWrap w:val="0"/>
        <w:adjustRightInd w:val="0"/>
        <w:ind w:firstLine="480" w:firstLineChars="200"/>
        <w:rPr>
          <w:rFonts w:hAnsi="宋体" w:cs="宋体"/>
          <w:i/>
          <w:iCs/>
          <w:snapToGrid w:val="0"/>
          <w:color w:val="auto"/>
          <w:kern w:val="0"/>
          <w:sz w:val="24"/>
          <w:szCs w:val="24"/>
          <w:highlight w:val="none"/>
        </w:rPr>
      </w:pPr>
      <w:bookmarkStart w:id="122" w:name="_Toc18012"/>
      <w:bookmarkStart w:id="123" w:name="_Toc32203"/>
      <w:r>
        <w:rPr>
          <w:rFonts w:hAnsi="宋体" w:cs="宋体"/>
          <w:snapToGrid w:val="0"/>
          <w:color w:val="auto"/>
          <w:kern w:val="0"/>
          <w:sz w:val="24"/>
          <w:szCs w:val="24"/>
          <w:highlight w:val="none"/>
        </w:rPr>
        <w:t>（1）封面（格式一）；</w:t>
      </w:r>
    </w:p>
    <w:p w14:paraId="5D20972F">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（2）目录；</w:t>
      </w:r>
    </w:p>
    <w:p w14:paraId="3AE76874">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（3）总体概述；</w:t>
      </w:r>
    </w:p>
    <w:p w14:paraId="71FB3FBF">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（4）施工总进度计划及保证措施；</w:t>
      </w:r>
    </w:p>
    <w:p w14:paraId="4309F355">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（5）质量保证措施（包括质量管理目标；相应保证措施；违约责任承诺等内容）；</w:t>
      </w:r>
    </w:p>
    <w:p w14:paraId="33346014">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（6）施工技术措施；</w:t>
      </w:r>
    </w:p>
    <w:p w14:paraId="39007F8A">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（7）绿色施工、安全防护、文明施工措施计划；</w:t>
      </w:r>
    </w:p>
    <w:p w14:paraId="3165B66B">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（8）施工现场总平面布置；</w:t>
      </w:r>
    </w:p>
    <w:p w14:paraId="7BC4D4B7">
      <w:pPr>
        <w:wordWrap w:val="0"/>
        <w:adjustRightInd w:val="0"/>
        <w:ind w:firstLine="480" w:firstLineChars="200"/>
        <w:rPr>
          <w:rFonts w:hAnsi="宋体" w:cs="宋体"/>
          <w:i/>
          <w:iCs/>
          <w:snapToGrid w:val="0"/>
          <w:color w:val="auto"/>
          <w:kern w:val="0"/>
          <w:sz w:val="24"/>
          <w:szCs w:val="24"/>
          <w:highlight w:val="none"/>
        </w:rPr>
      </w:pPr>
      <w:r>
        <w:rPr>
          <w:rFonts w:hAnsi="宋体" w:cs="宋体"/>
          <w:snapToGrid w:val="0"/>
          <w:color w:val="auto"/>
          <w:kern w:val="0"/>
          <w:sz w:val="24"/>
          <w:szCs w:val="24"/>
          <w:highlight w:val="none"/>
        </w:rPr>
        <w:t>（9）项目管理机构。</w:t>
      </w:r>
    </w:p>
    <w:p w14:paraId="776C2F5A">
      <w:pPr>
        <w:wordWrap w:val="0"/>
        <w:adjustRightInd w:val="0"/>
        <w:ind w:firstLine="480" w:firstLineChars="200"/>
        <w:rPr>
          <w:rFonts w:hAnsi="宋体" w:cs="宋体"/>
          <w:snapToGrid w:val="0"/>
          <w:color w:val="auto"/>
          <w:kern w:val="0"/>
          <w:sz w:val="24"/>
          <w:szCs w:val="24"/>
          <w:highlight w:val="none"/>
        </w:rPr>
      </w:pPr>
      <w:r>
        <w:rPr>
          <w:rFonts w:hAnsi="宋体" w:cs="宋体"/>
          <w:snapToGrid w:val="0"/>
          <w:color w:val="auto"/>
          <w:kern w:val="0"/>
          <w:sz w:val="24"/>
          <w:szCs w:val="24"/>
          <w:highlight w:val="none"/>
        </w:rPr>
        <w:t>（10）投标人认为有必要补充的其他内容。</w:t>
      </w:r>
    </w:p>
    <w:p w14:paraId="1F3FCAD9">
      <w:pPr>
        <w:wordWrap w:val="0"/>
        <w:adjustRightInd w:val="0"/>
        <w:ind w:firstLine="482" w:firstLineChars="200"/>
        <w:rPr>
          <w:rFonts w:hAnsi="宋体" w:cs="宋体"/>
          <w:snapToGrid w:val="0"/>
          <w:color w:val="auto"/>
          <w:kern w:val="0"/>
          <w:sz w:val="24"/>
          <w:szCs w:val="24"/>
          <w:highlight w:val="none"/>
        </w:rPr>
      </w:pPr>
      <w:r>
        <w:rPr>
          <w:rFonts w:hAnsi="宋体" w:cs="宋体"/>
          <w:b/>
          <w:bCs/>
          <w:snapToGrid w:val="0"/>
          <w:color w:val="auto"/>
          <w:kern w:val="0"/>
          <w:sz w:val="24"/>
          <w:szCs w:val="24"/>
          <w:highlight w:val="none"/>
        </w:rPr>
        <w:t>10.4.3</w:t>
      </w:r>
      <w:r>
        <w:rPr>
          <w:rFonts w:hAnsi="宋体" w:cs="宋体"/>
          <w:snapToGrid w:val="0"/>
          <w:color w:val="auto"/>
          <w:kern w:val="0"/>
          <w:sz w:val="24"/>
          <w:szCs w:val="24"/>
          <w:highlight w:val="none"/>
        </w:rPr>
        <w:t xml:space="preserve"> 本节第</w:t>
      </w:r>
      <w:r>
        <w:rPr>
          <w:rFonts w:hAnsi="宋体" w:cs="宋体"/>
          <w:b/>
          <w:bCs/>
          <w:snapToGrid w:val="0"/>
          <w:color w:val="auto"/>
          <w:kern w:val="0"/>
          <w:sz w:val="24"/>
          <w:szCs w:val="24"/>
          <w:highlight w:val="none"/>
        </w:rPr>
        <w:t>10.4.2</w:t>
      </w:r>
      <w:r>
        <w:rPr>
          <w:rFonts w:hAnsi="宋体" w:cs="宋体"/>
          <w:snapToGrid w:val="0"/>
          <w:color w:val="auto"/>
          <w:kern w:val="0"/>
          <w:sz w:val="24"/>
          <w:szCs w:val="24"/>
          <w:highlight w:val="none"/>
        </w:rPr>
        <w:t>目中所列出的施工组织设计组成内容中，第（1）至第（9）项所有投标人均应提供。</w:t>
      </w:r>
    </w:p>
    <w:p w14:paraId="1011F177">
      <w:pPr>
        <w:keepNext w:val="0"/>
        <w:keepLines w:val="0"/>
        <w:widowControl/>
        <w:suppressLineNumbers w:val="0"/>
        <w:ind w:firstLine="482" w:firstLineChars="200"/>
        <w:jc w:val="left"/>
        <w:rPr>
          <w:rFonts w:hint="default" w:ascii="宋体" w:hAnsi="宋体" w:eastAsia="宋体" w:cs="宋体"/>
          <w:color w:val="000000"/>
          <w:kern w:val="0"/>
          <w:sz w:val="24"/>
          <w:szCs w:val="24"/>
          <w:lang w:val="en-US" w:eastAsia="zh-CN" w:bidi="ar"/>
        </w:rPr>
      </w:pPr>
      <w:r>
        <w:rPr>
          <w:rFonts w:hAnsi="宋体" w:cs="宋体"/>
          <w:b/>
          <w:bCs/>
          <w:snapToGrid w:val="0"/>
          <w:color w:val="auto"/>
          <w:kern w:val="0"/>
          <w:sz w:val="24"/>
          <w:szCs w:val="24"/>
          <w:highlight w:val="none"/>
        </w:rPr>
        <w:t>10.4.4</w:t>
      </w:r>
      <w:r>
        <w:rPr>
          <w:rFonts w:hAnsi="宋体" w:cs="宋体"/>
          <w:snapToGrid w:val="0"/>
          <w:color w:val="auto"/>
          <w:kern w:val="0"/>
          <w:sz w:val="24"/>
          <w:szCs w:val="24"/>
          <w:highlight w:val="none"/>
        </w:rPr>
        <w:t xml:space="preserve"> </w:t>
      </w:r>
      <w:r>
        <w:rPr>
          <w:rFonts w:hint="eastAsia" w:ascii="宋体" w:hAnsi="宋体" w:eastAsia="宋体" w:cs="宋体"/>
          <w:color w:val="000000"/>
          <w:kern w:val="0"/>
          <w:sz w:val="24"/>
          <w:szCs w:val="24"/>
          <w:lang w:val="en-US" w:eastAsia="zh-CN" w:bidi="ar"/>
        </w:rPr>
        <w:t>施工组织设计的组成内容按本节第 10.4.2 目规定的顺序整理、编排后，逐页（页码起始从封面开始）连续标记页码，施工组织设计正文建议不超过200页。</w:t>
      </w:r>
    </w:p>
    <w:p w14:paraId="0620A00E">
      <w:pPr>
        <w:rPr>
          <w:rFonts w:hint="eastAsia"/>
        </w:rPr>
      </w:pPr>
    </w:p>
    <w:p w14:paraId="3D20DF31">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Fonts w:hint="eastAsia" w:ascii="宋体" w:hAnsi="宋体" w:eastAsia="宋体" w:cs="宋体"/>
          <w:bCs/>
          <w:snapToGrid w:val="0"/>
          <w:color w:val="auto"/>
          <w:sz w:val="24"/>
          <w:szCs w:val="24"/>
          <w:highlight w:val="none"/>
        </w:rPr>
      </w:pPr>
      <w:bookmarkStart w:id="124" w:name="_Toc5963"/>
      <w:r>
        <w:rPr>
          <w:rStyle w:val="154"/>
          <w:rFonts w:hint="eastAsia" w:ascii="宋体" w:hAnsi="宋体" w:eastAsia="宋体" w:cs="宋体"/>
          <w:sz w:val="24"/>
          <w:szCs w:val="24"/>
          <w:lang w:val="en-US" w:eastAsia="zh-CN"/>
        </w:rPr>
        <w:t>11.电子投标</w:t>
      </w:r>
      <w:bookmarkEnd w:id="122"/>
      <w:bookmarkEnd w:id="124"/>
    </w:p>
    <w:p w14:paraId="7FAF9306">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
          <w:snapToGrid w:val="0"/>
          <w:color w:val="auto"/>
          <w:sz w:val="24"/>
          <w:szCs w:val="24"/>
          <w:highlight w:val="none"/>
        </w:rPr>
      </w:pPr>
      <w:bookmarkStart w:id="125" w:name="_Hlt88627590"/>
      <w:bookmarkEnd w:id="125"/>
      <w:r>
        <w:rPr>
          <w:rFonts w:hint="eastAsia" w:ascii="宋体" w:hAnsi="宋体" w:eastAsia="宋体" w:cs="宋体"/>
          <w:b/>
          <w:bCs w:val="0"/>
          <w:snapToGrid w:val="0"/>
          <w:color w:val="auto"/>
          <w:sz w:val="24"/>
          <w:szCs w:val="24"/>
          <w:highlight w:val="none"/>
        </w:rPr>
        <w:t>11.1</w:t>
      </w:r>
      <w:r>
        <w:rPr>
          <w:rFonts w:hint="eastAsia" w:ascii="宋体" w:hAnsi="宋体" w:eastAsia="宋体" w:cs="宋体"/>
          <w:bCs/>
          <w:snapToGrid w:val="0"/>
          <w:color w:val="auto"/>
          <w:sz w:val="24"/>
          <w:szCs w:val="24"/>
          <w:highlight w:val="none"/>
        </w:rPr>
        <w:t>在建设工程交易系统上传加盖了电子印章的投标文件、录入相关信息及标书页码信息，（页码起始从封面开始）并提交投标标书。提交标书为已加密投标文件。具体操作参照《韶关市公共资源建设工程交易系统</w:t>
      </w:r>
      <w:r>
        <w:rPr>
          <w:rFonts w:hint="eastAsia" w:ascii="宋体" w:hAnsi="宋体" w:eastAsia="宋体" w:cs="宋体"/>
          <w:bCs/>
          <w:snapToGrid w:val="0"/>
          <w:color w:val="auto"/>
          <w:sz w:val="24"/>
          <w:szCs w:val="24"/>
          <w:highlight w:val="none"/>
          <w:lang w:val="en-US" w:eastAsia="zh-CN"/>
        </w:rPr>
        <w:t>-招标人</w:t>
      </w:r>
      <w:r>
        <w:rPr>
          <w:rFonts w:hint="eastAsia" w:ascii="宋体" w:hAnsi="宋体" w:eastAsia="宋体" w:cs="宋体"/>
          <w:bCs/>
          <w:snapToGrid w:val="0"/>
          <w:color w:val="auto"/>
          <w:sz w:val="24"/>
          <w:szCs w:val="24"/>
          <w:highlight w:val="none"/>
        </w:rPr>
        <w:t>操作指引》。本项目评标采用全流程电子化进行招标投标（投标人应根据韶关市公共资源建设工程交易系统</w:t>
      </w:r>
      <w:r>
        <w:rPr>
          <w:rFonts w:hint="eastAsia" w:ascii="宋体" w:hAnsi="宋体" w:eastAsia="宋体" w:cs="宋体"/>
          <w:bCs/>
          <w:snapToGrid w:val="0"/>
          <w:color w:val="auto"/>
          <w:sz w:val="24"/>
          <w:szCs w:val="24"/>
          <w:highlight w:val="none"/>
          <w:lang w:val="en-US" w:eastAsia="zh-CN"/>
        </w:rPr>
        <w:t>-招标人</w:t>
      </w:r>
      <w:r>
        <w:rPr>
          <w:rFonts w:hint="eastAsia" w:ascii="宋体" w:hAnsi="宋体" w:eastAsia="宋体" w:cs="宋体"/>
          <w:bCs/>
          <w:snapToGrid w:val="0"/>
          <w:color w:val="auto"/>
          <w:sz w:val="24"/>
          <w:szCs w:val="24"/>
          <w:highlight w:val="none"/>
        </w:rPr>
        <w:t>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2AF5D439">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bookmarkStart w:id="126" w:name="_Hlt127590288"/>
      <w:bookmarkEnd w:id="126"/>
      <w:r>
        <w:rPr>
          <w:rFonts w:hint="eastAsia" w:ascii="宋体" w:hAnsi="宋体" w:eastAsia="宋体" w:cs="宋体"/>
          <w:b/>
          <w:bCs w:val="0"/>
          <w:snapToGrid w:val="0"/>
          <w:color w:val="auto"/>
          <w:sz w:val="24"/>
          <w:szCs w:val="24"/>
          <w:highlight w:val="none"/>
        </w:rPr>
        <w:t>11.2</w:t>
      </w:r>
      <w:r>
        <w:rPr>
          <w:rFonts w:hint="eastAsia" w:ascii="宋体" w:hAnsi="宋体" w:eastAsia="宋体" w:cs="宋体"/>
          <w:bCs/>
          <w:snapToGrid w:val="0"/>
          <w:color w:val="auto"/>
          <w:sz w:val="24"/>
          <w:szCs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bookmarkEnd w:id="123"/>
    </w:p>
    <w:p w14:paraId="303C81E3">
      <w:pPr>
        <w:rPr>
          <w:rFonts w:hint="eastAsia"/>
          <w:lang w:val="en-US" w:eastAsia="zh-CN"/>
        </w:rPr>
      </w:pPr>
      <w:bookmarkStart w:id="127" w:name="_Toc25051"/>
    </w:p>
    <w:p w14:paraId="22834A72">
      <w:pPr>
        <w:pStyle w:val="136"/>
        <w:keepNext w:val="0"/>
        <w:keepLines w:val="0"/>
        <w:pageBreakBefore w:val="0"/>
        <w:widowControl w:val="0"/>
        <w:kinsoku/>
        <w:wordWrap w:val="0"/>
        <w:overflowPunct/>
        <w:topLinePunct w:val="0"/>
        <w:autoSpaceDE/>
        <w:autoSpaceDN/>
        <w:bidi w:val="0"/>
        <w:adjustRightInd w:val="0"/>
        <w:snapToGrid w:val="0"/>
        <w:spacing w:line="360" w:lineRule="auto"/>
        <w:ind w:right="0" w:firstLine="482" w:firstLineChars="200"/>
        <w:jc w:val="left"/>
        <w:textAlignment w:val="auto"/>
        <w:rPr>
          <w:rStyle w:val="154"/>
          <w:rFonts w:hint="eastAsia" w:ascii="宋体" w:hAnsi="宋体" w:eastAsia="宋体" w:cs="宋体"/>
          <w:kern w:val="2"/>
          <w:sz w:val="24"/>
          <w:szCs w:val="24"/>
          <w:lang w:val="en-US" w:eastAsia="zh-CN" w:bidi="ar-SA"/>
        </w:rPr>
      </w:pPr>
      <w:r>
        <w:rPr>
          <w:rStyle w:val="154"/>
          <w:rFonts w:hint="eastAsia" w:ascii="宋体" w:hAnsi="宋体" w:eastAsia="宋体" w:cs="宋体"/>
          <w:kern w:val="2"/>
          <w:sz w:val="24"/>
          <w:szCs w:val="24"/>
          <w:lang w:val="en-US" w:eastAsia="zh-CN" w:bidi="ar-SA"/>
        </w:rPr>
        <w:t>12.电子投标及投标解密失败及突发情况的补救方案</w:t>
      </w:r>
    </w:p>
    <w:bookmarkEnd w:id="127"/>
    <w:p w14:paraId="2D19B0DF">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12.1</w:t>
      </w:r>
      <w:r>
        <w:rPr>
          <w:rFonts w:hint="eastAsia" w:ascii="宋体" w:hAnsi="宋体" w:eastAsia="宋体" w:cs="宋体"/>
          <w:bCs/>
          <w:snapToGrid w:val="0"/>
          <w:color w:val="auto"/>
          <w:sz w:val="24"/>
          <w:szCs w:val="24"/>
          <w:highlight w:val="none"/>
        </w:rPr>
        <w:t xml:space="preserve">按照交易平台关于全流程电子化项目的相关指南进行操作。详见：全国公共资源交易平台（广东省·韶关市）（https://ygp.gdzwfw.gov.cn/ggzy-portal/#/440200/index）交易指引栏目发布的最新版操作指引。  </w:t>
      </w:r>
    </w:p>
    <w:p w14:paraId="3BCD078F">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12.2</w:t>
      </w:r>
      <w:r>
        <w:rPr>
          <w:rFonts w:hint="eastAsia" w:ascii="宋体" w:hAnsi="宋体" w:eastAsia="宋体" w:cs="宋体"/>
          <w:bCs/>
          <w:snapToGrid w:val="0"/>
          <w:color w:val="auto"/>
          <w:sz w:val="24"/>
          <w:szCs w:val="24"/>
          <w:highlight w:val="none"/>
        </w:rPr>
        <w:t>补救方案：</w:t>
      </w:r>
    </w:p>
    <w:p w14:paraId="5FD247C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right="0" w:firstLine="480" w:firstLineChars="200"/>
        <w:textAlignment w:val="auto"/>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投标文件解密失败的补救方案：</w:t>
      </w:r>
    </w:p>
    <w:p w14:paraId="4178113F">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5AAC310E">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（2）评标时突发情况的补救方案</w:t>
      </w:r>
    </w:p>
    <w:p w14:paraId="01B53A20">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0C31EF87">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kern w:val="2"/>
          <w:sz w:val="24"/>
          <w:szCs w:val="24"/>
          <w:highlight w:val="none"/>
          <w:lang w:val="en-US" w:eastAsia="zh-CN" w:bidi="ar-SA"/>
        </w:rPr>
      </w:pPr>
      <w:r>
        <w:rPr>
          <w:rFonts w:hint="eastAsia" w:ascii="宋体" w:hAnsi="宋体" w:eastAsia="宋体" w:cs="宋体"/>
          <w:bCs/>
          <w:snapToGrid w:val="0"/>
          <w:color w:val="auto"/>
          <w:sz w:val="24"/>
          <w:szCs w:val="24"/>
          <w:highlight w:val="none"/>
        </w:rPr>
        <w:t>（</w:t>
      </w:r>
      <w:r>
        <w:rPr>
          <w:rFonts w:hint="eastAsia" w:ascii="宋体" w:hAnsi="宋体" w:eastAsia="宋体" w:cs="宋体"/>
          <w:bCs/>
          <w:snapToGrid w:val="0"/>
          <w:color w:val="auto"/>
          <w:sz w:val="24"/>
          <w:szCs w:val="24"/>
          <w:highlight w:val="none"/>
          <w:lang w:val="en-US" w:eastAsia="zh-CN"/>
        </w:rPr>
        <w:t>3</w:t>
      </w:r>
      <w:r>
        <w:rPr>
          <w:rFonts w:hint="eastAsia" w:ascii="宋体" w:hAnsi="宋体" w:eastAsia="宋体" w:cs="宋体"/>
          <w:bCs/>
          <w:snapToGrid w:val="0"/>
          <w:color w:val="auto"/>
          <w:sz w:val="24"/>
          <w:szCs w:val="24"/>
          <w:highlight w:val="none"/>
        </w:rPr>
        <w:t>）</w:t>
      </w:r>
      <w:r>
        <w:rPr>
          <w:rFonts w:hint="eastAsia" w:ascii="宋体" w:hAnsi="宋体" w:eastAsia="宋体" w:cs="宋体"/>
          <w:bCs/>
          <w:snapToGrid w:val="0"/>
          <w:color w:val="auto"/>
          <w:kern w:val="2"/>
          <w:sz w:val="24"/>
          <w:szCs w:val="24"/>
          <w:highlight w:val="none"/>
          <w:lang w:val="en-US" w:eastAsia="zh-CN" w:bidi="ar-SA"/>
        </w:rPr>
        <w:t>除发生上述情况外，开标评标均以投标人通过交易平台网上递交的电子投标文件为准。</w:t>
      </w:r>
    </w:p>
    <w:p w14:paraId="4AE22E30">
      <w:pPr>
        <w:pStyle w:val="136"/>
        <w:pageBreakBefore w:val="0"/>
        <w:numPr>
          <w:ilvl w:val="0"/>
          <w:numId w:val="0"/>
        </w:numPr>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12.</w:t>
      </w:r>
      <w:r>
        <w:rPr>
          <w:rFonts w:hint="eastAsia" w:ascii="宋体" w:hAnsi="宋体" w:cs="宋体"/>
          <w:b/>
          <w:bCs/>
          <w:snapToGrid w:val="0"/>
          <w:color w:val="auto"/>
          <w:kern w:val="0"/>
          <w:sz w:val="24"/>
          <w:szCs w:val="24"/>
          <w:highlight w:val="none"/>
          <w:lang w:val="en-US" w:eastAsia="zh-CN"/>
        </w:rPr>
        <w:t xml:space="preserve">3 </w:t>
      </w:r>
      <w:r>
        <w:rPr>
          <w:rFonts w:hint="eastAsia" w:ascii="宋体" w:hAnsi="宋体" w:eastAsia="宋体" w:cs="宋体"/>
          <w:snapToGrid w:val="0"/>
          <w:color w:val="auto"/>
          <w:kern w:val="0"/>
          <w:sz w:val="24"/>
          <w:szCs w:val="24"/>
          <w:highlight w:val="none"/>
        </w:rPr>
        <w:t>联合体投标的，由联合体牵头人按以上要求递交投标文件和相关资料。</w:t>
      </w:r>
    </w:p>
    <w:p w14:paraId="10C1EE0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12.</w:t>
      </w:r>
      <w:r>
        <w:rPr>
          <w:rFonts w:hint="eastAsia" w:hAnsi="宋体" w:cs="宋体"/>
          <w:b/>
          <w:bCs/>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 xml:space="preserve"> 招标人或其授权的招标代理机构核对、接收投标人递交的投标文件和相关资料后，应向投标人出具标明签收人和签收时间的凭证，并妥善保管。</w:t>
      </w:r>
    </w:p>
    <w:p w14:paraId="1A8E6FC2">
      <w:pPr>
        <w:rPr>
          <w:rFonts w:hint="eastAsia"/>
        </w:rPr>
      </w:pPr>
    </w:p>
    <w:p w14:paraId="3A0EE8F5">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4"/>
          <w:rFonts w:hint="eastAsia" w:ascii="宋体" w:hAnsi="宋体" w:eastAsia="宋体" w:cs="宋体"/>
          <w:sz w:val="24"/>
          <w:szCs w:val="24"/>
          <w:lang w:val="en-US" w:eastAsia="zh-CN"/>
        </w:rPr>
      </w:pPr>
      <w:bookmarkStart w:id="128" w:name="_Toc31800"/>
      <w:r>
        <w:rPr>
          <w:rStyle w:val="154"/>
          <w:rFonts w:hint="eastAsia" w:ascii="宋体" w:hAnsi="宋体" w:eastAsia="宋体" w:cs="宋体"/>
          <w:sz w:val="24"/>
          <w:szCs w:val="24"/>
          <w:lang w:val="en-US" w:eastAsia="zh-CN"/>
        </w:rPr>
        <w:t>13．投标文件的提交</w:t>
      </w:r>
      <w:bookmarkEnd w:id="128"/>
    </w:p>
    <w:p w14:paraId="207BBC4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13.1</w:t>
      </w:r>
      <w:r>
        <w:rPr>
          <w:rFonts w:hint="eastAsia" w:ascii="宋体" w:hAnsi="宋体" w:eastAsia="宋体" w:cs="宋体"/>
          <w:snapToGrid w:val="0"/>
          <w:color w:val="auto"/>
          <w:kern w:val="0"/>
          <w:sz w:val="24"/>
          <w:szCs w:val="24"/>
          <w:highlight w:val="none"/>
        </w:rPr>
        <w:t>在投标文件提交截止时间前，投标人通过</w:t>
      </w:r>
      <w:r>
        <w:rPr>
          <w:rFonts w:hint="eastAsia" w:ascii="宋体" w:hAnsi="宋体" w:eastAsia="宋体" w:cs="宋体"/>
          <w:bCs/>
          <w:snapToGrid w:val="0"/>
          <w:color w:val="auto"/>
          <w:sz w:val="24"/>
          <w:szCs w:val="24"/>
          <w:highlight w:val="none"/>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提交已加密投标文件。逾期提交的电子投标文件，</w:t>
      </w:r>
      <w:r>
        <w:rPr>
          <w:rFonts w:hint="eastAsia" w:ascii="宋体" w:hAnsi="宋体" w:eastAsia="宋体" w:cs="宋体"/>
          <w:bCs/>
          <w:snapToGrid w:val="0"/>
          <w:color w:val="auto"/>
          <w:sz w:val="24"/>
          <w:szCs w:val="24"/>
          <w:highlight w:val="none"/>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将予以拒收。</w:t>
      </w:r>
    </w:p>
    <w:p w14:paraId="26F7624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13.2</w:t>
      </w:r>
      <w:r>
        <w:rPr>
          <w:rFonts w:hint="eastAsia" w:ascii="宋体" w:hAnsi="宋体" w:eastAsia="宋体" w:cs="宋体"/>
          <w:snapToGrid w:val="0"/>
          <w:color w:val="auto"/>
          <w:kern w:val="0"/>
          <w:sz w:val="24"/>
          <w:szCs w:val="24"/>
          <w:highlight w:val="none"/>
        </w:rPr>
        <w:t>提交时间和地点：见本章第二节“重要事项时间地点一览表”</w:t>
      </w:r>
    </w:p>
    <w:p w14:paraId="4352D512">
      <w:pPr>
        <w:pStyle w:val="11"/>
        <w:keepNext w:val="0"/>
        <w:keepLines w:val="0"/>
        <w:pageBreakBefore w:val="0"/>
        <w:widowControl w:val="0"/>
        <w:kinsoku/>
        <w:overflowPunct/>
        <w:topLinePunct w:val="0"/>
        <w:autoSpaceDE/>
        <w:autoSpaceDN/>
        <w:bidi w:val="0"/>
        <w:spacing w:line="360" w:lineRule="auto"/>
        <w:ind w:left="0" w:leftChars="0" w:right="0" w:firstLine="482" w:firstLineChars="200"/>
        <w:rPr>
          <w:rFonts w:hint="eastAsia" w:ascii="宋体" w:hAnsi="宋体" w:eastAsia="宋体" w:cs="宋体"/>
          <w:b/>
          <w:bCs/>
          <w:snapToGrid w:val="0"/>
          <w:color w:val="auto"/>
          <w:sz w:val="24"/>
          <w:szCs w:val="24"/>
          <w:highlight w:val="none"/>
        </w:rPr>
      </w:pPr>
      <w:r>
        <w:rPr>
          <w:rFonts w:hint="eastAsia" w:ascii="宋体" w:hAnsi="宋体" w:eastAsia="宋体" w:cs="宋体"/>
          <w:b/>
          <w:bCs/>
          <w:snapToGrid w:val="0"/>
          <w:color w:val="auto"/>
          <w:sz w:val="24"/>
          <w:szCs w:val="24"/>
          <w:highlight w:val="none"/>
        </w:rPr>
        <w:t xml:space="preserve">13.3 </w:t>
      </w:r>
      <w:r>
        <w:rPr>
          <w:rFonts w:hint="eastAsia" w:ascii="宋体" w:hAnsi="宋体" w:eastAsia="宋体" w:cs="宋体"/>
          <w:snapToGrid w:val="0"/>
          <w:color w:val="auto"/>
          <w:kern w:val="0"/>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w:t>
      </w:r>
    </w:p>
    <w:p w14:paraId="25CF9E68">
      <w:pPr>
        <w:pStyle w:val="11"/>
        <w:keepNext w:val="0"/>
        <w:keepLines w:val="0"/>
        <w:pageBreakBefore w:val="0"/>
        <w:widowControl w:val="0"/>
        <w:kinsoku/>
        <w:overflowPunct/>
        <w:topLinePunct w:val="0"/>
        <w:autoSpaceDE/>
        <w:autoSpaceDN/>
        <w:bidi w:val="0"/>
        <w:spacing w:line="360" w:lineRule="auto"/>
        <w:ind w:left="0" w:leftChars="0" w:right="0" w:firstLine="482" w:firstLineChars="200"/>
        <w:rPr>
          <w:rFonts w:hint="default" w:ascii="宋体" w:hAnsi="宋体" w:eastAsia="宋体" w:cs="宋体"/>
          <w:bCs/>
          <w:snapToGrid w:val="0"/>
          <w:color w:val="auto"/>
          <w:sz w:val="24"/>
          <w:szCs w:val="24"/>
          <w:highlight w:val="none"/>
          <w:lang w:val="en-US" w:eastAsia="zh-CN"/>
        </w:rPr>
      </w:pPr>
      <w:r>
        <w:rPr>
          <w:rFonts w:hint="eastAsia" w:hAnsi="宋体" w:cs="宋体"/>
          <w:b/>
          <w:bCs w:val="0"/>
          <w:snapToGrid w:val="0"/>
          <w:color w:val="auto"/>
          <w:sz w:val="24"/>
          <w:szCs w:val="24"/>
          <w:highlight w:val="none"/>
          <w:lang w:val="en-US" w:eastAsia="zh-CN"/>
        </w:rPr>
        <w:t xml:space="preserve">13.4 </w:t>
      </w:r>
      <w:r>
        <w:rPr>
          <w:rFonts w:hint="eastAsia" w:ascii="宋体" w:hAnsi="宋体" w:eastAsia="宋体" w:cs="宋体"/>
          <w:snapToGrid w:val="0"/>
          <w:color w:val="auto"/>
          <w:kern w:val="0"/>
          <w:sz w:val="24"/>
          <w:szCs w:val="24"/>
          <w:highlight w:val="none"/>
        </w:rPr>
        <w:t>代理机构对因不可抗力事件造成的投标文件的损坏、丢失的，不承担责任。</w:t>
      </w:r>
    </w:p>
    <w:p w14:paraId="15B23397">
      <w:pPr>
        <w:pStyle w:val="11"/>
        <w:keepNext w:val="0"/>
        <w:keepLines w:val="0"/>
        <w:pageBreakBefore w:val="0"/>
        <w:widowControl w:val="0"/>
        <w:kinsoku/>
        <w:overflowPunct/>
        <w:topLinePunct w:val="0"/>
        <w:autoSpaceDE/>
        <w:autoSpaceDN/>
        <w:bidi w:val="0"/>
        <w:spacing w:line="360" w:lineRule="auto"/>
        <w:ind w:left="0" w:leftChars="0" w:right="0" w:firstLine="480" w:firstLineChars="200"/>
        <w:rPr>
          <w:rFonts w:hint="eastAsia" w:ascii="宋体" w:hAnsi="宋体" w:eastAsia="宋体" w:cs="宋体"/>
          <w:strike/>
          <w:dstrike w:val="0"/>
          <w:snapToGrid w:val="0"/>
          <w:color w:val="auto"/>
          <w:kern w:val="0"/>
          <w:sz w:val="24"/>
          <w:szCs w:val="24"/>
          <w:highlight w:val="none"/>
        </w:rPr>
      </w:pPr>
      <w:r>
        <w:rPr>
          <w:rFonts w:hint="eastAsia" w:ascii="宋体" w:hAnsi="宋体" w:eastAsia="宋体" w:cs="宋体"/>
          <w:bCs/>
          <w:snapToGrid w:val="0"/>
          <w:color w:val="auto"/>
          <w:sz w:val="24"/>
          <w:szCs w:val="24"/>
          <w:highlight w:val="none"/>
        </w:rPr>
        <w:t>投标人法定代表人或其委托代理人（以下简称“投标人代表”）应在指定的时间和地点递交投标相关资料（如有）。</w:t>
      </w:r>
    </w:p>
    <w:p w14:paraId="731B1DE8">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w:t>
      </w:r>
      <w:r>
        <w:rPr>
          <w:rFonts w:hint="eastAsia" w:hAnsi="宋体" w:cs="宋体"/>
          <w:b/>
          <w:bCs/>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出现下述情形之一，属于未成功提交投标文件，按无效投标处理：</w:t>
      </w:r>
    </w:p>
    <w:p w14:paraId="0A8B1534">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lang w:val="en-US" w:eastAsia="zh-CN" w:bidi="ar-SA"/>
        </w:rPr>
        <w:t>（1）</w:t>
      </w:r>
      <w:r>
        <w:rPr>
          <w:rFonts w:hint="eastAsia" w:ascii="宋体" w:hAnsi="宋体" w:eastAsia="宋体" w:cs="宋体"/>
          <w:snapToGrid w:val="0"/>
          <w:color w:val="auto"/>
          <w:kern w:val="0"/>
          <w:sz w:val="24"/>
          <w:szCs w:val="24"/>
          <w:highlight w:val="none"/>
        </w:rPr>
        <w:t>至提交投标文件截止时，投标文件未完整上传及提交标书；</w:t>
      </w:r>
    </w:p>
    <w:p w14:paraId="6B4BF4B8">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lang w:val="en-US" w:eastAsia="zh-CN" w:bidi="ar-SA"/>
        </w:rPr>
        <w:t>（</w:t>
      </w:r>
      <w:r>
        <w:rPr>
          <w:rFonts w:hint="eastAsia" w:hAnsi="宋体" w:cs="宋体"/>
          <w:snapToGrid w:val="0"/>
          <w:color w:val="auto"/>
          <w:kern w:val="0"/>
          <w:sz w:val="24"/>
          <w:szCs w:val="24"/>
          <w:lang w:val="en-US" w:eastAsia="zh-CN" w:bidi="ar-SA"/>
        </w:rPr>
        <w:t>2</w:t>
      </w:r>
      <w:r>
        <w:rPr>
          <w:rFonts w:hint="eastAsia" w:ascii="宋体" w:hAnsi="宋体" w:eastAsia="宋体" w:cs="宋体"/>
          <w:snapToGrid w:val="0"/>
          <w:color w:val="auto"/>
          <w:kern w:val="0"/>
          <w:sz w:val="24"/>
          <w:szCs w:val="24"/>
          <w:lang w:val="en-US" w:eastAsia="zh-CN" w:bidi="ar-SA"/>
        </w:rPr>
        <w:t>）</w:t>
      </w:r>
      <w:r>
        <w:rPr>
          <w:rFonts w:hint="eastAsia" w:ascii="宋体" w:hAnsi="宋体" w:eastAsia="宋体" w:cs="宋体"/>
          <w:snapToGrid w:val="0"/>
          <w:color w:val="auto"/>
          <w:kern w:val="0"/>
          <w:sz w:val="24"/>
          <w:szCs w:val="24"/>
          <w:highlight w:val="none"/>
        </w:rPr>
        <w:t>解密失败且在规定时间内未重新提交投标文件的</w:t>
      </w:r>
      <w:r>
        <w:rPr>
          <w:rFonts w:hint="eastAsia" w:ascii="宋体" w:hAnsi="宋体" w:eastAsia="宋体" w:cs="宋体"/>
          <w:snapToGrid w:val="0"/>
          <w:color w:val="auto"/>
          <w:kern w:val="0"/>
          <w:sz w:val="24"/>
          <w:szCs w:val="24"/>
          <w:highlight w:val="none"/>
          <w:lang w:eastAsia="zh-CN"/>
        </w:rPr>
        <w:t>；</w:t>
      </w:r>
    </w:p>
    <w:p w14:paraId="21AD49B9">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lang w:val="en-US" w:eastAsia="zh-CN" w:bidi="ar-SA"/>
        </w:rPr>
        <w:t>（</w:t>
      </w:r>
      <w:r>
        <w:rPr>
          <w:rFonts w:hint="eastAsia" w:hAnsi="宋体" w:cs="宋体"/>
          <w:snapToGrid w:val="0"/>
          <w:color w:val="auto"/>
          <w:kern w:val="0"/>
          <w:sz w:val="24"/>
          <w:szCs w:val="24"/>
          <w:lang w:val="en-US" w:eastAsia="zh-CN" w:bidi="ar-SA"/>
        </w:rPr>
        <w:t>3</w:t>
      </w:r>
      <w:r>
        <w:rPr>
          <w:rFonts w:hint="eastAsia" w:ascii="宋体" w:hAnsi="宋体" w:eastAsia="宋体" w:cs="宋体"/>
          <w:snapToGrid w:val="0"/>
          <w:color w:val="auto"/>
          <w:kern w:val="0"/>
          <w:sz w:val="24"/>
          <w:szCs w:val="24"/>
          <w:lang w:val="en-US" w:eastAsia="zh-CN" w:bidi="ar-SA"/>
        </w:rPr>
        <w:t>）</w:t>
      </w:r>
      <w:r>
        <w:rPr>
          <w:rFonts w:hint="eastAsia" w:ascii="宋体" w:hAnsi="宋体" w:eastAsia="宋体" w:cs="宋体"/>
          <w:snapToGrid w:val="0"/>
          <w:color w:val="auto"/>
          <w:kern w:val="0"/>
          <w:sz w:val="24"/>
          <w:szCs w:val="24"/>
          <w:highlight w:val="none"/>
        </w:rPr>
        <w:t>投标文件损坏或格式不正确的；</w:t>
      </w:r>
    </w:p>
    <w:p w14:paraId="179B35BA">
      <w:pPr>
        <w:keepNext w:val="0"/>
        <w:keepLines w:val="0"/>
        <w:pageBreakBefore w:val="0"/>
        <w:widowControl w:val="0"/>
        <w:numPr>
          <w:ilvl w:val="0"/>
          <w:numId w:val="0"/>
        </w:numPr>
        <w:kinsoku/>
        <w:overflowPunct/>
        <w:topLinePunct w:val="0"/>
        <w:autoSpaceDE/>
        <w:autoSpaceDN/>
        <w:bidi w:val="0"/>
        <w:spacing w:line="360" w:lineRule="auto"/>
        <w:ind w:left="0" w:leftChars="0" w:right="0" w:firstLine="482"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b/>
          <w:bCs/>
          <w:snapToGrid w:val="0"/>
          <w:color w:val="auto"/>
          <w:kern w:val="0"/>
          <w:sz w:val="24"/>
          <w:szCs w:val="24"/>
          <w:highlight w:val="none"/>
          <w:lang w:val="en-US" w:eastAsia="zh-CN"/>
        </w:rPr>
        <w:t>13.6</w:t>
      </w:r>
      <w:r>
        <w:rPr>
          <w:rFonts w:hint="eastAsia" w:hAnsi="宋体" w:cs="宋体"/>
          <w:snapToGrid w:val="0"/>
          <w:color w:val="auto"/>
          <w:kern w:val="0"/>
          <w:sz w:val="24"/>
          <w:szCs w:val="24"/>
          <w:highlight w:val="none"/>
          <w:lang w:val="en-US" w:eastAsia="zh-CN"/>
        </w:rPr>
        <w:t xml:space="preserve"> 联合体投标的，由联合体牵头人按以上要求递交相关资料。</w:t>
      </w:r>
    </w:p>
    <w:p w14:paraId="1F513F3E">
      <w:pPr>
        <w:keepNext w:val="0"/>
        <w:keepLines w:val="0"/>
        <w:pageBreakBefore w:val="0"/>
        <w:widowControl w:val="0"/>
        <w:kinsoku/>
        <w:overflowPunct/>
        <w:topLinePunct w:val="0"/>
        <w:autoSpaceDE/>
        <w:autoSpaceDN/>
        <w:bidi w:val="0"/>
        <w:spacing w:line="360" w:lineRule="auto"/>
        <w:ind w:left="0" w:leftChars="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13.</w:t>
      </w:r>
      <w:r>
        <w:rPr>
          <w:rFonts w:hint="eastAsia" w:hAnsi="宋体" w:cs="宋体"/>
          <w:b/>
          <w:bCs/>
          <w:color w:val="auto"/>
          <w:sz w:val="24"/>
          <w:szCs w:val="24"/>
          <w:highlight w:val="none"/>
          <w:lang w:val="en-US" w:eastAsia="zh-CN"/>
        </w:rPr>
        <w:t>7</w:t>
      </w:r>
      <w:r>
        <w:rPr>
          <w:rFonts w:hint="eastAsia" w:ascii="宋体" w:hAnsi="宋体" w:eastAsia="宋体" w:cs="宋体"/>
          <w:color w:val="auto"/>
          <w:sz w:val="24"/>
          <w:szCs w:val="24"/>
          <w:highlight w:val="none"/>
        </w:rPr>
        <w:t>招标人或其授权的招标代理机构核对、接收投标人递交的投标相关资料后，应向投标人出具标明签收人和签收时间的凭证，并妥善保管。</w:t>
      </w:r>
    </w:p>
    <w:p w14:paraId="2FA0F776">
      <w:pPr>
        <w:pageBreakBefore w:val="0"/>
        <w:kinsoku/>
        <w:overflowPunct/>
        <w:topLinePunct w:val="0"/>
        <w:autoSpaceDE/>
        <w:autoSpaceDN/>
        <w:bidi w:val="0"/>
        <w:spacing w:line="360" w:lineRule="auto"/>
        <w:ind w:left="0" w:leftChars="0" w:right="0"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bCs/>
          <w:color w:val="auto"/>
          <w:sz w:val="24"/>
          <w:szCs w:val="24"/>
          <w:highlight w:val="none"/>
        </w:rPr>
        <w:t>13.</w:t>
      </w:r>
      <w:r>
        <w:rPr>
          <w:rFonts w:hint="eastAsia" w:hAnsi="宋体" w:cs="宋体"/>
          <w:b/>
          <w:bCs/>
          <w:color w:val="auto"/>
          <w:sz w:val="24"/>
          <w:szCs w:val="24"/>
          <w:highlight w:val="none"/>
          <w:lang w:val="en-US" w:eastAsia="zh-CN"/>
        </w:rPr>
        <w:t>8</w:t>
      </w:r>
      <w:r>
        <w:rPr>
          <w:rFonts w:hint="eastAsia" w:ascii="宋体" w:hAnsi="宋体" w:eastAsia="宋体" w:cs="宋体"/>
          <w:color w:val="auto"/>
          <w:sz w:val="24"/>
          <w:szCs w:val="24"/>
          <w:highlight w:val="none"/>
        </w:rPr>
        <w:t>本次招标投标有效期为</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个日历天，投标有效期从提交投标文件的截止之日起计算。在此期间，投标人不得撤销或修改其投标文件，否则其投标保证不予退还。</w:t>
      </w:r>
    </w:p>
    <w:p w14:paraId="44326348">
      <w:pPr>
        <w:rPr>
          <w:rFonts w:hint="eastAsia"/>
        </w:rPr>
      </w:pPr>
    </w:p>
    <w:p w14:paraId="7822481B">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4"/>
          <w:rFonts w:hint="eastAsia" w:ascii="宋体" w:hAnsi="宋体" w:eastAsia="宋体" w:cs="宋体"/>
          <w:sz w:val="24"/>
          <w:szCs w:val="24"/>
          <w:lang w:val="en-US" w:eastAsia="zh-CN"/>
        </w:rPr>
      </w:pPr>
      <w:bookmarkStart w:id="129" w:name="_Toc358"/>
      <w:r>
        <w:rPr>
          <w:rStyle w:val="154"/>
          <w:rFonts w:hint="eastAsia" w:ascii="宋体" w:hAnsi="宋体" w:eastAsia="宋体" w:cs="宋体"/>
          <w:sz w:val="24"/>
          <w:szCs w:val="24"/>
          <w:lang w:val="en-US" w:eastAsia="zh-CN"/>
        </w:rPr>
        <w:t>14．开标</w:t>
      </w:r>
      <w:bookmarkEnd w:id="129"/>
    </w:p>
    <w:p w14:paraId="053DF75F">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w:t>
      </w:r>
      <w:r>
        <w:rPr>
          <w:rFonts w:hint="eastAsia" w:ascii="宋体" w:hAnsi="宋体" w:eastAsia="宋体" w:cs="宋体"/>
          <w:snapToGrid w:val="0"/>
          <w:color w:val="auto"/>
          <w:kern w:val="0"/>
          <w:sz w:val="24"/>
          <w:szCs w:val="24"/>
          <w:highlight w:val="none"/>
        </w:rPr>
        <w:t xml:space="preserve"> 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标的，视其默认开标结果，以及放弃在开标期间见证、监督、投诉、申辩的权利。</w:t>
      </w:r>
    </w:p>
    <w:p w14:paraId="6CB56C45">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14.1.1</w:t>
      </w:r>
      <w:r>
        <w:rPr>
          <w:rFonts w:hint="eastAsia" w:ascii="宋体" w:hAnsi="宋体" w:eastAsia="宋体" w:cs="宋体"/>
          <w:snapToGrid w:val="0"/>
          <w:color w:val="auto"/>
          <w:kern w:val="0"/>
          <w:sz w:val="24"/>
          <w:szCs w:val="24"/>
          <w:highlight w:val="none"/>
        </w:rPr>
        <w:t xml:space="preserve"> 开标时间和地点：见本章第二节“重要事项时间地点一览表”。</w:t>
      </w:r>
    </w:p>
    <w:p w14:paraId="43AD6E88">
      <w:pPr>
        <w:pStyle w:val="136"/>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14.1.2</w:t>
      </w:r>
      <w:r>
        <w:rPr>
          <w:rFonts w:hint="eastAsia" w:ascii="宋体" w:hAnsi="宋体" w:eastAsia="宋体" w:cs="宋体"/>
          <w:snapToGrid w:val="0"/>
          <w:color w:val="auto"/>
          <w:kern w:val="0"/>
          <w:sz w:val="24"/>
          <w:szCs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查询是否发布了取消开标活动的相关信息。</w:t>
      </w:r>
    </w:p>
    <w:p w14:paraId="78AA18B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14.1.3</w:t>
      </w:r>
      <w:r>
        <w:rPr>
          <w:rFonts w:hint="eastAsia" w:ascii="宋体" w:hAnsi="宋体" w:eastAsia="宋体" w:cs="宋体"/>
          <w:snapToGrid w:val="0"/>
          <w:color w:val="auto"/>
          <w:kern w:val="0"/>
          <w:sz w:val="24"/>
          <w:szCs w:val="24"/>
          <w:highlight w:val="none"/>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4EEA755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14.2</w:t>
      </w:r>
      <w:r>
        <w:rPr>
          <w:rFonts w:hint="eastAsia" w:ascii="宋体" w:hAnsi="宋体" w:eastAsia="宋体" w:cs="宋体"/>
          <w:snapToGrid w:val="0"/>
          <w:color w:val="auto"/>
          <w:kern w:val="0"/>
          <w:sz w:val="24"/>
          <w:szCs w:val="24"/>
          <w:highlight w:val="none"/>
        </w:rPr>
        <w:t xml:space="preserve"> 开标程序</w:t>
      </w:r>
      <w:bookmarkStart w:id="130" w:name="_Toc7418"/>
      <w:bookmarkStart w:id="131" w:name="_Toc1282"/>
    </w:p>
    <w:p w14:paraId="127741D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（1）主持人（招标人代表或招标人授权的招标代理机构人员）宣读开标纪律。</w:t>
      </w:r>
      <w:bookmarkEnd w:id="130"/>
      <w:bookmarkEnd w:id="131"/>
      <w:bookmarkStart w:id="132" w:name="_Toc4807"/>
      <w:bookmarkStart w:id="133" w:name="_Toc30474"/>
    </w:p>
    <w:p w14:paraId="48D1D2C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（2）主持人宣布唱标人、记录人、见证人、监督人等有关人员姓名。</w:t>
      </w:r>
      <w:bookmarkEnd w:id="132"/>
      <w:bookmarkEnd w:id="133"/>
      <w:bookmarkStart w:id="134" w:name="_Toc3180"/>
      <w:bookmarkStart w:id="135" w:name="_Toc28242"/>
    </w:p>
    <w:p w14:paraId="1FDF700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（3）唱标人公布在投标截止时间前进行投标文件的投标人数量和名称</w:t>
      </w:r>
      <w:bookmarkEnd w:id="134"/>
      <w:bookmarkEnd w:id="135"/>
      <w:bookmarkStart w:id="136" w:name="_Toc29778"/>
      <w:bookmarkStart w:id="137" w:name="_Toc10498"/>
      <w:r>
        <w:rPr>
          <w:rFonts w:hint="eastAsia" w:ascii="宋体" w:hAnsi="宋体" w:eastAsia="宋体" w:cs="宋体"/>
          <w:snapToGrid w:val="0"/>
          <w:color w:val="auto"/>
          <w:kern w:val="0"/>
          <w:sz w:val="24"/>
          <w:szCs w:val="24"/>
          <w:highlight w:val="none"/>
          <w:lang w:eastAsia="zh-CN"/>
        </w:rPr>
        <w:t>。</w:t>
      </w:r>
    </w:p>
    <w:p w14:paraId="435314C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color w:val="auto"/>
          <w:sz w:val="24"/>
          <w:szCs w:val="24"/>
          <w:highlight w:val="none"/>
        </w:rPr>
      </w:pPr>
      <w:r>
        <w:rPr>
          <w:rFonts w:hint="eastAsia" w:ascii="宋体" w:hAnsi="宋体" w:eastAsia="宋体" w:cs="宋体"/>
          <w:snapToGrid w:val="0"/>
          <w:color w:val="auto"/>
          <w:kern w:val="0"/>
          <w:sz w:val="24"/>
          <w:szCs w:val="24"/>
          <w:highlight w:val="none"/>
        </w:rPr>
        <w:t>（4）招标代理机构</w:t>
      </w:r>
      <w:r>
        <w:rPr>
          <w:rFonts w:hint="eastAsia" w:hAnsi="宋体" w:cs="宋体"/>
          <w:snapToGrid w:val="0"/>
          <w:color w:val="auto"/>
          <w:kern w:val="0"/>
          <w:sz w:val="24"/>
          <w:szCs w:val="24"/>
          <w:highlight w:val="none"/>
          <w:lang w:val="en-US" w:eastAsia="zh-CN"/>
        </w:rPr>
        <w:t>在</w:t>
      </w:r>
      <w:r>
        <w:rPr>
          <w:rFonts w:hint="eastAsia" w:ascii="宋体" w:hAnsi="宋体" w:eastAsia="宋体" w:cs="宋体"/>
          <w:snapToGrid w:val="0"/>
          <w:color w:val="auto"/>
          <w:kern w:val="0"/>
          <w:sz w:val="24"/>
          <w:szCs w:val="24"/>
          <w:highlight w:val="none"/>
        </w:rPr>
        <w:t>交易场所工作人员</w:t>
      </w:r>
      <w:r>
        <w:rPr>
          <w:rFonts w:hint="eastAsia" w:hAnsi="宋体" w:cs="宋体"/>
          <w:snapToGrid w:val="0"/>
          <w:color w:val="auto"/>
          <w:kern w:val="0"/>
          <w:sz w:val="24"/>
          <w:szCs w:val="24"/>
          <w:highlight w:val="none"/>
          <w:lang w:val="en-US" w:eastAsia="zh-CN"/>
        </w:rPr>
        <w:t>见证下</w:t>
      </w:r>
      <w:r>
        <w:rPr>
          <w:rFonts w:hint="eastAsia" w:ascii="宋体" w:hAnsi="宋体" w:eastAsia="宋体" w:cs="宋体"/>
          <w:snapToGrid w:val="0"/>
          <w:color w:val="auto"/>
          <w:kern w:val="0"/>
          <w:sz w:val="24"/>
          <w:szCs w:val="24"/>
          <w:highlight w:val="none"/>
        </w:rPr>
        <w:t>对投标人的电子投标信息进行解密，建设工程交易系统自动生成《投标保证缴纳情况表》和《开标一览表》。</w:t>
      </w:r>
      <w:bookmarkEnd w:id="136"/>
      <w:bookmarkEnd w:id="137"/>
    </w:p>
    <w:p w14:paraId="068C145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color w:val="auto"/>
          <w:sz w:val="24"/>
          <w:szCs w:val="24"/>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3002714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14.3</w:t>
      </w:r>
      <w:r>
        <w:rPr>
          <w:rFonts w:hint="eastAsia" w:ascii="宋体" w:hAnsi="宋体" w:eastAsia="宋体" w:cs="宋体"/>
          <w:snapToGrid w:val="0"/>
          <w:color w:val="auto"/>
          <w:kern w:val="0"/>
          <w:sz w:val="24"/>
          <w:szCs w:val="24"/>
          <w:highlight w:val="none"/>
        </w:rPr>
        <w:t xml:space="preserve"> 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1DDD40B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w:t>
      </w:r>
      <w:bookmarkStart w:id="138" w:name="_Hlt127093805"/>
      <w:bookmarkEnd w:id="138"/>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招标代理机构将资料原件</w:t>
      </w:r>
      <w:r>
        <w:rPr>
          <w:rFonts w:hint="eastAsia" w:ascii="宋体" w:hAnsi="宋体" w:eastAsia="宋体" w:cs="宋体"/>
          <w:snapToGrid w:val="0"/>
          <w:color w:val="auto"/>
          <w:kern w:val="0"/>
          <w:sz w:val="24"/>
          <w:szCs w:val="24"/>
          <w:highlight w:val="none"/>
          <w:lang w:eastAsia="zh-CN"/>
        </w:rPr>
        <w:t>（如有）</w:t>
      </w:r>
      <w:r>
        <w:rPr>
          <w:rFonts w:hint="eastAsia" w:ascii="宋体" w:hAnsi="宋体" w:eastAsia="宋体" w:cs="宋体"/>
          <w:snapToGrid w:val="0"/>
          <w:color w:val="auto"/>
          <w:kern w:val="0"/>
          <w:sz w:val="24"/>
          <w:szCs w:val="24"/>
          <w:highlight w:val="none"/>
        </w:rPr>
        <w:t>、《开标一览表》以及其他有关资料移交评标委员会。</w:t>
      </w:r>
    </w:p>
    <w:p w14:paraId="62560565">
      <w:pPr>
        <w:rPr>
          <w:rFonts w:hint="eastAsia"/>
          <w:sz w:val="22"/>
          <w:szCs w:val="18"/>
          <w:lang w:val="en-US" w:eastAsia="zh-CN"/>
        </w:rPr>
      </w:pPr>
      <w:bookmarkStart w:id="139" w:name="_Toc28090"/>
    </w:p>
    <w:p w14:paraId="4847AE8F">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4"/>
          <w:rFonts w:hint="eastAsia" w:ascii="宋体" w:hAnsi="宋体" w:eastAsia="宋体" w:cs="宋体"/>
          <w:sz w:val="24"/>
          <w:szCs w:val="24"/>
          <w:lang w:val="en-US" w:eastAsia="zh-CN"/>
        </w:rPr>
      </w:pPr>
      <w:r>
        <w:rPr>
          <w:rStyle w:val="154"/>
          <w:rFonts w:hint="eastAsia" w:ascii="宋体" w:hAnsi="宋体" w:eastAsia="宋体" w:cs="宋体"/>
          <w:sz w:val="24"/>
          <w:szCs w:val="24"/>
          <w:lang w:val="en-US" w:eastAsia="zh-CN"/>
        </w:rPr>
        <w:t>15．评标</w:t>
      </w:r>
      <w:bookmarkEnd w:id="139"/>
    </w:p>
    <w:p w14:paraId="7303D17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个中标候选人，并向招标人提交由全体评标委员会成员签字的评标报告。</w:t>
      </w:r>
    </w:p>
    <w:p w14:paraId="494FE75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w:t>
      </w:r>
      <w:r>
        <w:rPr>
          <w:rFonts w:hint="eastAsia" w:ascii="宋体" w:hAnsi="宋体" w:eastAsia="宋体" w:cs="宋体"/>
          <w:bCs/>
          <w:snapToGrid w:val="0"/>
          <w:color w:val="auto"/>
          <w:kern w:val="0"/>
          <w:sz w:val="24"/>
          <w:szCs w:val="24"/>
          <w:highlight w:val="none"/>
        </w:rPr>
        <w:t xml:space="preserve"> 评标委员会</w:t>
      </w:r>
    </w:p>
    <w:p w14:paraId="28F12AD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15.1.1</w:t>
      </w:r>
      <w:r>
        <w:rPr>
          <w:rFonts w:hint="eastAsia" w:ascii="宋体" w:hAnsi="宋体" w:eastAsia="宋体" w:cs="宋体"/>
          <w:snapToGrid w:val="0"/>
          <w:color w:val="auto"/>
          <w:kern w:val="0"/>
          <w:sz w:val="24"/>
          <w:szCs w:val="24"/>
          <w:highlight w:val="none"/>
        </w:rPr>
        <w:t xml:space="preserve"> 评标委员会由</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人组成，其中招标人代表</w:t>
      </w:r>
      <w:r>
        <w:rPr>
          <w:rFonts w:hint="eastAsia" w:ascii="宋体" w:hAnsi="宋体" w:eastAsia="宋体" w:cs="宋体"/>
          <w:snapToGrid w:val="0"/>
          <w:color w:val="auto"/>
          <w:kern w:val="0"/>
          <w:sz w:val="24"/>
          <w:szCs w:val="24"/>
          <w:highlight w:val="none"/>
          <w:u w:val="single"/>
        </w:rPr>
        <w:t>0</w:t>
      </w:r>
      <w:r>
        <w:rPr>
          <w:rFonts w:hint="eastAsia" w:ascii="宋体" w:hAnsi="宋体" w:eastAsia="宋体" w:cs="宋体"/>
          <w:snapToGrid w:val="0"/>
          <w:color w:val="auto"/>
          <w:kern w:val="0"/>
          <w:sz w:val="24"/>
          <w:szCs w:val="24"/>
          <w:highlight w:val="none"/>
        </w:rPr>
        <w:t>人，专家</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人。</w:t>
      </w:r>
      <w:r>
        <w:rPr>
          <w:rFonts w:hint="eastAsia" w:ascii="宋体" w:hAnsi="宋体" w:eastAsia="宋体" w:cs="宋体"/>
          <w:b w:val="0"/>
          <w:bCs w:val="0"/>
          <w:snapToGrid w:val="0"/>
          <w:color w:val="auto"/>
          <w:kern w:val="0"/>
          <w:sz w:val="24"/>
          <w:szCs w:val="24"/>
          <w:highlight w:val="none"/>
          <w:u w:val="none"/>
        </w:rPr>
        <w:t>专家从广东省综合评标评审专家库</w:t>
      </w:r>
      <w:r>
        <w:rPr>
          <w:rFonts w:hint="eastAsia" w:hAnsi="宋体" w:cs="宋体"/>
          <w:b w:val="0"/>
          <w:bCs w:val="0"/>
          <w:snapToGrid w:val="0"/>
          <w:color w:val="auto"/>
          <w:kern w:val="0"/>
          <w:sz w:val="24"/>
          <w:szCs w:val="24"/>
          <w:highlight w:val="none"/>
          <w:u w:val="none"/>
          <w:lang w:val="en-US" w:eastAsia="zh-CN"/>
        </w:rPr>
        <w:t>-韶关区域中</w:t>
      </w:r>
      <w:r>
        <w:rPr>
          <w:rFonts w:hint="eastAsia" w:ascii="宋体" w:hAnsi="宋体" w:eastAsia="宋体" w:cs="宋体"/>
          <w:b w:val="0"/>
          <w:bCs w:val="0"/>
          <w:snapToGrid w:val="0"/>
          <w:color w:val="auto"/>
          <w:kern w:val="0"/>
          <w:sz w:val="24"/>
          <w:szCs w:val="24"/>
          <w:highlight w:val="none"/>
          <w:u w:val="none"/>
        </w:rPr>
        <w:t>随机抽取，</w:t>
      </w:r>
      <w:r>
        <w:rPr>
          <w:rFonts w:hint="eastAsia" w:ascii="宋体" w:hAnsi="宋体" w:eastAsia="宋体" w:cs="宋体"/>
          <w:snapToGrid w:val="0"/>
          <w:color w:val="auto"/>
          <w:kern w:val="0"/>
          <w:sz w:val="24"/>
          <w:szCs w:val="24"/>
          <w:highlight w:val="none"/>
        </w:rPr>
        <w:t>其中技术类专家</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人，经济类专家</w:t>
      </w:r>
      <w:r>
        <w:rPr>
          <w:rFonts w:hint="eastAsia" w:ascii="宋体" w:hAnsi="宋体" w:eastAsia="宋体" w:cs="宋体"/>
          <w:snapToGrid w:val="0"/>
          <w:color w:val="auto"/>
          <w:kern w:val="0"/>
          <w:sz w:val="24"/>
          <w:szCs w:val="24"/>
          <w:highlight w:val="none"/>
          <w:u w:val="single"/>
        </w:rPr>
        <w:t xml:space="preserve"> 2 </w:t>
      </w:r>
      <w:r>
        <w:rPr>
          <w:rFonts w:hint="eastAsia" w:ascii="宋体" w:hAnsi="宋体" w:eastAsia="宋体" w:cs="宋体"/>
          <w:snapToGrid w:val="0"/>
          <w:color w:val="auto"/>
          <w:kern w:val="0"/>
          <w:sz w:val="24"/>
          <w:szCs w:val="24"/>
          <w:highlight w:val="none"/>
        </w:rPr>
        <w:t>人。评标委员会设负责人，由评标委员会成员推举产生。评标委员会负责人与评标委员会的其他成员有同等的表决权。</w:t>
      </w:r>
    </w:p>
    <w:p w14:paraId="5F2489A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15.1.2</w:t>
      </w:r>
      <w:r>
        <w:rPr>
          <w:rFonts w:hint="eastAsia" w:ascii="宋体" w:hAnsi="宋体" w:eastAsia="宋体" w:cs="宋体"/>
          <w:snapToGrid w:val="0"/>
          <w:color w:val="auto"/>
          <w:kern w:val="0"/>
          <w:sz w:val="24"/>
          <w:szCs w:val="24"/>
          <w:highlight w:val="none"/>
        </w:rPr>
        <w:t xml:space="preserve"> 评标委员会应认真、公正、诚实、廉洁地履行职责。有下列情形之一的，不得担任评标委员会成员：</w:t>
      </w:r>
    </w:p>
    <w:p w14:paraId="4994CCB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（1）投标人或投标人主要负责人的近亲属；</w:t>
      </w:r>
    </w:p>
    <w:p w14:paraId="2568F5F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（2）项目主管部门或者行政监督部门的人员；</w:t>
      </w:r>
    </w:p>
    <w:p w14:paraId="28BDC52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（3）与投标人有经济利益关系，可能影响对投标公正评审的；</w:t>
      </w:r>
    </w:p>
    <w:p w14:paraId="3500115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（4）曾因在招标、评标以及其他与招标投标有关活动中从事违法行为而受过行政处罚或刑事处罚的。</w:t>
      </w:r>
    </w:p>
    <w:p w14:paraId="54F26DC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评标委员会成员有以上情形之一的，应主动提出回避。</w:t>
      </w:r>
    </w:p>
    <w:p w14:paraId="667BEE1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15.1.3</w:t>
      </w:r>
      <w:r>
        <w:rPr>
          <w:rFonts w:hint="eastAsia" w:ascii="宋体" w:hAnsi="宋体" w:eastAsia="宋体" w:cs="宋体"/>
          <w:snapToGrid w:val="0"/>
          <w:color w:val="auto"/>
          <w:kern w:val="0"/>
          <w:sz w:val="24"/>
          <w:szCs w:val="24"/>
          <w:highlight w:val="none"/>
        </w:rPr>
        <w:t xml:space="preserve"> 评标全过程实行封闭式管理，在中标结果公布前，禁止评标委员会成员以任何方式私下接触投标人。</w:t>
      </w:r>
    </w:p>
    <w:p w14:paraId="1175A4F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15.1.4</w:t>
      </w:r>
      <w:r>
        <w:rPr>
          <w:rFonts w:hint="eastAsia" w:ascii="宋体" w:hAnsi="宋体" w:eastAsia="宋体" w:cs="宋体"/>
          <w:snapToGrid w:val="0"/>
          <w:color w:val="auto"/>
          <w:kern w:val="0"/>
          <w:sz w:val="24"/>
          <w:szCs w:val="24"/>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1DCCD52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15.1.5</w:t>
      </w:r>
      <w:r>
        <w:rPr>
          <w:rFonts w:hint="eastAsia" w:ascii="宋体" w:hAnsi="宋体" w:eastAsia="宋体" w:cs="宋体"/>
          <w:snapToGrid w:val="0"/>
          <w:color w:val="auto"/>
          <w:kern w:val="0"/>
          <w:sz w:val="24"/>
          <w:szCs w:val="24"/>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07C70D9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15.2</w:t>
      </w:r>
      <w:r>
        <w:rPr>
          <w:rFonts w:hint="eastAsia" w:ascii="宋体" w:hAnsi="宋体" w:eastAsia="宋体" w:cs="宋体"/>
          <w:bCs/>
          <w:snapToGrid w:val="0"/>
          <w:color w:val="auto"/>
          <w:kern w:val="0"/>
          <w:sz w:val="24"/>
          <w:szCs w:val="24"/>
          <w:highlight w:val="none"/>
        </w:rPr>
        <w:t xml:space="preserve"> 评标方法</w:t>
      </w:r>
    </w:p>
    <w:p w14:paraId="16699BA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根据有关法律、法规的相关规定，结合本招标项目资金来源和规模特点，本次招标采用</w:t>
      </w:r>
      <w:r>
        <w:rPr>
          <w:rFonts w:hint="eastAsia" w:ascii="宋体" w:hAnsi="宋体" w:eastAsia="宋体" w:cs="宋体"/>
          <w:b/>
          <w:bCs/>
          <w:snapToGrid w:val="0"/>
          <w:color w:val="auto"/>
          <w:kern w:val="0"/>
          <w:sz w:val="24"/>
          <w:szCs w:val="24"/>
          <w:highlight w:val="none"/>
          <w:u w:val="single"/>
        </w:rPr>
        <w:t>综合评估法</w:t>
      </w:r>
      <w:r>
        <w:rPr>
          <w:rFonts w:hint="eastAsia" w:ascii="宋体" w:hAnsi="宋体" w:eastAsia="宋体" w:cs="宋体"/>
          <w:snapToGrid w:val="0"/>
          <w:color w:val="auto"/>
          <w:kern w:val="0"/>
          <w:sz w:val="24"/>
          <w:szCs w:val="24"/>
          <w:highlight w:val="none"/>
        </w:rPr>
        <w:t>（评标方法名称）进行评标。</w:t>
      </w:r>
    </w:p>
    <w:p w14:paraId="4BB2509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15.3 </w:t>
      </w:r>
      <w:r>
        <w:rPr>
          <w:rFonts w:hint="eastAsia" w:ascii="宋体" w:hAnsi="宋体" w:eastAsia="宋体" w:cs="宋体"/>
          <w:snapToGrid w:val="0"/>
          <w:color w:val="auto"/>
          <w:kern w:val="0"/>
          <w:sz w:val="24"/>
          <w:szCs w:val="24"/>
          <w:highlight w:val="none"/>
        </w:rPr>
        <w:t>评审范围：评标委员会应对所有投标人的投标文件进行评审。</w:t>
      </w:r>
    </w:p>
    <w:p w14:paraId="5EA0A5E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w:t>
      </w:r>
      <w:r>
        <w:rPr>
          <w:rFonts w:hint="eastAsia" w:ascii="宋体" w:hAnsi="宋体" w:eastAsia="宋体" w:cs="宋体"/>
          <w:snapToGrid w:val="0"/>
          <w:color w:val="auto"/>
          <w:kern w:val="0"/>
          <w:sz w:val="24"/>
          <w:szCs w:val="24"/>
          <w:highlight w:val="none"/>
        </w:rPr>
        <w:t xml:space="preserve"> 初步评审阶段</w:t>
      </w:r>
    </w:p>
    <w:p w14:paraId="0F98A6D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初步评审阶段分为资格评审、形式评审和响应性评审三个环节。</w:t>
      </w:r>
    </w:p>
    <w:p w14:paraId="0FF582C0">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15.4.1</w:t>
      </w:r>
      <w:r>
        <w:rPr>
          <w:rFonts w:hint="eastAsia" w:ascii="宋体" w:hAnsi="宋体" w:eastAsia="宋体" w:cs="宋体"/>
          <w:snapToGrid w:val="0"/>
          <w:color w:val="auto"/>
          <w:kern w:val="0"/>
          <w:sz w:val="24"/>
          <w:szCs w:val="24"/>
          <w:highlight w:val="none"/>
        </w:rPr>
        <w:t xml:space="preserve"> 资格评审环节</w:t>
      </w:r>
    </w:p>
    <w:p w14:paraId="611695B2">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资格评审事项包括：</w:t>
      </w:r>
    </w:p>
    <w:p w14:paraId="2F4EB0B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（1）投标人是否符合本章第三节第2.4条“禁止投标条款”规定。</w:t>
      </w:r>
    </w:p>
    <w:p w14:paraId="7084890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（2）投标人名称是否与营业执照、资质证书、安全生产许可证一致。</w:t>
      </w:r>
    </w:p>
    <w:p w14:paraId="274A4E3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（3）投标人的资质是否符合招标文件规定；其营业执照、资质证书、安全生产许可证是否合法、有效、准确。</w:t>
      </w:r>
    </w:p>
    <w:p w14:paraId="3E6E21BF">
      <w:pPr>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bookmarkStart w:id="140" w:name="OLE_LINK4"/>
      <w:r>
        <w:rPr>
          <w:rFonts w:hint="eastAsia" w:ascii="宋体" w:hAnsi="宋体" w:eastAsia="宋体" w:cs="宋体"/>
          <w:snapToGrid w:val="0"/>
          <w:color w:val="auto"/>
          <w:kern w:val="0"/>
          <w:sz w:val="24"/>
          <w:szCs w:val="24"/>
          <w:highlight w:val="none"/>
        </w:rPr>
        <w:t>（4）</w:t>
      </w:r>
      <w:r>
        <w:rPr>
          <w:rFonts w:hint="eastAsia" w:ascii="宋体" w:hAnsi="宋体" w:eastAsia="宋体" w:cs="宋体"/>
          <w:color w:val="auto"/>
          <w:sz w:val="24"/>
          <w:szCs w:val="24"/>
          <w:highlight w:val="none"/>
        </w:rPr>
        <w:t>《项目经理简历表》中拟派项目经理是否与《开标一览表》一致。</w:t>
      </w:r>
    </w:p>
    <w:bookmarkEnd w:id="140"/>
    <w:p w14:paraId="59620F2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拟派项目经理、项目技术负责人、专职安全员的条件是否符合招标文件规定；项目管理机构组成人员的各类证书、证件、证明是否合法、有效、准确；是否擅自修改、遗漏《项目经理任职声明》的实质性内容。</w:t>
      </w:r>
    </w:p>
    <w:p w14:paraId="671EF395">
      <w:pPr>
        <w:pStyle w:val="136"/>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）投标人为外省建筑企业的，是否按规定在“进粤企业和人员诚信信息登记平台”录入企业及其拟派人员有关信息并通过数据规范检查。</w:t>
      </w:r>
    </w:p>
    <w:p w14:paraId="6C285C27">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15.4.2</w:t>
      </w:r>
      <w:r>
        <w:rPr>
          <w:rFonts w:hint="eastAsia" w:ascii="宋体" w:hAnsi="宋体" w:eastAsia="宋体" w:cs="宋体"/>
          <w:snapToGrid w:val="0"/>
          <w:color w:val="auto"/>
          <w:kern w:val="0"/>
          <w:sz w:val="24"/>
          <w:szCs w:val="24"/>
          <w:highlight w:val="none"/>
        </w:rPr>
        <w:t xml:space="preserve"> 形式评审环节</w:t>
      </w:r>
    </w:p>
    <w:p w14:paraId="1F27CC6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形式评审事项包括：</w:t>
      </w:r>
    </w:p>
    <w:p w14:paraId="5D43FB1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各分册是否按招标文件规定加盖电子印章。</w:t>
      </w:r>
    </w:p>
    <w:p w14:paraId="1185D21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）本节第10.2.2目、第10.3.2目、第10.4.3目中规定的“所有投标人均应提供”的组成内容（包括该组成内容的所附资料）是否完整、齐全</w:t>
      </w:r>
      <w:r>
        <w:rPr>
          <w:rFonts w:hint="eastAsia" w:ascii="宋体" w:hAnsi="宋体" w:eastAsia="宋体" w:cs="宋体"/>
          <w:snapToGrid w:val="0"/>
          <w:color w:val="auto"/>
          <w:kern w:val="0"/>
          <w:sz w:val="24"/>
          <w:szCs w:val="24"/>
          <w:highlight w:val="none"/>
          <w:lang w:eastAsia="zh-CN"/>
        </w:rPr>
        <w:t>。</w:t>
      </w:r>
    </w:p>
    <w:p w14:paraId="3862FA35">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15.4.3</w:t>
      </w:r>
      <w:r>
        <w:rPr>
          <w:rFonts w:hint="eastAsia" w:ascii="宋体" w:hAnsi="宋体" w:eastAsia="宋体" w:cs="宋体"/>
          <w:snapToGrid w:val="0"/>
          <w:color w:val="auto"/>
          <w:kern w:val="0"/>
          <w:sz w:val="24"/>
          <w:szCs w:val="24"/>
          <w:highlight w:val="none"/>
        </w:rPr>
        <w:t xml:space="preserve"> 响应性评审环节</w:t>
      </w:r>
    </w:p>
    <w:p w14:paraId="66AEC104">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响应性评审事项包括：</w:t>
      </w:r>
    </w:p>
    <w:p w14:paraId="33541A6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bookmarkStart w:id="141" w:name="OLE_LINK5"/>
      <w:r>
        <w:rPr>
          <w:rFonts w:hint="eastAsia" w:ascii="宋体" w:hAnsi="宋体" w:eastAsia="宋体" w:cs="宋体"/>
          <w:snapToGrid w:val="0"/>
          <w:color w:val="auto"/>
          <w:kern w:val="0"/>
          <w:sz w:val="24"/>
          <w:szCs w:val="24"/>
          <w:highlight w:val="none"/>
        </w:rPr>
        <w:t>（1）投标有效期、质量标准、工期等是否响应招标文件实质性要求；是否擅自修改、遗漏《投标函》《各项承诺一览表》的实质性内容。</w:t>
      </w:r>
    </w:p>
    <w:bookmarkEnd w:id="141"/>
    <w:p w14:paraId="5B5C765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（2）编制《投标总价》的造价工程师，其注册证书是否合法、有效。</w:t>
      </w:r>
    </w:p>
    <w:p w14:paraId="325A266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（3）投标人委托造价咨询单位编制《投标总价》的，是否在《投标总价扉页》（即扉—3）“投标人”栏目加盖造价咨询人公章；是否提供造价咨询人的营业执照副本</w:t>
      </w:r>
      <w:r>
        <w:rPr>
          <w:rFonts w:hint="eastAsia" w:ascii="宋体" w:hAnsi="宋体" w:eastAsia="宋体" w:cs="宋体"/>
          <w:snapToGrid w:val="0"/>
          <w:color w:val="auto"/>
          <w:kern w:val="0"/>
          <w:sz w:val="24"/>
          <w:szCs w:val="24"/>
          <w:highlight w:val="none"/>
          <w:lang w:eastAsia="zh-CN"/>
        </w:rPr>
        <w:t>彩色扫描件</w:t>
      </w:r>
      <w:r>
        <w:rPr>
          <w:rFonts w:hint="eastAsia" w:ascii="宋体" w:hAnsi="宋体" w:eastAsia="宋体" w:cs="宋体"/>
          <w:snapToGrid w:val="0"/>
          <w:color w:val="auto"/>
          <w:kern w:val="0"/>
          <w:sz w:val="24"/>
          <w:szCs w:val="24"/>
          <w:highlight w:val="none"/>
        </w:rPr>
        <w:t>；</w:t>
      </w:r>
    </w:p>
    <w:p w14:paraId="42799C6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（4）投标总价是否唯一；投标总价是否超出招标控制价；绿色施工安全防护措施费是否达到最低要求；暂列金额、暂估价是否按照招标工程量清单统一报价；投标人是否以低于成本的价格竞标。</w:t>
      </w:r>
    </w:p>
    <w:p w14:paraId="0C1F418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如果某投标人的投标总价下浮率（投标总价下浮率＝100%－投标总价÷招标控制价×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0F6A645F">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（5）施工组织设计的质量、进度保障措施是否符合国家和省市现行有关规范、规定、标准，是否能实现工程质量、进度管理目标。  </w:t>
      </w:r>
    </w:p>
    <w:p w14:paraId="114B743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15.4.4</w:t>
      </w:r>
      <w:r>
        <w:rPr>
          <w:rFonts w:hint="eastAsia" w:ascii="宋体" w:hAnsi="宋体" w:eastAsia="宋体" w:cs="宋体"/>
          <w:snapToGrid w:val="0"/>
          <w:color w:val="auto"/>
          <w:kern w:val="0"/>
          <w:sz w:val="24"/>
          <w:szCs w:val="24"/>
          <w:highlight w:val="none"/>
        </w:rPr>
        <w:t xml:space="preserve"> 否决投标说明</w:t>
      </w:r>
    </w:p>
    <w:p w14:paraId="01A81441">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初步评审阶段各个环节否决投标的全部条件，在本章第四节“否决投标条件”第</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条至第</w:t>
      </w:r>
      <w:r>
        <w:rPr>
          <w:rFonts w:hint="eastAsia" w:ascii="宋体" w:hAnsi="宋体" w:eastAsia="宋体" w:cs="宋体"/>
          <w:b/>
          <w:bCs/>
          <w:snapToGrid w:val="0"/>
          <w:color w:val="auto"/>
          <w:kern w:val="0"/>
          <w:sz w:val="24"/>
          <w:szCs w:val="24"/>
          <w:highlight w:val="none"/>
        </w:rPr>
        <w:t>4</w:t>
      </w:r>
      <w:r>
        <w:rPr>
          <w:rFonts w:hint="eastAsia" w:ascii="宋体" w:hAnsi="宋体" w:eastAsia="宋体" w:cs="宋体"/>
          <w:snapToGrid w:val="0"/>
          <w:color w:val="auto"/>
          <w:kern w:val="0"/>
          <w:sz w:val="24"/>
          <w:szCs w:val="24"/>
          <w:highlight w:val="none"/>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3753D3BC">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w:t>
      </w:r>
      <w:r>
        <w:rPr>
          <w:rFonts w:hint="eastAsia" w:ascii="宋体" w:hAnsi="宋体" w:eastAsia="宋体" w:cs="宋体"/>
          <w:snapToGrid w:val="0"/>
          <w:color w:val="auto"/>
          <w:kern w:val="0"/>
          <w:sz w:val="24"/>
          <w:szCs w:val="24"/>
          <w:highlight w:val="none"/>
        </w:rPr>
        <w:t xml:space="preserve"> 详细评审</w:t>
      </w:r>
      <w:bookmarkStart w:id="142" w:name="_Hlt121629839"/>
      <w:r>
        <w:rPr>
          <w:rFonts w:hint="eastAsia" w:ascii="宋体" w:hAnsi="宋体" w:eastAsia="宋体" w:cs="宋体"/>
          <w:snapToGrid w:val="0"/>
          <w:color w:val="auto"/>
          <w:kern w:val="0"/>
          <w:sz w:val="24"/>
          <w:szCs w:val="24"/>
          <w:highlight w:val="none"/>
        </w:rPr>
        <w:t>阶段</w:t>
      </w:r>
    </w:p>
    <w:p w14:paraId="09C7E379">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15.5.1</w:t>
      </w:r>
      <w:r>
        <w:rPr>
          <w:rFonts w:hint="eastAsia" w:ascii="宋体" w:hAnsi="宋体" w:eastAsia="宋体" w:cs="宋体"/>
          <w:bCs/>
          <w:snapToGrid w:val="0"/>
          <w:color w:val="auto"/>
          <w:kern w:val="0"/>
          <w:sz w:val="24"/>
          <w:szCs w:val="24"/>
          <w:highlight w:val="none"/>
        </w:rPr>
        <w:t xml:space="preserve"> “综合评估法”评审程序</w:t>
      </w:r>
    </w:p>
    <w:p w14:paraId="13C94E12">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评审内容分为商务技术和投标报价两大部分。其中，商务技术合计满分</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100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分，权重为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40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%；投标报价满分100分，权重为</w:t>
      </w:r>
      <w:r>
        <w:rPr>
          <w:rFonts w:hint="eastAsia" w:ascii="宋体" w:hAnsi="宋体" w:eastAsia="宋体" w:cs="宋体"/>
          <w:snapToGrid w:val="0"/>
          <w:color w:val="auto"/>
          <w:kern w:val="0"/>
          <w:sz w:val="24"/>
          <w:szCs w:val="24"/>
          <w:highlight w:val="none"/>
          <w:u w:val="single"/>
          <w:lang w:val="en-US" w:eastAsia="zh-CN"/>
        </w:rPr>
        <w:t>60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%。两大部分权重之和应为</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w:t>
      </w:r>
    </w:p>
    <w:p w14:paraId="25C1E276">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除特别注明外，综合得分以及商务技术得分、投标报价得分的中间过程计算值和最终值，均按“四舍五入”原则精确到两位小数。</w:t>
      </w:r>
    </w:p>
    <w:p w14:paraId="505BA85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（1）商务技术得分M</w:t>
      </w:r>
    </w:p>
    <w:p w14:paraId="664E707E">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w:t>
      </w:r>
    </w:p>
    <w:p w14:paraId="7F233038">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w:t>
      </w:r>
    </w:p>
    <w:p w14:paraId="4869E18A">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．M＝M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2</w:t>
      </w:r>
    </w:p>
    <w:p w14:paraId="5B1A00CA">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为某投标人的商务得分，M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为某投标人的技术得分。</w:t>
      </w:r>
    </w:p>
    <w:p w14:paraId="15462335">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（2）投标报价得分N</w:t>
      </w:r>
    </w:p>
    <w:p w14:paraId="6DC0892E">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．评标委员会按照《综合评分表》投标报价部分指定的方法计算评标基准价D。</w:t>
      </w:r>
    </w:p>
    <w:p w14:paraId="5394EB91">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 每低于评标基准价一个百分点扣</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分，扣完为止。公式如下：</w:t>
      </w:r>
    </w:p>
    <w:p w14:paraId="12E56B40">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 Di－D | ÷D）×100×E</w:t>
      </w:r>
    </w:p>
    <w:p w14:paraId="70056324">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；当Di＜D时，E＝</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p>
    <w:p w14:paraId="16CCA932">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（3）综合得分</w:t>
      </w:r>
    </w:p>
    <w:p w14:paraId="4D36DFC2">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综合得分换算为百分制，满分100分，公式如下：</w:t>
      </w:r>
    </w:p>
    <w:p w14:paraId="5B271F3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综合得分＝M÷商务技术合计满分×100×商务技术权重＋N×投标报价权重</w:t>
      </w:r>
    </w:p>
    <w:p w14:paraId="2E109767">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式中：M为商务技术得分，N为投标报价得分。</w:t>
      </w:r>
    </w:p>
    <w:p w14:paraId="490404BB">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sz w:val="24"/>
          <w:szCs w:val="24"/>
          <w:highlight w:val="none"/>
        </w:rPr>
        <w:t>（4）评标委员会汇总、比较所有投标人的综合得分后，取综合得分最高的投标人为第一中标候选人，取综合得分第二、第三高的投标人为第二、第三中标候选人。如果最高综合得分相同，取投标总价低者为第一中标候选人，并依此确定第二、第三中标候选人。如果最高综合得分相同，投标总价也相同，由评标委员会投票确定。</w:t>
      </w:r>
    </w:p>
    <w:p w14:paraId="7184A101">
      <w:pPr>
        <w:keepNext w:val="0"/>
        <w:keepLines w:val="0"/>
        <w:pageBreakBefore w:val="0"/>
        <w:widowControl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kern w:val="0"/>
          <w:sz w:val="28"/>
          <w:szCs w:val="28"/>
          <w:highlight w:val="none"/>
        </w:rPr>
        <w:t>综合评分表</w:t>
      </w:r>
    </w:p>
    <w:tbl>
      <w:tblPr>
        <w:tblStyle w:val="31"/>
        <w:tblW w:w="9640" w:type="dxa"/>
        <w:jc w:val="center"/>
        <w:tblLayout w:type="fixed"/>
        <w:tblCellMar>
          <w:top w:w="0" w:type="dxa"/>
          <w:left w:w="108" w:type="dxa"/>
          <w:bottom w:w="0" w:type="dxa"/>
          <w:right w:w="108" w:type="dxa"/>
        </w:tblCellMar>
      </w:tblPr>
      <w:tblGrid>
        <w:gridCol w:w="1308"/>
        <w:gridCol w:w="4300"/>
        <w:gridCol w:w="4032"/>
      </w:tblGrid>
      <w:tr w14:paraId="1F33FFE9">
        <w:tblPrEx>
          <w:tblCellMar>
            <w:top w:w="0" w:type="dxa"/>
            <w:left w:w="108" w:type="dxa"/>
            <w:bottom w:w="0" w:type="dxa"/>
            <w:right w:w="108" w:type="dxa"/>
          </w:tblCellMar>
        </w:tblPrEx>
        <w:trPr>
          <w:trHeight w:val="587" w:hRule="exact"/>
          <w:jc w:val="center"/>
        </w:trPr>
        <w:tc>
          <w:tcPr>
            <w:tcW w:w="9640"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4D5BD39F">
            <w:pPr>
              <w:pStyle w:val="12"/>
              <w:tabs>
                <w:tab w:val="left" w:pos="1354"/>
                <w:tab w:val="left" w:pos="1459"/>
                <w:tab w:val="center" w:pos="3902"/>
                <w:tab w:val="right" w:pos="7805"/>
              </w:tabs>
              <w:wordWrap w:val="0"/>
              <w:spacing w:after="0" w:line="240" w:lineRule="auto"/>
              <w:rPr>
                <w:rFonts w:hAnsi="宋体" w:cs="黑体"/>
                <w:snapToGrid w:val="0"/>
                <w:color w:val="auto"/>
                <w:kern w:val="0"/>
                <w:sz w:val="21"/>
                <w:szCs w:val="21"/>
                <w:highlight w:val="none"/>
              </w:rPr>
            </w:pPr>
            <w:r>
              <w:rPr>
                <w:rFonts w:hint="eastAsia" w:hAnsi="宋体" w:cs="黑体"/>
                <w:snapToGrid w:val="0"/>
                <w:color w:val="auto"/>
                <w:kern w:val="0"/>
                <w:sz w:val="21"/>
                <w:szCs w:val="21"/>
                <w:highlight w:val="none"/>
              </w:rPr>
              <w:t>商务部分，满分：</w:t>
            </w:r>
            <w:r>
              <w:rPr>
                <w:rFonts w:hint="eastAsia" w:hAnsi="宋体" w:cs="黑体"/>
                <w:snapToGrid w:val="0"/>
                <w:color w:val="auto"/>
                <w:kern w:val="0"/>
                <w:sz w:val="21"/>
                <w:szCs w:val="21"/>
                <w:highlight w:val="none"/>
                <w:u w:val="single"/>
              </w:rPr>
              <w:t>80</w:t>
            </w:r>
            <w:r>
              <w:rPr>
                <w:rFonts w:hint="eastAsia" w:hAnsi="宋体" w:cs="黑体"/>
                <w:snapToGrid w:val="0"/>
                <w:color w:val="auto"/>
                <w:kern w:val="0"/>
                <w:sz w:val="21"/>
                <w:szCs w:val="21"/>
                <w:highlight w:val="none"/>
              </w:rPr>
              <w:t>分。</w:t>
            </w:r>
          </w:p>
        </w:tc>
      </w:tr>
      <w:tr w14:paraId="6A0BC1DA">
        <w:tblPrEx>
          <w:tblCellMar>
            <w:top w:w="0" w:type="dxa"/>
            <w:left w:w="108" w:type="dxa"/>
            <w:bottom w:w="0" w:type="dxa"/>
            <w:right w:w="108" w:type="dxa"/>
          </w:tblCellMar>
        </w:tblPrEx>
        <w:trPr>
          <w:trHeight w:val="583" w:hRule="exac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1C2B277">
            <w:pPr>
              <w:pStyle w:val="12"/>
              <w:tabs>
                <w:tab w:val="left" w:pos="1354"/>
                <w:tab w:val="left" w:pos="1459"/>
                <w:tab w:val="center" w:pos="3902"/>
                <w:tab w:val="right" w:pos="7805"/>
              </w:tabs>
              <w:wordWrap w:val="0"/>
              <w:adjustRightInd w:val="0"/>
              <w:spacing w:after="0" w:line="240" w:lineRule="auto"/>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评分因素</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0DDF2374">
            <w:pPr>
              <w:pStyle w:val="12"/>
              <w:tabs>
                <w:tab w:val="left" w:pos="1354"/>
                <w:tab w:val="left" w:pos="1459"/>
                <w:tab w:val="center" w:pos="3902"/>
                <w:tab w:val="right" w:pos="7805"/>
              </w:tabs>
              <w:wordWrap w:val="0"/>
              <w:adjustRightInd w:val="0"/>
              <w:spacing w:after="0" w:line="240" w:lineRule="auto"/>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评分标准</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3EC22913">
            <w:pPr>
              <w:pStyle w:val="12"/>
              <w:tabs>
                <w:tab w:val="left" w:pos="1354"/>
                <w:tab w:val="left" w:pos="1459"/>
                <w:tab w:val="center" w:pos="3902"/>
                <w:tab w:val="right" w:pos="7805"/>
              </w:tabs>
              <w:wordWrap w:val="0"/>
              <w:adjustRightInd w:val="0"/>
              <w:spacing w:after="0" w:line="240" w:lineRule="auto"/>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备注</w:t>
            </w:r>
          </w:p>
        </w:tc>
      </w:tr>
      <w:tr w14:paraId="00CB4C61">
        <w:tblPrEx>
          <w:tblCellMar>
            <w:top w:w="0" w:type="dxa"/>
            <w:left w:w="108" w:type="dxa"/>
            <w:bottom w:w="0" w:type="dxa"/>
            <w:right w:w="108" w:type="dxa"/>
          </w:tblCellMar>
        </w:tblPrEx>
        <w:trPr>
          <w:trHeight w:val="4324"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529F1A4">
            <w:pPr>
              <w:pStyle w:val="12"/>
              <w:adjustRightInd w:val="0"/>
              <w:snapToGrid w:val="0"/>
              <w:spacing w:after="0" w:line="420" w:lineRule="exact"/>
              <w:jc w:val="center"/>
              <w:rPr>
                <w:rFonts w:hint="eastAsia" w:hAnsi="宋体"/>
                <w:snapToGrid w:val="0"/>
                <w:color w:val="auto"/>
                <w:kern w:val="0"/>
                <w:sz w:val="21"/>
                <w:szCs w:val="21"/>
                <w:highlight w:val="none"/>
              </w:rPr>
            </w:pPr>
            <w:bookmarkStart w:id="143" w:name="OLE_LINK6"/>
            <w:r>
              <w:rPr>
                <w:rFonts w:hint="eastAsia" w:hAnsi="宋体"/>
                <w:snapToGrid w:val="0"/>
                <w:color w:val="auto"/>
                <w:kern w:val="0"/>
                <w:sz w:val="21"/>
                <w:szCs w:val="21"/>
                <w:highlight w:val="none"/>
              </w:rPr>
              <w:t>企业奖项</w:t>
            </w:r>
          </w:p>
          <w:bookmarkEnd w:id="143"/>
          <w:p w14:paraId="4C0A8A11">
            <w:pPr>
              <w:pStyle w:val="12"/>
              <w:adjustRightInd w:val="0"/>
              <w:snapToGrid w:val="0"/>
              <w:spacing w:after="0" w:line="420" w:lineRule="exact"/>
              <w:jc w:val="center"/>
              <w:rPr>
                <w:rFonts w:hint="eastAsia" w:hAnsi="宋体"/>
                <w:snapToGrid w:val="0"/>
                <w:color w:val="auto"/>
                <w:kern w:val="0"/>
                <w:sz w:val="21"/>
                <w:szCs w:val="21"/>
                <w:highlight w:val="none"/>
              </w:rPr>
            </w:pPr>
            <w:r>
              <w:rPr>
                <w:rFonts w:hint="eastAsia" w:hAnsi="宋体"/>
                <w:snapToGrid w:val="0"/>
                <w:color w:val="auto"/>
                <w:kern w:val="0"/>
                <w:sz w:val="21"/>
                <w:szCs w:val="21"/>
                <w:highlight w:val="none"/>
              </w:rPr>
              <w:t>（</w:t>
            </w:r>
            <w:r>
              <w:rPr>
                <w:rFonts w:hint="eastAsia" w:hAnsi="宋体"/>
                <w:snapToGrid w:val="0"/>
                <w:color w:val="auto"/>
                <w:kern w:val="0"/>
                <w:sz w:val="21"/>
                <w:szCs w:val="21"/>
                <w:highlight w:val="none"/>
                <w:lang w:val="en-US" w:eastAsia="zh-CN"/>
              </w:rPr>
              <w:t>10</w:t>
            </w:r>
            <w:r>
              <w:rPr>
                <w:rFonts w:hint="eastAsia" w:hAnsi="宋体"/>
                <w:snapToGrid w:val="0"/>
                <w:color w:val="auto"/>
                <w:kern w:val="0"/>
                <w:sz w:val="21"/>
                <w:szCs w:val="21"/>
                <w:highlight w:val="none"/>
              </w:rPr>
              <w:t>分）</w:t>
            </w:r>
          </w:p>
          <w:p w14:paraId="2EF3DFF3">
            <w:pPr>
              <w:pStyle w:val="12"/>
              <w:adjustRightInd w:val="0"/>
              <w:snapToGrid w:val="0"/>
              <w:spacing w:after="0" w:line="420" w:lineRule="exact"/>
              <w:jc w:val="center"/>
              <w:rPr>
                <w:rFonts w:hint="eastAsia" w:hAnsi="宋体"/>
                <w:snapToGrid w:val="0"/>
                <w:color w:val="auto"/>
                <w:kern w:val="0"/>
                <w:sz w:val="21"/>
                <w:szCs w:val="21"/>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14:paraId="7B74F7A4">
            <w:pPr>
              <w:adjustRightInd w:val="0"/>
              <w:snapToGrid w:val="0"/>
              <w:spacing w:line="420" w:lineRule="exact"/>
              <w:rPr>
                <w:rFonts w:hint="eastAsia" w:ascii="宋体" w:hAnsi="宋体" w:eastAsia="宋体" w:cs="宋体"/>
                <w:snapToGrid w:val="0"/>
                <w:color w:val="auto"/>
                <w:kern w:val="0"/>
                <w:sz w:val="21"/>
                <w:szCs w:val="21"/>
                <w:highlight w:val="none"/>
              </w:rPr>
            </w:pPr>
            <w:bookmarkStart w:id="144" w:name="OLE_LINK7"/>
            <w:r>
              <w:rPr>
                <w:rFonts w:hint="eastAsia" w:ascii="宋体" w:hAnsi="宋体" w:eastAsia="宋体" w:cs="宋体"/>
                <w:snapToGrid w:val="0"/>
                <w:color w:val="auto"/>
                <w:kern w:val="0"/>
                <w:sz w:val="21"/>
                <w:szCs w:val="21"/>
                <w:highlight w:val="none"/>
              </w:rPr>
              <w:t>企业近年来（20</w:t>
            </w:r>
            <w:r>
              <w:rPr>
                <w:rFonts w:hint="eastAsia" w:hAnsi="宋体" w:cs="宋体"/>
                <w:snapToGrid w:val="0"/>
                <w:color w:val="auto"/>
                <w:kern w:val="0"/>
                <w:sz w:val="21"/>
                <w:szCs w:val="21"/>
                <w:highlight w:val="none"/>
                <w:lang w:val="en-US" w:eastAsia="zh-CN"/>
              </w:rPr>
              <w:t>20</w:t>
            </w:r>
            <w:r>
              <w:rPr>
                <w:rFonts w:hint="eastAsia" w:ascii="宋体" w:hAnsi="宋体" w:eastAsia="宋体" w:cs="宋体"/>
                <w:snapToGrid w:val="0"/>
                <w:color w:val="auto"/>
                <w:kern w:val="0"/>
                <w:sz w:val="21"/>
                <w:szCs w:val="21"/>
                <w:highlight w:val="none"/>
              </w:rPr>
              <w:t>年1月1日至今）</w:t>
            </w:r>
            <w:r>
              <w:rPr>
                <w:rFonts w:hint="eastAsia" w:hAnsi="宋体" w:cs="宋体"/>
                <w:snapToGrid w:val="0"/>
                <w:color w:val="auto"/>
                <w:kern w:val="0"/>
                <w:sz w:val="21"/>
                <w:szCs w:val="21"/>
                <w:highlight w:val="none"/>
              </w:rPr>
              <w:t>至今企业获</w:t>
            </w:r>
            <w:r>
              <w:rPr>
                <w:rFonts w:hint="eastAsia" w:hAnsi="宋体" w:cs="宋体"/>
                <w:color w:val="auto"/>
                <w:sz w:val="21"/>
                <w:szCs w:val="21"/>
                <w:highlight w:val="none"/>
                <w:lang w:val="en-US" w:eastAsia="zh-CN"/>
              </w:rPr>
              <w:t>房建或</w:t>
            </w:r>
            <w:r>
              <w:rPr>
                <w:rFonts w:hint="eastAsia" w:ascii="宋体" w:hAnsi="宋体" w:eastAsia="宋体" w:cs="宋体"/>
                <w:color w:val="auto"/>
                <w:sz w:val="21"/>
                <w:szCs w:val="21"/>
                <w:highlight w:val="none"/>
                <w:lang w:val="en-US" w:eastAsia="zh-CN"/>
              </w:rPr>
              <w:t>市政类</w:t>
            </w:r>
            <w:r>
              <w:rPr>
                <w:rFonts w:hint="eastAsia" w:hAnsi="宋体" w:cs="宋体"/>
                <w:snapToGrid w:val="0"/>
                <w:color w:val="auto"/>
                <w:kern w:val="0"/>
                <w:sz w:val="21"/>
                <w:szCs w:val="21"/>
                <w:highlight w:val="none"/>
                <w:lang w:eastAsia="zh-CN"/>
              </w:rPr>
              <w:t>工程</w:t>
            </w:r>
            <w:r>
              <w:rPr>
                <w:rFonts w:hint="eastAsia" w:hAnsi="宋体" w:cs="宋体"/>
                <w:snapToGrid w:val="0"/>
                <w:color w:val="auto"/>
                <w:kern w:val="0"/>
                <w:sz w:val="21"/>
                <w:szCs w:val="21"/>
                <w:highlight w:val="none"/>
              </w:rPr>
              <w:t>奖项</w:t>
            </w:r>
            <w:r>
              <w:rPr>
                <w:rFonts w:hint="eastAsia" w:ascii="宋体" w:hAnsi="宋体" w:eastAsia="宋体" w:cs="宋体"/>
                <w:snapToGrid w:val="0"/>
                <w:color w:val="auto"/>
                <w:kern w:val="0"/>
                <w:sz w:val="21"/>
                <w:szCs w:val="21"/>
                <w:highlight w:val="none"/>
              </w:rPr>
              <w:t>：</w:t>
            </w:r>
          </w:p>
          <w:p w14:paraId="54E1EA9F">
            <w:pPr>
              <w:adjustRightInd w:val="0"/>
              <w:snapToGrid w:val="0"/>
              <w:spacing w:line="42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1.地级市或以上（含市级）奖项的得</w:t>
            </w:r>
            <w:r>
              <w:rPr>
                <w:rFonts w:hint="eastAsia" w:hAnsi="宋体"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lang w:val="en-US" w:eastAsia="zh-CN"/>
              </w:rPr>
              <w:t>分。</w:t>
            </w:r>
          </w:p>
          <w:p w14:paraId="2AD4038D">
            <w:pPr>
              <w:adjustRightInd w:val="0"/>
              <w:snapToGrid w:val="0"/>
              <w:spacing w:line="42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2．以上奖项均未获得的，不予计分。</w:t>
            </w:r>
          </w:p>
          <w:p w14:paraId="59D23103">
            <w:pPr>
              <w:adjustRightInd w:val="0"/>
              <w:snapToGrid w:val="0"/>
              <w:spacing w:line="420" w:lineRule="exact"/>
              <w:rPr>
                <w:rFonts w:hint="eastAsia" w:hAnsi="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3．本项最高得</w:t>
            </w:r>
            <w:r>
              <w:rPr>
                <w:rFonts w:hint="eastAsia" w:hAnsi="宋体" w:cs="宋体"/>
                <w:snapToGrid w:val="0"/>
                <w:color w:val="auto"/>
                <w:kern w:val="0"/>
                <w:sz w:val="21"/>
                <w:szCs w:val="21"/>
                <w:highlight w:val="none"/>
                <w:lang w:val="en-US" w:eastAsia="zh-CN"/>
              </w:rPr>
              <w:t>10</w:t>
            </w:r>
            <w:r>
              <w:rPr>
                <w:rFonts w:hint="eastAsia" w:ascii="宋体" w:hAnsi="宋体" w:eastAsia="宋体" w:cs="宋体"/>
                <w:snapToGrid w:val="0"/>
                <w:color w:val="auto"/>
                <w:kern w:val="0"/>
                <w:sz w:val="21"/>
                <w:szCs w:val="21"/>
                <w:highlight w:val="none"/>
              </w:rPr>
              <w:t>分。</w:t>
            </w:r>
            <w:bookmarkEnd w:id="144"/>
          </w:p>
        </w:tc>
        <w:tc>
          <w:tcPr>
            <w:tcW w:w="4032" w:type="dxa"/>
            <w:tcBorders>
              <w:top w:val="single" w:color="auto" w:sz="4" w:space="0"/>
              <w:left w:val="single" w:color="auto" w:sz="4" w:space="0"/>
              <w:bottom w:val="single" w:color="auto" w:sz="4" w:space="0"/>
              <w:right w:val="single" w:color="auto" w:sz="4" w:space="0"/>
            </w:tcBorders>
            <w:noWrap w:val="0"/>
            <w:vAlign w:val="center"/>
          </w:tcPr>
          <w:p w14:paraId="592DD314">
            <w:pPr>
              <w:pStyle w:val="12"/>
              <w:wordWrap w:val="0"/>
              <w:adjustRightInd w:val="0"/>
              <w:snapToGrid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1.需附有关奖项证明</w:t>
            </w:r>
            <w:r>
              <w:rPr>
                <w:rFonts w:hint="eastAsia" w:ascii="宋体" w:hAnsi="宋体" w:eastAsia="宋体" w:cs="宋体"/>
                <w:color w:val="auto"/>
                <w:kern w:val="2"/>
                <w:sz w:val="21"/>
                <w:szCs w:val="21"/>
                <w:highlight w:val="none"/>
                <w:lang w:val="en-US" w:eastAsia="zh-CN" w:bidi="ar-SA"/>
              </w:rPr>
              <w:t>彩色扫描件（或打印件）</w:t>
            </w:r>
            <w:r>
              <w:rPr>
                <w:rFonts w:hint="eastAsia" w:ascii="宋体" w:hAnsi="宋体" w:eastAsia="宋体" w:cs="宋体"/>
                <w:snapToGrid w:val="0"/>
                <w:color w:val="auto"/>
                <w:kern w:val="0"/>
                <w:sz w:val="21"/>
                <w:szCs w:val="21"/>
                <w:highlight w:val="none"/>
                <w:lang w:val="en-US" w:eastAsia="zh-CN" w:bidi="ar-SA"/>
              </w:rPr>
              <w:t>。</w:t>
            </w:r>
          </w:p>
          <w:p w14:paraId="123108A0">
            <w:pPr>
              <w:pStyle w:val="12"/>
              <w:wordWrap w:val="0"/>
              <w:adjustRightInd w:val="0"/>
              <w:snapToGrid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2．颁发机构限定以下范围：</w:t>
            </w:r>
          </w:p>
          <w:p w14:paraId="2B7B82CE">
            <w:pPr>
              <w:pStyle w:val="12"/>
              <w:wordWrap w:val="0"/>
              <w:adjustRightInd w:val="0"/>
              <w:snapToGrid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a．国家级奖项：国务院、住建部、中国建筑业协会、</w:t>
            </w:r>
            <w:r>
              <w:rPr>
                <w:rFonts w:hint="eastAsia" w:ascii="宋体" w:hAnsi="宋体" w:eastAsia="宋体" w:cs="宋体"/>
                <w:snapToGrid w:val="0"/>
                <w:color w:val="auto"/>
                <w:kern w:val="0"/>
                <w:sz w:val="22"/>
                <w:szCs w:val="22"/>
                <w:highlight w:val="none"/>
                <w:u w:val="single"/>
                <w:lang w:val="en-US" w:eastAsia="zh-CN" w:bidi="ar-SA"/>
              </w:rPr>
              <w:t>中国市政行业协会、</w:t>
            </w:r>
            <w:r>
              <w:rPr>
                <w:rFonts w:hint="eastAsia" w:ascii="宋体" w:hAnsi="宋体" w:eastAsia="宋体" w:cs="宋体"/>
                <w:snapToGrid w:val="0"/>
                <w:color w:val="auto"/>
                <w:kern w:val="0"/>
                <w:sz w:val="21"/>
                <w:szCs w:val="21"/>
                <w:highlight w:val="none"/>
                <w:lang w:val="en-US" w:eastAsia="zh-CN" w:bidi="ar-SA"/>
              </w:rPr>
              <w:t>中国土木工程学会、中国施工企业管理协会；</w:t>
            </w:r>
          </w:p>
          <w:p w14:paraId="3720D2B1">
            <w:pPr>
              <w:pStyle w:val="12"/>
              <w:wordWrap w:val="0"/>
              <w:adjustRightInd w:val="0"/>
              <w:snapToGrid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b．省级奖项：省级人民政府、省级住建部门、省级市政工程协会、省级建筑业协会；</w:t>
            </w:r>
          </w:p>
          <w:p w14:paraId="3D8F44CD">
            <w:pPr>
              <w:pStyle w:val="12"/>
              <w:wordWrap w:val="0"/>
              <w:adjustRightInd w:val="0"/>
              <w:snapToGrid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c．地市级奖项：地市级人民政府、地市级住建部门、地市级市政工程协会、地市级建筑业协会。</w:t>
            </w:r>
          </w:p>
          <w:p w14:paraId="22675B52">
            <w:pPr>
              <w:pStyle w:val="12"/>
              <w:wordWrap w:val="0"/>
              <w:adjustRightInd w:val="0"/>
              <w:snapToGrid w:val="0"/>
              <w:spacing w:line="240" w:lineRule="auto"/>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3．获奖时间以奖项证明的落款日期为准。</w:t>
            </w:r>
          </w:p>
          <w:p w14:paraId="3B6B89C5">
            <w:pPr>
              <w:pStyle w:val="12"/>
              <w:adjustRightInd w:val="0"/>
              <w:snapToGrid w:val="0"/>
              <w:spacing w:after="0" w:line="420" w:lineRule="exact"/>
              <w:rPr>
                <w:rFonts w:hAnsi="宋体"/>
                <w:b/>
                <w:bCs/>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bidi="ar-SA"/>
              </w:rPr>
              <w:t>4．奖项类别、颁发机构、获奖时间不符合评分标准和备注规定的，按第2项标准处理。</w:t>
            </w:r>
          </w:p>
        </w:tc>
      </w:tr>
      <w:tr w14:paraId="3AEC22DC">
        <w:tblPrEx>
          <w:tblCellMar>
            <w:top w:w="0" w:type="dxa"/>
            <w:left w:w="108" w:type="dxa"/>
            <w:bottom w:w="0" w:type="dxa"/>
            <w:right w:w="108" w:type="dxa"/>
          </w:tblCellMar>
        </w:tblPrEx>
        <w:trPr>
          <w:trHeight w:val="2504"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676E228D">
            <w:pPr>
              <w:pStyle w:val="12"/>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企业业绩</w:t>
            </w:r>
          </w:p>
          <w:p w14:paraId="7338E294">
            <w:pPr>
              <w:pStyle w:val="12"/>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w:t>
            </w:r>
            <w:r>
              <w:rPr>
                <w:rFonts w:hint="eastAsia" w:ascii="宋体" w:hAnsi="宋体" w:cs="宋体"/>
                <w:snapToGrid w:val="0"/>
                <w:color w:val="auto"/>
                <w:kern w:val="0"/>
                <w:sz w:val="21"/>
                <w:szCs w:val="21"/>
                <w:highlight w:val="none"/>
                <w:lang w:val="en-US" w:eastAsia="zh-CN" w:bidi="ar-SA"/>
              </w:rPr>
              <w:t>10</w:t>
            </w:r>
            <w:r>
              <w:rPr>
                <w:rFonts w:hint="eastAsia" w:ascii="宋体" w:hAnsi="宋体" w:eastAsia="宋体" w:cs="宋体"/>
                <w:snapToGrid w:val="0"/>
                <w:color w:val="auto"/>
                <w:kern w:val="0"/>
                <w:sz w:val="21"/>
                <w:szCs w:val="21"/>
                <w:highlight w:val="none"/>
                <w:lang w:val="en-US" w:eastAsia="zh-CN" w:bidi="ar-SA"/>
              </w:rPr>
              <w:t>分）</w:t>
            </w:r>
          </w:p>
          <w:p w14:paraId="39F69EE6">
            <w:pPr>
              <w:pStyle w:val="12"/>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bidi="ar-SA"/>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14:paraId="74415E40">
            <w:pPr>
              <w:pStyle w:val="12"/>
              <w:wordWrap w:val="0"/>
              <w:adjustRightInd w:val="0"/>
              <w:snapToGrid w:val="0"/>
              <w:spacing w:line="240" w:lineRule="auto"/>
              <w:jc w:val="left"/>
              <w:rPr>
                <w:rFonts w:hint="eastAsia" w:ascii="宋体" w:hAnsi="宋体" w:eastAsia="宋体" w:cs="宋体"/>
                <w:snapToGrid w:val="0"/>
                <w:color w:val="auto"/>
                <w:kern w:val="0"/>
                <w:sz w:val="21"/>
                <w:szCs w:val="21"/>
                <w:highlight w:val="none"/>
                <w:lang w:val="en-US" w:eastAsia="zh-CN" w:bidi="ar-SA"/>
              </w:rPr>
            </w:pPr>
            <w:bookmarkStart w:id="145" w:name="OLE_LINK8"/>
            <w:r>
              <w:rPr>
                <w:rFonts w:hint="eastAsia" w:ascii="宋体" w:hAnsi="宋体" w:eastAsia="宋体" w:cs="宋体"/>
                <w:snapToGrid w:val="0"/>
                <w:color w:val="auto"/>
                <w:kern w:val="0"/>
                <w:sz w:val="21"/>
                <w:szCs w:val="21"/>
                <w:highlight w:val="none"/>
                <w:lang w:val="en-US" w:eastAsia="zh-CN" w:bidi="ar-SA"/>
              </w:rPr>
              <w:t>企业2020年1月1日至今业绩情况：</w:t>
            </w:r>
          </w:p>
          <w:p w14:paraId="37345D4F">
            <w:pPr>
              <w:pStyle w:val="12"/>
              <w:wordWrap w:val="0"/>
              <w:adjustRightInd w:val="0"/>
              <w:snapToGrid w:val="0"/>
              <w:spacing w:line="240" w:lineRule="auto"/>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1．承接过类似工程的，每个得5分；</w:t>
            </w:r>
          </w:p>
          <w:p w14:paraId="77ED96F7">
            <w:pPr>
              <w:pStyle w:val="12"/>
              <w:wordWrap w:val="0"/>
              <w:adjustRightInd w:val="0"/>
              <w:snapToGrid w:val="0"/>
              <w:spacing w:line="240" w:lineRule="auto"/>
              <w:jc w:val="lef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2．未承接过类似工程的，不予计分；</w:t>
            </w:r>
          </w:p>
          <w:p w14:paraId="7F00316F">
            <w:pPr>
              <w:pStyle w:val="12"/>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bidi="ar-SA"/>
              </w:rPr>
              <w:t>3．本项最高得10分。</w:t>
            </w:r>
            <w:bookmarkEnd w:id="145"/>
          </w:p>
        </w:tc>
        <w:tc>
          <w:tcPr>
            <w:tcW w:w="4032" w:type="dxa"/>
            <w:tcBorders>
              <w:top w:val="single" w:color="auto" w:sz="4" w:space="0"/>
              <w:left w:val="single" w:color="auto" w:sz="4" w:space="0"/>
              <w:bottom w:val="single" w:color="auto" w:sz="4" w:space="0"/>
              <w:right w:val="single" w:color="auto" w:sz="4" w:space="0"/>
            </w:tcBorders>
            <w:noWrap w:val="0"/>
            <w:vAlign w:val="center"/>
          </w:tcPr>
          <w:p w14:paraId="73097737">
            <w:p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1.类似工程指：</w:t>
            </w:r>
            <w:r>
              <w:rPr>
                <w:rFonts w:hint="eastAsia" w:hAnsi="宋体" w:cs="宋体"/>
                <w:color w:val="auto"/>
                <w:sz w:val="21"/>
                <w:szCs w:val="21"/>
                <w:highlight w:val="none"/>
                <w:lang w:val="en-US" w:eastAsia="zh-CN"/>
              </w:rPr>
              <w:t>房建或</w:t>
            </w:r>
            <w:r>
              <w:rPr>
                <w:rFonts w:hint="eastAsia" w:ascii="宋体" w:hAnsi="宋体" w:eastAsia="宋体" w:cs="宋体"/>
                <w:color w:val="auto"/>
                <w:sz w:val="21"/>
                <w:szCs w:val="21"/>
                <w:highlight w:val="none"/>
                <w:lang w:val="en-US" w:eastAsia="zh-CN"/>
              </w:rPr>
              <w:t>市政类</w:t>
            </w:r>
            <w:r>
              <w:rPr>
                <w:rFonts w:hint="eastAsia" w:ascii="宋体" w:hAnsi="宋体" w:eastAsia="宋体" w:cs="宋体"/>
                <w:color w:val="auto"/>
                <w:sz w:val="21"/>
                <w:szCs w:val="21"/>
                <w:highlight w:val="none"/>
              </w:rPr>
              <w:t>工程；</w:t>
            </w:r>
          </w:p>
          <w:p w14:paraId="5C9C861C">
            <w:pPr>
              <w:numPr>
                <w:ilvl w:val="0"/>
                <w:numId w:val="0"/>
              </w:numPr>
              <w:spacing w:line="38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时间以合同签订时间为准；</w:t>
            </w:r>
          </w:p>
          <w:p w14:paraId="3E7130EC">
            <w:pPr>
              <w:pStyle w:val="12"/>
              <w:adjustRightInd w:val="0"/>
              <w:snapToGrid w:val="0"/>
              <w:spacing w:after="0" w:line="420" w:lineRule="exac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color w:val="auto"/>
                <w:sz w:val="21"/>
                <w:szCs w:val="21"/>
                <w:highlight w:val="none"/>
              </w:rPr>
              <w:t>3.须提供中标通知书和合同（只需提供合同的关键页部分）</w:t>
            </w:r>
            <w:r>
              <w:rPr>
                <w:rFonts w:hint="eastAsia" w:ascii="宋体" w:hAnsi="宋体" w:eastAsia="宋体" w:cs="宋体"/>
                <w:color w:val="auto"/>
                <w:kern w:val="2"/>
                <w:sz w:val="21"/>
                <w:szCs w:val="21"/>
                <w:highlight w:val="none"/>
                <w:lang w:val="en-US" w:eastAsia="zh-CN" w:bidi="ar-SA"/>
              </w:rPr>
              <w:t>彩色扫描件（或打印件）</w:t>
            </w:r>
            <w:r>
              <w:rPr>
                <w:rFonts w:hint="eastAsia" w:ascii="宋体" w:hAnsi="宋体" w:eastAsia="宋体" w:cs="宋体"/>
                <w:color w:val="auto"/>
                <w:sz w:val="21"/>
                <w:szCs w:val="21"/>
                <w:highlight w:val="none"/>
                <w:lang w:val="en-US" w:eastAsia="zh-CN"/>
              </w:rPr>
              <w:t>。</w:t>
            </w:r>
          </w:p>
        </w:tc>
      </w:tr>
      <w:tr w14:paraId="51288715">
        <w:tblPrEx>
          <w:tblCellMar>
            <w:top w:w="0" w:type="dxa"/>
            <w:left w:w="108" w:type="dxa"/>
            <w:bottom w:w="0" w:type="dxa"/>
            <w:right w:w="108" w:type="dxa"/>
          </w:tblCellMar>
        </w:tblPrEx>
        <w:trPr>
          <w:trHeight w:val="3196"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3FD6322">
            <w:pPr>
              <w:pStyle w:val="12"/>
              <w:wordWrap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bookmarkStart w:id="146" w:name="OLE_LINK9"/>
            <w:r>
              <w:rPr>
                <w:rFonts w:hint="eastAsia" w:ascii="宋体" w:hAnsi="宋体" w:eastAsia="宋体" w:cs="宋体"/>
                <w:color w:val="auto"/>
                <w:kern w:val="2"/>
                <w:sz w:val="21"/>
                <w:szCs w:val="21"/>
                <w:highlight w:val="none"/>
                <w:lang w:val="en-US" w:eastAsia="zh-CN" w:bidi="ar-SA"/>
              </w:rPr>
              <w:t>项目经理</w:t>
            </w:r>
          </w:p>
          <w:p w14:paraId="0929E1F7">
            <w:pPr>
              <w:pStyle w:val="12"/>
              <w:wordWrap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综合素质</w:t>
            </w:r>
          </w:p>
          <w:bookmarkEnd w:id="146"/>
          <w:p w14:paraId="5BEC07CE">
            <w:pPr>
              <w:pStyle w:val="12"/>
              <w:wordWrap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（5分）</w:t>
            </w:r>
          </w:p>
          <w:p w14:paraId="5C6AD07F">
            <w:pPr>
              <w:pStyle w:val="12"/>
              <w:wordWrap w:val="0"/>
              <w:adjustRightInd w:val="0"/>
              <w:snapToGrid w:val="0"/>
              <w:spacing w:line="240" w:lineRule="auto"/>
              <w:jc w:val="center"/>
              <w:rPr>
                <w:rFonts w:hint="eastAsia" w:ascii="宋体" w:hAnsi="宋体" w:eastAsia="宋体" w:cs="宋体"/>
                <w:color w:val="auto"/>
                <w:kern w:val="2"/>
                <w:sz w:val="21"/>
                <w:szCs w:val="21"/>
                <w:highlight w:val="none"/>
                <w:lang w:val="en-US" w:eastAsia="zh-CN" w:bidi="ar-SA"/>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14:paraId="0EC7EF46">
            <w:pPr>
              <w:pStyle w:val="12"/>
              <w:wordWrap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bookmarkStart w:id="147" w:name="OLE_LINK10"/>
            <w:r>
              <w:rPr>
                <w:rFonts w:hint="eastAsia" w:ascii="宋体" w:hAnsi="宋体" w:eastAsia="宋体" w:cs="宋体"/>
                <w:color w:val="auto"/>
                <w:kern w:val="2"/>
                <w:sz w:val="21"/>
                <w:szCs w:val="21"/>
                <w:highlight w:val="none"/>
                <w:lang w:val="en-US" w:eastAsia="zh-CN" w:bidi="ar-SA"/>
              </w:rPr>
              <w:t>项目经理工程类技术职称情况：</w:t>
            </w:r>
          </w:p>
          <w:p w14:paraId="069BD900">
            <w:pPr>
              <w:pStyle w:val="12"/>
              <w:wordWrap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1．具备助理工程师或以上职称的，得5分；</w:t>
            </w:r>
          </w:p>
          <w:p w14:paraId="562F53BA">
            <w:pPr>
              <w:pStyle w:val="12"/>
              <w:wordWrap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3．不具备职称的，不予计分。</w:t>
            </w:r>
            <w:bookmarkEnd w:id="147"/>
          </w:p>
        </w:tc>
        <w:tc>
          <w:tcPr>
            <w:tcW w:w="4032" w:type="dxa"/>
            <w:tcBorders>
              <w:top w:val="single" w:color="auto" w:sz="4" w:space="0"/>
              <w:left w:val="single" w:color="auto" w:sz="4" w:space="0"/>
              <w:bottom w:val="single" w:color="auto" w:sz="4" w:space="0"/>
              <w:right w:val="single" w:color="auto" w:sz="4" w:space="0"/>
            </w:tcBorders>
            <w:noWrap w:val="0"/>
            <w:vAlign w:val="center"/>
          </w:tcPr>
          <w:p w14:paraId="54855861">
            <w:pPr>
              <w:pStyle w:val="12"/>
              <w:wordWrap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1．需附有效的有关证明彩色扫描件（或打印件）。</w:t>
            </w:r>
          </w:p>
          <w:p w14:paraId="1FC0997E">
            <w:pPr>
              <w:pStyle w:val="12"/>
              <w:wordWrap w:val="0"/>
              <w:adjustRightInd w:val="0"/>
              <w:snapToGrid w:val="0"/>
              <w:spacing w:line="240" w:lineRule="auto"/>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2．不符合评分标准和备注规定的，不计分。</w:t>
            </w:r>
          </w:p>
        </w:tc>
      </w:tr>
      <w:tr w14:paraId="3F1A7107">
        <w:tblPrEx>
          <w:tblCellMar>
            <w:top w:w="0" w:type="dxa"/>
            <w:left w:w="108" w:type="dxa"/>
            <w:bottom w:w="0" w:type="dxa"/>
            <w:right w:w="108" w:type="dxa"/>
          </w:tblCellMar>
        </w:tblPrEx>
        <w:trPr>
          <w:trHeight w:val="90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1ED13B64">
            <w:pPr>
              <w:pStyle w:val="12"/>
              <w:adjustRightInd w:val="0"/>
              <w:snapToGrid w:val="0"/>
              <w:spacing w:line="400" w:lineRule="exact"/>
              <w:jc w:val="center"/>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企业获得体系认证证书</w:t>
            </w:r>
          </w:p>
          <w:p w14:paraId="68E1706D">
            <w:pPr>
              <w:pStyle w:val="12"/>
              <w:adjustRightInd w:val="0"/>
              <w:snapToGrid w:val="0"/>
              <w:spacing w:after="0" w:line="400" w:lineRule="exact"/>
              <w:jc w:val="center"/>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w:t>
            </w:r>
            <w:r>
              <w:rPr>
                <w:rFonts w:hint="eastAsia" w:hAnsi="宋体" w:cs="宋体"/>
                <w:snapToGrid w:val="0"/>
                <w:color w:val="auto"/>
                <w:kern w:val="0"/>
                <w:sz w:val="21"/>
                <w:szCs w:val="21"/>
                <w:highlight w:val="none"/>
                <w:lang w:val="en-US" w:eastAsia="zh-CN"/>
              </w:rPr>
              <w:t>15</w:t>
            </w:r>
            <w:r>
              <w:rPr>
                <w:rFonts w:hint="eastAsia" w:hAnsi="宋体" w:cs="宋体"/>
                <w:snapToGrid w:val="0"/>
                <w:color w:val="auto"/>
                <w:kern w:val="0"/>
                <w:sz w:val="21"/>
                <w:szCs w:val="21"/>
                <w:highlight w:val="none"/>
              </w:rPr>
              <w:t>分）</w:t>
            </w:r>
          </w:p>
          <w:p w14:paraId="1607B84D">
            <w:pPr>
              <w:pStyle w:val="12"/>
              <w:adjustRightInd w:val="0"/>
              <w:snapToGrid w:val="0"/>
              <w:spacing w:after="0" w:line="400" w:lineRule="exact"/>
              <w:jc w:val="center"/>
              <w:rPr>
                <w:rFonts w:hint="eastAsia" w:hAnsi="宋体" w:cs="宋体"/>
                <w:snapToGrid w:val="0"/>
                <w:color w:val="auto"/>
                <w:kern w:val="0"/>
                <w:sz w:val="21"/>
                <w:szCs w:val="21"/>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14:paraId="16414A78">
            <w:pPr>
              <w:pStyle w:val="12"/>
              <w:adjustRightInd w:val="0"/>
              <w:snapToGrid w:val="0"/>
              <w:spacing w:line="400" w:lineRule="exact"/>
              <w:jc w:val="left"/>
              <w:rPr>
                <w:rFonts w:hint="eastAsia" w:ascii="宋体" w:hAnsi="宋体" w:eastAsia="宋体" w:cs="宋体"/>
                <w:snapToGrid w:val="0"/>
                <w:color w:val="auto"/>
                <w:kern w:val="0"/>
                <w:sz w:val="21"/>
                <w:szCs w:val="21"/>
                <w:highlight w:val="none"/>
              </w:rPr>
            </w:pPr>
            <w:bookmarkStart w:id="148" w:name="OLE_LINK11"/>
            <w:r>
              <w:rPr>
                <w:rFonts w:hint="eastAsia" w:ascii="宋体" w:hAnsi="宋体" w:eastAsia="宋体" w:cs="宋体"/>
                <w:snapToGrid w:val="0"/>
                <w:color w:val="auto"/>
                <w:kern w:val="0"/>
                <w:sz w:val="21"/>
                <w:szCs w:val="21"/>
                <w:highlight w:val="none"/>
              </w:rPr>
              <w:t>投标人获得质量管理体系认证证书、职业健康安全管理体系认证证书、环境管理体系认证证书、</w:t>
            </w:r>
            <w:r>
              <w:rPr>
                <w:rFonts w:hint="eastAsia" w:hAnsi="宋体" w:cs="宋体"/>
                <w:snapToGrid w:val="0"/>
                <w:color w:val="auto"/>
                <w:kern w:val="0"/>
                <w:sz w:val="21"/>
                <w:szCs w:val="21"/>
                <w:highlight w:val="none"/>
                <w:lang w:eastAsia="zh-CN"/>
              </w:rPr>
              <w:t>工程绿色施工企业评价体系认证证书</w:t>
            </w:r>
            <w:r>
              <w:rPr>
                <w:rFonts w:hint="eastAsia" w:ascii="宋体" w:hAnsi="宋体" w:eastAsia="宋体" w:cs="宋体"/>
                <w:snapToGrid w:val="0"/>
                <w:color w:val="auto"/>
                <w:kern w:val="0"/>
                <w:sz w:val="21"/>
                <w:szCs w:val="21"/>
                <w:highlight w:val="none"/>
              </w:rPr>
              <w:t>、测量管理体系认证证书，并在有效期内的：</w:t>
            </w:r>
          </w:p>
          <w:p w14:paraId="4FE9B78A">
            <w:pPr>
              <w:pStyle w:val="12"/>
              <w:adjustRightInd w:val="0"/>
              <w:snapToGrid w:val="0"/>
              <w:spacing w:line="400" w:lineRule="exact"/>
              <w:jc w:val="left"/>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（1）企业获得全部5项认证证书的得</w:t>
            </w:r>
            <w:r>
              <w:rPr>
                <w:rFonts w:hint="eastAsia" w:hAnsi="宋体" w:cs="宋体"/>
                <w:snapToGrid w:val="0"/>
                <w:color w:val="auto"/>
                <w:kern w:val="0"/>
                <w:sz w:val="21"/>
                <w:szCs w:val="21"/>
                <w:highlight w:val="none"/>
                <w:lang w:val="en-US" w:eastAsia="zh-CN"/>
              </w:rPr>
              <w:t>15</w:t>
            </w:r>
            <w:r>
              <w:rPr>
                <w:rFonts w:hint="eastAsia" w:hAnsi="宋体" w:cs="宋体"/>
                <w:snapToGrid w:val="0"/>
                <w:color w:val="auto"/>
                <w:kern w:val="0"/>
                <w:sz w:val="21"/>
                <w:szCs w:val="21"/>
                <w:highlight w:val="none"/>
              </w:rPr>
              <w:t>分；</w:t>
            </w:r>
          </w:p>
          <w:p w14:paraId="7A9DDFEF">
            <w:pPr>
              <w:pStyle w:val="12"/>
              <w:adjustRightInd w:val="0"/>
              <w:snapToGrid w:val="0"/>
              <w:spacing w:line="400" w:lineRule="exact"/>
              <w:jc w:val="left"/>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（2）企业获得其中4项认证证书的得</w:t>
            </w:r>
            <w:r>
              <w:rPr>
                <w:rFonts w:hint="eastAsia" w:hAnsi="宋体" w:cs="宋体"/>
                <w:snapToGrid w:val="0"/>
                <w:color w:val="auto"/>
                <w:kern w:val="0"/>
                <w:sz w:val="21"/>
                <w:szCs w:val="21"/>
                <w:highlight w:val="none"/>
                <w:lang w:val="en-US" w:eastAsia="zh-CN"/>
              </w:rPr>
              <w:t>10</w:t>
            </w:r>
            <w:r>
              <w:rPr>
                <w:rFonts w:hint="eastAsia" w:hAnsi="宋体" w:cs="宋体"/>
                <w:snapToGrid w:val="0"/>
                <w:color w:val="auto"/>
                <w:kern w:val="0"/>
                <w:sz w:val="21"/>
                <w:szCs w:val="21"/>
                <w:highlight w:val="none"/>
              </w:rPr>
              <w:t>分；</w:t>
            </w:r>
          </w:p>
          <w:p w14:paraId="6AEE655C">
            <w:pPr>
              <w:pStyle w:val="12"/>
              <w:adjustRightInd w:val="0"/>
              <w:snapToGrid w:val="0"/>
              <w:spacing w:line="400" w:lineRule="exact"/>
              <w:jc w:val="left"/>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（3）企业获得其中3项认证证书的得</w:t>
            </w:r>
            <w:r>
              <w:rPr>
                <w:rFonts w:hint="eastAsia" w:hAnsi="宋体" w:cs="宋体"/>
                <w:snapToGrid w:val="0"/>
                <w:color w:val="auto"/>
                <w:kern w:val="0"/>
                <w:sz w:val="21"/>
                <w:szCs w:val="21"/>
                <w:highlight w:val="none"/>
                <w:lang w:val="en-US" w:eastAsia="zh-CN"/>
              </w:rPr>
              <w:t>5</w:t>
            </w:r>
            <w:r>
              <w:rPr>
                <w:rFonts w:hint="eastAsia" w:hAnsi="宋体" w:cs="宋体"/>
                <w:snapToGrid w:val="0"/>
                <w:color w:val="auto"/>
                <w:kern w:val="0"/>
                <w:sz w:val="21"/>
                <w:szCs w:val="21"/>
                <w:highlight w:val="none"/>
              </w:rPr>
              <w:t>分；</w:t>
            </w:r>
          </w:p>
          <w:p w14:paraId="6DA7D1B2">
            <w:pPr>
              <w:pStyle w:val="12"/>
              <w:adjustRightInd w:val="0"/>
              <w:snapToGrid w:val="0"/>
              <w:spacing w:after="0" w:line="400" w:lineRule="exact"/>
              <w:jc w:val="left"/>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（4）以上认证证书均未获得的，不予计分。</w:t>
            </w:r>
          </w:p>
          <w:p w14:paraId="640FECA1">
            <w:pPr>
              <w:pStyle w:val="12"/>
              <w:adjustRightInd w:val="0"/>
              <w:snapToGrid w:val="0"/>
              <w:spacing w:line="400" w:lineRule="exact"/>
              <w:jc w:val="left"/>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说明：其他不得分，本项最高得</w:t>
            </w:r>
            <w:r>
              <w:rPr>
                <w:rFonts w:hint="eastAsia" w:hAnsi="宋体" w:cs="宋体"/>
                <w:snapToGrid w:val="0"/>
                <w:color w:val="auto"/>
                <w:kern w:val="0"/>
                <w:sz w:val="21"/>
                <w:szCs w:val="21"/>
                <w:highlight w:val="none"/>
                <w:lang w:val="en-US" w:eastAsia="zh-CN"/>
              </w:rPr>
              <w:t>15</w:t>
            </w:r>
            <w:r>
              <w:rPr>
                <w:rFonts w:hint="eastAsia" w:hAnsi="宋体" w:cs="宋体"/>
                <w:snapToGrid w:val="0"/>
                <w:color w:val="auto"/>
                <w:kern w:val="0"/>
                <w:sz w:val="21"/>
                <w:szCs w:val="21"/>
                <w:highlight w:val="none"/>
              </w:rPr>
              <w:t>分。</w:t>
            </w:r>
            <w:bookmarkEnd w:id="148"/>
          </w:p>
        </w:tc>
        <w:tc>
          <w:tcPr>
            <w:tcW w:w="4032" w:type="dxa"/>
            <w:tcBorders>
              <w:top w:val="single" w:color="auto" w:sz="4" w:space="0"/>
              <w:left w:val="single" w:color="auto" w:sz="4" w:space="0"/>
              <w:bottom w:val="single" w:color="auto" w:sz="4" w:space="0"/>
              <w:right w:val="single" w:color="auto" w:sz="4" w:space="0"/>
            </w:tcBorders>
            <w:noWrap w:val="0"/>
            <w:vAlign w:val="center"/>
          </w:tcPr>
          <w:p w14:paraId="79B310B6">
            <w:pPr>
              <w:pStyle w:val="12"/>
              <w:adjustRightInd w:val="0"/>
              <w:snapToGrid w:val="0"/>
              <w:spacing w:after="0" w:line="40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1．</w:t>
            </w:r>
            <w:r>
              <w:rPr>
                <w:rFonts w:hint="eastAsia" w:hAnsi="宋体" w:cs="宋体"/>
                <w:color w:val="auto"/>
                <w:sz w:val="21"/>
                <w:szCs w:val="21"/>
                <w:highlight w:val="none"/>
              </w:rPr>
              <w:t>认证证书需投标人在项目招标公告发出前获得，</w:t>
            </w:r>
            <w:r>
              <w:rPr>
                <w:rFonts w:hint="eastAsia" w:hAnsi="宋体" w:cs="宋体"/>
                <w:snapToGrid w:val="0"/>
                <w:color w:val="auto"/>
                <w:kern w:val="0"/>
                <w:sz w:val="21"/>
                <w:szCs w:val="21"/>
                <w:highlight w:val="none"/>
              </w:rPr>
              <w:t>需附在有效期内的体系认证证书</w:t>
            </w:r>
            <w:r>
              <w:rPr>
                <w:rFonts w:hint="eastAsia" w:ascii="宋体" w:hAnsi="宋体" w:eastAsia="宋体" w:cs="宋体"/>
                <w:color w:val="auto"/>
                <w:kern w:val="2"/>
                <w:sz w:val="21"/>
                <w:szCs w:val="21"/>
                <w:highlight w:val="none"/>
                <w:lang w:val="en-US" w:eastAsia="zh-CN" w:bidi="ar-SA"/>
              </w:rPr>
              <w:t>彩色扫描件（或打印件）</w:t>
            </w:r>
            <w:r>
              <w:rPr>
                <w:rFonts w:hint="eastAsia" w:hAnsi="宋体" w:cs="宋体"/>
                <w:snapToGrid w:val="0"/>
                <w:color w:val="auto"/>
                <w:kern w:val="0"/>
                <w:sz w:val="21"/>
                <w:szCs w:val="21"/>
                <w:highlight w:val="none"/>
              </w:rPr>
              <w:t>。</w:t>
            </w:r>
          </w:p>
          <w:p w14:paraId="38CA79C2">
            <w:pPr>
              <w:pStyle w:val="12"/>
              <w:adjustRightInd w:val="0"/>
              <w:snapToGrid w:val="0"/>
              <w:spacing w:after="0" w:line="400" w:lineRule="exact"/>
              <w:jc w:val="left"/>
              <w:rPr>
                <w:rFonts w:hint="eastAsia" w:hAnsi="宋体"/>
                <w:snapToGrid w:val="0"/>
                <w:color w:val="auto"/>
                <w:kern w:val="0"/>
                <w:sz w:val="21"/>
                <w:szCs w:val="21"/>
                <w:highlight w:val="none"/>
              </w:rPr>
            </w:pPr>
            <w:r>
              <w:rPr>
                <w:rFonts w:hint="eastAsia" w:hAnsi="宋体" w:cs="宋体"/>
                <w:snapToGrid w:val="0"/>
                <w:color w:val="auto"/>
                <w:kern w:val="0"/>
                <w:sz w:val="21"/>
                <w:szCs w:val="21"/>
                <w:highlight w:val="none"/>
              </w:rPr>
              <w:t>2．证书不在有效期内的，按第4项标准处理。</w:t>
            </w:r>
          </w:p>
        </w:tc>
      </w:tr>
      <w:tr w14:paraId="420AD0CF">
        <w:tblPrEx>
          <w:tblCellMar>
            <w:top w:w="0" w:type="dxa"/>
            <w:left w:w="108" w:type="dxa"/>
            <w:bottom w:w="0" w:type="dxa"/>
            <w:right w:w="108" w:type="dxa"/>
          </w:tblCellMar>
        </w:tblPrEx>
        <w:trPr>
          <w:trHeight w:val="46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7ABAF83C">
            <w:pPr>
              <w:pStyle w:val="12"/>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企业荣誉</w:t>
            </w:r>
          </w:p>
          <w:p w14:paraId="007D2714">
            <w:pPr>
              <w:pStyle w:val="12"/>
              <w:wordWrap w:val="0"/>
              <w:adjustRightInd w:val="0"/>
              <w:snapToGrid w:val="0"/>
              <w:spacing w:line="400" w:lineRule="exact"/>
              <w:jc w:val="center"/>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（10分）</w:t>
            </w:r>
          </w:p>
          <w:p w14:paraId="09EE6815">
            <w:pPr>
              <w:pStyle w:val="12"/>
              <w:wordWrap w:val="0"/>
              <w:adjustRightInd w:val="0"/>
              <w:snapToGrid w:val="0"/>
              <w:spacing w:line="400" w:lineRule="exact"/>
              <w:jc w:val="center"/>
              <w:rPr>
                <w:rFonts w:hint="eastAsia" w:ascii="宋体" w:hAnsi="宋体" w:eastAsia="宋体" w:cs="宋体"/>
                <w:color w:val="auto"/>
                <w:kern w:val="2"/>
                <w:sz w:val="21"/>
                <w:szCs w:val="21"/>
                <w:highlight w:val="none"/>
                <w:lang w:val="en-US" w:eastAsia="zh-CN" w:bidi="ar-SA"/>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14:paraId="49AA43A1">
            <w:pPr>
              <w:pStyle w:val="12"/>
              <w:wordWrap w:val="0"/>
              <w:adjustRightInd w:val="0"/>
              <w:snapToGrid w:val="0"/>
              <w:spacing w:line="400" w:lineRule="exact"/>
              <w:rPr>
                <w:rFonts w:hint="eastAsia" w:ascii="宋体" w:hAnsi="宋体" w:eastAsia="宋体" w:cs="宋体"/>
                <w:snapToGrid w:val="0"/>
                <w:color w:val="auto"/>
                <w:kern w:val="0"/>
                <w:sz w:val="21"/>
                <w:szCs w:val="21"/>
                <w:highlight w:val="none"/>
                <w:lang w:val="en-US" w:eastAsia="zh-CN" w:bidi="ar-SA"/>
              </w:rPr>
            </w:pPr>
            <w:bookmarkStart w:id="149" w:name="OLE_LINK12"/>
            <w:r>
              <w:rPr>
                <w:rFonts w:hint="eastAsia" w:ascii="宋体" w:hAnsi="宋体" w:eastAsia="宋体" w:cs="宋体"/>
                <w:snapToGrid w:val="0"/>
                <w:color w:val="auto"/>
                <w:kern w:val="0"/>
                <w:sz w:val="21"/>
                <w:szCs w:val="21"/>
                <w:highlight w:val="none"/>
                <w:lang w:val="en-US" w:eastAsia="zh-CN" w:bidi="ar-SA"/>
              </w:rPr>
              <w:t>企业2020年1月1日至今获得过省级或以上商业联合会颁发的诚信兴商证书的，得</w:t>
            </w:r>
            <w:r>
              <w:rPr>
                <w:rFonts w:hint="eastAsia" w:hAnsi="宋体" w:cs="宋体"/>
                <w:snapToGrid w:val="0"/>
                <w:color w:val="auto"/>
                <w:kern w:val="0"/>
                <w:sz w:val="21"/>
                <w:szCs w:val="21"/>
                <w:highlight w:val="none"/>
                <w:lang w:val="en-US" w:eastAsia="zh-CN" w:bidi="ar-SA"/>
              </w:rPr>
              <w:t>10</w:t>
            </w:r>
            <w:r>
              <w:rPr>
                <w:rFonts w:hint="eastAsia" w:ascii="宋体" w:hAnsi="宋体" w:eastAsia="宋体" w:cs="宋体"/>
                <w:snapToGrid w:val="0"/>
                <w:color w:val="auto"/>
                <w:kern w:val="0"/>
                <w:sz w:val="21"/>
                <w:szCs w:val="21"/>
                <w:highlight w:val="none"/>
                <w:lang w:val="en-US" w:eastAsia="zh-CN" w:bidi="ar-SA"/>
              </w:rPr>
              <w:t>分；</w:t>
            </w:r>
          </w:p>
          <w:p w14:paraId="4E8771CE">
            <w:pPr>
              <w:pStyle w:val="12"/>
              <w:wordWrap w:val="0"/>
              <w:adjustRightInd w:val="0"/>
              <w:snapToGrid w:val="0"/>
              <w:spacing w:line="40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其他不得分，本项最高得</w:t>
            </w:r>
            <w:r>
              <w:rPr>
                <w:rFonts w:hint="eastAsia" w:hAnsi="宋体" w:cs="宋体"/>
                <w:snapToGrid w:val="0"/>
                <w:color w:val="auto"/>
                <w:kern w:val="0"/>
                <w:sz w:val="21"/>
                <w:szCs w:val="21"/>
                <w:highlight w:val="none"/>
                <w:lang w:val="en-US" w:eastAsia="zh-CN" w:bidi="ar-SA"/>
              </w:rPr>
              <w:t>10</w:t>
            </w:r>
            <w:r>
              <w:rPr>
                <w:rFonts w:hint="eastAsia" w:ascii="宋体" w:hAnsi="宋体" w:eastAsia="宋体" w:cs="宋体"/>
                <w:snapToGrid w:val="0"/>
                <w:color w:val="auto"/>
                <w:kern w:val="0"/>
                <w:sz w:val="21"/>
                <w:szCs w:val="21"/>
                <w:highlight w:val="none"/>
                <w:lang w:val="en-US" w:eastAsia="zh-CN" w:bidi="ar-SA"/>
              </w:rPr>
              <w:t>分。</w:t>
            </w:r>
            <w:bookmarkEnd w:id="149"/>
          </w:p>
        </w:tc>
        <w:tc>
          <w:tcPr>
            <w:tcW w:w="4032" w:type="dxa"/>
            <w:tcBorders>
              <w:top w:val="single" w:color="auto" w:sz="4" w:space="0"/>
              <w:left w:val="single" w:color="auto" w:sz="4" w:space="0"/>
              <w:bottom w:val="single" w:color="auto" w:sz="4" w:space="0"/>
              <w:right w:val="single" w:color="auto" w:sz="4" w:space="0"/>
            </w:tcBorders>
            <w:noWrap w:val="0"/>
            <w:vAlign w:val="center"/>
          </w:tcPr>
          <w:p w14:paraId="4A009691">
            <w:pPr>
              <w:pStyle w:val="12"/>
              <w:wordWrap w:val="0"/>
              <w:adjustRightInd w:val="0"/>
              <w:snapToGrid w:val="0"/>
              <w:spacing w:line="400" w:lineRule="exact"/>
              <w:rPr>
                <w:rFonts w:hint="eastAsia" w:ascii="宋体" w:hAnsi="宋体" w:eastAsia="宋体" w:cs="宋体"/>
                <w:snapToGrid w:val="0"/>
                <w:color w:val="auto"/>
                <w:kern w:val="0"/>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1.证书由省级或以上商业联合会颁发，须提供有关证书</w:t>
            </w:r>
            <w:r>
              <w:rPr>
                <w:rFonts w:hint="eastAsia" w:ascii="宋体" w:hAnsi="宋体" w:eastAsia="宋体" w:cs="宋体"/>
                <w:color w:val="auto"/>
                <w:kern w:val="2"/>
                <w:sz w:val="21"/>
                <w:szCs w:val="21"/>
                <w:highlight w:val="none"/>
                <w:lang w:val="en-US" w:eastAsia="zh-CN" w:bidi="ar-SA"/>
              </w:rPr>
              <w:t>彩色扫描件（或打印件）</w:t>
            </w:r>
            <w:r>
              <w:rPr>
                <w:rFonts w:hint="eastAsia" w:ascii="宋体" w:hAnsi="宋体" w:eastAsia="宋体" w:cs="宋体"/>
                <w:snapToGrid w:val="0"/>
                <w:color w:val="auto"/>
                <w:kern w:val="0"/>
                <w:sz w:val="21"/>
                <w:szCs w:val="21"/>
                <w:highlight w:val="none"/>
                <w:lang w:val="en-US" w:eastAsia="zh-CN" w:bidi="ar-SA"/>
              </w:rPr>
              <w:t>，否则不得分。</w:t>
            </w:r>
          </w:p>
          <w:p w14:paraId="4CD820ED">
            <w:pPr>
              <w:pStyle w:val="12"/>
              <w:wordWrap w:val="0"/>
              <w:adjustRightInd w:val="0"/>
              <w:snapToGrid w:val="0"/>
              <w:spacing w:line="400" w:lineRule="exac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snapToGrid w:val="0"/>
                <w:color w:val="auto"/>
                <w:kern w:val="0"/>
                <w:sz w:val="21"/>
                <w:szCs w:val="21"/>
                <w:highlight w:val="none"/>
                <w:lang w:val="en-US" w:eastAsia="zh-CN" w:bidi="ar-SA"/>
              </w:rPr>
              <w:t>2.颁发机构、获奖时间不符合评分标准和备注规定的，不计分。</w:t>
            </w:r>
          </w:p>
        </w:tc>
      </w:tr>
      <w:tr w14:paraId="44732DA7">
        <w:tblPrEx>
          <w:tblCellMar>
            <w:top w:w="0" w:type="dxa"/>
            <w:left w:w="108" w:type="dxa"/>
            <w:bottom w:w="0" w:type="dxa"/>
            <w:right w:w="108" w:type="dxa"/>
          </w:tblCellMar>
        </w:tblPrEx>
        <w:trPr>
          <w:trHeight w:val="465"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686B0665">
            <w:pPr>
              <w:pStyle w:val="12"/>
              <w:adjustRightInd w:val="0"/>
              <w:snapToGrid w:val="0"/>
              <w:spacing w:after="0" w:line="400" w:lineRule="exact"/>
              <w:jc w:val="center"/>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企业安全、质量管理</w:t>
            </w:r>
          </w:p>
          <w:p w14:paraId="616B5350">
            <w:pPr>
              <w:pStyle w:val="12"/>
              <w:adjustRightInd w:val="0"/>
              <w:snapToGrid w:val="0"/>
              <w:spacing w:after="0" w:line="400" w:lineRule="exact"/>
              <w:jc w:val="center"/>
              <w:rPr>
                <w:rFonts w:hint="eastAsia" w:hAnsi="宋体" w:cs="宋体"/>
                <w:snapToGrid w:val="0"/>
                <w:color w:val="auto"/>
                <w:kern w:val="0"/>
                <w:sz w:val="21"/>
                <w:szCs w:val="21"/>
                <w:highlight w:val="none"/>
              </w:rPr>
            </w:pPr>
            <w:r>
              <w:rPr>
                <w:rFonts w:hint="eastAsia" w:hAnsi="宋体" w:cs="宋体"/>
                <w:snapToGrid w:val="0"/>
                <w:color w:val="auto"/>
                <w:kern w:val="0"/>
                <w:sz w:val="21"/>
                <w:szCs w:val="21"/>
                <w:highlight w:val="none"/>
              </w:rPr>
              <w:t>（5分）</w:t>
            </w:r>
          </w:p>
          <w:p w14:paraId="04BACE62">
            <w:pPr>
              <w:pStyle w:val="12"/>
              <w:adjustRightInd w:val="0"/>
              <w:snapToGrid w:val="0"/>
              <w:spacing w:after="0" w:line="400" w:lineRule="exact"/>
              <w:jc w:val="center"/>
              <w:rPr>
                <w:rFonts w:hint="eastAsia" w:hAnsi="宋体" w:cs="宋体"/>
                <w:snapToGrid w:val="0"/>
                <w:color w:val="auto"/>
                <w:kern w:val="0"/>
                <w:sz w:val="21"/>
                <w:szCs w:val="21"/>
                <w:highlight w:val="none"/>
              </w:rPr>
            </w:pPr>
          </w:p>
        </w:tc>
        <w:tc>
          <w:tcPr>
            <w:tcW w:w="4300" w:type="dxa"/>
            <w:tcBorders>
              <w:top w:val="single" w:color="auto" w:sz="4" w:space="0"/>
              <w:left w:val="single" w:color="auto" w:sz="4" w:space="0"/>
              <w:bottom w:val="single" w:color="auto" w:sz="4" w:space="0"/>
              <w:right w:val="single" w:color="auto" w:sz="4" w:space="0"/>
            </w:tcBorders>
            <w:noWrap w:val="0"/>
            <w:vAlign w:val="center"/>
          </w:tcPr>
          <w:p w14:paraId="439F98F1">
            <w:pPr>
              <w:pStyle w:val="12"/>
              <w:numPr>
                <w:ilvl w:val="0"/>
                <w:numId w:val="2"/>
              </w:numPr>
              <w:adjustRightInd w:val="0"/>
              <w:snapToGrid w:val="0"/>
              <w:spacing w:after="0" w:line="400" w:lineRule="exact"/>
              <w:rPr>
                <w:rFonts w:hint="eastAsia" w:hAnsi="宋体" w:cs="宋体"/>
                <w:snapToGrid w:val="0"/>
                <w:color w:val="auto"/>
                <w:kern w:val="0"/>
                <w:sz w:val="21"/>
                <w:szCs w:val="21"/>
                <w:highlight w:val="none"/>
              </w:rPr>
            </w:pPr>
            <w:bookmarkStart w:id="150" w:name="OLE_LINK13"/>
            <w:r>
              <w:rPr>
                <w:rFonts w:hint="eastAsia" w:hAnsi="宋体" w:cs="宋体"/>
                <w:snapToGrid w:val="0"/>
                <w:color w:val="auto"/>
                <w:kern w:val="0"/>
                <w:sz w:val="21"/>
                <w:szCs w:val="21"/>
                <w:highlight w:val="none"/>
              </w:rPr>
              <w:t>近年来（20</w:t>
            </w:r>
            <w:r>
              <w:rPr>
                <w:rFonts w:hint="eastAsia" w:hAnsi="宋体" w:cs="宋体"/>
                <w:snapToGrid w:val="0"/>
                <w:color w:val="auto"/>
                <w:kern w:val="0"/>
                <w:sz w:val="21"/>
                <w:szCs w:val="21"/>
                <w:highlight w:val="none"/>
                <w:lang w:val="en-US" w:eastAsia="zh-CN"/>
              </w:rPr>
              <w:t>20</w:t>
            </w:r>
            <w:r>
              <w:rPr>
                <w:rFonts w:hint="eastAsia" w:hAnsi="宋体" w:cs="宋体"/>
                <w:snapToGrid w:val="0"/>
                <w:color w:val="auto"/>
                <w:kern w:val="0"/>
                <w:sz w:val="21"/>
                <w:szCs w:val="21"/>
                <w:highlight w:val="none"/>
              </w:rPr>
              <w:t>年1月1日至今）投标人未发生事故等级为一般事故及以上的生产安全事故、一般质量事故及以上的工程质量事故的，得5分；</w:t>
            </w:r>
          </w:p>
          <w:p w14:paraId="637F526D">
            <w:pPr>
              <w:pStyle w:val="12"/>
              <w:numPr>
                <w:ilvl w:val="0"/>
                <w:numId w:val="2"/>
              </w:numPr>
              <w:adjustRightInd w:val="0"/>
              <w:snapToGrid w:val="0"/>
              <w:spacing w:after="0" w:line="400" w:lineRule="exac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其他情形的，不予计分。</w:t>
            </w:r>
          </w:p>
          <w:p w14:paraId="122B4C76">
            <w:pPr>
              <w:pStyle w:val="59"/>
              <w:adjustRightInd w:val="0"/>
              <w:snapToGrid w:val="0"/>
              <w:spacing w:line="400" w:lineRule="exact"/>
              <w:jc w:val="left"/>
              <w:rPr>
                <w:rFonts w:hint="eastAsia"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说明：本项最高得5分。</w:t>
            </w:r>
            <w:bookmarkEnd w:id="150"/>
          </w:p>
        </w:tc>
        <w:tc>
          <w:tcPr>
            <w:tcW w:w="4032" w:type="dxa"/>
            <w:tcBorders>
              <w:top w:val="single" w:color="auto" w:sz="4" w:space="0"/>
              <w:left w:val="single" w:color="auto" w:sz="4" w:space="0"/>
              <w:bottom w:val="single" w:color="auto" w:sz="4" w:space="0"/>
              <w:right w:val="single" w:color="auto" w:sz="4" w:space="0"/>
            </w:tcBorders>
            <w:noWrap w:val="0"/>
            <w:vAlign w:val="center"/>
          </w:tcPr>
          <w:p w14:paraId="0351C027">
            <w:pPr>
              <w:pStyle w:val="12"/>
              <w:adjustRightInd w:val="0"/>
              <w:snapToGrid w:val="0"/>
              <w:spacing w:after="0" w:line="400" w:lineRule="exac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lang w:val="en-US" w:eastAsia="zh-CN"/>
              </w:rPr>
              <w:t>1.</w:t>
            </w:r>
            <w:r>
              <w:rPr>
                <w:rFonts w:hint="eastAsia" w:hAnsi="宋体" w:cs="宋体"/>
                <w:snapToGrid w:val="0"/>
                <w:color w:val="auto"/>
                <w:kern w:val="0"/>
                <w:sz w:val="21"/>
                <w:szCs w:val="21"/>
                <w:highlight w:val="none"/>
              </w:rPr>
              <w:t>需提供本单位承诺书（格式自定）并加盖本单位公章。</w:t>
            </w:r>
          </w:p>
          <w:p w14:paraId="7EC8CB12">
            <w:pPr>
              <w:pStyle w:val="12"/>
              <w:adjustRightInd w:val="0"/>
              <w:snapToGrid w:val="0"/>
              <w:spacing w:after="0" w:line="400" w:lineRule="exact"/>
              <w:rPr>
                <w:rFonts w:hint="eastAsia" w:hAnsi="宋体"/>
                <w:snapToGrid w:val="0"/>
                <w:color w:val="auto"/>
                <w:kern w:val="0"/>
                <w:sz w:val="21"/>
                <w:szCs w:val="21"/>
                <w:highlight w:val="none"/>
              </w:rPr>
            </w:pPr>
            <w:r>
              <w:rPr>
                <w:rFonts w:hint="eastAsia" w:hAnsi="宋体" w:cs="宋体"/>
                <w:snapToGrid w:val="0"/>
                <w:color w:val="auto"/>
                <w:kern w:val="0"/>
                <w:sz w:val="21"/>
                <w:szCs w:val="21"/>
                <w:highlight w:val="none"/>
                <w:lang w:val="en-US" w:eastAsia="zh-CN"/>
              </w:rPr>
              <w:t>2.</w:t>
            </w:r>
            <w:r>
              <w:rPr>
                <w:rFonts w:hint="eastAsia" w:hAnsi="宋体" w:cs="宋体"/>
                <w:snapToGrid w:val="0"/>
                <w:color w:val="auto"/>
                <w:kern w:val="0"/>
                <w:sz w:val="21"/>
                <w:szCs w:val="21"/>
                <w:highlight w:val="none"/>
              </w:rPr>
              <w:t>未提供本单位承诺书并加盖本单位公章的，按第2项标准处理。</w:t>
            </w:r>
          </w:p>
        </w:tc>
      </w:tr>
      <w:tr w14:paraId="6A374FB4">
        <w:tblPrEx>
          <w:tblCellMar>
            <w:top w:w="0" w:type="dxa"/>
            <w:left w:w="108" w:type="dxa"/>
            <w:bottom w:w="0" w:type="dxa"/>
            <w:right w:w="108" w:type="dxa"/>
          </w:tblCellMar>
        </w:tblPrEx>
        <w:trPr>
          <w:trHeight w:val="43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6D182F4C">
            <w:pPr>
              <w:widowControl w:val="0"/>
              <w:wordWrap w:val="0"/>
              <w:adjustRightInd w:val="0"/>
              <w:snapToGrid w:val="0"/>
              <w:spacing w:after="0" w:afterLines="0" w:afterAutospacing="0" w:line="400" w:lineRule="exact"/>
              <w:jc w:val="center"/>
              <w:rPr>
                <w:rFonts w:hint="default" w:ascii="Times New Roman" w:hAnsi="宋体" w:eastAsia="宋体" w:cs="宋体"/>
                <w:snapToGrid w:val="0"/>
                <w:color w:val="auto"/>
                <w:kern w:val="0"/>
                <w:sz w:val="21"/>
                <w:szCs w:val="21"/>
                <w:highlight w:val="none"/>
                <w:lang w:val="en-US" w:eastAsia="zh-CN" w:bidi="ar-SA"/>
              </w:rPr>
            </w:pPr>
            <w:r>
              <w:rPr>
                <w:rFonts w:hint="eastAsia" w:ascii="Times New Roman" w:hAnsi="宋体" w:eastAsia="宋体" w:cs="宋体"/>
                <w:snapToGrid w:val="0"/>
                <w:color w:val="auto"/>
                <w:kern w:val="0"/>
                <w:sz w:val="21"/>
                <w:szCs w:val="21"/>
                <w:highlight w:val="none"/>
                <w:lang w:val="en-US" w:eastAsia="zh-CN" w:bidi="ar-SA"/>
              </w:rPr>
              <w:t>企业纳税信用</w:t>
            </w:r>
          </w:p>
          <w:p w14:paraId="1450D295">
            <w:pPr>
              <w:widowControl w:val="0"/>
              <w:wordWrap w:val="0"/>
              <w:adjustRightInd w:val="0"/>
              <w:snapToGrid w:val="0"/>
              <w:spacing w:after="0" w:afterLines="0" w:afterAutospacing="0" w:line="400" w:lineRule="exact"/>
              <w:jc w:val="center"/>
              <w:rPr>
                <w:rFonts w:hint="eastAsia" w:ascii="Times New Roman" w:hAnsi="宋体" w:eastAsia="宋体" w:cs="宋体"/>
                <w:snapToGrid w:val="0"/>
                <w:color w:val="auto"/>
                <w:kern w:val="0"/>
                <w:sz w:val="21"/>
                <w:szCs w:val="21"/>
                <w:highlight w:val="none"/>
                <w:lang w:val="en-US" w:eastAsia="zh-CN" w:bidi="ar-SA"/>
              </w:rPr>
            </w:pPr>
            <w:r>
              <w:rPr>
                <w:rFonts w:hint="eastAsia" w:ascii="Times New Roman" w:hAnsi="宋体" w:eastAsia="宋体" w:cs="宋体"/>
                <w:snapToGrid w:val="0"/>
                <w:color w:val="auto"/>
                <w:kern w:val="0"/>
                <w:sz w:val="21"/>
                <w:szCs w:val="21"/>
                <w:highlight w:val="none"/>
                <w:lang w:val="en-US" w:eastAsia="zh-CN" w:bidi="ar-SA"/>
              </w:rPr>
              <w:t>（10分）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40B4E935">
            <w:pPr>
              <w:widowControl w:val="0"/>
              <w:wordWrap w:val="0"/>
              <w:adjustRightInd w:val="0"/>
              <w:snapToGrid w:val="0"/>
              <w:spacing w:line="400" w:lineRule="exact"/>
              <w:jc w:val="left"/>
              <w:rPr>
                <w:rFonts w:hint="eastAsia" w:ascii="Times New Roman" w:hAnsi="宋体" w:eastAsia="宋体" w:cs="宋体"/>
                <w:snapToGrid w:val="0"/>
                <w:color w:val="auto"/>
                <w:kern w:val="0"/>
                <w:sz w:val="21"/>
                <w:szCs w:val="21"/>
                <w:highlight w:val="none"/>
                <w:lang w:val="en-US" w:eastAsia="zh-CN" w:bidi="ar-SA"/>
              </w:rPr>
            </w:pPr>
            <w:r>
              <w:rPr>
                <w:rFonts w:hint="eastAsia" w:ascii="Times New Roman" w:hAnsi="宋体" w:eastAsia="宋体" w:cs="宋体"/>
                <w:snapToGrid w:val="0"/>
                <w:color w:val="auto"/>
                <w:kern w:val="0"/>
                <w:sz w:val="21"/>
                <w:szCs w:val="21"/>
                <w:highlight w:val="none"/>
                <w:lang w:val="en-US" w:eastAsia="zh-CN" w:bidi="ar-SA"/>
              </w:rPr>
              <w:t>1.企业2020年1月1日至今获得过纳税信用B级或以上纳税人的，得10分；</w:t>
            </w:r>
          </w:p>
          <w:p w14:paraId="4892BBA3">
            <w:pPr>
              <w:widowControl w:val="0"/>
              <w:wordWrap w:val="0"/>
              <w:adjustRightInd w:val="0"/>
              <w:snapToGrid w:val="0"/>
              <w:spacing w:line="400" w:lineRule="exact"/>
              <w:jc w:val="left"/>
              <w:rPr>
                <w:rFonts w:hint="eastAsia" w:ascii="Times New Roman" w:hAnsi="宋体" w:eastAsia="宋体" w:cs="宋体"/>
                <w:snapToGrid w:val="0"/>
                <w:color w:val="auto"/>
                <w:kern w:val="0"/>
                <w:sz w:val="21"/>
                <w:szCs w:val="21"/>
                <w:highlight w:val="none"/>
                <w:lang w:val="en-US" w:eastAsia="zh-CN" w:bidi="ar-SA"/>
              </w:rPr>
            </w:pPr>
            <w:r>
              <w:rPr>
                <w:rFonts w:hint="eastAsia" w:ascii="Times New Roman" w:hAnsi="宋体" w:eastAsia="宋体" w:cs="宋体"/>
                <w:snapToGrid w:val="0"/>
                <w:color w:val="auto"/>
                <w:kern w:val="0"/>
                <w:sz w:val="21"/>
                <w:szCs w:val="21"/>
                <w:highlight w:val="none"/>
                <w:lang w:val="en-US" w:eastAsia="zh-CN" w:bidi="ar-SA"/>
              </w:rPr>
              <w:t>2.本项最高得10分。</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47131AA8">
            <w:pPr>
              <w:widowControl w:val="0"/>
              <w:wordWrap w:val="0"/>
              <w:adjustRightInd w:val="0"/>
              <w:snapToGrid w:val="0"/>
              <w:spacing w:after="0" w:afterLines="0" w:afterAutospacing="0" w:line="400" w:lineRule="exact"/>
              <w:jc w:val="both"/>
              <w:rPr>
                <w:rFonts w:hint="eastAsia" w:ascii="Times New Roman" w:hAnsi="宋体" w:eastAsia="宋体" w:cs="宋体"/>
                <w:snapToGrid w:val="0"/>
                <w:color w:val="auto"/>
                <w:kern w:val="0"/>
                <w:sz w:val="21"/>
                <w:szCs w:val="21"/>
                <w:highlight w:val="none"/>
                <w:lang w:val="en-US" w:eastAsia="zh-CN" w:bidi="ar-SA"/>
              </w:rPr>
            </w:pPr>
            <w:r>
              <w:rPr>
                <w:rFonts w:hint="eastAsia" w:ascii="Times New Roman" w:hAnsi="宋体" w:eastAsia="宋体" w:cs="宋体"/>
                <w:snapToGrid w:val="0"/>
                <w:color w:val="auto"/>
                <w:kern w:val="0"/>
                <w:sz w:val="21"/>
                <w:szCs w:val="21"/>
                <w:highlight w:val="none"/>
                <w:lang w:val="en-US" w:eastAsia="zh-CN" w:bidi="ar-SA"/>
              </w:rPr>
              <w:t>1.必须提供企业纳税信用B级或以上纳税人证明材料（或证书）及国家税务总局（或省级电子税务局）网上查询截图，否则不得分。</w:t>
            </w:r>
          </w:p>
          <w:p w14:paraId="279E2BEA">
            <w:pPr>
              <w:widowControl w:val="0"/>
              <w:wordWrap w:val="0"/>
              <w:adjustRightInd w:val="0"/>
              <w:snapToGrid w:val="0"/>
              <w:spacing w:after="0" w:afterLines="0" w:afterAutospacing="0" w:line="400" w:lineRule="exact"/>
              <w:jc w:val="both"/>
              <w:rPr>
                <w:rFonts w:hint="eastAsia" w:ascii="Times New Roman" w:hAnsi="宋体" w:eastAsia="宋体" w:cs="宋体"/>
                <w:snapToGrid w:val="0"/>
                <w:color w:val="auto"/>
                <w:kern w:val="0"/>
                <w:sz w:val="21"/>
                <w:szCs w:val="21"/>
                <w:highlight w:val="none"/>
                <w:lang w:val="en-US" w:eastAsia="zh-CN" w:bidi="ar-SA"/>
              </w:rPr>
            </w:pPr>
            <w:r>
              <w:rPr>
                <w:rFonts w:hint="eastAsia" w:ascii="Times New Roman" w:hAnsi="宋体" w:eastAsia="宋体" w:cs="宋体"/>
                <w:snapToGrid w:val="0"/>
                <w:color w:val="auto"/>
                <w:kern w:val="0"/>
                <w:sz w:val="21"/>
                <w:szCs w:val="21"/>
                <w:highlight w:val="none"/>
                <w:lang w:val="en-US" w:eastAsia="zh-CN" w:bidi="ar-SA"/>
              </w:rPr>
              <w:t>2.只计算投标人自身（不计算投标人的分公司、子公司及分支机构）</w:t>
            </w:r>
          </w:p>
        </w:tc>
      </w:tr>
      <w:tr w14:paraId="6BB55E61">
        <w:tblPrEx>
          <w:tblCellMar>
            <w:top w:w="0" w:type="dxa"/>
            <w:left w:w="108" w:type="dxa"/>
            <w:bottom w:w="0" w:type="dxa"/>
            <w:right w:w="108" w:type="dxa"/>
          </w:tblCellMar>
        </w:tblPrEx>
        <w:trPr>
          <w:trHeight w:val="438"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66C626DB">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rPr>
            </w:pPr>
            <w:bookmarkStart w:id="151" w:name="OLE_LINK14"/>
            <w:r>
              <w:rPr>
                <w:rFonts w:hint="eastAsia" w:ascii="宋体" w:hAnsi="宋体" w:eastAsia="宋体" w:cs="宋体"/>
                <w:snapToGrid w:val="0"/>
                <w:color w:val="auto"/>
                <w:kern w:val="0"/>
                <w:sz w:val="21"/>
                <w:szCs w:val="21"/>
                <w:highlight w:val="none"/>
                <w:lang w:val="en-US" w:eastAsia="zh-CN"/>
              </w:rPr>
              <w:t>服务便利性</w:t>
            </w:r>
            <w:bookmarkEnd w:id="151"/>
            <w:r>
              <w:rPr>
                <w:rFonts w:hint="eastAsia" w:ascii="宋体" w:hAnsi="宋体" w:eastAsia="宋体" w:cs="宋体"/>
                <w:snapToGrid w:val="0"/>
                <w:color w:val="auto"/>
                <w:kern w:val="0"/>
                <w:sz w:val="21"/>
                <w:szCs w:val="21"/>
                <w:highlight w:val="none"/>
                <w:lang w:val="en-US" w:eastAsia="zh-CN"/>
              </w:rPr>
              <w:t>（15分）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1AB7D67A">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对所有投标人的快速服务保障能力（包括保修期快速服务保障能力）进行横向比较：</w:t>
            </w:r>
          </w:p>
          <w:p w14:paraId="4F4582B1">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1．快速服务保障能力优的得15分；</w:t>
            </w:r>
          </w:p>
          <w:p w14:paraId="7FBD262B">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2．快速服务保障能力良的得7.5分；</w:t>
            </w:r>
          </w:p>
          <w:p w14:paraId="37720153">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3．快速服务保障能力一般的得2.5分；</w:t>
            </w:r>
          </w:p>
          <w:p w14:paraId="781F367E">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 xml:space="preserve">此项最高15分。   </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2BF0C170">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lang w:val="en-US" w:eastAsia="zh-CN"/>
              </w:rPr>
            </w:pPr>
            <w:r>
              <w:rPr>
                <w:rFonts w:hint="eastAsia" w:hAnsi="宋体" w:cs="宋体"/>
                <w:snapToGrid w:val="0"/>
                <w:color w:val="auto"/>
                <w:kern w:val="0"/>
                <w:sz w:val="21"/>
                <w:szCs w:val="21"/>
                <w:highlight w:val="none"/>
                <w:lang w:val="en-US" w:eastAsia="zh-CN"/>
              </w:rPr>
              <w:t>1.</w:t>
            </w:r>
            <w:r>
              <w:rPr>
                <w:rFonts w:hint="eastAsia" w:ascii="宋体" w:hAnsi="宋体" w:eastAsia="宋体" w:cs="宋体"/>
                <w:snapToGrid w:val="0"/>
                <w:color w:val="auto"/>
                <w:kern w:val="0"/>
                <w:sz w:val="21"/>
                <w:szCs w:val="21"/>
                <w:highlight w:val="none"/>
                <w:lang w:val="en-US" w:eastAsia="zh-CN"/>
              </w:rPr>
              <w:t>投标人须提供快速服务保障能力的承诺函，承诺函中必须包含响应时间及保修期服务的承诺，并提供投标人营业执照的所在地距离招标人地点的百度地图路线网上截图，同城（同个县/区）视为快速服务能力相同。拟投入本项目的施工管理机构人员在投标人所在地办理的社保证明文件（至少</w:t>
            </w:r>
            <w:r>
              <w:rPr>
                <w:rFonts w:hint="eastAsia" w:hAnsi="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lang w:val="en-US" w:eastAsia="zh-CN"/>
              </w:rPr>
              <w:t>个月，其中必须有202</w:t>
            </w:r>
            <w:r>
              <w:rPr>
                <w:rFonts w:hint="eastAsia" w:ascii="宋体" w:hAnsi="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val="en-US" w:eastAsia="zh-CN"/>
              </w:rPr>
              <w:t>年</w:t>
            </w:r>
            <w:r>
              <w:rPr>
                <w:rFonts w:hint="eastAsia" w:hAnsi="宋体" w:cs="宋体"/>
                <w:snapToGrid w:val="0"/>
                <w:color w:val="auto"/>
                <w:kern w:val="0"/>
                <w:sz w:val="21"/>
                <w:szCs w:val="21"/>
                <w:highlight w:val="none"/>
                <w:lang w:val="en-US" w:eastAsia="zh-CN"/>
              </w:rPr>
              <w:t>7</w:t>
            </w:r>
            <w:r>
              <w:rPr>
                <w:rFonts w:hint="eastAsia" w:ascii="宋体" w:hAnsi="宋体" w:eastAsia="宋体" w:cs="宋体"/>
                <w:snapToGrid w:val="0"/>
                <w:color w:val="auto"/>
                <w:kern w:val="0"/>
                <w:sz w:val="21"/>
                <w:szCs w:val="21"/>
                <w:highlight w:val="none"/>
                <w:lang w:val="en-US" w:eastAsia="zh-CN"/>
              </w:rPr>
              <w:t>月），投标人营业执照</w:t>
            </w:r>
            <w:r>
              <w:rPr>
                <w:rFonts w:hint="eastAsia" w:hAnsi="宋体"/>
                <w:snapToGrid w:val="0"/>
                <w:color w:val="auto"/>
                <w:kern w:val="0"/>
                <w:sz w:val="21"/>
                <w:szCs w:val="21"/>
                <w:highlight w:val="none"/>
              </w:rPr>
              <w:t>彩色扫描件</w:t>
            </w:r>
            <w:r>
              <w:rPr>
                <w:rFonts w:hint="eastAsia" w:ascii="宋体" w:hAnsi="宋体" w:eastAsia="宋体" w:cs="宋体"/>
                <w:snapToGrid w:val="0"/>
                <w:color w:val="auto"/>
                <w:kern w:val="0"/>
                <w:sz w:val="21"/>
                <w:szCs w:val="21"/>
                <w:highlight w:val="none"/>
                <w:lang w:val="en-US" w:eastAsia="zh-CN"/>
              </w:rPr>
              <w:t>、人员社保证明</w:t>
            </w:r>
            <w:r>
              <w:rPr>
                <w:rFonts w:hint="eastAsia" w:hAnsi="宋体"/>
                <w:snapToGrid w:val="0"/>
                <w:color w:val="auto"/>
                <w:kern w:val="0"/>
                <w:sz w:val="21"/>
                <w:szCs w:val="21"/>
                <w:highlight w:val="none"/>
              </w:rPr>
              <w:t>彩色扫描件</w:t>
            </w:r>
            <w:r>
              <w:rPr>
                <w:rFonts w:hint="eastAsia" w:ascii="宋体" w:hAnsi="宋体" w:eastAsia="宋体" w:cs="宋体"/>
                <w:snapToGrid w:val="0"/>
                <w:color w:val="auto"/>
                <w:kern w:val="0"/>
                <w:sz w:val="21"/>
                <w:szCs w:val="21"/>
                <w:highlight w:val="none"/>
                <w:lang w:val="en-US" w:eastAsia="zh-CN"/>
              </w:rPr>
              <w:t>等相关佐证材料。承诺函格式自拟。</w:t>
            </w:r>
          </w:p>
          <w:p w14:paraId="2AB96AC2">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lang w:val="en-US" w:eastAsia="zh-CN"/>
              </w:rPr>
            </w:pPr>
            <w:r>
              <w:rPr>
                <w:rFonts w:hint="eastAsia" w:ascii="宋体" w:hAnsi="宋体" w:eastAsia="宋体" w:cs="宋体"/>
                <w:snapToGrid w:val="0"/>
                <w:color w:val="auto"/>
                <w:kern w:val="0"/>
                <w:sz w:val="21"/>
                <w:szCs w:val="21"/>
                <w:highlight w:val="none"/>
                <w:lang w:val="en-US" w:eastAsia="zh-CN"/>
              </w:rPr>
              <w:t>2.招标人地址：</w:t>
            </w:r>
            <w:r>
              <w:rPr>
                <w:rFonts w:hint="eastAsia" w:ascii="宋体" w:hAnsi="宋体" w:eastAsia="宋体" w:cs="宋体"/>
                <w:snapToGrid w:val="0"/>
                <w:color w:val="auto"/>
                <w:kern w:val="0"/>
                <w:sz w:val="21"/>
                <w:szCs w:val="21"/>
                <w:highlight w:val="none"/>
                <w:lang w:eastAsia="zh-CN"/>
              </w:rPr>
              <w:t>乐昌市</w:t>
            </w:r>
            <w:r>
              <w:rPr>
                <w:rFonts w:hint="eastAsia" w:hAnsi="宋体" w:cs="宋体"/>
                <w:snapToGrid w:val="0"/>
                <w:color w:val="auto"/>
                <w:kern w:val="0"/>
                <w:sz w:val="21"/>
                <w:szCs w:val="21"/>
                <w:highlight w:val="none"/>
                <w:lang w:val="en-US" w:eastAsia="zh-CN"/>
              </w:rPr>
              <w:t>庆云</w:t>
            </w:r>
            <w:r>
              <w:rPr>
                <w:rFonts w:hint="eastAsia" w:ascii="宋体" w:hAnsi="宋体" w:eastAsia="宋体" w:cs="宋体"/>
                <w:snapToGrid w:val="0"/>
                <w:color w:val="auto"/>
                <w:kern w:val="0"/>
                <w:sz w:val="21"/>
                <w:szCs w:val="21"/>
                <w:highlight w:val="none"/>
                <w:lang w:val="en-US" w:eastAsia="zh-CN"/>
              </w:rPr>
              <w:t>镇</w:t>
            </w:r>
            <w:r>
              <w:rPr>
                <w:rFonts w:hint="eastAsia" w:ascii="宋体" w:hAnsi="宋体" w:eastAsia="宋体" w:cs="宋体"/>
                <w:snapToGrid w:val="0"/>
                <w:color w:val="auto"/>
                <w:kern w:val="0"/>
                <w:sz w:val="21"/>
                <w:szCs w:val="21"/>
                <w:highlight w:val="none"/>
                <w:lang w:eastAsia="zh-CN"/>
              </w:rPr>
              <w:t>人民政府。</w:t>
            </w:r>
          </w:p>
          <w:p w14:paraId="36DE6009">
            <w:pPr>
              <w:pStyle w:val="12"/>
              <w:wordWrap w:val="0"/>
              <w:adjustRightInd w:val="0"/>
              <w:snapToGrid w:val="0"/>
              <w:spacing w:after="0"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lang w:val="en-US" w:eastAsia="zh-CN"/>
              </w:rPr>
              <w:t>3.不符合评分标准和备注规定的，不计分。</w:t>
            </w:r>
          </w:p>
        </w:tc>
      </w:tr>
      <w:tr w14:paraId="27536A4D">
        <w:tblPrEx>
          <w:tblCellMar>
            <w:top w:w="0" w:type="dxa"/>
            <w:left w:w="108" w:type="dxa"/>
            <w:bottom w:w="0" w:type="dxa"/>
            <w:right w:w="108" w:type="dxa"/>
          </w:tblCellMar>
        </w:tblPrEx>
        <w:trPr>
          <w:trHeight w:val="567" w:hRule="exact"/>
          <w:jc w:val="center"/>
        </w:trPr>
        <w:tc>
          <w:tcPr>
            <w:tcW w:w="964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6108D27E">
            <w:pPr>
              <w:pStyle w:val="12"/>
              <w:wordWrap w:val="0"/>
              <w:adjustRightInd w:val="0"/>
              <w:snapToGrid w:val="0"/>
              <w:spacing w:after="0" w:line="440" w:lineRule="exact"/>
              <w:jc w:val="left"/>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技术部分（施工组织设计），满分：</w:t>
            </w:r>
            <w:r>
              <w:rPr>
                <w:rFonts w:hint="eastAsia" w:hAnsi="宋体" w:cs="黑体"/>
                <w:snapToGrid w:val="0"/>
                <w:color w:val="auto"/>
                <w:kern w:val="0"/>
                <w:sz w:val="21"/>
                <w:szCs w:val="21"/>
                <w:highlight w:val="none"/>
                <w:u w:val="single"/>
              </w:rPr>
              <w:t xml:space="preserve"> 20 </w:t>
            </w:r>
            <w:r>
              <w:rPr>
                <w:rFonts w:hint="eastAsia" w:hAnsi="宋体" w:cs="黑体"/>
                <w:snapToGrid w:val="0"/>
                <w:color w:val="auto"/>
                <w:kern w:val="0"/>
                <w:sz w:val="21"/>
                <w:szCs w:val="21"/>
                <w:highlight w:val="none"/>
              </w:rPr>
              <w:t>分。</w:t>
            </w:r>
          </w:p>
        </w:tc>
      </w:tr>
      <w:tr w14:paraId="4BDD206B">
        <w:tblPrEx>
          <w:tblCellMar>
            <w:top w:w="0" w:type="dxa"/>
            <w:left w:w="108" w:type="dxa"/>
            <w:bottom w:w="0" w:type="dxa"/>
            <w:right w:w="108" w:type="dxa"/>
          </w:tblCellMar>
        </w:tblPrEx>
        <w:trPr>
          <w:trHeight w:val="680" w:hRule="exac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38667357">
            <w:pPr>
              <w:pStyle w:val="12"/>
              <w:wordWrap w:val="0"/>
              <w:adjustRightInd w:val="0"/>
              <w:snapToGrid w:val="0"/>
              <w:spacing w:after="0" w:line="440" w:lineRule="exact"/>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评分因素</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4A826E50">
            <w:pPr>
              <w:pStyle w:val="12"/>
              <w:wordWrap w:val="0"/>
              <w:adjustRightInd w:val="0"/>
              <w:snapToGrid w:val="0"/>
              <w:spacing w:after="0" w:line="440" w:lineRule="exact"/>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评分标准</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0FF5DBA5">
            <w:pPr>
              <w:pStyle w:val="12"/>
              <w:wordWrap w:val="0"/>
              <w:adjustRightInd w:val="0"/>
              <w:snapToGrid w:val="0"/>
              <w:spacing w:after="0" w:line="440" w:lineRule="exact"/>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备注</w:t>
            </w:r>
          </w:p>
        </w:tc>
      </w:tr>
      <w:tr w14:paraId="59CDE48F">
        <w:tblPrEx>
          <w:tblCellMar>
            <w:top w:w="0" w:type="dxa"/>
            <w:left w:w="108" w:type="dxa"/>
            <w:bottom w:w="0" w:type="dxa"/>
            <w:right w:w="108" w:type="dxa"/>
          </w:tblCellMar>
        </w:tblPrEx>
        <w:trPr>
          <w:trHeight w:val="45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21EA874C">
            <w:pPr>
              <w:pStyle w:val="118"/>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 xml:space="preserve"> 总体概述</w:t>
            </w:r>
          </w:p>
          <w:p w14:paraId="1F93C806">
            <w:pPr>
              <w:pStyle w:val="12"/>
              <w:wordWrap w:val="0"/>
              <w:adjustRightInd w:val="0"/>
              <w:snapToGrid w:val="0"/>
              <w:spacing w:after="0" w:line="400" w:lineRule="exact"/>
              <w:jc w:val="center"/>
              <w:rPr>
                <w:rFonts w:hint="eastAsia" w:hAnsi="宋体"/>
                <w:snapToGrid w:val="0"/>
                <w:color w:val="auto"/>
                <w:kern w:val="0"/>
                <w:sz w:val="21"/>
                <w:szCs w:val="21"/>
                <w:highlight w:val="none"/>
              </w:rPr>
            </w:pPr>
            <w:r>
              <w:rPr>
                <w:rFonts w:hint="eastAsia" w:ascii="Times New Roman"/>
                <w:snapToGrid w:val="0"/>
                <w:color w:val="auto"/>
                <w:kern w:val="0"/>
                <w:sz w:val="21"/>
                <w:szCs w:val="21"/>
              </w:rPr>
              <w:t>（</w:t>
            </w:r>
            <w:r>
              <w:rPr>
                <w:rFonts w:hint="eastAsia" w:ascii="Times New Roman"/>
                <w:snapToGrid w:val="0"/>
                <w:color w:val="auto"/>
                <w:kern w:val="0"/>
                <w:sz w:val="21"/>
                <w:szCs w:val="21"/>
                <w:u w:val="single"/>
              </w:rPr>
              <w:t xml:space="preserve"> 3 </w:t>
            </w:r>
            <w:r>
              <w:rPr>
                <w:rFonts w:hint="eastAsia" w:ascii="Times New Roman"/>
                <w:snapToGrid w:val="0"/>
                <w:color w:val="auto"/>
                <w:kern w:val="0"/>
                <w:sz w:val="21"/>
                <w:szCs w:val="21"/>
              </w:rPr>
              <w:t>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6D3EEE6E">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【优】得该项评分因素分值的90%～100%（含90%）。</w:t>
            </w:r>
          </w:p>
          <w:p w14:paraId="7DF81ED4">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【良】得该项评分因素分值的80%～90%（含80%）。</w:t>
            </w:r>
          </w:p>
          <w:p w14:paraId="38ACA6CF">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【中】得该项评分因素分值的70%～80%（含70%）。</w:t>
            </w:r>
          </w:p>
          <w:p w14:paraId="473E40BA">
            <w:pPr>
              <w:pStyle w:val="12"/>
              <w:wordWrap w:val="0"/>
              <w:adjustRightInd w:val="0"/>
              <w:snapToGrid w:val="0"/>
              <w:spacing w:after="0" w:line="400" w:lineRule="exact"/>
              <w:jc w:val="left"/>
              <w:rPr>
                <w:rFonts w:hint="eastAsia" w:hAnsi="宋体"/>
                <w:snapToGrid w:val="0"/>
                <w:color w:val="auto"/>
                <w:kern w:val="0"/>
                <w:sz w:val="21"/>
                <w:szCs w:val="21"/>
                <w:highlight w:val="none"/>
              </w:rPr>
            </w:pPr>
            <w:r>
              <w:rPr>
                <w:rFonts w:hint="eastAsia" w:ascii="Times New Roman"/>
                <w:snapToGrid w:val="0"/>
                <w:color w:val="auto"/>
                <w:kern w:val="0"/>
                <w:sz w:val="21"/>
                <w:szCs w:val="21"/>
              </w:rPr>
              <w:t>【差】得该项评分因素分值的60～70%（含60%）。</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7ED56DFF">
            <w:pPr>
              <w:pStyle w:val="12"/>
              <w:wordWrap w:val="0"/>
              <w:adjustRightInd w:val="0"/>
              <w:snapToGrid w:val="0"/>
              <w:spacing w:after="0" w:line="44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 xml:space="preserve">【优】对项目总体有深刻认识，表述清晰、完整、严谨、合理，措施先进、具体、有效、成熟，采用了新技术、新工艺、新材料、新设备；施工段划分呼应总体表述，划分清晰、合理，符合规范要求。 </w:t>
            </w:r>
          </w:p>
          <w:p w14:paraId="1BF9F4DD">
            <w:pPr>
              <w:pStyle w:val="12"/>
              <w:wordWrap w:val="0"/>
              <w:adjustRightInd w:val="0"/>
              <w:snapToGrid w:val="0"/>
              <w:spacing w:after="0" w:line="44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【良】对项目总体有一定认识，表述清晰、完整，措施具体有效；施工段划分呼应总体表述，划分清晰，符合规范要求。</w:t>
            </w:r>
          </w:p>
          <w:p w14:paraId="3A24921E">
            <w:pPr>
              <w:pStyle w:val="12"/>
              <w:wordWrap w:val="0"/>
              <w:adjustRightInd w:val="0"/>
              <w:snapToGrid w:val="0"/>
              <w:spacing w:after="0" w:line="440" w:lineRule="exact"/>
              <w:jc w:val="left"/>
              <w:rPr>
                <w:rFonts w:hAnsi="宋体" w:cs="宋体"/>
                <w:snapToGrid w:val="0"/>
                <w:color w:val="auto"/>
                <w:kern w:val="0"/>
                <w:sz w:val="21"/>
                <w:szCs w:val="21"/>
                <w:highlight w:val="none"/>
              </w:rPr>
            </w:pPr>
            <w:r>
              <w:rPr>
                <w:rFonts w:hint="eastAsia" w:hAnsi="宋体" w:cs="宋体"/>
                <w:snapToGrid w:val="0"/>
                <w:color w:val="auto"/>
                <w:kern w:val="0"/>
                <w:sz w:val="21"/>
                <w:szCs w:val="21"/>
                <w:highlight w:val="none"/>
              </w:rPr>
              <w:t>【中】对项目总体有认识，有一定的措施但部分不具体；施工段划分较合理，符合规范要求。</w:t>
            </w:r>
          </w:p>
          <w:p w14:paraId="5BFBE169">
            <w:pPr>
              <w:pStyle w:val="12"/>
              <w:wordWrap w:val="0"/>
              <w:adjustRightInd w:val="0"/>
              <w:snapToGrid w:val="0"/>
              <w:spacing w:after="0" w:line="440" w:lineRule="exact"/>
              <w:jc w:val="left"/>
              <w:rPr>
                <w:rFonts w:hint="eastAsia" w:hAnsi="宋体"/>
                <w:snapToGrid w:val="0"/>
                <w:color w:val="auto"/>
                <w:kern w:val="0"/>
                <w:sz w:val="21"/>
                <w:szCs w:val="21"/>
                <w:highlight w:val="none"/>
              </w:rPr>
            </w:pPr>
            <w:r>
              <w:rPr>
                <w:rFonts w:hint="eastAsia" w:hAnsi="宋体" w:cs="宋体"/>
                <w:snapToGrid w:val="0"/>
                <w:color w:val="auto"/>
                <w:kern w:val="0"/>
                <w:sz w:val="21"/>
                <w:szCs w:val="21"/>
                <w:highlight w:val="none"/>
              </w:rPr>
              <w:t>【差】对项目认识不足，表述不清晰，措施不具体；施工段划分不合理。</w:t>
            </w:r>
          </w:p>
        </w:tc>
      </w:tr>
      <w:tr w14:paraId="5F674BF8">
        <w:tblPrEx>
          <w:tblCellMar>
            <w:top w:w="0" w:type="dxa"/>
            <w:left w:w="108" w:type="dxa"/>
            <w:bottom w:w="0" w:type="dxa"/>
            <w:right w:w="108" w:type="dxa"/>
          </w:tblCellMar>
        </w:tblPrEx>
        <w:trPr>
          <w:trHeight w:val="45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223E8CB">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施工总进</w:t>
            </w:r>
          </w:p>
          <w:p w14:paraId="15FC2937">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度计划及</w:t>
            </w:r>
          </w:p>
          <w:p w14:paraId="1768A400">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保证措施</w:t>
            </w:r>
          </w:p>
          <w:p w14:paraId="2F0D8BD9">
            <w:pPr>
              <w:pStyle w:val="67"/>
              <w:wordWrap w:val="0"/>
              <w:adjustRightInd w:val="0"/>
              <w:snapToGrid w:val="0"/>
              <w:spacing w:line="400" w:lineRule="exact"/>
              <w:jc w:val="center"/>
              <w:rPr>
                <w:rFonts w:hint="eastAsia" w:ascii="宋体" w:hAnsi="宋体" w:eastAsia="宋体"/>
                <w:snapToGrid w:val="0"/>
                <w:color w:val="auto"/>
                <w:kern w:val="0"/>
                <w:szCs w:val="21"/>
                <w:highlight w:val="none"/>
              </w:rPr>
            </w:pPr>
            <w:r>
              <w:rPr>
                <w:rFonts w:hint="eastAsia" w:eastAsia="宋体"/>
                <w:snapToGrid w:val="0"/>
                <w:color w:val="auto"/>
                <w:kern w:val="0"/>
                <w:szCs w:val="21"/>
              </w:rPr>
              <w:t>（</w:t>
            </w:r>
            <w:r>
              <w:rPr>
                <w:rFonts w:hint="eastAsia" w:eastAsia="宋体"/>
                <w:snapToGrid w:val="0"/>
                <w:color w:val="auto"/>
                <w:kern w:val="0"/>
                <w:szCs w:val="21"/>
                <w:u w:val="single"/>
              </w:rPr>
              <w:t xml:space="preserve">3 </w:t>
            </w:r>
            <w:r>
              <w:rPr>
                <w:rFonts w:hint="eastAsia" w:eastAsia="宋体"/>
                <w:snapToGrid w:val="0"/>
                <w:color w:val="auto"/>
                <w:kern w:val="0"/>
                <w:szCs w:val="21"/>
              </w:rPr>
              <w:t>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49F0E3DB">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【优】得该项评分因素分值的90%～100%（含90%）。</w:t>
            </w:r>
          </w:p>
          <w:p w14:paraId="35D79C73">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【良】得该项评分因素分值的80%～90%（含80%）。</w:t>
            </w:r>
          </w:p>
          <w:p w14:paraId="1B1746B3">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【中】得该项评分因素分值的70%～80%（含70%）。</w:t>
            </w:r>
          </w:p>
          <w:p w14:paraId="7C43BA6F">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eastAsia="宋体"/>
                <w:snapToGrid w:val="0"/>
                <w:color w:val="auto"/>
                <w:kern w:val="0"/>
                <w:szCs w:val="21"/>
              </w:rPr>
              <w:t>【差】得该项评分因素分值的60～70%（含60%）。</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7ACF3E18">
            <w:pPr>
              <w:pStyle w:val="115"/>
              <w:wordWrap w:val="0"/>
              <w:adjustRightInd w:val="0"/>
              <w:snapToGrid w:val="0"/>
              <w:spacing w:line="46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优】关键线路清晰、准确、完整，计划编制合理、可行。关键节点的控制措施有力、合理、可行。人、材、机需求和进场计划与进度计划相呼应，较好满足施工需要，调配投入计划合理、准确。进度违约责任承诺具体，经济赔偿最大。</w:t>
            </w:r>
          </w:p>
          <w:p w14:paraId="47282A01">
            <w:pPr>
              <w:pStyle w:val="115"/>
              <w:wordWrap w:val="0"/>
              <w:adjustRightInd w:val="0"/>
              <w:snapToGrid w:val="0"/>
              <w:spacing w:line="46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良】关键线路清晰、准确、完整，计划编制可行。关键节点的控制措施合理、可行。人、材、机需求和进场计划与进度计划相呼应，基本满足施工需要，调配投入计划基本合理、准确。进度违约责任承诺具体，经济赔偿次大。</w:t>
            </w:r>
          </w:p>
          <w:p w14:paraId="712FD177">
            <w:pPr>
              <w:pStyle w:val="115"/>
              <w:wordWrap w:val="0"/>
              <w:adjustRightInd w:val="0"/>
              <w:snapToGrid w:val="0"/>
              <w:spacing w:line="46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【中】关键线路基本准确，计划编制基本合理。关键节点的控制措施基本可行。人、材、机需求和进场计划与进度计划相呼应，基本满足施工需要，调配投入计划基本合理。进度违约责任承诺具体。</w:t>
            </w:r>
          </w:p>
          <w:p w14:paraId="0458DD1B">
            <w:pPr>
              <w:pStyle w:val="115"/>
              <w:wordWrap w:val="0"/>
              <w:adjustRightInd w:val="0"/>
              <w:snapToGrid w:val="0"/>
              <w:spacing w:line="460" w:lineRule="exact"/>
              <w:rPr>
                <w:rFonts w:hint="eastAsia"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【差】关键线路不准确，计划编制不合理。关键节点的控制不可行。人、材、机需求和进场计划与进度计划不相呼应，不能满足施工需要。没有违约责任承诺。</w:t>
            </w:r>
          </w:p>
        </w:tc>
      </w:tr>
      <w:tr w14:paraId="7023AD2F">
        <w:tblPrEx>
          <w:tblCellMar>
            <w:top w:w="0" w:type="dxa"/>
            <w:left w:w="108" w:type="dxa"/>
            <w:bottom w:w="0" w:type="dxa"/>
            <w:right w:w="108" w:type="dxa"/>
          </w:tblCellMar>
        </w:tblPrEx>
        <w:trPr>
          <w:trHeight w:val="45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1027AE01">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质量</w:t>
            </w:r>
          </w:p>
          <w:p w14:paraId="454BD46B">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保证措施</w:t>
            </w:r>
          </w:p>
          <w:p w14:paraId="3EE9245F">
            <w:pPr>
              <w:pStyle w:val="67"/>
              <w:wordWrap w:val="0"/>
              <w:adjustRightInd w:val="0"/>
              <w:snapToGrid w:val="0"/>
              <w:spacing w:line="400" w:lineRule="exact"/>
              <w:jc w:val="center"/>
              <w:rPr>
                <w:rFonts w:hint="eastAsia" w:ascii="宋体" w:hAnsi="宋体" w:eastAsia="宋体"/>
                <w:snapToGrid w:val="0"/>
                <w:color w:val="auto"/>
                <w:kern w:val="0"/>
                <w:szCs w:val="21"/>
                <w:highlight w:val="none"/>
              </w:rPr>
            </w:pPr>
            <w:r>
              <w:rPr>
                <w:rFonts w:hint="eastAsia" w:eastAsia="宋体"/>
                <w:snapToGrid w:val="0"/>
                <w:color w:val="auto"/>
                <w:kern w:val="0"/>
                <w:szCs w:val="21"/>
              </w:rPr>
              <w:t>（4</w:t>
            </w:r>
            <w:r>
              <w:rPr>
                <w:rFonts w:hint="eastAsia" w:eastAsia="宋体"/>
                <w:snapToGrid w:val="0"/>
                <w:color w:val="auto"/>
                <w:kern w:val="0"/>
                <w:szCs w:val="21"/>
                <w:u w:val="single"/>
              </w:rPr>
              <w:t xml:space="preserve"> </w:t>
            </w:r>
            <w:r>
              <w:rPr>
                <w:rFonts w:hint="eastAsia" w:eastAsia="宋体"/>
                <w:snapToGrid w:val="0"/>
                <w:color w:val="auto"/>
                <w:kern w:val="0"/>
                <w:szCs w:val="21"/>
              </w:rPr>
              <w:t>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59B0F07F">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【优】得该项评分因素分值的90%～100%（含90%）。</w:t>
            </w:r>
          </w:p>
          <w:p w14:paraId="0899345F">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【良】得该项评分因素分值的80%～90%（含80%）。</w:t>
            </w:r>
          </w:p>
          <w:p w14:paraId="052092A0">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【中】得该项评分因素分值的70%～80%（含70%）。</w:t>
            </w:r>
          </w:p>
          <w:p w14:paraId="41AE00D5">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eastAsia="宋体"/>
                <w:snapToGrid w:val="0"/>
                <w:color w:val="auto"/>
                <w:kern w:val="0"/>
                <w:szCs w:val="21"/>
              </w:rPr>
              <w:t>【差】得该项评分因素分值的60～70%（含60%）。</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0B4DBC0B">
            <w:pPr>
              <w:pStyle w:val="115"/>
              <w:wordWrap w:val="0"/>
              <w:adjustRightInd w:val="0"/>
              <w:snapToGrid w:val="0"/>
              <w:spacing w:line="46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【优】应用新技术、新工艺、新材料、新设备，针对项目实际提出先进、可行、具体的保证措施。超过招标文件的质量要求。质量违约责任承诺具体，经济赔偿最大。</w:t>
            </w:r>
          </w:p>
          <w:p w14:paraId="19E5906A">
            <w:pPr>
              <w:pStyle w:val="115"/>
              <w:wordWrap w:val="0"/>
              <w:adjustRightInd w:val="0"/>
              <w:snapToGrid w:val="0"/>
              <w:spacing w:line="46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【良】针对项目实际提出先进、可行、具体的保证措施。满足招标文件的质量要求。质量违约责任承诺具体，经济赔偿次大。</w:t>
            </w:r>
          </w:p>
          <w:p w14:paraId="064A76D9">
            <w:pPr>
              <w:pStyle w:val="115"/>
              <w:wordWrap w:val="0"/>
              <w:adjustRightInd w:val="0"/>
              <w:snapToGrid w:val="0"/>
              <w:spacing w:line="46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【中】具体措施可行。满足招标文件的质量要求。质量违约责任承诺具体。</w:t>
            </w:r>
          </w:p>
          <w:p w14:paraId="2C89FD01">
            <w:pPr>
              <w:pStyle w:val="115"/>
              <w:wordWrap w:val="0"/>
              <w:adjustRightInd w:val="0"/>
              <w:snapToGrid w:val="0"/>
              <w:spacing w:line="460" w:lineRule="exact"/>
              <w:rPr>
                <w:rFonts w:hint="eastAsia"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【差】措施不可行，没有质量违约责任承诺。</w:t>
            </w:r>
          </w:p>
        </w:tc>
      </w:tr>
      <w:tr w14:paraId="26C5C31C">
        <w:tblPrEx>
          <w:tblCellMar>
            <w:top w:w="0" w:type="dxa"/>
            <w:left w:w="108" w:type="dxa"/>
            <w:bottom w:w="0" w:type="dxa"/>
            <w:right w:w="108" w:type="dxa"/>
          </w:tblCellMar>
        </w:tblPrEx>
        <w:trPr>
          <w:trHeight w:val="45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4195E2D">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施工</w:t>
            </w:r>
          </w:p>
          <w:p w14:paraId="4C86E397">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技术措施</w:t>
            </w:r>
          </w:p>
          <w:p w14:paraId="15CAE2A3">
            <w:pPr>
              <w:pStyle w:val="67"/>
              <w:wordWrap w:val="0"/>
              <w:adjustRightInd w:val="0"/>
              <w:snapToGrid w:val="0"/>
              <w:spacing w:line="400" w:lineRule="exact"/>
              <w:jc w:val="center"/>
              <w:rPr>
                <w:rFonts w:hint="eastAsia" w:ascii="宋体" w:hAnsi="宋体" w:eastAsia="宋体"/>
                <w:snapToGrid w:val="0"/>
                <w:color w:val="auto"/>
                <w:kern w:val="0"/>
                <w:szCs w:val="21"/>
                <w:highlight w:val="none"/>
              </w:rPr>
            </w:pPr>
            <w:r>
              <w:rPr>
                <w:rFonts w:hint="eastAsia" w:eastAsia="宋体"/>
                <w:snapToGrid w:val="0"/>
                <w:color w:val="auto"/>
                <w:kern w:val="0"/>
                <w:szCs w:val="21"/>
              </w:rPr>
              <w:t>（</w:t>
            </w:r>
            <w:r>
              <w:rPr>
                <w:rFonts w:hint="eastAsia" w:eastAsia="宋体"/>
                <w:snapToGrid w:val="0"/>
                <w:color w:val="auto"/>
                <w:kern w:val="0"/>
                <w:szCs w:val="21"/>
                <w:u w:val="single"/>
              </w:rPr>
              <w:t xml:space="preserve"> 2 </w:t>
            </w:r>
            <w:r>
              <w:rPr>
                <w:rFonts w:hint="eastAsia" w:eastAsia="宋体"/>
                <w:snapToGrid w:val="0"/>
                <w:color w:val="auto"/>
                <w:kern w:val="0"/>
                <w:szCs w:val="21"/>
              </w:rPr>
              <w:t>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758E67A6">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【优】得该项评分因素分值的90%～100%（含90%）。</w:t>
            </w:r>
          </w:p>
          <w:p w14:paraId="01529389">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【良】得该项评分因素分值的80%～90%（含80%）。</w:t>
            </w:r>
          </w:p>
          <w:p w14:paraId="32C3AE31">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【中】得该项评分因素分值的70%～80%（含70%）。</w:t>
            </w:r>
          </w:p>
          <w:p w14:paraId="00682D96">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eastAsia="宋体"/>
                <w:snapToGrid w:val="0"/>
                <w:color w:val="auto"/>
                <w:kern w:val="0"/>
                <w:szCs w:val="21"/>
              </w:rPr>
              <w:t>【差】得该项评分因素分值的60～70%（含60%）。</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75025351">
            <w:pPr>
              <w:pStyle w:val="115"/>
              <w:wordWrap w:val="0"/>
              <w:adjustRightInd w:val="0"/>
              <w:snapToGrid w:val="0"/>
              <w:spacing w:line="44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最大。</w:t>
            </w:r>
          </w:p>
          <w:p w14:paraId="377932FF">
            <w:pPr>
              <w:pStyle w:val="115"/>
              <w:wordWrap w:val="0"/>
              <w:adjustRightInd w:val="0"/>
              <w:snapToGrid w:val="0"/>
              <w:spacing w:line="44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次大。</w:t>
            </w:r>
          </w:p>
          <w:p w14:paraId="30263CB9">
            <w:pPr>
              <w:pStyle w:val="115"/>
              <w:wordWrap w:val="0"/>
              <w:adjustRightInd w:val="0"/>
              <w:snapToGrid w:val="0"/>
              <w:spacing w:line="44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59C68DB9">
            <w:pPr>
              <w:pStyle w:val="115"/>
              <w:wordWrap w:val="0"/>
              <w:adjustRightInd w:val="0"/>
              <w:snapToGrid w:val="0"/>
              <w:spacing w:line="440" w:lineRule="exact"/>
              <w:rPr>
                <w:rFonts w:hint="eastAsia"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【差】对项目关键技术有表述，对重点、难点有建议，解决方案不可行。采用的新技术针对性不强或验证材料不可靠，对节约投资、工期没有具体收益。无违约责任承诺。</w:t>
            </w:r>
          </w:p>
        </w:tc>
      </w:tr>
      <w:tr w14:paraId="12C149B7">
        <w:tblPrEx>
          <w:tblCellMar>
            <w:top w:w="0" w:type="dxa"/>
            <w:left w:w="108" w:type="dxa"/>
            <w:bottom w:w="0" w:type="dxa"/>
            <w:right w:w="108" w:type="dxa"/>
          </w:tblCellMar>
        </w:tblPrEx>
        <w:trPr>
          <w:trHeight w:val="45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6759E1B">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绿色施工、</w:t>
            </w:r>
          </w:p>
          <w:p w14:paraId="796AD43A">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安全防护、</w:t>
            </w:r>
          </w:p>
          <w:p w14:paraId="624D347B">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文明施工</w:t>
            </w:r>
          </w:p>
          <w:p w14:paraId="568A9CAF">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措施计划</w:t>
            </w:r>
          </w:p>
          <w:p w14:paraId="45C2CDC2">
            <w:pPr>
              <w:pStyle w:val="67"/>
              <w:wordWrap w:val="0"/>
              <w:adjustRightInd w:val="0"/>
              <w:snapToGrid w:val="0"/>
              <w:spacing w:line="400" w:lineRule="exact"/>
              <w:jc w:val="center"/>
              <w:rPr>
                <w:rFonts w:hint="eastAsia" w:ascii="宋体" w:hAnsi="宋体" w:eastAsia="宋体"/>
                <w:snapToGrid w:val="0"/>
                <w:color w:val="auto"/>
                <w:kern w:val="0"/>
                <w:szCs w:val="21"/>
                <w:highlight w:val="none"/>
              </w:rPr>
            </w:pPr>
            <w:r>
              <w:rPr>
                <w:rFonts w:hint="eastAsia" w:eastAsia="宋体"/>
                <w:snapToGrid w:val="0"/>
                <w:color w:val="auto"/>
                <w:kern w:val="0"/>
                <w:szCs w:val="21"/>
              </w:rPr>
              <w:t>（</w:t>
            </w:r>
            <w:r>
              <w:rPr>
                <w:rFonts w:hint="eastAsia" w:eastAsia="宋体"/>
                <w:snapToGrid w:val="0"/>
                <w:color w:val="auto"/>
                <w:kern w:val="0"/>
                <w:szCs w:val="21"/>
                <w:u w:val="single"/>
              </w:rPr>
              <w:t xml:space="preserve"> 3 </w:t>
            </w:r>
            <w:r>
              <w:rPr>
                <w:rFonts w:hint="eastAsia" w:eastAsia="宋体"/>
                <w:snapToGrid w:val="0"/>
                <w:color w:val="auto"/>
                <w:kern w:val="0"/>
                <w:szCs w:val="21"/>
              </w:rPr>
              <w:t>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3B8C646A">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【优】得该项评分因素分值的90%～100%（含90%）。</w:t>
            </w:r>
          </w:p>
          <w:p w14:paraId="69EF47DE">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【良】得该项评分因素分值的80%～90%（含80%）。</w:t>
            </w:r>
          </w:p>
          <w:p w14:paraId="4186B7E5">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【中】得该项评分因素分值的70%～80%（含70%）。</w:t>
            </w:r>
          </w:p>
          <w:p w14:paraId="6D6D20F7">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eastAsia="宋体"/>
                <w:snapToGrid w:val="0"/>
                <w:color w:val="auto"/>
                <w:kern w:val="0"/>
                <w:szCs w:val="21"/>
              </w:rPr>
              <w:t>【差】得该项评分因素分值的60～70%（含60%）。</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3F81932B">
            <w:pPr>
              <w:pStyle w:val="115"/>
              <w:wordWrap w:val="0"/>
              <w:adjustRightInd w:val="0"/>
              <w:snapToGrid w:val="0"/>
              <w:spacing w:line="44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【优】针对项目实际情况，有先进、具体、完整、可行的措施，采用规范准确、清晰。</w:t>
            </w:r>
          </w:p>
          <w:p w14:paraId="4C045658">
            <w:pPr>
              <w:pStyle w:val="115"/>
              <w:wordWrap w:val="0"/>
              <w:adjustRightInd w:val="0"/>
              <w:snapToGrid w:val="0"/>
              <w:spacing w:line="44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【良】针对项目实际情况，有合理的措施且具体、完整，采用规范准确。</w:t>
            </w:r>
          </w:p>
          <w:p w14:paraId="4617F1A0">
            <w:pPr>
              <w:pStyle w:val="115"/>
              <w:wordWrap w:val="0"/>
              <w:adjustRightInd w:val="0"/>
              <w:snapToGrid w:val="0"/>
              <w:spacing w:line="44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【中】有基本合理的措施，采用规范准确。</w:t>
            </w:r>
          </w:p>
          <w:p w14:paraId="57F3EF2F">
            <w:pPr>
              <w:pStyle w:val="115"/>
              <w:wordWrap w:val="0"/>
              <w:adjustRightInd w:val="0"/>
              <w:snapToGrid w:val="0"/>
              <w:spacing w:line="440" w:lineRule="exact"/>
              <w:rPr>
                <w:rFonts w:hint="eastAsia"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【差】措施不力，采用规范不正确。</w:t>
            </w:r>
          </w:p>
        </w:tc>
      </w:tr>
      <w:tr w14:paraId="170073FD">
        <w:tblPrEx>
          <w:tblCellMar>
            <w:top w:w="0" w:type="dxa"/>
            <w:left w:w="108" w:type="dxa"/>
            <w:bottom w:w="0" w:type="dxa"/>
            <w:right w:w="108" w:type="dxa"/>
          </w:tblCellMar>
        </w:tblPrEx>
        <w:trPr>
          <w:trHeight w:val="45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012AC3B5">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施工平面</w:t>
            </w:r>
          </w:p>
          <w:p w14:paraId="0FE3C63C">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布置和临时设施布置</w:t>
            </w:r>
          </w:p>
          <w:p w14:paraId="23D868CB">
            <w:pPr>
              <w:pStyle w:val="67"/>
              <w:wordWrap w:val="0"/>
              <w:adjustRightInd w:val="0"/>
              <w:snapToGrid w:val="0"/>
              <w:spacing w:line="400" w:lineRule="exact"/>
              <w:jc w:val="center"/>
              <w:rPr>
                <w:rFonts w:hint="eastAsia" w:ascii="宋体" w:hAnsi="宋体" w:eastAsia="宋体"/>
                <w:snapToGrid w:val="0"/>
                <w:color w:val="auto"/>
                <w:kern w:val="0"/>
                <w:szCs w:val="21"/>
                <w:highlight w:val="none"/>
              </w:rPr>
            </w:pPr>
            <w:r>
              <w:rPr>
                <w:rFonts w:hint="eastAsia" w:eastAsia="宋体"/>
                <w:snapToGrid w:val="0"/>
                <w:color w:val="auto"/>
                <w:kern w:val="0"/>
                <w:szCs w:val="21"/>
              </w:rPr>
              <w:t>（</w:t>
            </w:r>
            <w:r>
              <w:rPr>
                <w:rFonts w:hint="eastAsia" w:eastAsia="宋体"/>
                <w:snapToGrid w:val="0"/>
                <w:color w:val="auto"/>
                <w:kern w:val="0"/>
                <w:szCs w:val="21"/>
                <w:u w:val="single"/>
              </w:rPr>
              <w:t xml:space="preserve"> 2 </w:t>
            </w:r>
            <w:r>
              <w:rPr>
                <w:rFonts w:hint="eastAsia" w:eastAsia="宋体"/>
                <w:snapToGrid w:val="0"/>
                <w:color w:val="auto"/>
                <w:kern w:val="0"/>
                <w:szCs w:val="21"/>
              </w:rPr>
              <w:t>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33DA0847">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【优】得该项评分因素分值的90%～100%（含90%）。</w:t>
            </w:r>
          </w:p>
          <w:p w14:paraId="07999081">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【良】得该项评分因素分值的80%～90%（含80%）。</w:t>
            </w:r>
          </w:p>
          <w:p w14:paraId="314E39D1">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【中】得该项评分因素分值的70%～80%（含70%）。</w:t>
            </w:r>
          </w:p>
          <w:p w14:paraId="642FFEAC">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eastAsia="宋体"/>
                <w:snapToGrid w:val="0"/>
                <w:color w:val="auto"/>
                <w:kern w:val="0"/>
                <w:szCs w:val="21"/>
              </w:rPr>
              <w:t>【差】得该项评分因素分值的60～70%（含60%）。</w:t>
            </w:r>
          </w:p>
        </w:tc>
        <w:tc>
          <w:tcPr>
            <w:tcW w:w="4032" w:type="dxa"/>
            <w:tcBorders>
              <w:top w:val="single" w:color="auto" w:sz="4" w:space="0"/>
              <w:left w:val="single" w:color="auto" w:sz="4" w:space="0"/>
              <w:bottom w:val="single" w:color="auto" w:sz="4" w:space="0"/>
              <w:right w:val="single" w:color="auto" w:sz="4" w:space="0"/>
            </w:tcBorders>
            <w:noWrap w:val="0"/>
            <w:vAlign w:val="center"/>
          </w:tcPr>
          <w:p w14:paraId="2CAF1F75">
            <w:pPr>
              <w:pStyle w:val="115"/>
              <w:wordWrap w:val="0"/>
              <w:adjustRightInd w:val="0"/>
              <w:snapToGrid w:val="0"/>
              <w:spacing w:line="40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【优】总体布置有针对性、合理，较好满足施工需要，符合绿色施工、安全防护、文明施工要求。</w:t>
            </w:r>
          </w:p>
          <w:p w14:paraId="0C5B8D3E">
            <w:pPr>
              <w:pStyle w:val="115"/>
              <w:wordWrap w:val="0"/>
              <w:adjustRightInd w:val="0"/>
              <w:snapToGrid w:val="0"/>
              <w:spacing w:line="40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【良】总体布置合理，能满足施工需要，基本符合绿色施工、安全防护、文明施工要求。</w:t>
            </w:r>
          </w:p>
          <w:p w14:paraId="348A2564">
            <w:pPr>
              <w:pStyle w:val="115"/>
              <w:wordWrap w:val="0"/>
              <w:adjustRightInd w:val="0"/>
              <w:snapToGrid w:val="0"/>
              <w:spacing w:line="40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【中】总体布置基本合理，基本满足施工需要。</w:t>
            </w:r>
          </w:p>
          <w:p w14:paraId="32413A7B">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【差】总体布置不合理，不符合绿色施工、安全防护、文明施工要求。</w:t>
            </w:r>
          </w:p>
        </w:tc>
      </w:tr>
      <w:tr w14:paraId="7890D37E">
        <w:tblPrEx>
          <w:tblCellMar>
            <w:top w:w="0" w:type="dxa"/>
            <w:left w:w="108" w:type="dxa"/>
            <w:bottom w:w="0" w:type="dxa"/>
            <w:right w:w="108" w:type="dxa"/>
          </w:tblCellMar>
        </w:tblPrEx>
        <w:trPr>
          <w:trHeight w:val="457"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6BED941A">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项目</w:t>
            </w:r>
          </w:p>
          <w:p w14:paraId="29AE0563">
            <w:pPr>
              <w:pStyle w:val="67"/>
              <w:wordWrap w:val="0"/>
              <w:adjustRightInd w:val="0"/>
              <w:snapToGrid w:val="0"/>
              <w:spacing w:line="400" w:lineRule="exact"/>
              <w:jc w:val="center"/>
              <w:rPr>
                <w:rFonts w:hint="eastAsia" w:eastAsia="宋体"/>
                <w:snapToGrid w:val="0"/>
                <w:color w:val="auto"/>
                <w:kern w:val="0"/>
                <w:szCs w:val="21"/>
              </w:rPr>
            </w:pPr>
            <w:r>
              <w:rPr>
                <w:rFonts w:hint="eastAsia" w:eastAsia="宋体"/>
                <w:snapToGrid w:val="0"/>
                <w:color w:val="auto"/>
                <w:kern w:val="0"/>
                <w:szCs w:val="21"/>
              </w:rPr>
              <w:t>管理机构</w:t>
            </w:r>
          </w:p>
          <w:p w14:paraId="73375DF6">
            <w:pPr>
              <w:pStyle w:val="67"/>
              <w:wordWrap w:val="0"/>
              <w:adjustRightInd w:val="0"/>
              <w:snapToGrid w:val="0"/>
              <w:spacing w:line="400" w:lineRule="exact"/>
              <w:jc w:val="center"/>
              <w:rPr>
                <w:rFonts w:hint="eastAsia" w:ascii="宋体" w:hAnsi="宋体" w:eastAsia="宋体"/>
                <w:snapToGrid w:val="0"/>
                <w:color w:val="auto"/>
                <w:kern w:val="0"/>
                <w:szCs w:val="21"/>
                <w:highlight w:val="none"/>
              </w:rPr>
            </w:pPr>
            <w:r>
              <w:rPr>
                <w:rFonts w:hint="eastAsia" w:eastAsia="宋体"/>
                <w:snapToGrid w:val="0"/>
                <w:color w:val="auto"/>
                <w:kern w:val="0"/>
                <w:szCs w:val="21"/>
              </w:rPr>
              <w:t>（</w:t>
            </w:r>
            <w:r>
              <w:rPr>
                <w:rFonts w:hint="eastAsia" w:eastAsia="宋体"/>
                <w:snapToGrid w:val="0"/>
                <w:color w:val="auto"/>
                <w:kern w:val="0"/>
                <w:szCs w:val="21"/>
                <w:u w:val="single"/>
              </w:rPr>
              <w:t xml:space="preserve"> 3 </w:t>
            </w:r>
            <w:r>
              <w:rPr>
                <w:rFonts w:hint="eastAsia" w:eastAsia="宋体"/>
                <w:snapToGrid w:val="0"/>
                <w:color w:val="auto"/>
                <w:kern w:val="0"/>
                <w:szCs w:val="21"/>
              </w:rPr>
              <w:t>分）</w:t>
            </w:r>
          </w:p>
        </w:tc>
        <w:tc>
          <w:tcPr>
            <w:tcW w:w="4300" w:type="dxa"/>
            <w:tcBorders>
              <w:top w:val="single" w:color="auto" w:sz="4" w:space="0"/>
              <w:left w:val="single" w:color="auto" w:sz="4" w:space="0"/>
              <w:bottom w:val="single" w:color="auto" w:sz="4" w:space="0"/>
              <w:right w:val="single" w:color="auto" w:sz="4" w:space="0"/>
            </w:tcBorders>
            <w:noWrap w:val="0"/>
            <w:vAlign w:val="center"/>
          </w:tcPr>
          <w:p w14:paraId="2DD2AA0A">
            <w:pPr>
              <w:pStyle w:val="133"/>
              <w:wordWrap w:val="0"/>
              <w:adjustRightInd w:val="0"/>
              <w:snapToGrid w:val="0"/>
              <w:spacing w:line="400" w:lineRule="exact"/>
              <w:rPr>
                <w:rFonts w:hint="eastAsia" w:eastAsia="宋体"/>
                <w:snapToGrid w:val="0"/>
                <w:color w:val="auto"/>
                <w:kern w:val="0"/>
                <w:szCs w:val="21"/>
              </w:rPr>
            </w:pPr>
            <w:bookmarkStart w:id="152" w:name="OLE_LINK15"/>
            <w:r>
              <w:rPr>
                <w:rFonts w:hint="eastAsia" w:eastAsia="宋体"/>
                <w:snapToGrid w:val="0"/>
                <w:color w:val="auto"/>
                <w:kern w:val="0"/>
                <w:szCs w:val="21"/>
              </w:rPr>
              <w:t>【优】得该项评分因素分值的90%～100%（含90%）。</w:t>
            </w:r>
          </w:p>
          <w:p w14:paraId="5DF01355">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【良】得该项评分因素分值的80%～90%（含80%）。</w:t>
            </w:r>
          </w:p>
          <w:p w14:paraId="22A41F13">
            <w:pPr>
              <w:pStyle w:val="133"/>
              <w:wordWrap w:val="0"/>
              <w:adjustRightInd w:val="0"/>
              <w:snapToGrid w:val="0"/>
              <w:spacing w:line="400" w:lineRule="exact"/>
              <w:rPr>
                <w:rFonts w:hint="eastAsia" w:eastAsia="宋体"/>
                <w:snapToGrid w:val="0"/>
                <w:color w:val="auto"/>
                <w:kern w:val="0"/>
                <w:szCs w:val="21"/>
              </w:rPr>
            </w:pPr>
            <w:r>
              <w:rPr>
                <w:rFonts w:hint="eastAsia" w:eastAsia="宋体"/>
                <w:snapToGrid w:val="0"/>
                <w:color w:val="auto"/>
                <w:kern w:val="0"/>
                <w:szCs w:val="21"/>
              </w:rPr>
              <w:t>【中】得该项评分因素分值的70%～80%（含70%）。</w:t>
            </w:r>
          </w:p>
          <w:p w14:paraId="433BD773">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eastAsia="宋体"/>
                <w:snapToGrid w:val="0"/>
                <w:color w:val="auto"/>
                <w:kern w:val="0"/>
                <w:szCs w:val="21"/>
              </w:rPr>
              <w:t>【差】得该项评分因素分值的60～70%（含60%）。</w:t>
            </w:r>
            <w:bookmarkEnd w:id="152"/>
          </w:p>
        </w:tc>
        <w:tc>
          <w:tcPr>
            <w:tcW w:w="4032" w:type="dxa"/>
            <w:tcBorders>
              <w:top w:val="single" w:color="auto" w:sz="4" w:space="0"/>
              <w:left w:val="single" w:color="auto" w:sz="4" w:space="0"/>
              <w:bottom w:val="single" w:color="auto" w:sz="4" w:space="0"/>
              <w:right w:val="single" w:color="auto" w:sz="4" w:space="0"/>
            </w:tcBorders>
            <w:noWrap w:val="0"/>
            <w:vAlign w:val="center"/>
          </w:tcPr>
          <w:p w14:paraId="189A10DF">
            <w:pPr>
              <w:pStyle w:val="115"/>
              <w:wordWrap w:val="0"/>
              <w:adjustRightInd w:val="0"/>
              <w:snapToGrid w:val="0"/>
              <w:spacing w:line="40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【优】组织机构形式合理，有完善的指挥系统，生产及质量、绿色施工、安全、文明施工、创优达标监控系统、联络协调系统，人员配备齐全、专业分配合理。</w:t>
            </w:r>
          </w:p>
          <w:p w14:paraId="06AB0EA8">
            <w:pPr>
              <w:pStyle w:val="115"/>
              <w:wordWrap w:val="0"/>
              <w:adjustRightInd w:val="0"/>
              <w:snapToGrid w:val="0"/>
              <w:spacing w:line="40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【良】组织机构形式合理，指挥系统，生产及质量、绿色施工、安全、文明施工、创优达标监控系统、联络协调系统齐全，人员配备齐全、专业分配合理。</w:t>
            </w:r>
          </w:p>
          <w:p w14:paraId="714B78AA">
            <w:pPr>
              <w:pStyle w:val="115"/>
              <w:wordWrap w:val="0"/>
              <w:adjustRightInd w:val="0"/>
              <w:snapToGrid w:val="0"/>
              <w:spacing w:line="400" w:lineRule="exact"/>
              <w:rPr>
                <w:rFonts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【中】组织机构形式基本合理，有指挥系统，生产及质量、绿色施工、安全、文明施工、创优达标监控系统、联络协调系统齐全，人员配备基本齐全、专业分配基本合理。</w:t>
            </w:r>
          </w:p>
          <w:p w14:paraId="155BB763">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【差】组织机构形式合理，指挥系统，生产及质量、绿色施工、安全、文明施工、创优达标监控系统、联络协调系统不齐全，人员配备不齐全、专业分配不合理。</w:t>
            </w:r>
          </w:p>
        </w:tc>
      </w:tr>
      <w:tr w14:paraId="58AEE7BA">
        <w:tblPrEx>
          <w:tblCellMar>
            <w:top w:w="0" w:type="dxa"/>
            <w:left w:w="108" w:type="dxa"/>
            <w:bottom w:w="0" w:type="dxa"/>
            <w:right w:w="108" w:type="dxa"/>
          </w:tblCellMar>
        </w:tblPrEx>
        <w:trPr>
          <w:trHeight w:val="554" w:hRule="exact"/>
          <w:jc w:val="center"/>
        </w:trPr>
        <w:tc>
          <w:tcPr>
            <w:tcW w:w="9640"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768E8A01">
            <w:pPr>
              <w:pStyle w:val="115"/>
              <w:wordWrap w:val="0"/>
              <w:adjustRightInd w:val="0"/>
              <w:snapToGrid w:val="0"/>
              <w:spacing w:line="400" w:lineRule="exact"/>
              <w:rPr>
                <w:rFonts w:hint="eastAsia" w:ascii="宋体" w:hAnsi="宋体" w:eastAsia="宋体"/>
                <w:snapToGrid w:val="0"/>
                <w:color w:val="auto"/>
                <w:kern w:val="0"/>
                <w:szCs w:val="21"/>
                <w:highlight w:val="none"/>
              </w:rPr>
            </w:pPr>
            <w:r>
              <w:rPr>
                <w:rFonts w:hint="eastAsia" w:ascii="宋体" w:hAnsi="宋体" w:eastAsia="宋体" w:cs="黑体"/>
                <w:snapToGrid w:val="0"/>
                <w:color w:val="auto"/>
                <w:kern w:val="0"/>
                <w:szCs w:val="21"/>
                <w:highlight w:val="none"/>
              </w:rPr>
              <w:t>投标报价部分，满分：100分。</w:t>
            </w:r>
          </w:p>
        </w:tc>
      </w:tr>
      <w:tr w14:paraId="085D6E54">
        <w:tblPrEx>
          <w:tblCellMar>
            <w:top w:w="0" w:type="dxa"/>
            <w:left w:w="108" w:type="dxa"/>
            <w:bottom w:w="0" w:type="dxa"/>
            <w:right w:w="108" w:type="dxa"/>
          </w:tblCellMar>
        </w:tblPrEx>
        <w:trPr>
          <w:trHeight w:val="451" w:hRule="exac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11F9E9D8">
            <w:pPr>
              <w:pStyle w:val="12"/>
              <w:wordWrap w:val="0"/>
              <w:adjustRightInd w:val="0"/>
              <w:snapToGrid w:val="0"/>
              <w:spacing w:after="0" w:line="440" w:lineRule="exact"/>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评分事项</w:t>
            </w:r>
          </w:p>
        </w:tc>
        <w:tc>
          <w:tcPr>
            <w:tcW w:w="8332" w:type="dxa"/>
            <w:gridSpan w:val="2"/>
            <w:tcBorders>
              <w:top w:val="single" w:color="auto" w:sz="4" w:space="0"/>
              <w:left w:val="single" w:color="auto" w:sz="4" w:space="0"/>
              <w:bottom w:val="single" w:color="auto" w:sz="4" w:space="0"/>
              <w:right w:val="single" w:color="auto" w:sz="4" w:space="0"/>
            </w:tcBorders>
            <w:noWrap w:val="0"/>
            <w:vAlign w:val="center"/>
          </w:tcPr>
          <w:p w14:paraId="6C12BE9E">
            <w:pPr>
              <w:pStyle w:val="12"/>
              <w:wordWrap w:val="0"/>
              <w:adjustRightInd w:val="0"/>
              <w:snapToGrid w:val="0"/>
              <w:spacing w:after="0" w:line="440" w:lineRule="exact"/>
              <w:jc w:val="center"/>
              <w:rPr>
                <w:rFonts w:hint="eastAsia" w:hAnsi="宋体" w:cs="黑体"/>
                <w:snapToGrid w:val="0"/>
                <w:color w:val="auto"/>
                <w:kern w:val="0"/>
                <w:sz w:val="21"/>
                <w:szCs w:val="21"/>
                <w:highlight w:val="none"/>
              </w:rPr>
            </w:pPr>
            <w:r>
              <w:rPr>
                <w:rFonts w:hint="eastAsia" w:hAnsi="宋体" w:cs="黑体"/>
                <w:snapToGrid w:val="0"/>
                <w:color w:val="auto"/>
                <w:kern w:val="0"/>
                <w:sz w:val="21"/>
                <w:szCs w:val="21"/>
                <w:highlight w:val="none"/>
              </w:rPr>
              <w:t>评分方法</w:t>
            </w:r>
          </w:p>
        </w:tc>
      </w:tr>
      <w:tr w14:paraId="1BC000AE">
        <w:tblPrEx>
          <w:tblCellMar>
            <w:top w:w="0" w:type="dxa"/>
            <w:left w:w="108" w:type="dxa"/>
            <w:bottom w:w="0" w:type="dxa"/>
            <w:right w:w="108" w:type="dxa"/>
          </w:tblCellMar>
        </w:tblPrEx>
        <w:trPr>
          <w:trHeight w:val="632" w:hRule="atLeast"/>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2AF6CF01">
            <w:pPr>
              <w:pStyle w:val="67"/>
              <w:wordWrap w:val="0"/>
              <w:adjustRightInd w:val="0"/>
              <w:snapToGrid w:val="0"/>
              <w:spacing w:line="400" w:lineRule="exact"/>
              <w:jc w:val="center"/>
              <w:rPr>
                <w:rFonts w:ascii="宋体" w:hAnsi="宋体" w:eastAsia="宋体"/>
                <w:snapToGrid w:val="0"/>
                <w:color w:val="auto"/>
                <w:kern w:val="0"/>
                <w:szCs w:val="21"/>
                <w:highlight w:val="none"/>
              </w:rPr>
            </w:pPr>
            <w:r>
              <w:rPr>
                <w:rFonts w:hint="eastAsia" w:ascii="宋体" w:hAnsi="宋体" w:eastAsia="宋体" w:cs="宋体"/>
                <w:snapToGrid w:val="0"/>
                <w:color w:val="auto"/>
                <w:kern w:val="0"/>
                <w:szCs w:val="21"/>
                <w:highlight w:val="none"/>
              </w:rPr>
              <w:t>评标基准价D</w:t>
            </w:r>
          </w:p>
        </w:tc>
        <w:tc>
          <w:tcPr>
            <w:tcW w:w="8332" w:type="dxa"/>
            <w:gridSpan w:val="2"/>
            <w:tcBorders>
              <w:top w:val="single" w:color="auto" w:sz="4" w:space="0"/>
              <w:left w:val="single" w:color="auto" w:sz="4" w:space="0"/>
              <w:bottom w:val="single" w:color="auto" w:sz="4" w:space="0"/>
              <w:right w:val="single" w:color="auto" w:sz="4" w:space="0"/>
            </w:tcBorders>
            <w:noWrap w:val="0"/>
            <w:vAlign w:val="center"/>
          </w:tcPr>
          <w:p w14:paraId="5850BC6A">
            <w:pPr>
              <w:wordWrap w:val="0"/>
              <w:adjustRightInd w:val="0"/>
              <w:snapToGrid w:val="0"/>
              <w:spacing w:line="400" w:lineRule="exact"/>
              <w:ind w:firstLine="420" w:firstLineChars="200"/>
              <w:jc w:val="left"/>
              <w:rPr>
                <w:rFonts w:hint="eastAsia" w:hAnsi="宋体"/>
                <w:snapToGrid w:val="0"/>
                <w:color w:val="auto"/>
                <w:kern w:val="0"/>
                <w:sz w:val="21"/>
                <w:szCs w:val="21"/>
                <w:highlight w:val="none"/>
              </w:rPr>
            </w:pPr>
            <w:r>
              <w:rPr>
                <w:rFonts w:hint="eastAsia" w:hAnsi="宋体"/>
                <w:snapToGrid w:val="0"/>
                <w:color w:val="auto"/>
                <w:kern w:val="0"/>
                <w:sz w:val="21"/>
                <w:szCs w:val="21"/>
                <w:highlight w:val="none"/>
              </w:rPr>
              <w:t>（1）确定招标控制价下浮系数n：用1～21号球分别代表一个下浮系数，由评委代表从这21个号码中随机抽取</w:t>
            </w:r>
            <w:r>
              <w:rPr>
                <w:rFonts w:hint="eastAsia" w:hAnsi="宋体"/>
                <w:snapToGrid w:val="0"/>
                <w:color w:val="auto"/>
                <w:kern w:val="0"/>
                <w:sz w:val="21"/>
                <w:szCs w:val="21"/>
                <w:highlight w:val="none"/>
                <w:u w:val="single"/>
              </w:rPr>
              <w:t xml:space="preserve"> 3 </w:t>
            </w:r>
            <w:r>
              <w:rPr>
                <w:rFonts w:hint="eastAsia" w:hAnsi="宋体"/>
                <w:snapToGrid w:val="0"/>
                <w:color w:val="auto"/>
                <w:kern w:val="0"/>
                <w:sz w:val="21"/>
                <w:szCs w:val="21"/>
                <w:highlight w:val="none"/>
              </w:rPr>
              <w:t>次，每次抽取1个号码，抽出的号球不参与下次抽取。所抽取的3个号码对应下浮系数的算术平均值作为招标控制价下浮系数n。具体号码对应的下浮系数可参考下表。</w:t>
            </w:r>
          </w:p>
          <w:tbl>
            <w:tblPr>
              <w:tblStyle w:val="31"/>
              <w:tblW w:w="0" w:type="auto"/>
              <w:tblInd w:w="113" w:type="dxa"/>
              <w:tblLayout w:type="fixed"/>
              <w:tblCellMar>
                <w:top w:w="0" w:type="dxa"/>
                <w:left w:w="108" w:type="dxa"/>
                <w:bottom w:w="0" w:type="dxa"/>
                <w:right w:w="108" w:type="dxa"/>
              </w:tblCellMar>
            </w:tblPr>
            <w:tblGrid>
              <w:gridCol w:w="1465"/>
              <w:gridCol w:w="794"/>
              <w:gridCol w:w="830"/>
              <w:gridCol w:w="864"/>
              <w:gridCol w:w="848"/>
              <w:gridCol w:w="882"/>
              <w:gridCol w:w="829"/>
              <w:gridCol w:w="819"/>
            </w:tblGrid>
            <w:tr w14:paraId="51669F9E">
              <w:tblPrEx>
                <w:tblCellMar>
                  <w:top w:w="0" w:type="dxa"/>
                  <w:left w:w="108" w:type="dxa"/>
                  <w:bottom w:w="0" w:type="dxa"/>
                  <w:right w:w="108" w:type="dxa"/>
                </w:tblCellMar>
              </w:tblPrEx>
              <w:trPr>
                <w:trHeight w:val="248" w:hRule="atLeast"/>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0D601A3D">
                  <w:pPr>
                    <w:wordWrap w:val="0"/>
                    <w:adjustRightInd w:val="0"/>
                    <w:snapToGrid w:val="0"/>
                    <w:spacing w:line="400" w:lineRule="exact"/>
                    <w:jc w:val="center"/>
                    <w:rPr>
                      <w:rFonts w:hint="eastAsia" w:hAnsi="宋体" w:cs="黑体"/>
                      <w:b/>
                      <w:snapToGrid w:val="0"/>
                      <w:color w:val="auto"/>
                      <w:kern w:val="0"/>
                      <w:sz w:val="21"/>
                      <w:highlight w:val="none"/>
                    </w:rPr>
                  </w:pPr>
                  <w:r>
                    <w:rPr>
                      <w:rFonts w:hint="eastAsia" w:hAnsi="宋体" w:cs="黑体"/>
                      <w:bCs/>
                      <w:snapToGrid w:val="0"/>
                      <w:color w:val="auto"/>
                      <w:kern w:val="0"/>
                      <w:sz w:val="21"/>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E1DF3C8">
                  <w:pPr>
                    <w:wordWrap w:val="0"/>
                    <w:adjustRightInd w:val="0"/>
                    <w:snapToGrid w:val="0"/>
                    <w:spacing w:line="400" w:lineRule="exact"/>
                    <w:jc w:val="center"/>
                    <w:rPr>
                      <w:rFonts w:hint="eastAsia" w:hAnsi="宋体" w:cs="黑体"/>
                      <w:snapToGrid w:val="0"/>
                      <w:color w:val="auto"/>
                      <w:kern w:val="0"/>
                      <w:sz w:val="21"/>
                      <w:highlight w:val="none"/>
                    </w:rPr>
                  </w:pPr>
                  <w:r>
                    <w:rPr>
                      <w:rFonts w:hint="eastAsia" w:hAnsi="宋体" w:cs="黑体"/>
                      <w:snapToGrid w:val="0"/>
                      <w:color w:val="auto"/>
                      <w:kern w:val="0"/>
                      <w:sz w:val="21"/>
                      <w:highlight w:val="none"/>
                    </w:rPr>
                    <w:t>1</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11DBA2A9">
                  <w:pPr>
                    <w:wordWrap w:val="0"/>
                    <w:adjustRightInd w:val="0"/>
                    <w:snapToGrid w:val="0"/>
                    <w:spacing w:line="400" w:lineRule="exact"/>
                    <w:jc w:val="center"/>
                    <w:rPr>
                      <w:rFonts w:hint="eastAsia" w:hAnsi="宋体" w:cs="黑体"/>
                      <w:snapToGrid w:val="0"/>
                      <w:color w:val="auto"/>
                      <w:kern w:val="0"/>
                      <w:sz w:val="21"/>
                      <w:highlight w:val="none"/>
                    </w:rPr>
                  </w:pPr>
                  <w:r>
                    <w:rPr>
                      <w:rFonts w:hint="eastAsia" w:hAnsi="宋体" w:cs="黑体"/>
                      <w:snapToGrid w:val="0"/>
                      <w:color w:val="auto"/>
                      <w:kern w:val="0"/>
                      <w:sz w:val="21"/>
                      <w:highlight w:val="none"/>
                    </w:rPr>
                    <w:t>2</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69AF1901">
                  <w:pPr>
                    <w:wordWrap w:val="0"/>
                    <w:adjustRightInd w:val="0"/>
                    <w:snapToGrid w:val="0"/>
                    <w:spacing w:line="400" w:lineRule="exact"/>
                    <w:jc w:val="center"/>
                    <w:rPr>
                      <w:rFonts w:hint="eastAsia" w:hAnsi="宋体" w:cs="黑体"/>
                      <w:snapToGrid w:val="0"/>
                      <w:color w:val="auto"/>
                      <w:kern w:val="0"/>
                      <w:sz w:val="21"/>
                      <w:highlight w:val="none"/>
                    </w:rPr>
                  </w:pPr>
                  <w:r>
                    <w:rPr>
                      <w:rFonts w:hint="eastAsia" w:hAnsi="宋体" w:cs="黑体"/>
                      <w:snapToGrid w:val="0"/>
                      <w:color w:val="auto"/>
                      <w:kern w:val="0"/>
                      <w:sz w:val="21"/>
                      <w:highlight w:val="none"/>
                    </w:rPr>
                    <w:t>3</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0B70BC76">
                  <w:pPr>
                    <w:wordWrap w:val="0"/>
                    <w:adjustRightInd w:val="0"/>
                    <w:snapToGrid w:val="0"/>
                    <w:spacing w:line="400" w:lineRule="exact"/>
                    <w:jc w:val="center"/>
                    <w:rPr>
                      <w:rFonts w:hint="eastAsia" w:hAnsi="宋体" w:cs="黑体"/>
                      <w:snapToGrid w:val="0"/>
                      <w:color w:val="auto"/>
                      <w:kern w:val="0"/>
                      <w:sz w:val="21"/>
                      <w:highlight w:val="none"/>
                    </w:rPr>
                  </w:pPr>
                  <w:r>
                    <w:rPr>
                      <w:rFonts w:hint="eastAsia" w:hAnsi="宋体" w:cs="黑体"/>
                      <w:snapToGrid w:val="0"/>
                      <w:color w:val="auto"/>
                      <w:kern w:val="0"/>
                      <w:sz w:val="21"/>
                      <w:highlight w:val="none"/>
                    </w:rPr>
                    <w:t>4</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06F94A1">
                  <w:pPr>
                    <w:wordWrap w:val="0"/>
                    <w:adjustRightInd w:val="0"/>
                    <w:snapToGrid w:val="0"/>
                    <w:spacing w:line="400" w:lineRule="exact"/>
                    <w:jc w:val="center"/>
                    <w:rPr>
                      <w:rFonts w:hint="eastAsia" w:hAnsi="宋体" w:cs="黑体"/>
                      <w:snapToGrid w:val="0"/>
                      <w:color w:val="auto"/>
                      <w:kern w:val="0"/>
                      <w:sz w:val="21"/>
                      <w:highlight w:val="none"/>
                    </w:rPr>
                  </w:pPr>
                  <w:r>
                    <w:rPr>
                      <w:rFonts w:hint="eastAsia" w:hAnsi="宋体" w:cs="黑体"/>
                      <w:snapToGrid w:val="0"/>
                      <w:color w:val="auto"/>
                      <w:kern w:val="0"/>
                      <w:sz w:val="21"/>
                      <w:highlight w:val="none"/>
                    </w:rPr>
                    <w:t>5</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00BF6FC7">
                  <w:pPr>
                    <w:wordWrap w:val="0"/>
                    <w:adjustRightInd w:val="0"/>
                    <w:snapToGrid w:val="0"/>
                    <w:spacing w:line="400" w:lineRule="exact"/>
                    <w:jc w:val="center"/>
                    <w:rPr>
                      <w:rFonts w:hint="eastAsia" w:hAnsi="宋体" w:cs="黑体"/>
                      <w:snapToGrid w:val="0"/>
                      <w:color w:val="auto"/>
                      <w:kern w:val="0"/>
                      <w:sz w:val="21"/>
                      <w:highlight w:val="none"/>
                    </w:rPr>
                  </w:pPr>
                  <w:r>
                    <w:rPr>
                      <w:rFonts w:hint="eastAsia" w:hAnsi="宋体" w:cs="黑体"/>
                      <w:snapToGrid w:val="0"/>
                      <w:color w:val="auto"/>
                      <w:kern w:val="0"/>
                      <w:sz w:val="21"/>
                      <w:highlight w:val="none"/>
                    </w:rPr>
                    <w:t>6</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109AD58">
                  <w:pPr>
                    <w:wordWrap w:val="0"/>
                    <w:adjustRightInd w:val="0"/>
                    <w:snapToGrid w:val="0"/>
                    <w:spacing w:line="400" w:lineRule="exact"/>
                    <w:jc w:val="center"/>
                    <w:rPr>
                      <w:rFonts w:hint="eastAsia" w:hAnsi="宋体" w:cs="黑体"/>
                      <w:snapToGrid w:val="0"/>
                      <w:color w:val="auto"/>
                      <w:kern w:val="0"/>
                      <w:sz w:val="21"/>
                      <w:highlight w:val="none"/>
                    </w:rPr>
                  </w:pPr>
                  <w:r>
                    <w:rPr>
                      <w:rFonts w:hint="eastAsia" w:hAnsi="宋体" w:cs="黑体"/>
                      <w:snapToGrid w:val="0"/>
                      <w:color w:val="auto"/>
                      <w:kern w:val="0"/>
                      <w:sz w:val="21"/>
                      <w:highlight w:val="none"/>
                    </w:rPr>
                    <w:t>7</w:t>
                  </w:r>
                </w:p>
              </w:tc>
            </w:tr>
            <w:tr w14:paraId="7E3B8F79">
              <w:tblPrEx>
                <w:tblCellMar>
                  <w:top w:w="0" w:type="dxa"/>
                  <w:left w:w="108" w:type="dxa"/>
                  <w:bottom w:w="0" w:type="dxa"/>
                  <w:right w:w="108" w:type="dxa"/>
                </w:tblCellMar>
              </w:tblPrEx>
              <w:trPr>
                <w:trHeight w:val="374" w:hRule="atLeast"/>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3F352E93">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1F6F246">
                  <w:pPr>
                    <w:wordWrap w:val="0"/>
                    <w:adjustRightInd w:val="0"/>
                    <w:snapToGrid w:val="0"/>
                    <w:spacing w:line="400" w:lineRule="exact"/>
                    <w:jc w:val="center"/>
                    <w:rPr>
                      <w:rFonts w:hint="default" w:hAnsi="宋体" w:eastAsia="宋体" w:cs="黑体"/>
                      <w:bCs/>
                      <w:snapToGrid w:val="0"/>
                      <w:color w:val="auto"/>
                      <w:kern w:val="0"/>
                      <w:sz w:val="21"/>
                      <w:highlight w:val="none"/>
                      <w:lang w:val="en-US" w:eastAsia="zh-CN"/>
                    </w:rPr>
                  </w:pPr>
                  <w:r>
                    <w:rPr>
                      <w:rFonts w:hAnsi="宋体"/>
                      <w:color w:val="auto"/>
                      <w:kern w:val="0"/>
                      <w:sz w:val="21"/>
                      <w:highlight w:val="none"/>
                    </w:rPr>
                    <w:t>1</w:t>
                  </w:r>
                  <w:r>
                    <w:rPr>
                      <w:rFonts w:hint="eastAsia" w:hAnsi="宋体"/>
                      <w:color w:val="auto"/>
                      <w:kern w:val="0"/>
                      <w:sz w:val="21"/>
                      <w:highlight w:val="none"/>
                      <w:lang w:val="en-US" w:eastAsia="zh-CN"/>
                    </w:rPr>
                    <w:t>.0</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06422261">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1.1</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1134DE6">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1.2</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21DC52F5">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1.3</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D094324">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1.4</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2B694D9A">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1.5</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76CF6DD1">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1.6</w:t>
                  </w:r>
                </w:p>
              </w:tc>
            </w:tr>
            <w:tr w14:paraId="680F1C6C">
              <w:tblPrEx>
                <w:tblCellMar>
                  <w:top w:w="0" w:type="dxa"/>
                  <w:left w:w="108" w:type="dxa"/>
                  <w:bottom w:w="0" w:type="dxa"/>
                  <w:right w:w="108" w:type="dxa"/>
                </w:tblCellMar>
              </w:tblPrEx>
              <w:trPr>
                <w:trHeight w:val="314" w:hRule="atLeast"/>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53367291">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EACF580">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8</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30AEB641">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9</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92EE360">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10</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F2C9B9E">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11</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8EEFDE0">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12</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389CA622">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13</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64D5741C">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14</w:t>
                  </w:r>
                </w:p>
              </w:tc>
            </w:tr>
            <w:tr w14:paraId="0AAC4218">
              <w:tblPrEx>
                <w:tblCellMar>
                  <w:top w:w="0" w:type="dxa"/>
                  <w:left w:w="108" w:type="dxa"/>
                  <w:bottom w:w="0" w:type="dxa"/>
                  <w:right w:w="108" w:type="dxa"/>
                </w:tblCellMar>
              </w:tblPrEx>
              <w:trPr>
                <w:trHeight w:val="343" w:hRule="atLeast"/>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750DB7CB">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4B85BABD">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1.7</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5B122014">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1.8</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395BBEB1">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1.9</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7AE63282">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2.0</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6DDC39D3">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2.1</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7690A43B">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2.2</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01E57EB">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2.3</w:t>
                  </w:r>
                </w:p>
              </w:tc>
            </w:tr>
            <w:tr w14:paraId="39066FEF">
              <w:tblPrEx>
                <w:tblCellMar>
                  <w:top w:w="0" w:type="dxa"/>
                  <w:left w:w="108" w:type="dxa"/>
                  <w:bottom w:w="0" w:type="dxa"/>
                  <w:right w:w="108" w:type="dxa"/>
                </w:tblCellMar>
              </w:tblPrEx>
              <w:trPr>
                <w:trHeight w:val="342" w:hRule="atLeast"/>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39FC9F0E">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号球</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0D32B485">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15</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37EE519B">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16</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05B40D15">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17</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471AD2AB">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18</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045655DD">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19</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5F5F379C">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20</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5C47D256">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21</w:t>
                  </w:r>
                </w:p>
              </w:tc>
            </w:tr>
            <w:tr w14:paraId="518C37FF">
              <w:tblPrEx>
                <w:tblCellMar>
                  <w:top w:w="0" w:type="dxa"/>
                  <w:left w:w="108" w:type="dxa"/>
                  <w:bottom w:w="0" w:type="dxa"/>
                  <w:right w:w="108" w:type="dxa"/>
                </w:tblCellMar>
              </w:tblPrEx>
              <w:trPr>
                <w:trHeight w:val="482" w:hRule="atLeast"/>
              </w:trPr>
              <w:tc>
                <w:tcPr>
                  <w:tcW w:w="1465" w:type="dxa"/>
                  <w:tcBorders>
                    <w:top w:val="single" w:color="000000" w:sz="4" w:space="0"/>
                    <w:left w:val="single" w:color="000000" w:sz="4" w:space="0"/>
                    <w:bottom w:val="single" w:color="000000" w:sz="4" w:space="0"/>
                    <w:right w:val="single" w:color="000000" w:sz="4" w:space="0"/>
                  </w:tcBorders>
                  <w:noWrap w:val="0"/>
                  <w:vAlign w:val="center"/>
                </w:tcPr>
                <w:p w14:paraId="4E2716D0">
                  <w:pPr>
                    <w:wordWrap w:val="0"/>
                    <w:adjustRightInd w:val="0"/>
                    <w:snapToGrid w:val="0"/>
                    <w:spacing w:line="400" w:lineRule="exact"/>
                    <w:jc w:val="center"/>
                    <w:rPr>
                      <w:rFonts w:hint="eastAsia" w:hAnsi="宋体" w:cs="黑体"/>
                      <w:bCs/>
                      <w:snapToGrid w:val="0"/>
                      <w:color w:val="auto"/>
                      <w:kern w:val="0"/>
                      <w:sz w:val="21"/>
                      <w:highlight w:val="none"/>
                    </w:rPr>
                  </w:pPr>
                  <w:r>
                    <w:rPr>
                      <w:rFonts w:hint="eastAsia" w:hAnsi="宋体" w:cs="黑体"/>
                      <w:bCs/>
                      <w:snapToGrid w:val="0"/>
                      <w:color w:val="auto"/>
                      <w:kern w:val="0"/>
                      <w:sz w:val="21"/>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noWrap w:val="0"/>
                  <w:vAlign w:val="center"/>
                </w:tcPr>
                <w:p w14:paraId="16A8F732">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2.4</w:t>
                  </w:r>
                </w:p>
              </w:tc>
              <w:tc>
                <w:tcPr>
                  <w:tcW w:w="830" w:type="dxa"/>
                  <w:tcBorders>
                    <w:top w:val="single" w:color="000000" w:sz="4" w:space="0"/>
                    <w:left w:val="single" w:color="000000" w:sz="4" w:space="0"/>
                    <w:bottom w:val="single" w:color="000000" w:sz="4" w:space="0"/>
                    <w:right w:val="single" w:color="000000" w:sz="4" w:space="0"/>
                  </w:tcBorders>
                  <w:noWrap w:val="0"/>
                  <w:vAlign w:val="center"/>
                </w:tcPr>
                <w:p w14:paraId="26591EF6">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2.5</w:t>
                  </w:r>
                </w:p>
              </w:tc>
              <w:tc>
                <w:tcPr>
                  <w:tcW w:w="864" w:type="dxa"/>
                  <w:tcBorders>
                    <w:top w:val="single" w:color="000000" w:sz="4" w:space="0"/>
                    <w:left w:val="single" w:color="000000" w:sz="4" w:space="0"/>
                    <w:bottom w:val="single" w:color="000000" w:sz="4" w:space="0"/>
                    <w:right w:val="single" w:color="000000" w:sz="4" w:space="0"/>
                  </w:tcBorders>
                  <w:noWrap w:val="0"/>
                  <w:vAlign w:val="center"/>
                </w:tcPr>
                <w:p w14:paraId="794D1C4E">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2.6</w:t>
                  </w:r>
                </w:p>
              </w:tc>
              <w:tc>
                <w:tcPr>
                  <w:tcW w:w="848" w:type="dxa"/>
                  <w:tcBorders>
                    <w:top w:val="single" w:color="000000" w:sz="4" w:space="0"/>
                    <w:left w:val="single" w:color="000000" w:sz="4" w:space="0"/>
                    <w:bottom w:val="single" w:color="000000" w:sz="4" w:space="0"/>
                    <w:right w:val="single" w:color="000000" w:sz="4" w:space="0"/>
                  </w:tcBorders>
                  <w:noWrap w:val="0"/>
                  <w:vAlign w:val="center"/>
                </w:tcPr>
                <w:p w14:paraId="141A8011">
                  <w:pPr>
                    <w:wordWrap w:val="0"/>
                    <w:adjustRightInd w:val="0"/>
                    <w:snapToGrid w:val="0"/>
                    <w:spacing w:line="400" w:lineRule="exact"/>
                    <w:jc w:val="center"/>
                    <w:rPr>
                      <w:rFonts w:hint="eastAsia" w:hAnsi="宋体" w:cs="黑体"/>
                      <w:bCs/>
                      <w:snapToGrid w:val="0"/>
                      <w:color w:val="auto"/>
                      <w:kern w:val="0"/>
                      <w:sz w:val="21"/>
                      <w:highlight w:val="none"/>
                    </w:rPr>
                  </w:pPr>
                  <w:r>
                    <w:rPr>
                      <w:rFonts w:hAnsi="宋体"/>
                      <w:color w:val="auto"/>
                      <w:kern w:val="0"/>
                      <w:sz w:val="21"/>
                      <w:highlight w:val="none"/>
                    </w:rPr>
                    <w:t>2.7</w:t>
                  </w:r>
                </w:p>
              </w:tc>
              <w:tc>
                <w:tcPr>
                  <w:tcW w:w="882" w:type="dxa"/>
                  <w:tcBorders>
                    <w:top w:val="single" w:color="000000" w:sz="4" w:space="0"/>
                    <w:left w:val="single" w:color="000000" w:sz="4" w:space="0"/>
                    <w:bottom w:val="single" w:color="000000" w:sz="4" w:space="0"/>
                    <w:right w:val="single" w:color="000000" w:sz="4" w:space="0"/>
                  </w:tcBorders>
                  <w:noWrap w:val="0"/>
                  <w:vAlign w:val="center"/>
                </w:tcPr>
                <w:p w14:paraId="558E00E5">
                  <w:pPr>
                    <w:wordWrap w:val="0"/>
                    <w:adjustRightInd w:val="0"/>
                    <w:snapToGrid w:val="0"/>
                    <w:spacing w:line="400" w:lineRule="exact"/>
                    <w:jc w:val="center"/>
                    <w:rPr>
                      <w:rFonts w:hAnsi="宋体" w:cs="黑体"/>
                      <w:bCs/>
                      <w:snapToGrid w:val="0"/>
                      <w:color w:val="auto"/>
                      <w:kern w:val="0"/>
                      <w:sz w:val="21"/>
                      <w:highlight w:val="none"/>
                    </w:rPr>
                  </w:pPr>
                  <w:r>
                    <w:rPr>
                      <w:rFonts w:hAnsi="宋体"/>
                      <w:color w:val="auto"/>
                      <w:kern w:val="0"/>
                      <w:sz w:val="21"/>
                      <w:highlight w:val="none"/>
                    </w:rPr>
                    <w:t>2.8</w:t>
                  </w:r>
                </w:p>
              </w:tc>
              <w:tc>
                <w:tcPr>
                  <w:tcW w:w="829" w:type="dxa"/>
                  <w:tcBorders>
                    <w:top w:val="single" w:color="000000" w:sz="4" w:space="0"/>
                    <w:left w:val="single" w:color="000000" w:sz="4" w:space="0"/>
                    <w:bottom w:val="single" w:color="000000" w:sz="4" w:space="0"/>
                    <w:right w:val="single" w:color="000000" w:sz="4" w:space="0"/>
                  </w:tcBorders>
                  <w:noWrap w:val="0"/>
                  <w:vAlign w:val="center"/>
                </w:tcPr>
                <w:p w14:paraId="3E159391">
                  <w:pPr>
                    <w:wordWrap w:val="0"/>
                    <w:adjustRightInd w:val="0"/>
                    <w:snapToGrid w:val="0"/>
                    <w:spacing w:line="400" w:lineRule="exact"/>
                    <w:jc w:val="center"/>
                    <w:rPr>
                      <w:rFonts w:hAnsi="宋体" w:cs="黑体"/>
                      <w:bCs/>
                      <w:snapToGrid w:val="0"/>
                      <w:color w:val="auto"/>
                      <w:kern w:val="0"/>
                      <w:sz w:val="21"/>
                      <w:highlight w:val="none"/>
                    </w:rPr>
                  </w:pPr>
                  <w:r>
                    <w:rPr>
                      <w:rFonts w:hAnsi="宋体"/>
                      <w:color w:val="auto"/>
                      <w:kern w:val="0"/>
                      <w:sz w:val="21"/>
                      <w:highlight w:val="none"/>
                    </w:rPr>
                    <w:t>2.9</w:t>
                  </w:r>
                </w:p>
              </w:tc>
              <w:tc>
                <w:tcPr>
                  <w:tcW w:w="819" w:type="dxa"/>
                  <w:tcBorders>
                    <w:top w:val="single" w:color="000000" w:sz="4" w:space="0"/>
                    <w:left w:val="single" w:color="000000" w:sz="4" w:space="0"/>
                    <w:bottom w:val="single" w:color="000000" w:sz="4" w:space="0"/>
                    <w:right w:val="single" w:color="000000" w:sz="4" w:space="0"/>
                  </w:tcBorders>
                  <w:noWrap w:val="0"/>
                  <w:vAlign w:val="center"/>
                </w:tcPr>
                <w:p w14:paraId="260F0441">
                  <w:pPr>
                    <w:wordWrap w:val="0"/>
                    <w:adjustRightInd w:val="0"/>
                    <w:snapToGrid w:val="0"/>
                    <w:spacing w:line="400" w:lineRule="exact"/>
                    <w:jc w:val="center"/>
                    <w:rPr>
                      <w:rFonts w:hint="default" w:hAnsi="宋体" w:eastAsia="宋体" w:cs="黑体"/>
                      <w:bCs/>
                      <w:snapToGrid w:val="0"/>
                      <w:color w:val="auto"/>
                      <w:kern w:val="0"/>
                      <w:sz w:val="21"/>
                      <w:highlight w:val="none"/>
                      <w:lang w:val="en-US" w:eastAsia="zh-CN"/>
                    </w:rPr>
                  </w:pPr>
                  <w:r>
                    <w:rPr>
                      <w:rFonts w:hAnsi="宋体"/>
                      <w:color w:val="auto"/>
                      <w:kern w:val="0"/>
                      <w:sz w:val="21"/>
                      <w:highlight w:val="none"/>
                    </w:rPr>
                    <w:t>3</w:t>
                  </w:r>
                  <w:r>
                    <w:rPr>
                      <w:rFonts w:hint="eastAsia" w:hAnsi="宋体"/>
                      <w:color w:val="auto"/>
                      <w:kern w:val="0"/>
                      <w:sz w:val="21"/>
                      <w:highlight w:val="none"/>
                      <w:lang w:val="en-US" w:eastAsia="zh-CN"/>
                    </w:rPr>
                    <w:t>.0</w:t>
                  </w:r>
                </w:p>
              </w:tc>
            </w:tr>
          </w:tbl>
          <w:p w14:paraId="0F70079F">
            <w:pPr>
              <w:wordWrap w:val="0"/>
              <w:adjustRightInd w:val="0"/>
              <w:snapToGrid w:val="0"/>
              <w:spacing w:line="400" w:lineRule="exact"/>
              <w:ind w:firstLine="420" w:firstLineChars="200"/>
              <w:jc w:val="left"/>
              <w:rPr>
                <w:rFonts w:hAnsi="宋体"/>
                <w:snapToGrid w:val="0"/>
                <w:color w:val="auto"/>
                <w:kern w:val="0"/>
                <w:sz w:val="21"/>
                <w:szCs w:val="21"/>
                <w:highlight w:val="none"/>
              </w:rPr>
            </w:pPr>
            <w:r>
              <w:rPr>
                <w:rFonts w:hint="eastAsia" w:hAnsi="宋体"/>
                <w:snapToGrid w:val="0"/>
                <w:color w:val="auto"/>
                <w:kern w:val="0"/>
                <w:sz w:val="21"/>
                <w:szCs w:val="21"/>
                <w:highlight w:val="none"/>
              </w:rPr>
              <w:t>（2）评标基准价D＝招标控制价×（1－n）</w:t>
            </w:r>
          </w:p>
        </w:tc>
      </w:tr>
      <w:tr w14:paraId="2287B013">
        <w:tblPrEx>
          <w:tblCellMar>
            <w:top w:w="0" w:type="dxa"/>
            <w:left w:w="108" w:type="dxa"/>
            <w:bottom w:w="0" w:type="dxa"/>
            <w:right w:w="108" w:type="dxa"/>
          </w:tblCellMar>
        </w:tblPrEx>
        <w:trPr>
          <w:jc w:val="center"/>
        </w:trPr>
        <w:tc>
          <w:tcPr>
            <w:tcW w:w="1308" w:type="dxa"/>
            <w:tcBorders>
              <w:top w:val="single" w:color="auto" w:sz="4" w:space="0"/>
              <w:left w:val="single" w:color="auto" w:sz="4" w:space="0"/>
              <w:bottom w:val="single" w:color="auto" w:sz="4" w:space="0"/>
              <w:right w:val="single" w:color="auto" w:sz="4" w:space="0"/>
            </w:tcBorders>
            <w:noWrap w:val="0"/>
            <w:vAlign w:val="center"/>
          </w:tcPr>
          <w:p w14:paraId="5E4AE005">
            <w:pPr>
              <w:pStyle w:val="67"/>
              <w:wordWrap w:val="0"/>
              <w:adjustRightInd w:val="0"/>
              <w:snapToGrid w:val="0"/>
              <w:spacing w:line="400" w:lineRule="exact"/>
              <w:jc w:val="center"/>
              <w:rPr>
                <w:rFonts w:hint="eastAsia" w:ascii="宋体" w:hAnsi="宋体" w:eastAsia="宋体"/>
                <w:snapToGrid w:val="0"/>
                <w:color w:val="auto"/>
                <w:kern w:val="0"/>
                <w:szCs w:val="21"/>
                <w:highlight w:val="none"/>
              </w:rPr>
            </w:pPr>
            <w:r>
              <w:rPr>
                <w:rFonts w:hint="eastAsia" w:ascii="宋体" w:hAnsi="宋体" w:eastAsia="宋体"/>
                <w:snapToGrid w:val="0"/>
                <w:color w:val="auto"/>
                <w:kern w:val="0"/>
                <w:szCs w:val="21"/>
                <w:highlight w:val="none"/>
              </w:rPr>
              <w:t>投标报价</w:t>
            </w:r>
          </w:p>
          <w:p w14:paraId="24D0131A">
            <w:pPr>
              <w:pStyle w:val="67"/>
              <w:wordWrap w:val="0"/>
              <w:adjustRightInd w:val="0"/>
              <w:snapToGrid w:val="0"/>
              <w:spacing w:line="400" w:lineRule="exact"/>
              <w:jc w:val="center"/>
              <w:rPr>
                <w:rFonts w:ascii="宋体" w:hAnsi="宋体" w:eastAsia="宋体"/>
                <w:snapToGrid w:val="0"/>
                <w:color w:val="auto"/>
                <w:kern w:val="0"/>
                <w:szCs w:val="21"/>
                <w:highlight w:val="none"/>
              </w:rPr>
            </w:pPr>
            <w:r>
              <w:rPr>
                <w:rFonts w:hint="eastAsia" w:ascii="宋体" w:hAnsi="宋体" w:eastAsia="宋体"/>
                <w:snapToGrid w:val="0"/>
                <w:color w:val="auto"/>
                <w:kern w:val="0"/>
                <w:szCs w:val="21"/>
                <w:highlight w:val="none"/>
              </w:rPr>
              <w:t>得分N</w:t>
            </w:r>
          </w:p>
        </w:tc>
        <w:tc>
          <w:tcPr>
            <w:tcW w:w="8332" w:type="dxa"/>
            <w:gridSpan w:val="2"/>
            <w:tcBorders>
              <w:top w:val="single" w:color="auto" w:sz="4" w:space="0"/>
              <w:left w:val="single" w:color="auto" w:sz="4" w:space="0"/>
              <w:bottom w:val="single" w:color="auto" w:sz="4" w:space="0"/>
              <w:right w:val="single" w:color="auto" w:sz="4" w:space="0"/>
            </w:tcBorders>
            <w:noWrap w:val="0"/>
            <w:vAlign w:val="center"/>
          </w:tcPr>
          <w:p w14:paraId="0D795633">
            <w:pPr>
              <w:wordWrap w:val="0"/>
              <w:adjustRightInd w:val="0"/>
              <w:snapToGrid w:val="0"/>
              <w:spacing w:line="400" w:lineRule="exact"/>
              <w:ind w:firstLine="420" w:firstLineChars="200"/>
              <w:jc w:val="left"/>
              <w:rPr>
                <w:rFonts w:hint="eastAsia" w:hAnsi="宋体"/>
                <w:snapToGrid w:val="0"/>
                <w:color w:val="auto"/>
                <w:kern w:val="0"/>
                <w:sz w:val="21"/>
                <w:szCs w:val="21"/>
                <w:highlight w:val="none"/>
              </w:rPr>
            </w:pPr>
            <w:r>
              <w:rPr>
                <w:rFonts w:hint="eastAsia" w:hAnsi="宋体"/>
                <w:snapToGrid w:val="0"/>
                <w:color w:val="auto"/>
                <w:kern w:val="0"/>
                <w:sz w:val="21"/>
                <w:szCs w:val="21"/>
                <w:highlight w:val="none"/>
              </w:rPr>
              <w:t>采用内插法计算某投标人的投标报价得分N，即当投标人的投标总价等于评标基准价时得100分，每高于评标基准价一个百分点扣 1 分,每低于评标基准价一个百分点扣0.5分，扣完为止。公式如下：</w:t>
            </w:r>
          </w:p>
          <w:p w14:paraId="444689C5">
            <w:pPr>
              <w:wordWrap w:val="0"/>
              <w:adjustRightInd w:val="0"/>
              <w:snapToGrid w:val="0"/>
              <w:spacing w:line="400" w:lineRule="exact"/>
              <w:ind w:firstLine="420" w:firstLineChars="200"/>
              <w:jc w:val="left"/>
              <w:rPr>
                <w:rFonts w:hAnsi="宋体"/>
                <w:snapToGrid w:val="0"/>
                <w:color w:val="auto"/>
                <w:kern w:val="0"/>
                <w:sz w:val="21"/>
                <w:szCs w:val="21"/>
                <w:highlight w:val="none"/>
              </w:rPr>
            </w:pPr>
            <w:r>
              <w:rPr>
                <w:rFonts w:hint="eastAsia" w:hAnsi="宋体"/>
                <w:snapToGrid w:val="0"/>
                <w:color w:val="auto"/>
                <w:kern w:val="0"/>
                <w:sz w:val="21"/>
                <w:szCs w:val="21"/>
                <w:highlight w:val="none"/>
              </w:rPr>
              <w:t xml:space="preserve">N＝100－（| Di－D | ÷D）×100×E </w:t>
            </w:r>
          </w:p>
          <w:p w14:paraId="4FB06278">
            <w:pPr>
              <w:wordWrap w:val="0"/>
              <w:adjustRightInd w:val="0"/>
              <w:snapToGrid w:val="0"/>
              <w:spacing w:line="400" w:lineRule="exact"/>
              <w:ind w:firstLine="420" w:firstLineChars="200"/>
              <w:jc w:val="left"/>
              <w:rPr>
                <w:rFonts w:hAnsi="宋体"/>
                <w:snapToGrid w:val="0"/>
                <w:color w:val="auto"/>
                <w:kern w:val="0"/>
                <w:sz w:val="21"/>
                <w:szCs w:val="21"/>
                <w:highlight w:val="none"/>
              </w:rPr>
            </w:pPr>
            <w:r>
              <w:rPr>
                <w:rFonts w:hint="eastAsia" w:hAnsi="宋体"/>
                <w:snapToGrid w:val="0"/>
                <w:color w:val="auto"/>
                <w:kern w:val="0"/>
                <w:sz w:val="21"/>
                <w:szCs w:val="21"/>
                <w:highlight w:val="none"/>
              </w:rPr>
              <w:t>式中：D为评标基准价；Di为某投标人的投标总价；E为扣分因子，当Di＞D时，E＝1 ；当Di＜D时，E＝0.5。</w:t>
            </w:r>
          </w:p>
        </w:tc>
      </w:tr>
    </w:tbl>
    <w:p w14:paraId="4FD570D8">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15.5.2 </w:t>
      </w:r>
      <w:r>
        <w:rPr>
          <w:rFonts w:hint="eastAsia" w:ascii="宋体" w:hAnsi="宋体" w:eastAsia="宋体" w:cs="宋体"/>
          <w:snapToGrid w:val="0"/>
          <w:color w:val="auto"/>
          <w:kern w:val="0"/>
          <w:highlight w:val="none"/>
        </w:rPr>
        <w:t>否决投标说明</w:t>
      </w:r>
    </w:p>
    <w:p w14:paraId="0AE269D7">
      <w:pPr>
        <w:wordWrap w:val="0"/>
        <w:adjustRightInd w:val="0"/>
        <w:snapToGrid w:val="0"/>
        <w:spacing w:line="360" w:lineRule="auto"/>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详细评审阶段否决投标的全部条件，在本章第四节“否决投标条件”第</w:t>
      </w:r>
      <w:r>
        <w:rPr>
          <w:rFonts w:hint="eastAsia" w:ascii="宋体" w:hAnsi="宋体" w:eastAsia="宋体" w:cs="宋体"/>
          <w:b/>
          <w:bCs/>
          <w:snapToGrid w:val="0"/>
          <w:color w:val="auto"/>
          <w:kern w:val="0"/>
          <w:highlight w:val="none"/>
        </w:rPr>
        <w:t>4</w:t>
      </w:r>
      <w:r>
        <w:rPr>
          <w:rFonts w:hint="eastAsia" w:ascii="宋体" w:hAnsi="宋体" w:eastAsia="宋体" w:cs="宋体"/>
          <w:snapToGrid w:val="0"/>
          <w:color w:val="auto"/>
          <w:kern w:val="0"/>
          <w:highlight w:val="none"/>
        </w:rPr>
        <w:t>条中集中列示。投标人有其中所列任何一种情形的，由评标委员会否决其投标。经详细评审后，有效投标人数量不足3个时，招标人应依法重新组织招标。</w:t>
      </w:r>
    </w:p>
    <w:p w14:paraId="0BBFE836">
      <w:pPr>
        <w:wordWrap w:val="0"/>
        <w:adjustRightInd w:val="0"/>
        <w:snapToGrid w:val="0"/>
        <w:spacing w:line="360" w:lineRule="auto"/>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bCs/>
          <w:snapToGrid w:val="0"/>
          <w:color w:val="auto"/>
          <w:kern w:val="0"/>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23D8B4F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lang w:val="en-US" w:eastAsia="zh-CN"/>
        </w:rPr>
      </w:pPr>
      <w:bookmarkStart w:id="153" w:name="_Toc2839"/>
      <w:r>
        <w:rPr>
          <w:rStyle w:val="154"/>
          <w:rFonts w:hint="eastAsia" w:ascii="宋体" w:hAnsi="宋体" w:eastAsia="宋体" w:cs="宋体"/>
          <w:lang w:val="en-US" w:eastAsia="zh-CN"/>
        </w:rPr>
        <w:t>16．中标候选人公示</w:t>
      </w:r>
      <w:bookmarkEnd w:id="153"/>
    </w:p>
    <w:p w14:paraId="526421FA">
      <w:pPr>
        <w:wordWrap w:val="0"/>
        <w:adjustRightInd w:val="0"/>
        <w:snapToGrid w:val="0"/>
        <w:spacing w:line="36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rPr>
        <w:t>16.1</w:t>
      </w:r>
      <w:r>
        <w:rPr>
          <w:rFonts w:hint="eastAsia" w:ascii="宋体" w:hAnsi="宋体" w:eastAsia="宋体" w:cs="宋体"/>
          <w:snapToGrid w:val="0"/>
          <w:color w:val="auto"/>
          <w:kern w:val="0"/>
          <w:highlight w:val="none"/>
        </w:rPr>
        <w:t xml:space="preserve"> 招标人自收到评标委员会提交的书面评标报告和中标候选人名单之日起3日内，将评标结果（即中标候选人名单）、中标候选人投标文件（指商务标书分册）、评标过程（评标专家姓名用代码标记）一并在广东省招标投标监管网（</w:t>
      </w:r>
      <w:r>
        <w:rPr>
          <w:rFonts w:hint="eastAsia" w:ascii="宋体" w:hAnsi="宋体" w:eastAsia="宋体" w:cs="宋体"/>
          <w:snapToGrid w:val="0"/>
          <w:color w:val="auto"/>
          <w:kern w:val="0"/>
          <w:highlight w:val="none"/>
          <w:lang w:eastAsia="zh-CN"/>
        </w:rPr>
        <w:t>https://www.gdzwfw.gov.cn/ztbjg-portal/#/index</w:t>
      </w:r>
      <w:r>
        <w:rPr>
          <w:rFonts w:hint="eastAsia" w:ascii="宋体" w:hAnsi="宋体" w:eastAsia="宋体" w:cs="宋体"/>
          <w:snapToGrid w:val="0"/>
          <w:color w:val="auto"/>
          <w:kern w:val="0"/>
          <w:highlight w:val="none"/>
        </w:rPr>
        <w:t>）进行公示，公示期不得少于3天。</w:t>
      </w:r>
    </w:p>
    <w:p w14:paraId="48023D7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16.3</w:t>
      </w:r>
      <w:r>
        <w:rPr>
          <w:rFonts w:hint="eastAsia" w:ascii="宋体" w:hAnsi="宋体" w:eastAsia="宋体" w:cs="宋体"/>
          <w:snapToGrid w:val="0"/>
          <w:color w:val="auto"/>
          <w:kern w:val="0"/>
          <w:highlight w:val="none"/>
        </w:rPr>
        <w:t xml:space="preserve">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w:t>
      </w:r>
      <w:r>
        <w:rPr>
          <w:rFonts w:hint="eastAsia" w:hAnsi="宋体" w:cs="宋体"/>
          <w:snapToGrid w:val="0"/>
          <w:color w:val="auto"/>
          <w:kern w:val="0"/>
          <w:highlight w:val="none"/>
          <w:lang w:val="en-US" w:eastAsia="zh-CN"/>
        </w:rPr>
        <w:t xml:space="preserve"> </w:t>
      </w:r>
      <w:r>
        <w:rPr>
          <w:rFonts w:hint="eastAsia" w:ascii="宋体" w:hAnsi="宋体" w:eastAsia="宋体" w:cs="宋体"/>
          <w:snapToGrid w:val="0"/>
          <w:color w:val="auto"/>
          <w:kern w:val="0"/>
          <w:highlight w:val="none"/>
        </w:rPr>
        <w:t>理办法》（韶发改〔2021〕44号）执行。</w:t>
      </w:r>
    </w:p>
    <w:p w14:paraId="28214F16">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16.4</w:t>
      </w:r>
      <w:r>
        <w:rPr>
          <w:rFonts w:hint="eastAsia" w:ascii="宋体" w:hAnsi="宋体" w:eastAsia="宋体" w:cs="宋体"/>
          <w:snapToGrid w:val="0"/>
          <w:color w:val="auto"/>
          <w:kern w:val="0"/>
          <w:highlight w:val="none"/>
        </w:rPr>
        <w:t xml:space="preserve"> 中标候选人公示期满无异议（投诉）后，招标人确定第一中标候选人为中标人，并在中标人确定之日起7日内向中标人发出中标通知书。在中标通知书发出后5个工作日内，韶关市公共资源交易中心将投标保证金（或银行保函）退还给中标候选人以外的投标人。</w:t>
      </w:r>
    </w:p>
    <w:p w14:paraId="58DBC91C">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285CA46A">
      <w:pPr>
        <w:wordWrap w:val="0"/>
        <w:adjustRightInd w:val="0"/>
        <w:snapToGrid w:val="0"/>
        <w:spacing w:line="360" w:lineRule="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第四节 否决投标条件</w:t>
      </w:r>
    </w:p>
    <w:p w14:paraId="7C97A05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本节所集中列示的否决投标条件，是本章第三节“投标人须知正文”的组成部分，是对本章第三节所规定的否决投标条件的总结和补充。</w:t>
      </w:r>
      <w:r>
        <w:rPr>
          <w:rFonts w:hint="eastAsia" w:ascii="宋体" w:hAnsi="宋体" w:eastAsia="宋体" w:cs="宋体"/>
          <w:b/>
          <w:bCs/>
          <w:snapToGrid w:val="0"/>
          <w:color w:val="auto"/>
          <w:kern w:val="0"/>
          <w:highlight w:val="none"/>
        </w:rPr>
        <w:t>投标人未有列入本节情形的，评标时一律不得否决其投标。</w:t>
      </w:r>
      <w:r>
        <w:rPr>
          <w:rFonts w:hint="eastAsia" w:ascii="宋体" w:hAnsi="宋体" w:eastAsia="宋体" w:cs="宋体"/>
          <w:snapToGrid w:val="0"/>
          <w:color w:val="auto"/>
          <w:kern w:val="0"/>
          <w:highlight w:val="none"/>
        </w:rPr>
        <w:t>本节所称“规定”均指招标文件的规定。</w:t>
      </w:r>
    </w:p>
    <w:p w14:paraId="64F0F0D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lang w:val="en-US" w:eastAsia="zh-CN"/>
        </w:rPr>
      </w:pPr>
      <w:bookmarkStart w:id="154" w:name="_Toc867"/>
      <w:bookmarkStart w:id="155" w:name="_Toc18351"/>
      <w:bookmarkStart w:id="156" w:name="_Toc28628"/>
      <w:bookmarkStart w:id="157" w:name="_Toc18979"/>
      <w:bookmarkStart w:id="158" w:name="_Toc25780"/>
      <w:r>
        <w:rPr>
          <w:rStyle w:val="154"/>
          <w:rFonts w:hint="eastAsia" w:ascii="宋体" w:hAnsi="宋体" w:eastAsia="宋体" w:cs="宋体"/>
          <w:lang w:val="en-US" w:eastAsia="zh-CN"/>
        </w:rPr>
        <w:t>1．资格评审环节</w:t>
      </w:r>
      <w:bookmarkEnd w:id="154"/>
      <w:bookmarkEnd w:id="155"/>
      <w:bookmarkEnd w:id="156"/>
      <w:bookmarkEnd w:id="157"/>
      <w:bookmarkEnd w:id="158"/>
    </w:p>
    <w:p w14:paraId="14DE25CE">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投标人有下列情形之一的，评标委员会应否决其投标。被否决的投标人，不进入形式评审环节。</w:t>
      </w:r>
    </w:p>
    <w:p w14:paraId="26E1FB8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b/>
          <w:bCs/>
          <w:snapToGrid w:val="0"/>
          <w:color w:val="auto"/>
          <w:kern w:val="0"/>
          <w:highlight w:val="none"/>
        </w:rPr>
      </w:pPr>
      <w:r>
        <w:rPr>
          <w:rFonts w:hint="eastAsia" w:ascii="宋体" w:hAnsi="宋体" w:eastAsia="宋体" w:cs="宋体"/>
          <w:snapToGrid w:val="0"/>
          <w:color w:val="auto"/>
          <w:kern w:val="0"/>
          <w:highlight w:val="none"/>
        </w:rPr>
        <w:t>（1）有本章第三节第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条“禁止投标条款”规定的任何一种情形；</w:t>
      </w:r>
    </w:p>
    <w:p w14:paraId="0C425EC3">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（2）投标人资质不符合</w:t>
      </w:r>
      <w:r>
        <w:rPr>
          <w:rFonts w:hint="eastAsia" w:ascii="宋体" w:hAnsi="宋体" w:eastAsia="宋体" w:cs="宋体"/>
          <w:snapToGrid w:val="0"/>
          <w:color w:val="auto"/>
          <w:kern w:val="0"/>
          <w:szCs w:val="18"/>
          <w:highlight w:val="none"/>
        </w:rPr>
        <w:t>规定的；</w:t>
      </w:r>
    </w:p>
    <w:p w14:paraId="70A4879A">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14658C2C">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58F90AF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rPr>
        <w:t xml:space="preserve">根据有关文件精神，投标人的企业相关证书到期的，均按该证书的发证机构相关行业主管部门最新文件执行（如自动顺延或推迟办理延期业务的通知），投标人必须将相关文件附在该证书后面中，证明在开标日继续有效。    </w:t>
      </w:r>
      <w:r>
        <w:rPr>
          <w:rFonts w:hint="eastAsia" w:ascii="宋体" w:hAnsi="宋体" w:eastAsia="宋体" w:cs="宋体"/>
          <w:snapToGrid w:val="0"/>
          <w:color w:val="auto"/>
          <w:kern w:val="0"/>
          <w:highlight w:val="none"/>
          <w:lang w:val="en-US" w:eastAsia="zh-CN"/>
        </w:rPr>
        <w:t xml:space="preserve">  </w:t>
      </w:r>
    </w:p>
    <w:p w14:paraId="794BF09F">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（4）拟派项目经理、项目技术负责人、专职安全员的条件不符合规定的；拟派专职安全员数量不符合规定的；</w:t>
      </w:r>
    </w:p>
    <w:p w14:paraId="1486BD7E">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（5）《项目经理简历表》中拟派项目经理与《开标一览表》不一致的；</w:t>
      </w:r>
      <w:r>
        <w:rPr>
          <w:rFonts w:hint="eastAsia" w:ascii="宋体" w:hAnsi="宋体" w:eastAsia="宋体" w:cs="宋体"/>
          <w:snapToGrid w:val="0"/>
          <w:color w:val="auto"/>
          <w:kern w:val="0"/>
          <w:highlight w:val="none"/>
          <w:lang w:val="en-US" w:eastAsia="zh-CN"/>
        </w:rPr>
        <w:t>建造师的电子注册证书不是住建部门颁发的</w:t>
      </w:r>
      <w:r>
        <w:rPr>
          <w:rFonts w:hint="eastAsia" w:ascii="宋体" w:hAnsi="宋体" w:eastAsia="宋体" w:cs="宋体"/>
          <w:snapToGrid w:val="0"/>
          <w:color w:val="auto"/>
          <w:kern w:val="0"/>
          <w:highlight w:val="none"/>
        </w:rPr>
        <w:t>；建造师的注册单位与投标人不一致的；项目管理班子组成人员的各类证书、证件、证明不在有效期内的（建造师注册证书不在使用有效期内的）；擅自修改、遗漏《项目经理任职声明》实质性内容的；</w:t>
      </w:r>
    </w:p>
    <w:p w14:paraId="7FCF1F23">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注：投标人已经工商变更，但其员工执业资格注册证书的注册单位名称未完成变更的，不得否决其投标。</w:t>
      </w:r>
    </w:p>
    <w:p w14:paraId="6552EB94">
      <w:pPr>
        <w:keepNext w:val="0"/>
        <w:keepLines w:val="0"/>
        <w:pageBreakBefore w:val="0"/>
        <w:widowControl w:val="0"/>
        <w:kinsoku/>
        <w:wordWrap w:val="0"/>
        <w:overflowPunct/>
        <w:topLinePunct w:val="0"/>
        <w:autoSpaceDE/>
        <w:autoSpaceDN/>
        <w:bidi w:val="0"/>
        <w:adjustRightInd w:val="0"/>
        <w:snapToGrid w:val="0"/>
        <w:spacing w:line="336" w:lineRule="auto"/>
        <w:ind w:firstLine="482" w:firstLineChars="200"/>
        <w:textAlignment w:val="auto"/>
        <w:rPr>
          <w:rFonts w:hint="eastAsia"/>
          <w:highlight w:val="none"/>
        </w:rPr>
      </w:pPr>
      <w:r>
        <w:rPr>
          <w:rFonts w:hint="eastAsia" w:ascii="宋体" w:hAnsi="宋体" w:eastAsia="宋体" w:cs="宋体"/>
          <w:b/>
          <w:bCs/>
          <w:snapToGrid w:val="0"/>
          <w:color w:val="auto"/>
          <w:kern w:val="0"/>
          <w:sz w:val="24"/>
          <w:szCs w:val="24"/>
          <w:highlight w:val="none"/>
        </w:rPr>
        <w:t>鉴于目前继续教育开展的实际情况，建筑和市政工程施工现场专业人员（</w:t>
      </w:r>
      <w:r>
        <w:rPr>
          <w:rFonts w:hint="eastAsia" w:hAnsi="宋体" w:cs="宋体"/>
          <w:b/>
          <w:bCs/>
          <w:snapToGrid w:val="0"/>
          <w:color w:val="auto"/>
          <w:kern w:val="0"/>
          <w:sz w:val="24"/>
          <w:szCs w:val="24"/>
          <w:highlight w:val="none"/>
          <w:lang w:val="en-US" w:eastAsia="zh-CN"/>
        </w:rPr>
        <w:t>例如</w:t>
      </w:r>
      <w:r>
        <w:rPr>
          <w:rFonts w:hint="eastAsia" w:ascii="宋体" w:hAnsi="宋体" w:eastAsia="宋体" w:cs="宋体"/>
          <w:b/>
          <w:bCs/>
          <w:snapToGrid w:val="0"/>
          <w:color w:val="auto"/>
          <w:kern w:val="0"/>
          <w:sz w:val="24"/>
          <w:szCs w:val="24"/>
          <w:highlight w:val="none"/>
        </w:rPr>
        <w:t>：施工员、质量员、材料员、资料员）的岗位证书或培训证书不审查其证书的有效期。</w:t>
      </w:r>
    </w:p>
    <w:p w14:paraId="51608461">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highlight w:val="none"/>
        </w:rPr>
        <w:t>（6）招标文件规定不接受联合体投标，但以联合体投标的；</w:t>
      </w:r>
    </w:p>
    <w:p w14:paraId="10F448C9">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highlight w:val="none"/>
        </w:rPr>
        <w:t>（7）联合体投标，未提交</w:t>
      </w:r>
      <w:r>
        <w:rPr>
          <w:rFonts w:hint="eastAsia" w:ascii="宋体" w:hAnsi="宋体" w:eastAsia="宋体" w:cs="宋体"/>
          <w:snapToGrid w:val="0"/>
          <w:color w:val="auto"/>
          <w:kern w:val="0"/>
          <w:szCs w:val="18"/>
          <w:highlight w:val="none"/>
        </w:rPr>
        <w:t>《联合体协议书》的；</w:t>
      </w:r>
      <w:r>
        <w:rPr>
          <w:rFonts w:hint="eastAsia" w:ascii="宋体" w:hAnsi="宋体" w:eastAsia="宋体" w:cs="宋体"/>
          <w:snapToGrid w:val="0"/>
          <w:color w:val="auto"/>
          <w:kern w:val="0"/>
          <w:highlight w:val="none"/>
        </w:rPr>
        <w:t>擅自修改、遗漏</w:t>
      </w:r>
      <w:r>
        <w:rPr>
          <w:rFonts w:hint="eastAsia" w:ascii="宋体" w:hAnsi="宋体" w:eastAsia="宋体" w:cs="宋体"/>
          <w:snapToGrid w:val="0"/>
          <w:color w:val="auto"/>
          <w:kern w:val="0"/>
          <w:szCs w:val="18"/>
          <w:highlight w:val="none"/>
        </w:rPr>
        <w:t>《联合体协议书》</w:t>
      </w:r>
      <w:r>
        <w:rPr>
          <w:rFonts w:hint="eastAsia" w:ascii="宋体" w:hAnsi="宋体" w:eastAsia="宋体" w:cs="宋体"/>
          <w:snapToGrid w:val="0"/>
          <w:color w:val="auto"/>
          <w:kern w:val="0"/>
          <w:highlight w:val="none"/>
        </w:rPr>
        <w:t>实质性内容的；</w:t>
      </w:r>
      <w:r>
        <w:rPr>
          <w:rFonts w:hint="eastAsia" w:ascii="宋体" w:hAnsi="宋体" w:eastAsia="宋体" w:cs="宋体"/>
          <w:snapToGrid w:val="0"/>
          <w:color w:val="auto"/>
          <w:kern w:val="0"/>
          <w:szCs w:val="18"/>
          <w:highlight w:val="none"/>
        </w:rPr>
        <w:t>联合体成员的数量、资质不符合规定的；联合体成员同时以自己名义单独投标或者参加其他联合体投标的；</w:t>
      </w:r>
    </w:p>
    <w:p w14:paraId="073BCB36">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（8）投标人为外省建筑企业，但未提供“进粤企业和人员诚信信息登记平台”企业和拟派人员信息情况打印页或网页截图的。</w:t>
      </w:r>
    </w:p>
    <w:p w14:paraId="3905E86C">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p>
    <w:p w14:paraId="4FE7D9A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lang w:val="en-US" w:eastAsia="zh-CN"/>
        </w:rPr>
      </w:pPr>
      <w:bookmarkStart w:id="159" w:name="_Toc30923"/>
      <w:bookmarkStart w:id="160" w:name="_Toc3746"/>
      <w:bookmarkStart w:id="161" w:name="_Toc12980"/>
      <w:bookmarkStart w:id="162" w:name="_Toc19719"/>
      <w:bookmarkStart w:id="163" w:name="_Toc21442"/>
      <w:r>
        <w:rPr>
          <w:rStyle w:val="154"/>
          <w:rFonts w:hint="eastAsia" w:ascii="宋体" w:hAnsi="宋体" w:eastAsia="宋体" w:cs="宋体"/>
          <w:lang w:val="en-US" w:eastAsia="zh-CN"/>
        </w:rPr>
        <w:t>2．形式评审环节</w:t>
      </w:r>
      <w:bookmarkEnd w:id="159"/>
      <w:bookmarkEnd w:id="160"/>
      <w:bookmarkEnd w:id="161"/>
      <w:bookmarkEnd w:id="162"/>
      <w:bookmarkEnd w:id="163"/>
    </w:p>
    <w:p w14:paraId="1D92A87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投标人有下列情形之一的，评标委员会应否决其投标。被否决的投标人，不进入响应性评审环节。</w:t>
      </w:r>
    </w:p>
    <w:p w14:paraId="218CCE48">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w:t>
      </w:r>
      <w:r>
        <w:rPr>
          <w:rStyle w:val="149"/>
          <w:rFonts w:hint="eastAsia" w:ascii="宋体" w:hAnsi="宋体" w:eastAsia="宋体" w:cs="宋体"/>
          <w:color w:val="auto"/>
          <w:kern w:val="0"/>
          <w:highlight w:val="none"/>
        </w:rPr>
        <w:t>投标文件的分册组成是否符合招标文件规定。</w:t>
      </w:r>
    </w:p>
    <w:p w14:paraId="5099E177">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）本章第三节第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10.3.2</w:t>
      </w:r>
      <w:r>
        <w:rPr>
          <w:rFonts w:hint="eastAsia" w:ascii="宋体" w:hAnsi="宋体" w:eastAsia="宋体" w:cs="宋体"/>
          <w:snapToGrid w:val="0"/>
          <w:color w:val="auto"/>
          <w:kern w:val="0"/>
          <w:szCs w:val="18"/>
          <w:highlight w:val="none"/>
        </w:rPr>
        <w:t>目、第</w:t>
      </w:r>
      <w:r>
        <w:rPr>
          <w:rFonts w:hint="eastAsia" w:ascii="宋体" w:hAnsi="宋体" w:eastAsia="宋体" w:cs="宋体"/>
          <w:b/>
          <w:bCs/>
          <w:snapToGrid w:val="0"/>
          <w:color w:val="auto"/>
          <w:kern w:val="0"/>
          <w:highlight w:val="none"/>
        </w:rPr>
        <w:t>10.4.3</w:t>
      </w:r>
      <w:r>
        <w:rPr>
          <w:rFonts w:hint="eastAsia" w:ascii="宋体" w:hAnsi="宋体" w:eastAsia="宋体" w:cs="宋体"/>
          <w:snapToGrid w:val="0"/>
          <w:color w:val="auto"/>
          <w:kern w:val="0"/>
          <w:highlight w:val="none"/>
        </w:rPr>
        <w:t>目中规定的“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”的组成内容（包括该组成内容的所附资料）中，任何一项有缺漏的；</w:t>
      </w:r>
    </w:p>
    <w:p w14:paraId="23E74254">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）关键字迹模糊、无法辨认，</w:t>
      </w:r>
      <w:r>
        <w:rPr>
          <w:rFonts w:hint="eastAsia" w:ascii="宋体" w:hAnsi="宋体" w:eastAsia="宋体" w:cs="宋体"/>
          <w:b/>
          <w:bCs/>
          <w:snapToGrid w:val="0"/>
          <w:color w:val="auto"/>
          <w:kern w:val="0"/>
          <w:highlight w:val="none"/>
        </w:rPr>
        <w:t>且该种过错将导致评标委员会无法判断投标文件是否响应招标文件实质性要求的</w:t>
      </w:r>
      <w:r>
        <w:rPr>
          <w:rFonts w:hint="eastAsia" w:ascii="宋体" w:hAnsi="宋体" w:eastAsia="宋体" w:cs="宋体"/>
          <w:snapToGrid w:val="0"/>
          <w:color w:val="auto"/>
          <w:kern w:val="0"/>
          <w:highlight w:val="none"/>
        </w:rPr>
        <w:t>；有涂改、行间插字或删除，但未加盖单位章或由投标人的法定代表人或其委托代理人签字确认的；</w:t>
      </w:r>
    </w:p>
    <w:p w14:paraId="0DBAE25F">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）投标文件未按规定签字、盖章的；</w:t>
      </w:r>
    </w:p>
    <w:p w14:paraId="2917B71A">
      <w:pPr>
        <w:keepNext w:val="0"/>
        <w:keepLines w:val="0"/>
        <w:pageBreakBefore w:val="0"/>
        <w:kinsoku/>
        <w:overflowPunct/>
        <w:topLinePunct w:val="0"/>
        <w:autoSpaceDE/>
        <w:autoSpaceDN/>
        <w:bidi w:val="0"/>
        <w:snapToGrid w:val="0"/>
        <w:spacing w:line="360" w:lineRule="auto"/>
        <w:ind w:firstLine="480" w:firstLineChars="200"/>
        <w:rPr>
          <w:rStyle w:val="149"/>
          <w:rFonts w:hint="eastAsia" w:ascii="宋体" w:hAnsi="宋体" w:eastAsia="宋体" w:cs="宋体"/>
          <w:color w:val="auto"/>
          <w:kern w:val="0"/>
          <w:highlight w:val="none"/>
        </w:rPr>
      </w:pPr>
      <w:r>
        <w:rPr>
          <w:rStyle w:val="149"/>
          <w:rFonts w:hint="eastAsia" w:ascii="宋体" w:hAnsi="宋体" w:eastAsia="宋体" w:cs="宋体"/>
          <w:color w:val="auto"/>
          <w:kern w:val="0"/>
          <w:highlight w:val="none"/>
        </w:rPr>
        <w:t>（</w:t>
      </w:r>
      <w:r>
        <w:rPr>
          <w:rStyle w:val="149"/>
          <w:rFonts w:hint="eastAsia" w:ascii="宋体" w:hAnsi="宋体" w:eastAsia="宋体" w:cs="宋体"/>
          <w:color w:val="auto"/>
          <w:kern w:val="0"/>
          <w:highlight w:val="none"/>
          <w:lang w:val="en-US"/>
        </w:rPr>
        <w:t>5</w:t>
      </w:r>
      <w:r>
        <w:rPr>
          <w:rStyle w:val="149"/>
          <w:rFonts w:hint="eastAsia" w:ascii="宋体" w:hAnsi="宋体" w:eastAsia="宋体" w:cs="宋体"/>
          <w:color w:val="auto"/>
          <w:kern w:val="0"/>
          <w:highlight w:val="none"/>
        </w:rPr>
        <w:t>）招标文件规定施工组织设计采用</w:t>
      </w:r>
      <w:r>
        <w:rPr>
          <w:rStyle w:val="149"/>
          <w:rFonts w:hint="eastAsia" w:ascii="宋体" w:hAnsi="宋体" w:eastAsia="宋体" w:cs="宋体"/>
          <w:color w:val="auto"/>
          <w:kern w:val="0"/>
          <w:highlight w:val="none"/>
          <w:lang w:eastAsia="zh-CN"/>
        </w:rPr>
        <w:t>“</w:t>
      </w:r>
      <w:r>
        <w:rPr>
          <w:rStyle w:val="149"/>
          <w:rFonts w:hint="eastAsia" w:ascii="宋体" w:hAnsi="宋体" w:eastAsia="宋体" w:cs="宋体"/>
          <w:color w:val="auto"/>
          <w:kern w:val="0"/>
          <w:highlight w:val="none"/>
        </w:rPr>
        <w:t>暗标</w:t>
      </w:r>
      <w:r>
        <w:rPr>
          <w:rStyle w:val="149"/>
          <w:rFonts w:hint="eastAsia" w:ascii="宋体" w:hAnsi="宋体" w:eastAsia="宋体" w:cs="宋体"/>
          <w:color w:val="auto"/>
          <w:kern w:val="0"/>
          <w:highlight w:val="none"/>
          <w:lang w:eastAsia="zh-CN"/>
        </w:rPr>
        <w:t>”</w:t>
      </w:r>
      <w:r>
        <w:rPr>
          <w:rStyle w:val="149"/>
          <w:rFonts w:hint="eastAsia" w:ascii="宋体" w:hAnsi="宋体" w:eastAsia="宋体" w:cs="宋体"/>
          <w:color w:val="auto"/>
          <w:kern w:val="0"/>
          <w:highlight w:val="none"/>
        </w:rPr>
        <w:t>方式进行评审，但施工组织设计的规格颜色、文字排版、正文篇幅（如有）不符合规定的；其任何部位出现手写以及涂改、行间插字或删除痕迹的；其任何部位出现投标人的名称和其它可识别投标人身份的字符、徽标、人员名称以及其他特殊标记的。</w:t>
      </w:r>
    </w:p>
    <w:p w14:paraId="58BD2DC7">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p>
    <w:p w14:paraId="047A55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lang w:val="en-US" w:eastAsia="zh-CN"/>
        </w:rPr>
      </w:pPr>
      <w:bookmarkStart w:id="164" w:name="_Toc27344"/>
      <w:bookmarkStart w:id="165" w:name="_Toc13299"/>
      <w:bookmarkStart w:id="166" w:name="_Toc31483"/>
      <w:bookmarkStart w:id="167" w:name="_Toc8201"/>
      <w:bookmarkStart w:id="168" w:name="_Toc23068"/>
      <w:r>
        <w:rPr>
          <w:rStyle w:val="154"/>
          <w:rFonts w:hint="eastAsia" w:ascii="宋体" w:hAnsi="宋体" w:eastAsia="宋体" w:cs="宋体"/>
          <w:lang w:val="en-US" w:eastAsia="zh-CN"/>
        </w:rPr>
        <w:t>3．响应性评审环节</w:t>
      </w:r>
      <w:bookmarkEnd w:id="164"/>
      <w:bookmarkEnd w:id="165"/>
      <w:bookmarkEnd w:id="166"/>
      <w:bookmarkEnd w:id="167"/>
      <w:bookmarkEnd w:id="168"/>
    </w:p>
    <w:p w14:paraId="48E37619">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投标人有下列情形之一的，评标委员会应否决其投标。被否决的投标人，不进入详细评审阶段。</w:t>
      </w:r>
    </w:p>
    <w:p w14:paraId="7B8CC5D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）承诺的投标有效期短于规定的；质量标准低于规定的；工期超出规定的；擅自修改、遗漏《投标函》《各项承诺一览表》实质性内容的；</w:t>
      </w:r>
    </w:p>
    <w:p w14:paraId="46EFA1C0">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）编制《投标总价》的</w:t>
      </w:r>
      <w:r>
        <w:rPr>
          <w:rFonts w:hint="eastAsia" w:ascii="宋体" w:hAnsi="宋体" w:eastAsia="宋体" w:cs="宋体"/>
          <w:snapToGrid w:val="0"/>
          <w:color w:val="auto"/>
          <w:kern w:val="0"/>
          <w:szCs w:val="18"/>
          <w:highlight w:val="none"/>
        </w:rPr>
        <w:t>造价工程师，其注册证书不是住建部门颁发的；其注册单位与投标人（或造价咨询人）不一致的；其注册证书</w:t>
      </w:r>
      <w:r>
        <w:rPr>
          <w:rFonts w:hint="eastAsia" w:ascii="宋体" w:hAnsi="宋体" w:eastAsia="宋体" w:cs="宋体"/>
          <w:snapToGrid w:val="0"/>
          <w:color w:val="auto"/>
          <w:kern w:val="0"/>
          <w:highlight w:val="none"/>
        </w:rPr>
        <w:t>不在有效期内的。</w:t>
      </w:r>
    </w:p>
    <w:p w14:paraId="668402CA">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注：投标人（或造价咨询人）已经工商变更，但其员工的执业资格注册证书的注册单位名称未完成变更的，不得否决其投标。</w:t>
      </w:r>
    </w:p>
    <w:p w14:paraId="044550BB">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（3）投标人委托造价咨询单位编制《投标总价》，但未在《投标总价扉页》（即扉—3）“投标人”栏目加盖造价咨询人公章的；未提供造价咨询人的营业执照副本彩色扫描件；</w:t>
      </w:r>
    </w:p>
    <w:p w14:paraId="0A827BC6">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w:t>
      </w:r>
      <w:r>
        <w:rPr>
          <w:rFonts w:hint="eastAsia" w:hAnsi="宋体"/>
          <w:kern w:val="0"/>
        </w:rPr>
        <w:t>出现两个或两个以上投标总价的（同一个投标总价大、小写不一致的除外）；投标总价超出</w:t>
      </w:r>
      <w:r>
        <w:rPr>
          <w:rFonts w:hint="eastAsia" w:hAnsi="宋体"/>
          <w:b/>
        </w:rPr>
        <w:t>最高投标限价</w:t>
      </w:r>
      <w:r>
        <w:rPr>
          <w:rFonts w:hint="eastAsia" w:hAnsi="宋体"/>
          <w:kern w:val="0"/>
        </w:rPr>
        <w:t>的；绿色施工安全防护措施费少于规定的；暂列金额、暂估价未按照招标工程量清单统一报价的；投标总价下浮率超过</w:t>
      </w:r>
      <w:r>
        <w:rPr>
          <w:rFonts w:hint="eastAsia" w:ascii="Times New Roman"/>
          <w:kern w:val="0"/>
        </w:rPr>
        <w:t>15%</w:t>
      </w:r>
      <w:r>
        <w:rPr>
          <w:rFonts w:hint="eastAsia" w:hAnsi="宋体"/>
          <w:kern w:val="0"/>
        </w:rPr>
        <w:t>，又未提供相应书面说明和佐证材料或提供的书面说明和佐证材料不能令人信服，被评标委员会认定以低于成本报价竞标的；擅自修改、增减招标工程量清单项目（包括措施项目）的；</w:t>
      </w:r>
    </w:p>
    <w:p w14:paraId="26DEA1BC">
      <w:pPr>
        <w:wordWrap w:val="0"/>
        <w:spacing w:line="440" w:lineRule="exact"/>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w:t>
      </w:r>
      <w:r>
        <w:rPr>
          <w:rFonts w:hint="eastAsia" w:hAnsi="宋体"/>
          <w:kern w:val="0"/>
        </w:rPr>
        <w:t>在施工组织设计评审中，评标委员会认定质量、进度保障措施与国家和省市现行有关规范、规定、标准有重大偏差，</w:t>
      </w:r>
      <w:r>
        <w:rPr>
          <w:rFonts w:hint="eastAsia" w:hAnsi="宋体"/>
          <w:b/>
          <w:bCs/>
          <w:kern w:val="0"/>
        </w:rPr>
        <w:t>且该种过错将导致工程质量、进度管理目标无法实现的</w:t>
      </w:r>
      <w:r>
        <w:rPr>
          <w:rFonts w:hint="eastAsia" w:hAnsi="宋体"/>
          <w:kern w:val="0"/>
        </w:rPr>
        <w:t>。</w:t>
      </w:r>
    </w:p>
    <w:p w14:paraId="33D01A3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p>
    <w:p w14:paraId="545894A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4"/>
          <w:rFonts w:hint="eastAsia" w:ascii="宋体" w:hAnsi="宋体" w:eastAsia="宋体" w:cs="宋体"/>
          <w:lang w:val="en-US" w:eastAsia="zh-CN"/>
        </w:rPr>
      </w:pPr>
      <w:bookmarkStart w:id="169" w:name="_Toc24919"/>
      <w:r>
        <w:rPr>
          <w:rStyle w:val="154"/>
          <w:rFonts w:hint="eastAsia" w:ascii="宋体" w:hAnsi="宋体" w:eastAsia="宋体" w:cs="宋体"/>
          <w:lang w:val="en-US" w:eastAsia="zh-CN"/>
        </w:rPr>
        <w:t>4．其他</w:t>
      </w:r>
      <w:bookmarkEnd w:id="169"/>
    </w:p>
    <w:p w14:paraId="61FE1E8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2"/>
          <w:highlight w:val="none"/>
        </w:rPr>
      </w:pPr>
      <w:r>
        <w:rPr>
          <w:rFonts w:hint="eastAsia" w:ascii="宋体" w:hAnsi="宋体" w:eastAsia="宋体" w:cs="宋体"/>
          <w:snapToGrid w:val="0"/>
          <w:color w:val="auto"/>
          <w:kern w:val="0"/>
          <w:highlight w:val="none"/>
        </w:rPr>
        <w:t>在任何评标环节（或阶段），投标人有下列情形之一的，评标委员会应否决其投标。</w:t>
      </w:r>
      <w:r>
        <w:rPr>
          <w:rFonts w:hint="eastAsia" w:ascii="宋体" w:hAnsi="宋体" w:eastAsia="宋体" w:cs="宋体"/>
          <w:snapToGrid w:val="0"/>
          <w:color w:val="auto"/>
          <w:kern w:val="0"/>
          <w:szCs w:val="22"/>
          <w:highlight w:val="none"/>
        </w:rPr>
        <w:t>被否决的投标人，不进入下一环节（或阶段）。</w:t>
      </w:r>
    </w:p>
    <w:p w14:paraId="06C5DE56">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（1）不按评标委员会要求澄清、说明或补正的；</w:t>
      </w:r>
    </w:p>
    <w:p w14:paraId="7DC223C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（2）有下列情形之一，被评标委员会认定属于串通投标的：</w:t>
      </w:r>
    </w:p>
    <w:p w14:paraId="364C05E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①不同投标人的投标文件两处以上（含两处）错、漏一致；</w:t>
      </w:r>
    </w:p>
    <w:p w14:paraId="5876783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②不同投标人的投标总价相近且各分项报价、综合单价分析表内容混乱不能相互对应、乱调乱压或乱抬的，而在询标时没有合理的解释或者不能提供计算依据和报价依据；</w:t>
      </w:r>
    </w:p>
    <w:p w14:paraId="441E1CD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③不同投标人的投标各项报价存在异常一致或者呈规律性变化；</w:t>
      </w:r>
    </w:p>
    <w:p w14:paraId="4137C48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④不同投标人的投标文件由同一单位或者同一个人编制；</w:t>
      </w:r>
    </w:p>
    <w:p w14:paraId="4CF60795">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⑤不同投标人的投标文件中投标资料（包括电子资料）相互混装或项目班子成员出现同一人；</w:t>
      </w:r>
    </w:p>
    <w:p w14:paraId="7DDB02A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⑥不同投标人的投标文件由同一电脑编制或同一台附属设备打印，或投标报价用同一个预算编制软件密码锁制作或出自同一电子文档；</w:t>
      </w:r>
    </w:p>
    <w:p w14:paraId="2BF4491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⑦不同投标人的投标保证由同一企业或同一账户资金缴纳；</w:t>
      </w:r>
    </w:p>
    <w:p w14:paraId="29B9673B">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sectPr>
          <w:endnotePr>
            <w:numFmt w:val="decimal"/>
          </w:endnotePr>
          <w:pgSz w:w="11906" w:h="16838"/>
          <w:pgMar w:top="1134" w:right="1134" w:bottom="1134" w:left="1134" w:header="850"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⑧不同投标人委托同一个人或注册在同一家企业的注册人员或同一家企业为其投标提供投标咨询、商务报价、技术咨询（招标项目本身要求采用专有技术的除外）等服务。</w:t>
      </w:r>
      <w:bookmarkEnd w:id="142"/>
    </w:p>
    <w:p w14:paraId="1A545B01">
      <w:pPr>
        <w:pStyle w:val="3"/>
        <w:wordWrap w:val="0"/>
        <w:autoSpaceDE/>
        <w:autoSpaceDN/>
        <w:snapToGrid w:val="0"/>
        <w:spacing w:line="440" w:lineRule="exact"/>
        <w:jc w:val="center"/>
        <w:rPr>
          <w:rFonts w:hint="eastAsia" w:ascii="宋体" w:hAnsi="宋体" w:eastAsia="宋体" w:cs="宋体"/>
          <w:b/>
          <w:snapToGrid w:val="0"/>
          <w:color w:val="auto"/>
          <w:kern w:val="0"/>
          <w:highlight w:val="none"/>
        </w:rPr>
      </w:pPr>
      <w:bookmarkStart w:id="170" w:name="_Hlt87952408"/>
      <w:bookmarkEnd w:id="170"/>
      <w:bookmarkStart w:id="171" w:name="_Hlt112206772"/>
      <w:bookmarkEnd w:id="171"/>
      <w:bookmarkStart w:id="172" w:name="_Hlt70150994"/>
      <w:bookmarkEnd w:id="172"/>
      <w:bookmarkStart w:id="173" w:name="_Hlt69669771"/>
      <w:bookmarkEnd w:id="173"/>
      <w:bookmarkStart w:id="174" w:name="_Toc24543"/>
      <w:bookmarkStart w:id="175" w:name="_Hlt69698722"/>
      <w:bookmarkStart w:id="176" w:name="_Toc20451"/>
      <w:bookmarkStart w:id="177" w:name="_Hlt69698741"/>
      <w:bookmarkStart w:id="178" w:name="_Hlt69698769"/>
      <w:r>
        <w:rPr>
          <w:rFonts w:hint="eastAsia" w:ascii="宋体" w:hAnsi="宋体" w:eastAsia="宋体" w:cs="宋体"/>
          <w:b/>
          <w:snapToGrid w:val="0"/>
          <w:color w:val="auto"/>
          <w:sz w:val="24"/>
          <w:highlight w:val="none"/>
          <w:lang w:val="en-US" w:eastAsia="zh-CN"/>
        </w:rPr>
        <w:t>第</w:t>
      </w:r>
      <w:bookmarkStart w:id="179" w:name="_Hlt69669171"/>
      <w:bookmarkEnd w:id="179"/>
      <w:r>
        <w:rPr>
          <w:rFonts w:hint="eastAsia" w:ascii="宋体" w:hAnsi="宋体" w:eastAsia="宋体" w:cs="宋体"/>
          <w:b/>
          <w:snapToGrid w:val="0"/>
          <w:color w:val="auto"/>
          <w:sz w:val="24"/>
          <w:highlight w:val="none"/>
          <w:lang w:val="en-US" w:eastAsia="zh-CN"/>
        </w:rPr>
        <w:t>二章</w:t>
      </w:r>
      <w:bookmarkStart w:id="180" w:name="_Hlt87793839"/>
      <w:bookmarkEnd w:id="180"/>
      <w:r>
        <w:rPr>
          <w:rFonts w:hint="eastAsia" w:ascii="宋体" w:hAnsi="宋体" w:eastAsia="宋体" w:cs="宋体"/>
          <w:b/>
          <w:snapToGrid w:val="0"/>
          <w:color w:val="auto"/>
          <w:sz w:val="24"/>
          <w:highlight w:val="none"/>
          <w:lang w:val="en-US" w:eastAsia="zh-CN"/>
        </w:rPr>
        <w:t xml:space="preserve"> 中标人须知</w:t>
      </w:r>
      <w:bookmarkEnd w:id="174"/>
      <w:bookmarkEnd w:id="175"/>
      <w:bookmarkEnd w:id="176"/>
      <w:bookmarkEnd w:id="177"/>
      <w:bookmarkEnd w:id="178"/>
    </w:p>
    <w:p w14:paraId="49A565BD">
      <w:pPr>
        <w:pStyle w:val="5"/>
        <w:bidi w:val="0"/>
        <w:spacing w:line="360" w:lineRule="auto"/>
        <w:rPr>
          <w:rFonts w:hint="eastAsia"/>
        </w:rPr>
      </w:pPr>
      <w:bookmarkStart w:id="181" w:name="_Toc2206"/>
      <w:bookmarkStart w:id="182" w:name="_Toc19632"/>
      <w:bookmarkStart w:id="183" w:name="_Toc28684"/>
      <w:bookmarkStart w:id="184" w:name="_Hlt69698713"/>
      <w:bookmarkStart w:id="185" w:name="_Hlt69698765"/>
      <w:bookmarkStart w:id="186" w:name="_Toc28918"/>
      <w:bookmarkStart w:id="187" w:name="_Hlt69698776"/>
      <w:r>
        <w:rPr>
          <w:rFonts w:hint="eastAsia"/>
        </w:rPr>
        <w:t>1．中标通知书</w:t>
      </w:r>
      <w:bookmarkEnd w:id="181"/>
    </w:p>
    <w:p w14:paraId="1546FF3C">
      <w:pPr>
        <w:wordWrap w:val="0"/>
        <w:adjustRightInd w:val="0"/>
        <w:snapToGrid w:val="0"/>
        <w:spacing w:line="360" w:lineRule="auto"/>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CE536EA">
      <w:pPr>
        <w:wordWrap w:val="0"/>
        <w:adjustRightInd w:val="0"/>
        <w:snapToGrid w:val="0"/>
        <w:spacing w:line="360" w:lineRule="auto"/>
        <w:ind w:firstLine="562"/>
        <w:rPr>
          <w:rFonts w:hint="eastAsia" w:ascii="宋体" w:hAnsi="宋体" w:eastAsia="宋体" w:cs="宋体"/>
          <w:snapToGrid w:val="0"/>
          <w:color w:val="auto"/>
          <w:kern w:val="0"/>
          <w:highlight w:val="none"/>
        </w:rPr>
      </w:pPr>
    </w:p>
    <w:p w14:paraId="73D5E45A">
      <w:pPr>
        <w:pStyle w:val="5"/>
        <w:bidi w:val="0"/>
        <w:spacing w:line="360" w:lineRule="auto"/>
        <w:rPr>
          <w:rFonts w:hint="eastAsia"/>
        </w:rPr>
      </w:pPr>
      <w:bookmarkStart w:id="188" w:name="_Toc14349"/>
      <w:r>
        <w:rPr>
          <w:rFonts w:hint="eastAsia"/>
        </w:rPr>
        <w:t>2．中标结果公示</w:t>
      </w:r>
      <w:bookmarkEnd w:id="188"/>
    </w:p>
    <w:p w14:paraId="3A5BDAB2">
      <w:pPr>
        <w:wordWrap w:val="0"/>
        <w:adjustRightInd w:val="0"/>
        <w:snapToGrid w:val="0"/>
        <w:spacing w:line="360" w:lineRule="auto"/>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中标通知书发出后15日内，招标人应将中标结果在广东省招标投标监管网（</w:t>
      </w:r>
      <w:r>
        <w:rPr>
          <w:rFonts w:hint="eastAsia" w:ascii="宋体" w:hAnsi="宋体" w:eastAsia="宋体" w:cs="宋体"/>
          <w:snapToGrid w:val="0"/>
          <w:color w:val="auto"/>
          <w:kern w:val="0"/>
          <w:highlight w:val="none"/>
          <w:lang w:eastAsia="zh-CN"/>
        </w:rPr>
        <w:t>https://www.gdzwfw.gov.cn/ztbjg-portal/#/index</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eastAsia="zh-CN"/>
        </w:rPr>
        <w:t>全国公共资源交易平台（广东省·韶关市）（https://ygp.gdzwfw.gov.cn/ggzy-portal/#/440200/index）</w:t>
      </w:r>
      <w:r>
        <w:rPr>
          <w:rFonts w:hint="eastAsia" w:ascii="宋体" w:hAnsi="宋体" w:eastAsia="宋体" w:cs="宋体"/>
          <w:snapToGrid w:val="0"/>
          <w:color w:val="auto"/>
          <w:kern w:val="0"/>
          <w:highlight w:val="none"/>
        </w:rPr>
        <w:t>进行公示。</w:t>
      </w:r>
    </w:p>
    <w:p w14:paraId="68CC75ED">
      <w:pPr>
        <w:wordWrap w:val="0"/>
        <w:adjustRightInd w:val="0"/>
        <w:snapToGrid w:val="0"/>
        <w:spacing w:line="360" w:lineRule="auto"/>
        <w:ind w:firstLine="562"/>
        <w:rPr>
          <w:rFonts w:hint="eastAsia" w:ascii="宋体" w:hAnsi="宋体" w:eastAsia="宋体" w:cs="宋体"/>
          <w:snapToGrid w:val="0"/>
          <w:color w:val="auto"/>
          <w:kern w:val="0"/>
          <w:highlight w:val="none"/>
        </w:rPr>
      </w:pPr>
    </w:p>
    <w:p w14:paraId="4304270B">
      <w:pPr>
        <w:pStyle w:val="5"/>
        <w:pageBreakBefore w:val="0"/>
        <w:kinsoku/>
        <w:overflowPunct/>
        <w:topLinePunct w:val="0"/>
        <w:autoSpaceDE/>
        <w:autoSpaceDN/>
        <w:bidi w:val="0"/>
        <w:spacing w:beforeLines="0" w:afterLines="0" w:line="360" w:lineRule="auto"/>
        <w:ind w:firstLine="482" w:firstLineChars="200"/>
        <w:textAlignment w:val="auto"/>
        <w:rPr>
          <w:rFonts w:hint="eastAsia"/>
        </w:rPr>
      </w:pPr>
      <w:bookmarkStart w:id="189" w:name="_Toc10406"/>
      <w:r>
        <w:rPr>
          <w:rFonts w:hint="eastAsia"/>
        </w:rPr>
        <w:t>3．履约保证</w:t>
      </w:r>
      <w:bookmarkEnd w:id="189"/>
    </w:p>
    <w:p w14:paraId="335F41F8">
      <w:pPr>
        <w:pageBreakBefore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3.1</w:t>
      </w:r>
      <w:r>
        <w:rPr>
          <w:rFonts w:hint="eastAsia" w:ascii="宋体" w:hAnsi="宋体" w:eastAsia="宋体" w:cs="宋体"/>
          <w:snapToGrid w:val="0"/>
          <w:color w:val="auto"/>
          <w:kern w:val="0"/>
          <w:highlight w:val="none"/>
        </w:rPr>
        <w:t xml:space="preserve"> 中标人须在领取中标通知书之日起</w:t>
      </w:r>
      <w:r>
        <w:rPr>
          <w:rFonts w:hint="eastAsia" w:ascii="宋体" w:hAnsi="宋体" w:eastAsia="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10</w:t>
      </w:r>
      <w:r>
        <w:rPr>
          <w:rFonts w:hint="eastAsia" w:ascii="宋体" w:hAnsi="宋体" w:eastAsia="宋体" w:cs="宋体"/>
          <w:snapToGrid w:val="0"/>
          <w:color w:val="auto"/>
          <w:kern w:val="0"/>
          <w:highlight w:val="none"/>
          <w:u w:val="single"/>
          <w:lang w:val="en-US" w:eastAsia="zh-CN"/>
        </w:rPr>
        <w:t xml:space="preserve"> </w:t>
      </w:r>
      <w:r>
        <w:rPr>
          <w:rFonts w:hint="eastAsia" w:ascii="宋体" w:hAnsi="宋体" w:eastAsia="宋体" w:cs="宋体"/>
          <w:snapToGrid w:val="0"/>
          <w:color w:val="auto"/>
          <w:kern w:val="0"/>
          <w:highlight w:val="none"/>
        </w:rPr>
        <w:t>个工作日内、签订合同前向招标人提交金额为中标价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5</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 xml:space="preserve">%的履约保证。 </w:t>
      </w:r>
    </w:p>
    <w:p w14:paraId="41273032">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在建设工程交易系统中自主选择一种进行缴交。</w:t>
      </w:r>
    </w:p>
    <w:p w14:paraId="4C1E0F7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2"/>
          <w:highlight w:val="none"/>
        </w:rPr>
      </w:pPr>
      <w:r>
        <w:rPr>
          <w:rFonts w:hint="eastAsia" w:ascii="宋体" w:hAnsi="宋体" w:eastAsia="宋体" w:cs="宋体"/>
          <w:b/>
          <w:bCs/>
          <w:sz w:val="24"/>
          <w:szCs w:val="22"/>
          <w:highlight w:val="none"/>
        </w:rPr>
        <w:t>3.</w:t>
      </w:r>
      <w:r>
        <w:rPr>
          <w:rFonts w:hint="eastAsia" w:hAnsi="宋体" w:cs="宋体"/>
          <w:b/>
          <w:bCs/>
          <w:sz w:val="24"/>
          <w:szCs w:val="22"/>
          <w:highlight w:val="none"/>
          <w:lang w:val="en-US" w:eastAsia="zh-CN"/>
        </w:rPr>
        <w:t>2</w:t>
      </w:r>
      <w:r>
        <w:rPr>
          <w:rFonts w:hint="eastAsia" w:ascii="宋体" w:hAnsi="宋体" w:eastAsia="宋体" w:cs="宋体"/>
          <w:sz w:val="24"/>
          <w:szCs w:val="22"/>
          <w:highlight w:val="none"/>
        </w:rPr>
        <w:t>中标通知书发出时，招标人应登录韶关市公共资源一体化平台发起收缴履约担保并填写担保金金额、缴交时限和项目工期。收缴信息推送至中标人账号中，向中标人收缴履约担保。</w:t>
      </w:r>
    </w:p>
    <w:p w14:paraId="7812E40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2"/>
          <w:highlight w:val="none"/>
        </w:rPr>
      </w:pPr>
      <w:r>
        <w:rPr>
          <w:rFonts w:hint="eastAsia" w:ascii="宋体" w:hAnsi="宋体" w:eastAsia="宋体" w:cs="宋体"/>
          <w:b/>
          <w:bCs/>
          <w:sz w:val="24"/>
          <w:szCs w:val="22"/>
          <w:highlight w:val="none"/>
        </w:rPr>
        <w:t>3.</w:t>
      </w:r>
      <w:r>
        <w:rPr>
          <w:rFonts w:hint="eastAsia" w:hAnsi="宋体" w:cs="宋体"/>
          <w:b/>
          <w:bCs/>
          <w:sz w:val="24"/>
          <w:szCs w:val="22"/>
          <w:highlight w:val="none"/>
          <w:lang w:val="en-US" w:eastAsia="zh-CN"/>
        </w:rPr>
        <w:t>3</w:t>
      </w:r>
      <w:r>
        <w:rPr>
          <w:rFonts w:hint="eastAsia" w:ascii="宋体" w:hAnsi="宋体" w:eastAsia="宋体" w:cs="宋体"/>
          <w:sz w:val="24"/>
          <w:szCs w:val="22"/>
          <w:highlight w:val="none"/>
        </w:rPr>
        <w:t>项目通过竣工验收后招标人应登录韶关市公共资源一体化平台进行履约担保退回操作。</w:t>
      </w:r>
    </w:p>
    <w:p w14:paraId="503B2A6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2"/>
          <w:highlight w:val="none"/>
        </w:rPr>
      </w:pPr>
      <w:r>
        <w:rPr>
          <w:rFonts w:hint="eastAsia" w:ascii="宋体" w:hAnsi="宋体" w:eastAsia="宋体" w:cs="宋体"/>
          <w:b/>
          <w:bCs/>
          <w:sz w:val="24"/>
          <w:szCs w:val="22"/>
          <w:highlight w:val="none"/>
        </w:rPr>
        <w:t>3.</w:t>
      </w:r>
      <w:r>
        <w:rPr>
          <w:rFonts w:hint="eastAsia" w:hAnsi="宋体" w:cs="宋体"/>
          <w:b/>
          <w:bCs/>
          <w:sz w:val="24"/>
          <w:szCs w:val="22"/>
          <w:highlight w:val="none"/>
          <w:lang w:val="en-US" w:eastAsia="zh-CN"/>
        </w:rPr>
        <w:t>4</w:t>
      </w:r>
      <w:r>
        <w:rPr>
          <w:rFonts w:hint="eastAsia" w:ascii="宋体" w:hAnsi="宋体" w:eastAsia="宋体" w:cs="宋体"/>
          <w:color w:val="000000"/>
          <w:sz w:val="24"/>
          <w:szCs w:val="24"/>
        </w:rPr>
        <w:t>项目通过竣工验收之日后</w:t>
      </w:r>
      <w:r>
        <w:rPr>
          <w:rFonts w:hint="eastAsia" w:ascii="宋体" w:hAnsi="宋体" w:eastAsia="宋体" w:cs="宋体"/>
          <w:sz w:val="24"/>
          <w:szCs w:val="22"/>
          <w:highlight w:val="none"/>
        </w:rPr>
        <w:t>28天内，招标人将履约担保退还给承包人。</w:t>
      </w:r>
    </w:p>
    <w:p w14:paraId="2407D3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2"/>
          <w:highlight w:val="none"/>
        </w:rPr>
      </w:pPr>
      <w:r>
        <w:rPr>
          <w:rFonts w:hint="eastAsia" w:ascii="宋体" w:hAnsi="宋体" w:eastAsia="宋体" w:cs="宋体"/>
          <w:b/>
          <w:bCs/>
          <w:sz w:val="24"/>
          <w:szCs w:val="22"/>
          <w:highlight w:val="none"/>
        </w:rPr>
        <w:t>3.</w:t>
      </w:r>
      <w:r>
        <w:rPr>
          <w:rFonts w:hint="eastAsia" w:hAnsi="宋体" w:cs="宋体"/>
          <w:b/>
          <w:bCs/>
          <w:sz w:val="24"/>
          <w:szCs w:val="22"/>
          <w:highlight w:val="none"/>
          <w:lang w:val="en-US" w:eastAsia="zh-CN"/>
        </w:rPr>
        <w:t>5</w:t>
      </w:r>
      <w:r>
        <w:rPr>
          <w:rFonts w:hint="eastAsia" w:ascii="宋体" w:hAnsi="宋体" w:eastAsia="宋体" w:cs="宋体"/>
          <w:sz w:val="24"/>
          <w:szCs w:val="22"/>
          <w:highlight w:val="none"/>
        </w:rPr>
        <w:t>项目延期竣工的，中标人应登录韶关市公共资源一体化平台办理延长履约担保期限。</w:t>
      </w:r>
    </w:p>
    <w:p w14:paraId="3F21BA9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2"/>
          <w:highlight w:val="none"/>
        </w:rPr>
      </w:pPr>
      <w:r>
        <w:rPr>
          <w:rFonts w:hint="eastAsia" w:ascii="宋体" w:hAnsi="宋体" w:eastAsia="宋体" w:cs="宋体"/>
          <w:b/>
          <w:bCs/>
          <w:sz w:val="24"/>
          <w:szCs w:val="22"/>
          <w:highlight w:val="none"/>
        </w:rPr>
        <w:t>3.</w:t>
      </w:r>
      <w:r>
        <w:rPr>
          <w:rFonts w:hint="eastAsia" w:hAnsi="宋体" w:cs="宋体"/>
          <w:b/>
          <w:bCs/>
          <w:sz w:val="24"/>
          <w:szCs w:val="22"/>
          <w:highlight w:val="none"/>
          <w:lang w:val="en-US" w:eastAsia="zh-CN"/>
        </w:rPr>
        <w:t>6</w:t>
      </w:r>
      <w:r>
        <w:rPr>
          <w:rFonts w:hint="eastAsia" w:ascii="宋体" w:hAnsi="宋体" w:eastAsia="宋体" w:cs="宋体"/>
          <w:sz w:val="24"/>
          <w:szCs w:val="22"/>
          <w:highlight w:val="none"/>
        </w:rPr>
        <w:t>中标人在领取中标通知书之后按有关规定及时提交履约保证。</w:t>
      </w:r>
    </w:p>
    <w:p w14:paraId="6D19588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z w:val="24"/>
          <w:szCs w:val="22"/>
          <w:highlight w:val="none"/>
        </w:rPr>
        <w:t>3.</w:t>
      </w:r>
      <w:r>
        <w:rPr>
          <w:rFonts w:hint="eastAsia" w:hAnsi="宋体" w:cs="宋体"/>
          <w:b/>
          <w:bCs/>
          <w:sz w:val="24"/>
          <w:szCs w:val="22"/>
          <w:highlight w:val="none"/>
          <w:lang w:val="en-US" w:eastAsia="zh-CN"/>
        </w:rPr>
        <w:t>7</w:t>
      </w:r>
      <w:r>
        <w:rPr>
          <w:rFonts w:hint="eastAsia" w:ascii="宋体" w:hAnsi="宋体" w:eastAsia="宋体" w:cs="宋体"/>
          <w:sz w:val="24"/>
          <w:szCs w:val="22"/>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084C7E34">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p>
    <w:p w14:paraId="4EE2E3AE">
      <w:pPr>
        <w:pStyle w:val="5"/>
        <w:bidi w:val="0"/>
        <w:spacing w:line="360" w:lineRule="auto"/>
        <w:rPr>
          <w:rFonts w:hint="eastAsia"/>
        </w:rPr>
      </w:pPr>
      <w:bookmarkStart w:id="190" w:name="_Toc9821"/>
      <w:r>
        <w:rPr>
          <w:rFonts w:hint="eastAsia"/>
        </w:rPr>
        <w:t>4．合同订立</w:t>
      </w:r>
      <w:bookmarkEnd w:id="190"/>
    </w:p>
    <w:p w14:paraId="60023FC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 xml:space="preserve"> 招标人应当自中标通知书发出之日起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30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日内，按照招标文件、中标人的投标文件与中标人订立书面合同。</w:t>
      </w:r>
    </w:p>
    <w:p w14:paraId="5644AFE2">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w:t>
      </w:r>
      <w:r>
        <w:rPr>
          <w:rFonts w:hint="eastAsia" w:ascii="宋体" w:hAnsi="宋体" w:eastAsia="宋体" w:cs="宋体"/>
          <w:snapToGrid w:val="0"/>
          <w:color w:val="auto"/>
          <w:kern w:val="0"/>
          <w:highlight w:val="none"/>
        </w:rPr>
        <w:t xml:space="preserve"> 不正常报价的梳理和确认</w:t>
      </w:r>
    </w:p>
    <w:p w14:paraId="70720111">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4.2.1</w:t>
      </w:r>
      <w:r>
        <w:rPr>
          <w:rFonts w:hint="eastAsia" w:ascii="宋体" w:hAnsi="宋体" w:eastAsia="宋体" w:cs="宋体"/>
          <w:snapToGrid w:val="0"/>
          <w:color w:val="auto"/>
          <w:kern w:val="0"/>
          <w:highlight w:val="none"/>
        </w:rPr>
        <w:t xml:space="preserve"> </w:t>
      </w:r>
      <w:r>
        <w:rPr>
          <w:rFonts w:hint="eastAsia" w:ascii="宋体" w:hAnsi="宋体" w:eastAsia="宋体" w:cs="宋体"/>
          <w:b/>
          <w:bCs/>
          <w:snapToGrid w:val="0"/>
          <w:color w:val="auto"/>
          <w:kern w:val="0"/>
          <w:highlight w:val="none"/>
        </w:rPr>
        <w:t>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snapToGrid w:val="0"/>
          <w:color w:val="auto"/>
          <w:kern w:val="0"/>
          <w:highlight w:val="none"/>
        </w:rPr>
        <w:t>招标人不具备以上能力的，可授权编制本项目招标控制价的造价咨询单位实施。</w:t>
      </w:r>
    </w:p>
    <w:p w14:paraId="5B9E8793">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4.2.2</w:t>
      </w:r>
      <w:r>
        <w:rPr>
          <w:rFonts w:hint="eastAsia" w:ascii="宋体" w:hAnsi="宋体" w:eastAsia="宋体" w:cs="宋体"/>
          <w:snapToGrid w:val="0"/>
          <w:color w:val="auto"/>
          <w:kern w:val="0"/>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19E9060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4.2.3</w:t>
      </w:r>
      <w:r>
        <w:rPr>
          <w:rFonts w:hint="eastAsia" w:ascii="宋体" w:hAnsi="宋体" w:eastAsia="宋体" w:cs="宋体"/>
          <w:snapToGrid w:val="0"/>
          <w:color w:val="auto"/>
          <w:kern w:val="0"/>
          <w:highlight w:val="none"/>
        </w:rPr>
        <w:t xml:space="preserve"> 错漏项的认定。中标人已标价工程量清单中，任一清单项目未填报价格或价格为零的，视为错漏项。</w:t>
      </w:r>
    </w:p>
    <w:p w14:paraId="2BE0298C">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4.2.4</w:t>
      </w:r>
      <w:r>
        <w:rPr>
          <w:rFonts w:hint="eastAsia" w:ascii="宋体" w:hAnsi="宋体" w:eastAsia="宋体" w:cs="宋体"/>
          <w:snapToGrid w:val="0"/>
          <w:color w:val="auto"/>
          <w:kern w:val="0"/>
          <w:highlight w:val="none"/>
        </w:rPr>
        <w:t xml:space="preserve"> 不平衡报价的认定。经修正算术性错误后的中标人已标价工程量清单中，</w:t>
      </w:r>
      <w:r>
        <w:rPr>
          <w:rFonts w:hint="eastAsia" w:ascii="宋体" w:hAnsi="宋体" w:eastAsia="宋体" w:cs="宋体"/>
          <w:b/>
          <w:bCs/>
          <w:snapToGrid w:val="0"/>
          <w:color w:val="auto"/>
          <w:kern w:val="0"/>
          <w:highlight w:val="none"/>
          <w:u w:val="single"/>
        </w:rPr>
        <w:t>分部分项工程量清单项目的投标综合单价与招标控制价分部分项工程量清单项目的综合单价偏差≥20%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的清单项目，视为不平衡报价项目。</w:t>
      </w:r>
    </w:p>
    <w:p w14:paraId="53150027">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4.2.5</w:t>
      </w:r>
      <w:r>
        <w:rPr>
          <w:rFonts w:hint="eastAsia" w:ascii="宋体" w:hAnsi="宋体" w:eastAsia="宋体" w:cs="宋体"/>
          <w:snapToGrid w:val="0"/>
          <w:color w:val="auto"/>
          <w:kern w:val="0"/>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4F244DAA">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4.2.6</w:t>
      </w:r>
      <w:r>
        <w:rPr>
          <w:rFonts w:hint="eastAsia" w:ascii="宋体" w:hAnsi="宋体" w:eastAsia="宋体" w:cs="宋体"/>
          <w:snapToGrid w:val="0"/>
          <w:color w:val="auto"/>
          <w:kern w:val="0"/>
          <w:highlight w:val="none"/>
        </w:rPr>
        <w:t xml:space="preserve"> </w:t>
      </w:r>
      <w:r>
        <w:rPr>
          <w:rFonts w:hint="eastAsia" w:ascii="宋体" w:hAnsi="宋体" w:eastAsia="宋体" w:cs="宋体"/>
          <w:b/>
          <w:bCs/>
          <w:snapToGrid w:val="0"/>
          <w:color w:val="auto"/>
          <w:kern w:val="0"/>
          <w:highlight w:val="none"/>
        </w:rPr>
        <w:t>合同履行过程中，被认定为错漏项的清单项目，结算时按照第三章“拟签订合同的主要条款”第2.6条规定处理。</w:t>
      </w:r>
    </w:p>
    <w:p w14:paraId="237F2D39">
      <w:pPr>
        <w:wordWrap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7B2E5880">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4.3 </w:t>
      </w:r>
      <w:r>
        <w:rPr>
          <w:rFonts w:hint="eastAsia" w:ascii="宋体" w:hAnsi="宋体" w:eastAsia="宋体" w:cs="宋体"/>
          <w:snapToGrid w:val="0"/>
          <w:color w:val="auto"/>
          <w:kern w:val="0"/>
          <w:highlight w:val="none"/>
        </w:rPr>
        <w:t>本招标项目合同计价方式为：</w:t>
      </w:r>
      <w:r>
        <w:rPr>
          <w:rFonts w:hint="eastAsia" w:ascii="宋体" w:hAnsi="宋体" w:eastAsia="宋体" w:cs="宋体"/>
          <w:snapToGrid w:val="0"/>
          <w:color w:val="auto"/>
          <w:kern w:val="0"/>
          <w:highlight w:val="none"/>
          <w:u w:val="single"/>
        </w:rPr>
        <w:t xml:space="preserve"> 单价 </w:t>
      </w:r>
      <w:r>
        <w:rPr>
          <w:rFonts w:hint="eastAsia" w:ascii="宋体" w:hAnsi="宋体" w:eastAsia="宋体" w:cs="宋体"/>
          <w:snapToGrid w:val="0"/>
          <w:color w:val="auto"/>
          <w:kern w:val="0"/>
          <w:highlight w:val="none"/>
        </w:rPr>
        <w:t>合同。</w:t>
      </w:r>
    </w:p>
    <w:p w14:paraId="40262D8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4.4</w:t>
      </w:r>
      <w:r>
        <w:rPr>
          <w:rFonts w:hint="eastAsia" w:ascii="宋体" w:hAnsi="宋体" w:eastAsia="宋体" w:cs="宋体"/>
          <w:snapToGrid w:val="0"/>
          <w:color w:val="auto"/>
          <w:kern w:val="0"/>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7CF7F964">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4.5</w:t>
      </w:r>
      <w:r>
        <w:rPr>
          <w:rFonts w:hint="eastAsia" w:ascii="宋体" w:hAnsi="宋体" w:eastAsia="宋体" w:cs="宋体"/>
          <w:snapToGrid w:val="0"/>
          <w:color w:val="auto"/>
          <w:kern w:val="0"/>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65D9A8C1">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4.6</w:t>
      </w:r>
      <w:r>
        <w:rPr>
          <w:rFonts w:hint="eastAsia" w:ascii="宋体" w:hAnsi="宋体" w:eastAsia="宋体" w:cs="宋体"/>
          <w:snapToGrid w:val="0"/>
          <w:color w:val="auto"/>
          <w:kern w:val="0"/>
          <w:highlight w:val="none"/>
        </w:rPr>
        <w:t xml:space="preserve"> 在书面合同订立之日起2个工作日内，由中标人或招标代理机构将合同上传至建设工程交易系统，并发起退还投标保证的申请。韶关市公共资源交易中心在收到申请之日起3个工作日内，将投标保证金（或银行保函）退还给中标人和其他中标候选人。</w:t>
      </w:r>
    </w:p>
    <w:p w14:paraId="62B03B8D">
      <w:pPr>
        <w:wordWrap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p>
    <w:p w14:paraId="074D53B9">
      <w:pPr>
        <w:pStyle w:val="5"/>
        <w:bidi w:val="0"/>
        <w:spacing w:line="360" w:lineRule="auto"/>
        <w:ind w:firstLine="964"/>
        <w:rPr>
          <w:rFonts w:hint="eastAsia" w:ascii="宋体" w:hAnsi="宋体" w:eastAsia="宋体" w:cs="Times New Roman"/>
        </w:rPr>
      </w:pPr>
      <w:bookmarkStart w:id="191" w:name="_Toc6695"/>
      <w:r>
        <w:rPr>
          <w:rFonts w:hint="eastAsia" w:ascii="宋体" w:hAnsi="宋体" w:eastAsia="宋体" w:cs="Times New Roman"/>
        </w:rPr>
        <w:t>5．放弃中标的处理</w:t>
      </w:r>
      <w:bookmarkEnd w:id="191"/>
    </w:p>
    <w:p w14:paraId="70ED421B">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5.1</w:t>
      </w:r>
      <w:r>
        <w:rPr>
          <w:rFonts w:hint="eastAsia" w:ascii="宋体" w:hAnsi="宋体" w:eastAsia="宋体" w:cs="宋体"/>
          <w:snapToGrid w:val="0"/>
          <w:color w:val="auto"/>
          <w:kern w:val="0"/>
          <w:highlight w:val="none"/>
        </w:rPr>
        <w:t xml:space="preserve"> 中标人</w:t>
      </w:r>
      <w:r>
        <w:rPr>
          <w:rFonts w:hint="eastAsia" w:ascii="宋体" w:hAnsi="宋体" w:eastAsia="宋体" w:cs="宋体"/>
          <w:snapToGrid w:val="0"/>
          <w:color w:val="auto"/>
          <w:highlight w:val="none"/>
        </w:rPr>
        <w:t>无正当理由放弃中标的，</w:t>
      </w:r>
      <w:r>
        <w:rPr>
          <w:rFonts w:hint="eastAsia" w:ascii="宋体" w:hAnsi="宋体" w:eastAsia="宋体" w:cs="宋体"/>
          <w:snapToGrid w:val="0"/>
          <w:color w:val="auto"/>
          <w:kern w:val="0"/>
          <w:highlight w:val="none"/>
        </w:rPr>
        <w:t>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highlight w:val="none"/>
        </w:rPr>
        <w:t>因此种情况造成招标人重新招标的</w:t>
      </w:r>
      <w:r>
        <w:rPr>
          <w:rFonts w:hint="eastAsia" w:ascii="宋体" w:hAnsi="宋体" w:eastAsia="宋体" w:cs="宋体"/>
          <w:snapToGrid w:val="0"/>
          <w:color w:val="auto"/>
          <w:kern w:val="0"/>
          <w:highlight w:val="none"/>
        </w:rPr>
        <w:t>，招标人可不接受该弃标人再次投标。同时，招标人应将该弃标人的失信行为向行政监督部门报告。</w:t>
      </w:r>
    </w:p>
    <w:p w14:paraId="76024F9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5.2</w:t>
      </w:r>
      <w:r>
        <w:rPr>
          <w:rFonts w:hint="eastAsia" w:ascii="宋体" w:hAnsi="宋体" w:eastAsia="宋体" w:cs="宋体"/>
          <w:snapToGrid w:val="0"/>
          <w:color w:val="auto"/>
          <w:kern w:val="0"/>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09A0BB25">
      <w:pPr>
        <w:pStyle w:val="146"/>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eastAsia" w:ascii="宋体" w:hAnsi="宋体" w:cs="宋体"/>
          <w:b/>
          <w:bCs/>
          <w:color w:val="auto"/>
          <w:kern w:val="2"/>
          <w:sz w:val="24"/>
          <w:szCs w:val="24"/>
          <w:highlight w:val="none"/>
          <w:shd w:val="clear" w:color="auto" w:fill="FFFFFF"/>
          <w:lang w:val="en-US" w:eastAsia="zh-CN" w:bidi="ar-SA"/>
        </w:rPr>
      </w:pPr>
    </w:p>
    <w:p w14:paraId="442E6D1E">
      <w:pPr>
        <w:pStyle w:val="146"/>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default" w:ascii="宋体" w:hAnsi="宋体" w:eastAsia="宋体" w:cs="宋体"/>
          <w:color w:val="auto"/>
          <w:kern w:val="2"/>
          <w:sz w:val="24"/>
          <w:szCs w:val="24"/>
          <w:highlight w:val="none"/>
          <w:shd w:val="clear" w:color="auto" w:fill="FFFFFF"/>
          <w:lang w:val="en-US" w:eastAsia="zh-CN" w:bidi="ar-SA"/>
        </w:rPr>
      </w:pPr>
      <w:r>
        <w:rPr>
          <w:rFonts w:hint="eastAsia" w:ascii="宋体" w:hAnsi="宋体" w:cs="宋体"/>
          <w:b/>
          <w:bCs/>
          <w:color w:val="auto"/>
          <w:kern w:val="2"/>
          <w:sz w:val="24"/>
          <w:szCs w:val="24"/>
          <w:highlight w:val="none"/>
          <w:shd w:val="clear" w:color="auto" w:fill="FFFFFF"/>
          <w:lang w:val="en-US" w:eastAsia="zh-CN" w:bidi="ar-SA"/>
        </w:rPr>
        <w:t>6.</w:t>
      </w:r>
      <w:r>
        <w:rPr>
          <w:rFonts w:hint="eastAsia" w:ascii="宋体" w:hAnsi="宋体" w:cs="宋体"/>
          <w:b w:val="0"/>
          <w:bCs w:val="0"/>
          <w:color w:val="auto"/>
          <w:kern w:val="2"/>
          <w:sz w:val="24"/>
          <w:szCs w:val="24"/>
          <w:highlight w:val="none"/>
          <w:shd w:val="clear" w:color="auto" w:fill="FFFFFF"/>
          <w:lang w:val="en-US" w:eastAsia="zh-CN" w:bidi="ar-SA"/>
        </w:rPr>
        <w:t>招标代理费及评标专家酬劳的支付：本项目的招标代理服务费和评标专家酬劳全部由中标人支付，该费用不再另行报价，由投标人在投标报价时综合考虑在内。招标代理服务费参照《招标代理服务收费管理暂行办法》(计价格[2002]1980号）、《国家发改委关于降低部分建设项目收费标准规范收费行为等有关问题的通知》（发改价格[2011]534号）以最终中标金额为计算基数，由中标单位支付。</w:t>
      </w:r>
    </w:p>
    <w:p w14:paraId="1F5ECBCC">
      <w:pPr>
        <w:pStyle w:val="146"/>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default" w:ascii="宋体" w:hAnsi="宋体" w:eastAsia="宋体" w:cs="宋体"/>
          <w:color w:val="auto"/>
          <w:kern w:val="2"/>
          <w:sz w:val="24"/>
          <w:szCs w:val="24"/>
          <w:highlight w:val="none"/>
          <w:shd w:val="clear" w:color="auto" w:fill="FFFFFF"/>
          <w:lang w:val="en-US" w:eastAsia="zh-CN" w:bidi="ar-SA"/>
        </w:rPr>
      </w:pPr>
    </w:p>
    <w:p w14:paraId="04195CB4">
      <w:pPr>
        <w:rPr>
          <w:rFonts w:hint="eastAsia" w:ascii="宋体" w:hAnsi="宋体" w:eastAsia="宋体" w:cs="宋体"/>
          <w:b/>
          <w:snapToGrid w:val="0"/>
          <w:color w:val="auto"/>
          <w:sz w:val="24"/>
          <w:highlight w:val="none"/>
          <w:lang w:val="en-US" w:eastAsia="zh-CN"/>
        </w:rPr>
      </w:pPr>
      <w:bookmarkStart w:id="192" w:name="_Toc24436"/>
      <w:r>
        <w:rPr>
          <w:rFonts w:hint="eastAsia" w:ascii="宋体" w:hAnsi="宋体" w:eastAsia="宋体" w:cs="宋体"/>
          <w:b/>
          <w:snapToGrid w:val="0"/>
          <w:color w:val="auto"/>
          <w:sz w:val="24"/>
          <w:highlight w:val="none"/>
          <w:lang w:val="en-US" w:eastAsia="zh-CN"/>
        </w:rPr>
        <w:br w:type="page"/>
      </w:r>
    </w:p>
    <w:p w14:paraId="0B145189">
      <w:pPr>
        <w:pStyle w:val="3"/>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r>
        <w:rPr>
          <w:rFonts w:hint="eastAsia" w:ascii="宋体" w:hAnsi="宋体" w:eastAsia="宋体" w:cs="宋体"/>
          <w:b/>
          <w:snapToGrid w:val="0"/>
          <w:color w:val="auto"/>
          <w:sz w:val="24"/>
          <w:highlight w:val="none"/>
          <w:lang w:val="en-US" w:eastAsia="zh-CN"/>
        </w:rPr>
        <w:t>第三章</w:t>
      </w:r>
      <w:bookmarkStart w:id="193" w:name="_Hlt87793831"/>
      <w:bookmarkEnd w:id="193"/>
      <w:r>
        <w:rPr>
          <w:rFonts w:hint="eastAsia" w:ascii="宋体" w:hAnsi="宋体" w:eastAsia="宋体" w:cs="宋体"/>
          <w:b/>
          <w:snapToGrid w:val="0"/>
          <w:color w:val="auto"/>
          <w:sz w:val="24"/>
          <w:highlight w:val="none"/>
          <w:lang w:val="en-US" w:eastAsia="zh-CN"/>
        </w:rPr>
        <w:t xml:space="preserve"> 拟签订合同的主要条款</w:t>
      </w:r>
      <w:bookmarkEnd w:id="182"/>
      <w:bookmarkEnd w:id="183"/>
      <w:bookmarkEnd w:id="192"/>
    </w:p>
    <w:bookmarkEnd w:id="184"/>
    <w:bookmarkEnd w:id="185"/>
    <w:p w14:paraId="3410B2DF">
      <w:pPr>
        <w:pStyle w:val="4"/>
        <w:wordWrap w:val="0"/>
        <w:autoSpaceDE/>
        <w:autoSpaceDN/>
        <w:snapToGrid w:val="0"/>
        <w:spacing w:line="440" w:lineRule="exact"/>
        <w:ind w:firstLine="480"/>
        <w:jc w:val="both"/>
        <w:rPr>
          <w:rFonts w:hint="eastAsia" w:ascii="宋体" w:hAnsi="宋体" w:eastAsia="宋体" w:cs="宋体"/>
          <w:b/>
          <w:snapToGrid w:val="0"/>
          <w:color w:val="auto"/>
          <w:highlight w:val="none"/>
        </w:rPr>
      </w:pPr>
      <w:bookmarkStart w:id="194" w:name="_Toc2688"/>
      <w:bookmarkStart w:id="195" w:name="_Toc326916629"/>
      <w:bookmarkStart w:id="196" w:name="_Toc322793288"/>
    </w:p>
    <w:p w14:paraId="6A9423B6">
      <w:pPr>
        <w:pStyle w:val="5"/>
        <w:bidi w:val="0"/>
        <w:ind w:firstLine="964"/>
        <w:rPr>
          <w:rFonts w:hint="eastAsia" w:ascii="宋体" w:hAnsi="宋体" w:eastAsia="宋体" w:cs="宋体"/>
        </w:rPr>
      </w:pPr>
      <w:bookmarkStart w:id="197" w:name="_Toc28441"/>
      <w:bookmarkStart w:id="198" w:name="_Toc12150"/>
      <w:bookmarkStart w:id="199" w:name="_Toc17021"/>
      <w:r>
        <w:rPr>
          <w:rFonts w:hint="eastAsia" w:ascii="宋体" w:hAnsi="宋体" w:eastAsia="宋体" w:cs="宋体"/>
        </w:rPr>
        <w:t>1．工程承包方式</w:t>
      </w:r>
      <w:bookmarkEnd w:id="194"/>
      <w:bookmarkEnd w:id="195"/>
      <w:bookmarkEnd w:id="196"/>
      <w:bookmarkEnd w:id="197"/>
      <w:bookmarkEnd w:id="198"/>
      <w:bookmarkEnd w:id="199"/>
    </w:p>
    <w:p w14:paraId="40BABCFF">
      <w:pPr>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w:t>
      </w:r>
      <w:r>
        <w:rPr>
          <w:rFonts w:hint="eastAsia" w:ascii="宋体" w:hAnsi="宋体" w:eastAsia="宋体" w:cs="宋体"/>
          <w:snapToGrid w:val="0"/>
          <w:color w:val="auto"/>
          <w:kern w:val="0"/>
          <w:highlight w:val="none"/>
        </w:rPr>
        <w:t xml:space="preserve"> 承包人以中标价按包工</w:t>
      </w:r>
      <w:bookmarkStart w:id="200" w:name="_Hlt87948212"/>
      <w:bookmarkEnd w:id="200"/>
      <w:r>
        <w:rPr>
          <w:rFonts w:hint="eastAsia" w:ascii="宋体" w:hAnsi="宋体" w:eastAsia="宋体" w:cs="宋体"/>
          <w:snapToGrid w:val="0"/>
          <w:color w:val="auto"/>
          <w:kern w:val="0"/>
          <w:highlight w:val="none"/>
        </w:rPr>
        <w:t>包料、包质量、包安全包文明施工、包工期方式总承包施工，不允许转包和违法分包，如果确需分包须与发包人协商，在得到发包人和监理单位同意后报建设行政主管部门备案。</w:t>
      </w:r>
    </w:p>
    <w:p w14:paraId="34E081FB">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1.1.1</w:t>
      </w:r>
      <w:r>
        <w:rPr>
          <w:rFonts w:hint="eastAsia" w:ascii="宋体" w:hAnsi="宋体" w:eastAsia="宋体" w:cs="宋体"/>
          <w:snapToGrid w:val="0"/>
          <w:color w:val="auto"/>
          <w:kern w:val="0"/>
          <w:highlight w:val="none"/>
        </w:rPr>
        <w:t xml:space="preserve"> 包工包料：材料符合招标文件要求并报验使用；办理用工保险。</w:t>
      </w:r>
    </w:p>
    <w:p w14:paraId="1B54BD01">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1.1.2</w:t>
      </w:r>
      <w:r>
        <w:rPr>
          <w:rFonts w:hint="eastAsia" w:ascii="宋体" w:hAnsi="宋体" w:eastAsia="宋体" w:cs="宋体"/>
          <w:snapToGrid w:val="0"/>
          <w:color w:val="auto"/>
          <w:kern w:val="0"/>
          <w:highlight w:val="none"/>
        </w:rPr>
        <w:t xml:space="preserve"> 包质量：符合招标文件要求。</w:t>
      </w:r>
    </w:p>
    <w:p w14:paraId="135A0DC3">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1.1.3</w:t>
      </w:r>
      <w:r>
        <w:rPr>
          <w:rFonts w:hint="eastAsia" w:ascii="宋体" w:hAnsi="宋体" w:eastAsia="宋体" w:cs="宋体"/>
          <w:snapToGrid w:val="0"/>
          <w:color w:val="auto"/>
          <w:kern w:val="0"/>
          <w:highlight w:val="none"/>
        </w:rPr>
        <w:t xml:space="preserve"> 包安全包文明施工：符合招标文件要求。</w:t>
      </w:r>
    </w:p>
    <w:p w14:paraId="4E28DF41">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1.1.4 </w:t>
      </w:r>
      <w:r>
        <w:rPr>
          <w:rFonts w:hint="eastAsia" w:ascii="宋体" w:hAnsi="宋体" w:eastAsia="宋体" w:cs="宋体"/>
          <w:snapToGrid w:val="0"/>
          <w:color w:val="auto"/>
          <w:kern w:val="0"/>
          <w:highlight w:val="none"/>
        </w:rPr>
        <w:t>包工期：本招标项目施工必须在招标工期内完成。</w:t>
      </w:r>
    </w:p>
    <w:p w14:paraId="1C29CE74">
      <w:pPr>
        <w:wordWrap w:val="0"/>
        <w:adjustRightInd w:val="0"/>
        <w:snapToGrid w:val="0"/>
        <w:spacing w:line="440" w:lineRule="exact"/>
        <w:ind w:firstLine="560"/>
        <w:rPr>
          <w:rFonts w:hint="eastAsia" w:ascii="宋体" w:hAnsi="宋体" w:eastAsia="宋体" w:cs="宋体"/>
          <w:snapToGrid w:val="0"/>
          <w:color w:val="auto"/>
          <w:kern w:val="0"/>
          <w:highlight w:val="none"/>
        </w:rPr>
      </w:pPr>
    </w:p>
    <w:p w14:paraId="05E04E41">
      <w:pPr>
        <w:pStyle w:val="5"/>
        <w:bidi w:val="0"/>
        <w:ind w:firstLine="964"/>
        <w:rPr>
          <w:rFonts w:hint="eastAsia" w:ascii="宋体" w:hAnsi="宋体" w:eastAsia="宋体" w:cs="宋体"/>
        </w:rPr>
      </w:pPr>
      <w:bookmarkStart w:id="201" w:name="_2、工程结算原则"/>
      <w:bookmarkEnd w:id="201"/>
      <w:bookmarkStart w:id="202" w:name="_Toc322793289"/>
      <w:bookmarkStart w:id="203" w:name="_Toc21894"/>
      <w:bookmarkStart w:id="204" w:name="_Toc27001"/>
      <w:bookmarkStart w:id="205" w:name="_Toc326916630"/>
      <w:bookmarkStart w:id="206" w:name="_Toc3107"/>
      <w:bookmarkStart w:id="207" w:name="_Toc9168"/>
      <w:bookmarkStart w:id="208" w:name="_Hlt87948447"/>
      <w:bookmarkStart w:id="209" w:name="_Hlt87948449"/>
      <w:r>
        <w:rPr>
          <w:rFonts w:hint="eastAsia" w:ascii="宋体" w:hAnsi="宋体" w:eastAsia="宋体" w:cs="宋体"/>
        </w:rPr>
        <w:t>2．工程结算原则</w:t>
      </w:r>
      <w:bookmarkEnd w:id="202"/>
      <w:bookmarkEnd w:id="203"/>
      <w:bookmarkEnd w:id="204"/>
      <w:bookmarkEnd w:id="205"/>
      <w:bookmarkEnd w:id="206"/>
      <w:bookmarkEnd w:id="207"/>
    </w:p>
    <w:p w14:paraId="56A60841">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bookmarkStart w:id="210" w:name="_Hlt88974053"/>
      <w:bookmarkEnd w:id="210"/>
      <w:r>
        <w:rPr>
          <w:rFonts w:hint="eastAsia" w:ascii="宋体" w:hAnsi="宋体" w:eastAsia="宋体" w:cs="宋体"/>
          <w:b/>
          <w:bCs/>
          <w:snapToGrid w:val="0"/>
          <w:color w:val="auto"/>
          <w:kern w:val="0"/>
          <w:szCs w:val="24"/>
          <w:highlight w:val="none"/>
        </w:rPr>
        <w:t>2.1</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人的投标总价为中标价，即为签约合同价。</w:t>
      </w:r>
    </w:p>
    <w:p w14:paraId="52F73491">
      <w:pPr>
        <w:wordWrap w:val="0"/>
        <w:adjustRightInd w:val="0"/>
        <w:snapToGrid w:val="0"/>
        <w:spacing w:line="440" w:lineRule="exact"/>
        <w:ind w:firstLine="480"/>
        <w:rPr>
          <w:rFonts w:hint="eastAsia" w:ascii="宋体" w:hAnsi="宋体" w:eastAsia="宋体" w:cs="宋体"/>
          <w:color w:val="auto"/>
          <w:highlight w:val="none"/>
        </w:rPr>
      </w:pPr>
      <w:r>
        <w:rPr>
          <w:rFonts w:hint="eastAsia" w:ascii="宋体" w:hAnsi="宋体" w:eastAsia="宋体" w:cs="宋体"/>
          <w:b/>
          <w:bCs/>
          <w:snapToGrid w:val="0"/>
          <w:color w:val="auto"/>
          <w:kern w:val="0"/>
          <w:szCs w:val="24"/>
          <w:highlight w:val="none"/>
        </w:rPr>
        <w:t>2.2</w:t>
      </w:r>
      <w:r>
        <w:rPr>
          <w:rFonts w:hint="eastAsia" w:ascii="宋体" w:hAnsi="宋体" w:eastAsia="宋体" w:cs="宋体"/>
          <w:snapToGrid w:val="0"/>
          <w:color w:val="auto"/>
          <w:kern w:val="0"/>
          <w:szCs w:val="24"/>
          <w:highlight w:val="none"/>
        </w:rPr>
        <w:t xml:space="preserve"> 招标工程量清单标明的工程量是投标人投标报价的共同基础，竣工结算的工程量按《建设工程工程量清单计价规范》（GB50500—2013）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263D7C6C">
      <w:pPr>
        <w:spacing w:line="24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w:t>
      </w:r>
      <w:r>
        <w:rPr>
          <w:rFonts w:hint="eastAsia" w:ascii="宋体" w:hAnsi="宋体" w:eastAsia="宋体" w:cs="宋体"/>
          <w:snapToGrid w:val="0"/>
          <w:color w:val="auto"/>
          <w:kern w:val="0"/>
          <w:szCs w:val="24"/>
          <w:highlight w:val="none"/>
        </w:rPr>
        <w:t xml:space="preserve"> 施工合同履行期间，若出现下列情形的，发、承包双方应当按照以下规定调整合同价款：</w:t>
      </w:r>
    </w:p>
    <w:p w14:paraId="3E59751B">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w:t>
      </w:r>
      <w:r>
        <w:rPr>
          <w:rFonts w:hint="eastAsia" w:ascii="宋体" w:hAnsi="宋体" w:eastAsia="宋体" w:cs="宋体"/>
          <w:snapToGrid w:val="0"/>
          <w:color w:val="auto"/>
          <w:kern w:val="0"/>
          <w:szCs w:val="24"/>
          <w:highlight w:val="none"/>
        </w:rPr>
        <w:t xml:space="preserve"> 法律法规变化</w:t>
      </w:r>
    </w:p>
    <w:p w14:paraId="4C0524AA">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2.3.1.1</w:t>
      </w:r>
      <w:r>
        <w:rPr>
          <w:rFonts w:hint="eastAsia" w:ascii="宋体" w:hAnsi="宋体" w:eastAsia="宋体" w:cs="宋体"/>
          <w:snapToGrid w:val="0"/>
          <w:color w:val="auto"/>
          <w:kern w:val="0"/>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251DDEB2">
      <w:pPr>
        <w:wordWrap w:val="0"/>
        <w:adjustRightInd w:val="0"/>
        <w:snapToGrid w:val="0"/>
        <w:spacing w:line="440" w:lineRule="exact"/>
        <w:ind w:firstLine="480"/>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rPr>
        <w:t>注：本招标文件所称“基准日”，均指投标文件递交截止时间（见第一章第二节“重要事项时间地点一览表”）前28天。</w:t>
      </w:r>
    </w:p>
    <w:p w14:paraId="2D8F2E7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2.3.1.2</w:t>
      </w:r>
      <w:r>
        <w:rPr>
          <w:rFonts w:hint="eastAsia" w:ascii="宋体" w:hAnsi="宋体" w:eastAsia="宋体" w:cs="宋体"/>
          <w:snapToGrid w:val="0"/>
          <w:color w:val="auto"/>
          <w:kern w:val="0"/>
          <w:szCs w:val="24"/>
          <w:highlight w:val="none"/>
        </w:rPr>
        <w:t xml:space="preserve"> 因承包人原因导致工程延误，本章第</w:t>
      </w:r>
      <w:r>
        <w:rPr>
          <w:rFonts w:hint="eastAsia" w:ascii="宋体" w:hAnsi="宋体" w:eastAsia="宋体" w:cs="宋体"/>
          <w:b/>
          <w:bCs/>
          <w:snapToGrid w:val="0"/>
          <w:color w:val="auto"/>
          <w:kern w:val="0"/>
          <w:szCs w:val="24"/>
          <w:highlight w:val="none"/>
        </w:rPr>
        <w:t>2.3.1.1</w:t>
      </w:r>
      <w:r>
        <w:rPr>
          <w:rFonts w:hint="eastAsia" w:ascii="宋体" w:hAnsi="宋体" w:eastAsia="宋体" w:cs="宋体"/>
          <w:snapToGrid w:val="0"/>
          <w:color w:val="auto"/>
          <w:kern w:val="0"/>
          <w:szCs w:val="24"/>
          <w:highlight w:val="none"/>
        </w:rPr>
        <w:t>子目中的法定机构根据国家法律法规变化发布新规的时间在合同工程原定竣工时间之后的，合同价款调增的不予调整，合同价款调减的予以调整。</w:t>
      </w:r>
    </w:p>
    <w:p w14:paraId="4FB0F1DF">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w:t>
      </w:r>
      <w:r>
        <w:rPr>
          <w:rFonts w:hint="eastAsia" w:ascii="宋体" w:hAnsi="宋体" w:eastAsia="宋体" w:cs="宋体"/>
          <w:snapToGrid w:val="0"/>
          <w:color w:val="auto"/>
          <w:kern w:val="0"/>
          <w:szCs w:val="24"/>
          <w:highlight w:val="none"/>
        </w:rPr>
        <w:t xml:space="preserve"> 工程量偏差或变化</w:t>
      </w:r>
    </w:p>
    <w:p w14:paraId="7DCB3687">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2.3.2.1</w:t>
      </w:r>
      <w:r>
        <w:rPr>
          <w:rFonts w:hint="eastAsia" w:ascii="宋体" w:hAnsi="宋体" w:eastAsia="宋体" w:cs="宋体"/>
          <w:snapToGrid w:val="0"/>
          <w:color w:val="auto"/>
          <w:kern w:val="0"/>
          <w:szCs w:val="24"/>
          <w:highlight w:val="none"/>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bookmarkEnd w:id="208"/>
    <w:bookmarkEnd w:id="209"/>
    <w:p w14:paraId="3C02BB1F">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bookmarkStart w:id="211" w:name="_Toc322793290"/>
      <w:bookmarkStart w:id="212" w:name="_Hlt87951777"/>
      <w:bookmarkStart w:id="213" w:name="_Toc14272"/>
      <w:bookmarkStart w:id="214" w:name="_Toc326916631"/>
      <w:r>
        <w:rPr>
          <w:rFonts w:hint="eastAsia" w:ascii="宋体" w:hAnsi="宋体" w:eastAsia="宋体" w:cs="宋体"/>
          <w:snapToGrid w:val="0"/>
          <w:color w:val="auto"/>
          <w:kern w:val="0"/>
          <w:szCs w:val="24"/>
          <w:highlight w:val="none"/>
        </w:rPr>
        <w:t>对于合理报价的清单项目，当工程量增加超过15%时，增加部分的工程量的综合单价以</w:t>
      </w:r>
      <w:r>
        <w:rPr>
          <w:rFonts w:hint="eastAsia" w:ascii="宋体" w:hAnsi="宋体" w:eastAsia="宋体" w:cs="宋体"/>
          <w:b/>
          <w:bCs/>
          <w:snapToGrid w:val="0"/>
          <w:color w:val="auto"/>
          <w:kern w:val="0"/>
          <w:sz w:val="24"/>
          <w:szCs w:val="24"/>
          <w:highlight w:val="none"/>
          <w:u w:val="single"/>
        </w:rPr>
        <w:t>该分部分项工程量清单项目原综合单价</w:t>
      </w:r>
      <w:r>
        <w:rPr>
          <w:rFonts w:hint="eastAsia" w:ascii="宋体" w:hAnsi="宋体" w:eastAsia="宋体" w:cs="宋体"/>
          <w:snapToGrid w:val="0"/>
          <w:color w:val="auto"/>
          <w:kern w:val="0"/>
          <w:szCs w:val="24"/>
          <w:highlight w:val="none"/>
        </w:rPr>
        <w:t>为基价调低</w:t>
      </w:r>
      <w:r>
        <w:rPr>
          <w:rFonts w:hint="eastAsia" w:ascii="宋体" w:hAnsi="宋体" w:eastAsia="宋体" w:cs="宋体"/>
          <w:b/>
          <w:bCs/>
          <w:snapToGrid w:val="0"/>
          <w:color w:val="auto"/>
          <w:kern w:val="0"/>
          <w:sz w:val="24"/>
          <w:szCs w:val="24"/>
          <w:highlight w:val="none"/>
          <w:u w:val="single"/>
        </w:rPr>
        <w:t>该分部分项工程量清单项目原综合单价的3</w:t>
      </w:r>
      <w:r>
        <w:rPr>
          <w:rFonts w:hint="eastAsia" w:ascii="宋体" w:hAnsi="宋体" w:eastAsia="宋体" w:cs="宋体"/>
          <w:snapToGrid w:val="0"/>
          <w:color w:val="auto"/>
          <w:kern w:val="0"/>
          <w:szCs w:val="24"/>
          <w:highlight w:val="none"/>
        </w:rPr>
        <w:t>%；当工程量</w:t>
      </w:r>
      <w:r>
        <w:rPr>
          <w:rFonts w:hint="eastAsia" w:ascii="宋体" w:hAnsi="宋体" w:eastAsia="宋体" w:cs="宋体"/>
          <w:snapToGrid w:val="0"/>
          <w:color w:val="auto"/>
          <w:kern w:val="0"/>
          <w:szCs w:val="24"/>
          <w:highlight w:val="none"/>
          <w:lang w:val="en-US" w:eastAsia="zh-CN"/>
        </w:rPr>
        <w:t>减少</w:t>
      </w:r>
      <w:r>
        <w:rPr>
          <w:rFonts w:hint="eastAsia" w:ascii="宋体" w:hAnsi="宋体" w:eastAsia="宋体" w:cs="宋体"/>
          <w:snapToGrid w:val="0"/>
          <w:color w:val="auto"/>
          <w:kern w:val="0"/>
          <w:szCs w:val="24"/>
          <w:highlight w:val="none"/>
        </w:rPr>
        <w:t>超过15%时，</w:t>
      </w:r>
      <w:r>
        <w:rPr>
          <w:rFonts w:hint="eastAsia" w:ascii="宋体" w:hAnsi="宋体" w:eastAsia="宋体" w:cs="宋体"/>
          <w:snapToGrid w:val="0"/>
          <w:color w:val="auto"/>
          <w:kern w:val="0"/>
          <w:szCs w:val="24"/>
          <w:highlight w:val="none"/>
          <w:lang w:val="en-US" w:eastAsia="zh-CN"/>
        </w:rPr>
        <w:t>减少后剩余</w:t>
      </w:r>
      <w:r>
        <w:rPr>
          <w:rFonts w:hint="eastAsia" w:ascii="宋体" w:hAnsi="宋体" w:eastAsia="宋体" w:cs="宋体"/>
          <w:snapToGrid w:val="0"/>
          <w:color w:val="auto"/>
          <w:kern w:val="0"/>
          <w:szCs w:val="24"/>
          <w:highlight w:val="none"/>
        </w:rPr>
        <w:t>部分的工程量的综合单价以</w:t>
      </w:r>
      <w:r>
        <w:rPr>
          <w:rFonts w:hint="eastAsia" w:ascii="宋体" w:hAnsi="宋体" w:eastAsia="宋体" w:cs="宋体"/>
          <w:b/>
          <w:bCs/>
          <w:snapToGrid w:val="0"/>
          <w:color w:val="auto"/>
          <w:kern w:val="0"/>
          <w:sz w:val="24"/>
          <w:szCs w:val="24"/>
          <w:highlight w:val="none"/>
          <w:u w:val="single"/>
        </w:rPr>
        <w:t>该分部分项工程量清单项目原综合单价</w:t>
      </w:r>
      <w:r>
        <w:rPr>
          <w:rFonts w:hint="eastAsia" w:ascii="宋体" w:hAnsi="宋体" w:eastAsia="宋体" w:cs="宋体"/>
          <w:snapToGrid w:val="0"/>
          <w:color w:val="auto"/>
          <w:kern w:val="0"/>
          <w:sz w:val="24"/>
          <w:szCs w:val="24"/>
          <w:highlight w:val="none"/>
        </w:rPr>
        <w:t>为基价调高</w:t>
      </w:r>
      <w:r>
        <w:rPr>
          <w:rFonts w:hint="eastAsia" w:ascii="宋体" w:hAnsi="宋体" w:eastAsia="宋体" w:cs="宋体"/>
          <w:b/>
          <w:bCs/>
          <w:snapToGrid w:val="0"/>
          <w:color w:val="auto"/>
          <w:kern w:val="0"/>
          <w:sz w:val="24"/>
          <w:szCs w:val="24"/>
          <w:highlight w:val="none"/>
          <w:u w:val="single"/>
        </w:rPr>
        <w:t>该分部分项工程量清单项目原综合单价的3</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Cs w:val="24"/>
          <w:highlight w:val="none"/>
        </w:rPr>
        <w:t>。</w:t>
      </w:r>
    </w:p>
    <w:p w14:paraId="65A9A198">
      <w:pPr>
        <w:wordWrap w:val="0"/>
        <w:adjustRightInd w:val="0"/>
        <w:snapToGrid w:val="0"/>
        <w:spacing w:line="440" w:lineRule="exact"/>
        <w:ind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Cs w:val="24"/>
          <w:highlight w:val="none"/>
        </w:rPr>
        <w:t>对于按照第二章“中标人须知”第4.2条被认定为不平衡报价的清单项目，其综合单价按照以下方法调整：</w:t>
      </w:r>
      <w:r>
        <w:rPr>
          <w:rFonts w:hint="eastAsia" w:ascii="宋体" w:hAnsi="宋体" w:eastAsia="宋体" w:cs="宋体"/>
          <w:snapToGrid w:val="0"/>
          <w:color w:val="auto"/>
          <w:kern w:val="0"/>
          <w:sz w:val="24"/>
          <w:szCs w:val="24"/>
          <w:highlight w:val="none"/>
          <w:u w:val="single"/>
        </w:rPr>
        <w:t>以招标控制价中的《分部分项工程和单价措施项目清单与计价表》子目相对应综合单价×（1-中标下浮率）</w:t>
      </w:r>
      <w:r>
        <w:rPr>
          <w:rFonts w:hint="eastAsia" w:ascii="宋体" w:hAnsi="宋体" w:eastAsia="宋体" w:cs="宋体"/>
          <w:snapToGrid w:val="0"/>
          <w:color w:val="auto"/>
          <w:kern w:val="0"/>
          <w:sz w:val="24"/>
          <w:szCs w:val="24"/>
          <w:highlight w:val="none"/>
        </w:rPr>
        <w:t>。</w:t>
      </w:r>
    </w:p>
    <w:p w14:paraId="54899586">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2.3.2.2</w:t>
      </w:r>
      <w:r>
        <w:rPr>
          <w:rFonts w:hint="eastAsia" w:ascii="宋体" w:hAnsi="宋体" w:eastAsia="宋体" w:cs="宋体"/>
          <w:snapToGrid w:val="0"/>
          <w:color w:val="auto"/>
          <w:kern w:val="0"/>
          <w:szCs w:val="24"/>
          <w:highlight w:val="none"/>
        </w:rPr>
        <w:t xml:space="preserve"> 如果工程量出现本章第</w:t>
      </w:r>
      <w:r>
        <w:rPr>
          <w:rFonts w:hint="eastAsia" w:ascii="宋体" w:hAnsi="宋体" w:eastAsia="宋体" w:cs="宋体"/>
          <w:b/>
          <w:bCs/>
          <w:snapToGrid w:val="0"/>
          <w:color w:val="auto"/>
          <w:kern w:val="0"/>
          <w:szCs w:val="24"/>
          <w:highlight w:val="none"/>
        </w:rPr>
        <w:t>2.3.2.1</w:t>
      </w:r>
      <w:r>
        <w:rPr>
          <w:rFonts w:hint="eastAsia" w:ascii="宋体" w:hAnsi="宋体" w:eastAsia="宋体" w:cs="宋体"/>
          <w:snapToGrid w:val="0"/>
          <w:color w:val="auto"/>
          <w:kern w:val="0"/>
          <w:szCs w:val="24"/>
          <w:highlight w:val="none"/>
        </w:rPr>
        <w:t>子目的变化，且该变化引起相关措施项目相应发生变化时，按系数或单一总价方式计价的，工程量增加的措施项目费调增，工程量减少的措施项目费调减。</w:t>
      </w:r>
    </w:p>
    <w:p w14:paraId="1498C6A9">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w:t>
      </w:r>
      <w:r>
        <w:rPr>
          <w:rFonts w:hint="eastAsia" w:ascii="宋体" w:hAnsi="宋体" w:eastAsia="宋体" w:cs="宋体"/>
          <w:snapToGrid w:val="0"/>
          <w:color w:val="auto"/>
          <w:kern w:val="0"/>
          <w:szCs w:val="24"/>
          <w:highlight w:val="none"/>
        </w:rPr>
        <w:t xml:space="preserve"> 工程变更</w:t>
      </w:r>
    </w:p>
    <w:p w14:paraId="0EF1BDC2">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 xml:space="preserve"> 合同履行期间，因工程变更引起已标价工程量清单项目发生变化时，按照以下规定调整：</w:t>
      </w:r>
    </w:p>
    <w:p w14:paraId="47D52A61">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（1）已标价工程量清单中有适用于变更工程项目的，采用该项目的单价。</w:t>
      </w:r>
      <w:r>
        <w:rPr>
          <w:rFonts w:hint="eastAsia" w:ascii="宋体" w:hAnsi="宋体" w:eastAsia="宋体" w:cs="宋体"/>
          <w:b/>
          <w:bCs/>
          <w:snapToGrid w:val="0"/>
          <w:color w:val="auto"/>
          <w:kern w:val="0"/>
          <w:szCs w:val="24"/>
          <w:highlight w:val="none"/>
        </w:rPr>
        <w:t>但如果被采用的项目属于按照第二章“中标人须知”第4.2条被认定为不平衡报价的清单项目，变更工程项目的单价按照以下方法调整：</w:t>
      </w:r>
      <w:r>
        <w:rPr>
          <w:rFonts w:hint="eastAsia" w:ascii="宋体" w:hAnsi="宋体" w:eastAsia="宋体" w:cs="宋体"/>
          <w:snapToGrid w:val="0"/>
          <w:color w:val="auto"/>
          <w:kern w:val="0"/>
          <w:sz w:val="24"/>
          <w:szCs w:val="24"/>
          <w:highlight w:val="none"/>
          <w:u w:val="single"/>
        </w:rPr>
        <w:t>以</w:t>
      </w:r>
      <w:r>
        <w:rPr>
          <w:rFonts w:hint="eastAsia" w:ascii="宋体" w:hAnsi="宋体" w:eastAsia="宋体" w:cs="宋体"/>
          <w:snapToGrid w:val="0"/>
          <w:color w:val="auto"/>
          <w:kern w:val="0"/>
          <w:sz w:val="24"/>
          <w:szCs w:val="20"/>
          <w:highlight w:val="none"/>
          <w:u w:val="single"/>
        </w:rPr>
        <w:t>招标控制价中的《分部分项工程和单价措施项目清单与计价表》子目相对应综合单价</w:t>
      </w:r>
      <w:r>
        <w:rPr>
          <w:rFonts w:hint="eastAsia" w:ascii="宋体" w:hAnsi="宋体" w:eastAsia="宋体" w:cs="宋体"/>
          <w:snapToGrid w:val="0"/>
          <w:color w:val="auto"/>
          <w:kern w:val="0"/>
          <w:sz w:val="24"/>
          <w:szCs w:val="24"/>
          <w:highlight w:val="none"/>
          <w:u w:val="single"/>
        </w:rPr>
        <w:t>×（1-中标下浮率）</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w:t>
      </w:r>
    </w:p>
    <w:p w14:paraId="63BC5B81">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（2）已标价工程量清单中没有适用但有类似于变更工程项目的，可在合理范围内参照类似项目的单价。</w:t>
      </w:r>
      <w:r>
        <w:rPr>
          <w:rFonts w:hint="eastAsia" w:ascii="宋体" w:hAnsi="宋体" w:eastAsia="宋体" w:cs="宋体"/>
          <w:b/>
          <w:bCs/>
          <w:snapToGrid w:val="0"/>
          <w:color w:val="auto"/>
          <w:kern w:val="0"/>
          <w:szCs w:val="24"/>
          <w:highlight w:val="none"/>
        </w:rPr>
        <w:t>但如果被参考的类似项目属于按照第二章“中标人须知”第4.2条被认定为不平衡报价的清单项目，变更工程项目的单价按照以下方法调整：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 w:val="24"/>
          <w:szCs w:val="24"/>
          <w:highlight w:val="none"/>
          <w:u w:val="single"/>
        </w:rPr>
        <w:t>以</w:t>
      </w:r>
      <w:r>
        <w:rPr>
          <w:rFonts w:hint="eastAsia" w:ascii="宋体" w:hAnsi="宋体" w:eastAsia="宋体" w:cs="宋体"/>
          <w:snapToGrid w:val="0"/>
          <w:color w:val="auto"/>
          <w:kern w:val="0"/>
          <w:sz w:val="24"/>
          <w:szCs w:val="20"/>
          <w:highlight w:val="none"/>
          <w:u w:val="single"/>
        </w:rPr>
        <w:t>招标控制价中的《分部分项工程和单价措施项目清单与计价表》子目相对应综合单价</w:t>
      </w:r>
      <w:r>
        <w:rPr>
          <w:rFonts w:hint="eastAsia" w:ascii="宋体" w:hAnsi="宋体" w:eastAsia="宋体" w:cs="宋体"/>
          <w:snapToGrid w:val="0"/>
          <w:color w:val="auto"/>
          <w:kern w:val="0"/>
          <w:sz w:val="24"/>
          <w:szCs w:val="24"/>
          <w:highlight w:val="none"/>
          <w:u w:val="single"/>
        </w:rPr>
        <w:t>×（1-中标下浮率）</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w:t>
      </w:r>
    </w:p>
    <w:p w14:paraId="5091B9EC">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4D3AC30E">
      <w:pPr>
        <w:wordWrap w:val="0"/>
        <w:adjustRightInd w:val="0"/>
        <w:snapToGrid w:val="0"/>
        <w:spacing w:line="440" w:lineRule="exact"/>
        <w:jc w:val="center"/>
        <w:rPr>
          <w:rFonts w:hint="eastAsia" w:ascii="宋体" w:hAnsi="宋体" w:eastAsia="宋体" w:cs="宋体"/>
          <w:snapToGrid w:val="0"/>
          <w:color w:val="auto"/>
          <w:kern w:val="0"/>
          <w:szCs w:val="24"/>
          <w:highlight w:val="none"/>
          <w:u w:val="wave"/>
        </w:rPr>
      </w:pPr>
      <w:r>
        <w:rPr>
          <w:rFonts w:hint="eastAsia" w:ascii="宋体" w:hAnsi="宋体" w:eastAsia="宋体" w:cs="宋体"/>
          <w:snapToGrid w:val="0"/>
          <w:color w:val="auto"/>
          <w:kern w:val="0"/>
          <w:szCs w:val="24"/>
          <w:highlight w:val="none"/>
        </w:rPr>
        <w:t>中标下浮率＝（1－中标价÷招标控制价）×100%</w:t>
      </w:r>
    </w:p>
    <w:p w14:paraId="239B6C7A">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22ED7556">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201BDB50">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（1）绿色施工安全防护措施费应按照实际发生变化的措施项目计算。</w:t>
      </w:r>
    </w:p>
    <w:p w14:paraId="776FE0DF">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（2）采用单价计算的措施项目费，应按照实际发生变化的措施项目，按本章第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子目的规定确定单价。</w:t>
      </w:r>
    </w:p>
    <w:p w14:paraId="144ED5FF">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（3）按总价或系数计算的措施项目费，应按照实际发生变化的措施项目费调整并考虑中标下浮率因素，即调整金额</w:t>
      </w:r>
      <w:r>
        <w:rPr>
          <w:rFonts w:hint="eastAsia" w:ascii="宋体" w:hAnsi="宋体" w:eastAsia="宋体" w:cs="宋体"/>
          <w:bCs/>
          <w:snapToGrid w:val="0"/>
          <w:color w:val="auto"/>
          <w:kern w:val="0"/>
          <w:szCs w:val="28"/>
          <w:highlight w:val="none"/>
        </w:rPr>
        <w:t>＝按照实际变化调整</w:t>
      </w:r>
      <w:r>
        <w:rPr>
          <w:rFonts w:hint="eastAsia" w:ascii="宋体" w:hAnsi="宋体" w:eastAsia="宋体" w:cs="宋体"/>
          <w:snapToGrid w:val="0"/>
          <w:color w:val="auto"/>
          <w:kern w:val="0"/>
          <w:szCs w:val="24"/>
          <w:highlight w:val="none"/>
        </w:rPr>
        <w:t>后的金额</w:t>
      </w:r>
      <w:r>
        <w:rPr>
          <w:rFonts w:hint="eastAsia" w:ascii="宋体" w:hAnsi="宋体" w:eastAsia="宋体" w:cs="宋体"/>
          <w:bCs/>
          <w:snapToGrid w:val="0"/>
          <w:color w:val="auto"/>
          <w:kern w:val="0"/>
          <w:szCs w:val="28"/>
          <w:highlight w:val="none"/>
        </w:rPr>
        <w:t>×（1-</w:t>
      </w:r>
      <w:r>
        <w:rPr>
          <w:rFonts w:hint="eastAsia" w:ascii="宋体" w:hAnsi="宋体" w:eastAsia="宋体" w:cs="宋体"/>
          <w:snapToGrid w:val="0"/>
          <w:color w:val="auto"/>
          <w:kern w:val="0"/>
          <w:szCs w:val="24"/>
          <w:highlight w:val="none"/>
        </w:rPr>
        <w:t>中标下浮率）。</w:t>
      </w:r>
    </w:p>
    <w:p w14:paraId="0349BB3C">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如果承包人未事先将拟实施的方案提交发包人确认，视为工程变更不引起措施项目费的调整或承包人放弃调整措施项目费的权利。</w:t>
      </w:r>
    </w:p>
    <w:p w14:paraId="02590540">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2.3.3.3</w:t>
      </w:r>
      <w:r>
        <w:rPr>
          <w:rFonts w:hint="eastAsia" w:ascii="宋体" w:hAnsi="宋体" w:eastAsia="宋体" w:cs="宋体"/>
          <w:snapToGrid w:val="0"/>
          <w:color w:val="auto"/>
          <w:kern w:val="0"/>
          <w:szCs w:val="24"/>
          <w:highlight w:val="none"/>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37C5F1C2">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2.3.4</w:t>
      </w:r>
      <w:r>
        <w:rPr>
          <w:rFonts w:hint="eastAsia" w:ascii="宋体" w:hAnsi="宋体" w:eastAsia="宋体" w:cs="宋体"/>
          <w:snapToGrid w:val="0"/>
          <w:color w:val="auto"/>
          <w:kern w:val="0"/>
          <w:szCs w:val="24"/>
          <w:highlight w:val="none"/>
        </w:rPr>
        <w:t xml:space="preserve"> 项目特征不符</w:t>
      </w:r>
    </w:p>
    <w:p w14:paraId="0F6A83E3">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auto"/>
          <w:kern w:val="0"/>
          <w:szCs w:val="24"/>
          <w:highlight w:val="none"/>
        </w:rPr>
        <w:t>2.3.3</w:t>
      </w:r>
      <w:r>
        <w:rPr>
          <w:rFonts w:hint="eastAsia" w:ascii="宋体" w:hAnsi="宋体" w:eastAsia="宋体" w:cs="宋体"/>
          <w:snapToGrid w:val="0"/>
          <w:color w:val="auto"/>
          <w:kern w:val="0"/>
          <w:szCs w:val="24"/>
          <w:highlight w:val="none"/>
        </w:rPr>
        <w:t>目相关条款的规定重新确定相应工程量清单项目的综合单价，并调整合同价款。</w:t>
      </w:r>
    </w:p>
    <w:p w14:paraId="7B0A4AA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w:t>
      </w:r>
      <w:r>
        <w:rPr>
          <w:rFonts w:hint="eastAsia" w:ascii="宋体" w:hAnsi="宋体" w:eastAsia="宋体" w:cs="宋体"/>
          <w:snapToGrid w:val="0"/>
          <w:color w:val="auto"/>
          <w:kern w:val="0"/>
          <w:szCs w:val="24"/>
          <w:highlight w:val="none"/>
        </w:rPr>
        <w:t xml:space="preserve"> 招标工程量清单缺项</w:t>
      </w:r>
    </w:p>
    <w:p w14:paraId="5071506A">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2.3.5.1</w:t>
      </w:r>
      <w:r>
        <w:rPr>
          <w:rFonts w:hint="eastAsia" w:ascii="宋体" w:hAnsi="宋体" w:eastAsia="宋体" w:cs="宋体"/>
          <w:snapToGrid w:val="0"/>
          <w:color w:val="auto"/>
          <w:kern w:val="0"/>
          <w:szCs w:val="24"/>
          <w:highlight w:val="none"/>
        </w:rPr>
        <w:t xml:space="preserve"> 合同履行期间，由于招标工程量清单中缺项，新增分部分项工程清单项目，应按照本章第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子目的规定确定单价，并调整合同价款。</w:t>
      </w:r>
    </w:p>
    <w:p w14:paraId="7169D8D2">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2.3.5.2</w:t>
      </w:r>
      <w:r>
        <w:rPr>
          <w:rFonts w:hint="eastAsia" w:ascii="宋体" w:hAnsi="宋体" w:eastAsia="宋体" w:cs="宋体"/>
          <w:snapToGrid w:val="0"/>
          <w:color w:val="auto"/>
          <w:kern w:val="0"/>
          <w:szCs w:val="24"/>
          <w:highlight w:val="none"/>
        </w:rPr>
        <w:t xml:space="preserve"> 新增分部分项工程清单项目后，引起措施项目发生变化的，应按照本章第</w:t>
      </w: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子目的规定，在承包人提交的实施方案被发包人批准后调整合同价款。</w:t>
      </w:r>
    </w:p>
    <w:p w14:paraId="656C8BFB">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2.3.5.3</w:t>
      </w:r>
      <w:r>
        <w:rPr>
          <w:rFonts w:hint="eastAsia" w:ascii="宋体" w:hAnsi="宋体" w:eastAsia="宋体" w:cs="宋体"/>
          <w:snapToGrid w:val="0"/>
          <w:color w:val="auto"/>
          <w:kern w:val="0"/>
          <w:szCs w:val="24"/>
          <w:highlight w:val="none"/>
        </w:rPr>
        <w:t xml:space="preserve"> 由于招标工程量清单中措施项目缺项，承包人应将新增措施项目实施方案提交发包人批准后，按照本章第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子目、第</w:t>
      </w: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子目的规定调整合同价款。</w:t>
      </w:r>
    </w:p>
    <w:p w14:paraId="74D5AE18">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2.3.6</w:t>
      </w:r>
      <w:r>
        <w:rPr>
          <w:rFonts w:hint="eastAsia" w:ascii="宋体" w:hAnsi="宋体" w:eastAsia="宋体" w:cs="宋体"/>
          <w:bCs/>
          <w:snapToGrid w:val="0"/>
          <w:color w:val="auto"/>
          <w:kern w:val="0"/>
          <w:szCs w:val="28"/>
          <w:highlight w:val="none"/>
        </w:rPr>
        <w:t xml:space="preserve"> 物价变化</w:t>
      </w:r>
    </w:p>
    <w:p w14:paraId="2759D87F">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2.3.6.1</w:t>
      </w:r>
      <w:r>
        <w:rPr>
          <w:rFonts w:hint="eastAsia" w:ascii="宋体" w:hAnsi="宋体" w:eastAsia="宋体" w:cs="宋体"/>
          <w:bCs/>
          <w:snapToGrid w:val="0"/>
          <w:color w:val="auto"/>
          <w:kern w:val="0"/>
          <w:szCs w:val="28"/>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Cs w:val="24"/>
          <w:highlight w:val="none"/>
        </w:rPr>
        <w:t>以下简称“中标人工费”</w:t>
      </w:r>
      <w:r>
        <w:rPr>
          <w:rFonts w:hint="eastAsia" w:ascii="宋体" w:hAnsi="宋体" w:eastAsia="宋体" w:cs="宋体"/>
          <w:bCs/>
          <w:snapToGrid w:val="0"/>
          <w:color w:val="auto"/>
          <w:kern w:val="0"/>
          <w:szCs w:val="28"/>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71557AA1">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szCs w:val="28"/>
          <w:highlight w:val="none"/>
        </w:rPr>
        <w:t>结算人工费＝中标人工费×F</w:t>
      </w:r>
      <w:r>
        <w:rPr>
          <w:rFonts w:hint="eastAsia" w:ascii="宋体" w:hAnsi="宋体" w:eastAsia="宋体" w:cs="宋体"/>
          <w:bCs/>
          <w:snapToGrid w:val="0"/>
          <w:color w:val="auto"/>
          <w:kern w:val="0"/>
          <w:szCs w:val="28"/>
          <w:highlight w:val="none"/>
          <w:vertAlign w:val="subscript"/>
        </w:rPr>
        <w:t>1</w:t>
      </w:r>
    </w:p>
    <w:p w14:paraId="506CCB20">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bCs/>
          <w:snapToGrid w:val="0"/>
          <w:color w:val="auto"/>
          <w:kern w:val="0"/>
          <w:szCs w:val="28"/>
          <w:highlight w:val="none"/>
        </w:rPr>
        <w:t>式中，F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为施工当月项目所在地工程造价管理机构发布的动态人工调整系数。</w:t>
      </w:r>
    </w:p>
    <w:p w14:paraId="42D24DF4">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2.3.6.2</w:t>
      </w:r>
      <w:r>
        <w:rPr>
          <w:rFonts w:hint="eastAsia" w:ascii="宋体" w:hAnsi="宋体" w:eastAsia="宋体" w:cs="宋体"/>
          <w:snapToGrid w:val="0"/>
          <w:color w:val="auto"/>
          <w:kern w:val="0"/>
          <w:szCs w:val="24"/>
          <w:highlight w:val="none"/>
        </w:rPr>
        <w:t xml:space="preserve"> 本招标项目约定，材料、工程设备单价涨跌风险幅度值A为</w:t>
      </w:r>
      <w:r>
        <w:rPr>
          <w:rFonts w:hint="eastAsia" w:ascii="宋体" w:hAnsi="宋体" w:eastAsia="宋体" w:cs="宋体"/>
          <w:snapToGrid w:val="0"/>
          <w:color w:val="auto"/>
          <w:kern w:val="0"/>
          <w:szCs w:val="24"/>
          <w:highlight w:val="none"/>
          <w:u w:val="single"/>
        </w:rPr>
        <w:t xml:space="preserve"> 5% </w:t>
      </w:r>
      <w:r>
        <w:rPr>
          <w:rFonts w:hint="eastAsia" w:ascii="宋体" w:hAnsi="宋体" w:eastAsia="宋体" w:cs="宋体"/>
          <w:snapToGrid w:val="0"/>
          <w:color w:val="auto"/>
          <w:kern w:val="0"/>
          <w:szCs w:val="24"/>
          <w:highlight w:val="none"/>
        </w:rPr>
        <w:t>。合同履行期间，当《承包人提供主要材料和工程设备一览表》（详见招标工程量清单）中的材料、工程设备单价涨跌幅度等于或低于A值时，该材料、工程设备单价不予调整；超过A值时，其超过部分可以调整。相关费用按有关规定进行相应调整。</w:t>
      </w:r>
    </w:p>
    <w:p w14:paraId="7DCC66D3">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a</w:t>
      </w:r>
      <w:r>
        <w:rPr>
          <w:rFonts w:hint="eastAsia" w:ascii="宋体" w:hAnsi="宋体" w:eastAsia="宋体" w:cs="宋体"/>
          <w:snapToGrid w:val="0"/>
          <w:color w:val="auto"/>
          <w:kern w:val="0"/>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3FF2D2B1">
      <w:pPr>
        <w:spacing w:line="418"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2336" behindDoc="1" locked="0" layoutInCell="1" allowOverlap="1">
                <wp:simplePos x="0" y="0"/>
                <wp:positionH relativeFrom="page">
                  <wp:posOffset>3107055</wp:posOffset>
                </wp:positionH>
                <wp:positionV relativeFrom="paragraph">
                  <wp:posOffset>259715</wp:posOffset>
                </wp:positionV>
                <wp:extent cx="403860" cy="1270"/>
                <wp:effectExtent l="0" t="0" r="0" b="0"/>
                <wp:wrapNone/>
                <wp:docPr id="38" name="组合 38"/>
                <wp:cNvGraphicFramePr/>
                <a:graphic xmlns:a="http://schemas.openxmlformats.org/drawingml/2006/main">
                  <a:graphicData uri="http://schemas.microsoft.com/office/word/2010/wordprocessingGroup">
                    <wpg:wgp>
                      <wpg:cNvGrpSpPr/>
                      <wpg:grpSpPr>
                        <a:xfrm>
                          <a:off x="0" y="0"/>
                          <a:ext cx="403860" cy="1270"/>
                          <a:chOff x="4894" y="410"/>
                          <a:chExt cx="636" cy="2"/>
                        </a:xfrm>
                        <a:effectLst/>
                      </wpg:grpSpPr>
                      <wps:wsp>
                        <wps:cNvPr id="1" name="任意多边形 24"/>
                        <wps:cNvSpPr/>
                        <wps:spPr>
                          <a:xfrm>
                            <a:off x="4894" y="410"/>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20.45pt;height:0.1pt;width:31.8pt;mso-position-horizontal-relative:page;z-index:-25165414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RPWWQ2QAAAAkBAAAPAAAAAAAAAAEAIAAAACIAAABkcnMvZG93bnJldi54bWxQSwECFAAUAAAA&#10;CACHTuJAwslyTpgCAADWBQAADgAAAAAAAAABACAAAAAoAQAAZHJzL2Uyb0RvYy54bWxQSwUGAAAA&#10;AAYABgBZAQAAMgYAAAAA&#10;">
                <o:lock v:ext="edit" aspectratio="f"/>
                <v:shape id="任意多边形 24" o:spid="_x0000_s1026" o:spt="100" style="position:absolute;left:4894;top:410;height:2;width:636;" filled="f" stroked="t" coordsize="636,1" o:gfxdata="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YQVg+5AAAA2g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a</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28"/>
          <w:szCs w:val="28"/>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28"/>
          <w:szCs w:val="28"/>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68EE0EF2">
      <w:pPr>
        <w:pStyle w:val="12"/>
        <w:tabs>
          <w:tab w:val="left" w:pos="2817"/>
        </w:tabs>
        <w:spacing w:after="0" w:line="200" w:lineRule="exact"/>
        <w:ind w:left="2426"/>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mc:AlternateContent>
          <mc:Choice Requires="wps">
            <w:drawing>
              <wp:anchor distT="0" distB="0" distL="114300" distR="114300" simplePos="0" relativeHeight="251663360" behindDoc="1" locked="0" layoutInCell="1" allowOverlap="1">
                <wp:simplePos x="0" y="0"/>
                <wp:positionH relativeFrom="page">
                  <wp:posOffset>3246755</wp:posOffset>
                </wp:positionH>
                <wp:positionV relativeFrom="paragraph">
                  <wp:posOffset>29845</wp:posOffset>
                </wp:positionV>
                <wp:extent cx="220980" cy="2463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a:effectLst/>
                      </wps:spPr>
                      <wps:txbx>
                        <w:txbxContent>
                          <w:p w14:paraId="06FAB8F7">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9.4pt;width:17.4pt;mso-position-horizontal-relative:page;z-index:-251653120;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Wx4gnXAAAACAEAAA8AAAAAAAAAAQAgAAAAIgAAAGRycy9kb3du&#10;cmV2LnhtbFBLAQIUABQAAAAIAIdO4kA6NrkbxwEAAI0DAAAOAAAAAAAAAAEAIAAAACYBAABkcnMv&#10;ZTJvRG9jLnhtbFBLBQYAAAAABgAGAFkBAABfBQAAAAA=&#10;">
                <v:fill on="f" focussize="0,0"/>
                <v:stroke on="f"/>
                <v:imagedata o:title=""/>
                <o:lock v:ext="edit" aspectratio="f"/>
                <v:textbox inset="0mm,0mm,0mm,0mm">
                  <w:txbxContent>
                    <w:p w14:paraId="06FAB8F7">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5"/>
          <w:szCs w:val="15"/>
          <w:highlight w:val="none"/>
        </w:rPr>
        <w:t>1</w:t>
      </w:r>
      <w:r>
        <w:rPr>
          <w:rFonts w:hint="eastAsia" w:ascii="宋体" w:hAnsi="宋体" w:eastAsia="宋体" w:cs="宋体"/>
          <w:color w:val="auto"/>
          <w:sz w:val="15"/>
          <w:szCs w:val="15"/>
          <w:highlight w:val="none"/>
        </w:rPr>
        <w:tab/>
      </w:r>
      <w:r>
        <w:rPr>
          <w:rFonts w:hint="eastAsia" w:ascii="宋体" w:hAnsi="宋体" w:eastAsia="宋体" w:cs="宋体"/>
          <w:color w:val="auto"/>
          <w:sz w:val="15"/>
          <w:szCs w:val="15"/>
          <w:highlight w:val="none"/>
        </w:rPr>
        <w:t>0</w:t>
      </w:r>
    </w:p>
    <w:p w14:paraId="6395E78E">
      <w:pPr>
        <w:pStyle w:val="12"/>
        <w:spacing w:after="0" w:line="240" w:lineRule="exact"/>
        <w:ind w:left="3454" w:right="4848"/>
        <w:jc w:val="center"/>
        <w:rPr>
          <w:rFonts w:hint="eastAsia" w:ascii="宋体" w:hAnsi="宋体" w:eastAsia="宋体" w:cs="宋体"/>
          <w:color w:val="auto"/>
          <w:sz w:val="15"/>
          <w:szCs w:val="15"/>
          <w:highlight w:val="none"/>
        </w:rPr>
      </w:pPr>
    </w:p>
    <w:p w14:paraId="0DF4BA6C">
      <w:pPr>
        <w:spacing w:before="4" w:line="170" w:lineRule="exact"/>
        <w:rPr>
          <w:rFonts w:hint="eastAsia" w:ascii="宋体" w:hAnsi="宋体" w:eastAsia="宋体" w:cs="宋体"/>
          <w:color w:val="auto"/>
          <w:sz w:val="17"/>
          <w:szCs w:val="17"/>
          <w:highlight w:val="none"/>
        </w:rPr>
      </w:pPr>
    </w:p>
    <w:p w14:paraId="53C9528C">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4384" behindDoc="1" locked="0" layoutInCell="1" allowOverlap="1">
                <wp:simplePos x="0" y="0"/>
                <wp:positionH relativeFrom="page">
                  <wp:posOffset>3134360</wp:posOffset>
                </wp:positionH>
                <wp:positionV relativeFrom="paragraph">
                  <wp:posOffset>250825</wp:posOffset>
                </wp:positionV>
                <wp:extent cx="388620" cy="1270"/>
                <wp:effectExtent l="0" t="0" r="0" b="0"/>
                <wp:wrapNone/>
                <wp:docPr id="39" name="组合 39"/>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4" name="任意多边形 27"/>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6.8pt;margin-top:19.75pt;height:0.1pt;width:30.6pt;mso-position-horizontal-relative:page;z-index:-251652096;mso-width-relative:page;mso-height-relative:page;" coordorigin="4937,395" coordsize="612,2" o:gfxdata="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VJix7dkAAAAJAQAADwAAAAAAAAABACAAAAAiAAAAZHJzL2Rvd25yZXYueG1sUEsBAhQA&#10;FAAAAAgAh07iQFzZX+OcAgAA1gUAAA4AAAAAAAAAAQAgAAAAKAEAAGRycy9lMm9Eb2MueG1sUEsF&#10;BgAAAAAGAAYAWQEAADYGAAAAAA==&#10;">
                <o:lock v:ext="edit" aspectratio="f"/>
                <v:shape id="任意多边形 27" o:spid="_x0000_s1026" o:spt="100" style="position:absolute;left:4937;top:395;height:2;width:612;" filled="f" stroked="t" coordsize="612,1" o:gfxdata="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rO5kL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0"/>
          <w:szCs w:val="30"/>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1"/>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4D480CD0">
      <w:pPr>
        <w:pStyle w:val="12"/>
        <w:tabs>
          <w:tab w:val="left" w:pos="2870"/>
        </w:tabs>
        <w:spacing w:line="142" w:lineRule="exact"/>
        <w:ind w:left="249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5408" behindDoc="1" locked="0" layoutInCell="1" allowOverlap="1">
                <wp:simplePos x="0" y="0"/>
                <wp:positionH relativeFrom="page">
                  <wp:posOffset>3274060</wp:posOffset>
                </wp:positionH>
                <wp:positionV relativeFrom="paragraph">
                  <wp:posOffset>29845</wp:posOffset>
                </wp:positionV>
                <wp:extent cx="231140" cy="198755"/>
                <wp:effectExtent l="0" t="0" r="0" b="0"/>
                <wp:wrapNone/>
                <wp:docPr id="6" name="文本框 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a:effectLst/>
                      </wps:spPr>
                      <wps:txbx>
                        <w:txbxContent>
                          <w:p w14:paraId="4456AC25">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_x0000_s1026" o:spid="_x0000_s1026" o:spt="202" type="#_x0000_t202" style="position:absolute;left:0pt;margin-left:257.8pt;margin-top:2.35pt;height:15.65pt;width:18.2pt;mso-position-horizontal-relative:page;z-index:-251651072;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nltRW1wAAAAgBAAAPAAAAAAAAAAEAIAAAACIAAABkcnMvZG93&#10;bnJldi54bWxQSwECFAAUAAAACACHTuJAbIqNz8gBAACNAwAADgAAAAAAAAABACAAAAAmAQAAZHJz&#10;L2Uyb0RvYy54bWxQSwUGAAAAAAYABgBZAQAAYAUAAAAA&#10;">
                <v:fill on="f" focussize="0,0"/>
                <v:stroke on="f"/>
                <v:imagedata o:title=""/>
                <o:lock v:ext="edit" aspectratio="f"/>
                <v:textbox inset="0mm,0mm,0mm,0mm">
                  <w:txbxContent>
                    <w:p w14:paraId="4456AC25">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32B784D8">
      <w:pPr>
        <w:pStyle w:val="12"/>
        <w:spacing w:before="26"/>
        <w:ind w:left="3496" w:right="4830"/>
        <w:jc w:val="center"/>
        <w:rPr>
          <w:rFonts w:hint="eastAsia" w:ascii="宋体" w:hAnsi="宋体" w:eastAsia="宋体" w:cs="宋体"/>
          <w:color w:val="auto"/>
          <w:highlight w:val="none"/>
        </w:rPr>
      </w:pPr>
    </w:p>
    <w:p w14:paraId="6A26C6B2">
      <w:pPr>
        <w:spacing w:before="6" w:line="170" w:lineRule="exact"/>
        <w:rPr>
          <w:rFonts w:hint="eastAsia" w:ascii="宋体" w:hAnsi="宋体" w:eastAsia="宋体" w:cs="宋体"/>
          <w:color w:val="auto"/>
          <w:sz w:val="17"/>
          <w:szCs w:val="17"/>
          <w:highlight w:val="none"/>
        </w:rPr>
      </w:pPr>
    </w:p>
    <w:p w14:paraId="678232EA">
      <w:pPr>
        <w:spacing w:line="404"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6432" behindDoc="1" locked="0" layoutInCell="1" allowOverlap="1">
                <wp:simplePos x="0" y="0"/>
                <wp:positionH relativeFrom="page">
                  <wp:posOffset>3099435</wp:posOffset>
                </wp:positionH>
                <wp:positionV relativeFrom="paragraph">
                  <wp:posOffset>250825</wp:posOffset>
                </wp:positionV>
                <wp:extent cx="388620" cy="1270"/>
                <wp:effectExtent l="0" t="0" r="0" b="0"/>
                <wp:wrapNone/>
                <wp:docPr id="36" name="组合 36"/>
                <wp:cNvGraphicFramePr/>
                <a:graphic xmlns:a="http://schemas.openxmlformats.org/drawingml/2006/main">
                  <a:graphicData uri="http://schemas.microsoft.com/office/word/2010/wordprocessingGroup">
                    <wpg:wgp>
                      <wpg:cNvGrpSpPr/>
                      <wpg:grpSpPr>
                        <a:xfrm>
                          <a:off x="0" y="0"/>
                          <a:ext cx="388620" cy="1270"/>
                          <a:chOff x="4882" y="395"/>
                          <a:chExt cx="612" cy="2"/>
                        </a:xfrm>
                        <a:effectLst/>
                      </wpg:grpSpPr>
                      <wps:wsp>
                        <wps:cNvPr id="7" name="任意多边形 30"/>
                        <wps:cNvSpPr/>
                        <wps:spPr>
                          <a:xfrm>
                            <a:off x="4882"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05pt;margin-top:19.75pt;height:0.1pt;width:30.6pt;mso-position-horizontal-relative:page;z-index:-251650048;mso-width-relative:page;mso-height-relative:page;" coordorigin="4882,395" coordsize="612,2" o:gfxdata="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DdGUX/aAAAACQEAAA8AAAAAAAAAAQAgAAAAIgAAAGRycy9kb3ducmV2LnhtbFBL&#10;AQIUABQAAAAIAIdO4kD5RoxBnwIAANYFAAAOAAAAAAAAAAEAIAAAACkBAABkcnMvZTJvRG9jLnht&#10;bFBLBQYAAAAABgAGAFkBAAA6BgAAAAA=&#10;">
                <o:lock v:ext="edit" aspectratio="f"/>
                <v:shape id="任意多边形 30" o:spid="_x0000_s1026" o:spt="100" style="position:absolute;left:4882;top:395;height:2;width:612;" filled="f" stroked="t" coordsize="612,1" o:gfxdata="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En57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b</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5"/>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2"/>
          <w:szCs w:val="32"/>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7"/>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31FFF95B">
      <w:pPr>
        <w:pStyle w:val="12"/>
        <w:tabs>
          <w:tab w:val="left" w:pos="2815"/>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7456" behindDoc="1" locked="0" layoutInCell="1" allowOverlap="1">
                <wp:simplePos x="0" y="0"/>
                <wp:positionH relativeFrom="page">
                  <wp:posOffset>3239135</wp:posOffset>
                </wp:positionH>
                <wp:positionV relativeFrom="paragraph">
                  <wp:posOffset>29845</wp:posOffset>
                </wp:positionV>
                <wp:extent cx="288290" cy="2552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a:effectLst/>
                      </wps:spPr>
                      <wps:txbx>
                        <w:txbxContent>
                          <w:p w14:paraId="3128D54E">
                            <w:r>
                              <w:rPr>
                                <w:rFonts w:ascii="Times New Roman" w:eastAsia="Times New Roman"/>
                                <w:spacing w:val="-39"/>
                                <w:position w:val="15"/>
                                <w:szCs w:val="24"/>
                              </w:rPr>
                              <w:t>F</w:t>
                            </w:r>
                            <w:r>
                              <w:rPr>
                                <w:rFonts w:ascii="Times New Roman" w:eastAsia="Times New Roman"/>
                                <w:position w:val="9"/>
                                <w:sz w:val="14"/>
                                <w:szCs w:val="14"/>
                              </w:rPr>
                              <w:t>1</w:t>
                            </w:r>
                          </w:p>
                          <w:p w14:paraId="59830C35"/>
                        </w:txbxContent>
                      </wps:txbx>
                      <wps:bodyPr wrap="square" lIns="0" tIns="0" rIns="0" bIns="0" upright="1"/>
                    </wps:wsp>
                  </a:graphicData>
                </a:graphic>
              </wp:anchor>
            </w:drawing>
          </mc:Choice>
          <mc:Fallback>
            <w:pict>
              <v:shape id="_x0000_s1026" o:spid="_x0000_s1026" o:spt="202" type="#_x0000_t202" style="position:absolute;left:0pt;margin-left:255.05pt;margin-top:2.35pt;height:20.1pt;width:22.7pt;mso-position-horizontal-relative:page;z-index:-251649024;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Nn+KzWAAAACAEAAA8AAAAAAAAAAQAgAAAAIgAAAGRycy9kb3du&#10;cmV2LnhtbFBLAQIUABQAAAAIAIdO4kDM4BxdyAEAAI0DAAAOAAAAAAAAAAEAIAAAACUBAABkcnMv&#10;ZTJvRG9jLnhtbFBLBQYAAAAABgAGAFkBAABfBQAAAAA=&#10;">
                <v:fill on="f" focussize="0,0"/>
                <v:stroke on="f"/>
                <v:imagedata o:title=""/>
                <o:lock v:ext="edit" aspectratio="f"/>
                <v:textbox inset="0mm,0mm,0mm,0mm">
                  <w:txbxContent>
                    <w:p w14:paraId="3128D54E">
                      <w:r>
                        <w:rPr>
                          <w:rFonts w:ascii="Times New Roman" w:eastAsia="Times New Roman"/>
                          <w:spacing w:val="-39"/>
                          <w:position w:val="15"/>
                          <w:szCs w:val="24"/>
                        </w:rPr>
                        <w:t>F</w:t>
                      </w:r>
                      <w:r>
                        <w:rPr>
                          <w:rFonts w:ascii="Times New Roman" w:eastAsia="Times New Roman"/>
                          <w:position w:val="9"/>
                          <w:sz w:val="14"/>
                          <w:szCs w:val="14"/>
                        </w:rPr>
                        <w:t>1</w:t>
                      </w:r>
                    </w:p>
                    <w:p w14:paraId="59830C35"/>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57B252CE">
      <w:pPr>
        <w:pStyle w:val="12"/>
        <w:spacing w:before="26"/>
        <w:ind w:left="3441" w:right="4885"/>
        <w:jc w:val="center"/>
        <w:rPr>
          <w:rFonts w:hint="eastAsia" w:ascii="宋体" w:hAnsi="宋体" w:eastAsia="宋体" w:cs="宋体"/>
          <w:color w:val="auto"/>
          <w:highlight w:val="none"/>
        </w:rPr>
      </w:pPr>
    </w:p>
    <w:p w14:paraId="724D729F">
      <w:pPr>
        <w:spacing w:before="3" w:line="170" w:lineRule="exact"/>
        <w:rPr>
          <w:rFonts w:hint="eastAsia" w:ascii="宋体" w:hAnsi="宋体" w:eastAsia="宋体" w:cs="宋体"/>
          <w:color w:val="auto"/>
          <w:sz w:val="17"/>
          <w:szCs w:val="17"/>
          <w:highlight w:val="none"/>
        </w:rPr>
      </w:pPr>
    </w:p>
    <w:p w14:paraId="6C1BA300">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8480"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43" name="组合 43"/>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10" name="任意多边形 33"/>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48000;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jDrmHaAAAACQEAAA8AAAAAAAAAAQAgAAAAIgAAAGRycy9kb3ducmV2LnhtbFBLAQIU&#10;ABQAAAAIAIdO4kCT8dwNnAIAANcFAAAOAAAAAAAAAAEAIAAAACkBAABkcnMvZTJvRG9jLnhtbFBL&#10;BQYAAAAABgAGAFkBAAA3BgAAAAA=&#10;">
                <o:lock v:ext="edit" aspectratio="f"/>
                <v:shape id="任意多边形 33" o:spid="_x0000_s1026" o:spt="100" style="position:absolute;left:4961;top:396;height:2;width:636;" filled="f" stroked="t" coordsize="636,1" o:gfxdata="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iBvb4A&#10;AADbAAAADwAAAAAAAAABACAAAAAiAAAAZHJzL2Rvd25yZXYueG1sUEsBAhQAFAAAAAgAh07iQDMv&#10;BZ47AAAAOQAAABAAAAAAAAAAAQAgAAAADQEAAGRycy9zaGFwZXhtbC54bWxQSwUGAAAAAAYABgBb&#10;AQAAtwM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7653D1A5">
      <w:pPr>
        <w:pStyle w:val="12"/>
        <w:tabs>
          <w:tab w:val="left" w:pos="2884"/>
        </w:tabs>
        <w:spacing w:line="142" w:lineRule="exact"/>
        <w:ind w:firstLine="2520" w:firstLineChars="180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9504" behindDoc="1" locked="0" layoutInCell="1" allowOverlap="1">
                <wp:simplePos x="0" y="0"/>
                <wp:positionH relativeFrom="page">
                  <wp:posOffset>3289300</wp:posOffset>
                </wp:positionH>
                <wp:positionV relativeFrom="paragraph">
                  <wp:posOffset>29845</wp:posOffset>
                </wp:positionV>
                <wp:extent cx="220980" cy="2933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a:effectLst/>
                      </wps:spPr>
                      <wps:txbx>
                        <w:txbxContent>
                          <w:p w14:paraId="5DE37E80">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23.1pt;width:17.4pt;mso-position-horizontal-relative:page;z-index:-251646976;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NpqnnYAAAACAEAAA8AAAAAAAAAAQAgAAAAIgAAAGRycy9k&#10;b3ducmV2LnhtbFBLAQIUABQAAAAIAIdO4kB+QGSAyQEAAI8DAAAOAAAAAAAAAAEAIAAAACcBAABk&#10;cnMvZTJvRG9jLnhtbFBLBQYAAAAABgAGAFkBAABiBQAAAAA=&#10;">
                <v:fill on="f" focussize="0,0"/>
                <v:stroke on="f"/>
                <v:imagedata o:title=""/>
                <o:lock v:ext="edit" aspectratio="f"/>
                <v:textbox inset="0mm,0mm,0mm,0mm">
                  <w:txbxContent>
                    <w:p w14:paraId="5DE37E80">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1    0</w:t>
      </w:r>
    </w:p>
    <w:p w14:paraId="1C1CAC3A">
      <w:pPr>
        <w:spacing w:before="4" w:line="110" w:lineRule="exact"/>
        <w:rPr>
          <w:rFonts w:hint="eastAsia" w:ascii="宋体" w:hAnsi="宋体" w:eastAsia="宋体" w:cs="宋体"/>
          <w:color w:val="auto"/>
          <w:sz w:val="11"/>
          <w:szCs w:val="11"/>
          <w:highlight w:val="none"/>
        </w:rPr>
      </w:pPr>
    </w:p>
    <w:p w14:paraId="17FE2897">
      <w:pPr>
        <w:spacing w:line="200" w:lineRule="exact"/>
        <w:rPr>
          <w:rFonts w:hint="eastAsia" w:ascii="宋体" w:hAnsi="宋体" w:eastAsia="宋体" w:cs="宋体"/>
          <w:color w:val="auto"/>
          <w:sz w:val="20"/>
          <w:highlight w:val="none"/>
        </w:rPr>
      </w:pPr>
    </w:p>
    <w:p w14:paraId="682B5D97">
      <w:pPr>
        <w:spacing w:line="200" w:lineRule="exact"/>
        <w:rPr>
          <w:rFonts w:hint="eastAsia" w:ascii="宋体" w:hAnsi="宋体" w:eastAsia="宋体" w:cs="宋体"/>
          <w:color w:val="auto"/>
          <w:sz w:val="20"/>
          <w:highlight w:val="none"/>
        </w:rPr>
      </w:pPr>
    </w:p>
    <w:p w14:paraId="61D0C3BD">
      <w:pPr>
        <w:spacing w:line="404"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0528" behindDoc="1" locked="0" layoutInCell="1" allowOverlap="1">
                <wp:simplePos x="0" y="0"/>
                <wp:positionH relativeFrom="page">
                  <wp:posOffset>3107055</wp:posOffset>
                </wp:positionH>
                <wp:positionV relativeFrom="paragraph">
                  <wp:posOffset>250825</wp:posOffset>
                </wp:positionV>
                <wp:extent cx="403860" cy="1270"/>
                <wp:effectExtent l="0" t="0" r="0" b="0"/>
                <wp:wrapNone/>
                <wp:docPr id="44" name="组合 44"/>
                <wp:cNvGraphicFramePr/>
                <a:graphic xmlns:a="http://schemas.openxmlformats.org/drawingml/2006/main">
                  <a:graphicData uri="http://schemas.microsoft.com/office/word/2010/wordprocessingGroup">
                    <wpg:wgp>
                      <wpg:cNvGrpSpPr/>
                      <wpg:grpSpPr>
                        <a:xfrm>
                          <a:off x="0" y="0"/>
                          <a:ext cx="403860" cy="1270"/>
                          <a:chOff x="4894" y="396"/>
                          <a:chExt cx="636" cy="2"/>
                        </a:xfrm>
                        <a:effectLst/>
                      </wpg:grpSpPr>
                      <wps:wsp>
                        <wps:cNvPr id="13" name="任意多边形 36"/>
                        <wps:cNvSpPr/>
                        <wps:spPr>
                          <a:xfrm>
                            <a:off x="4894"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19.75pt;height:0.1pt;width:31.8pt;mso-position-horizontal-relative:page;z-index:-251645952;mso-width-relative:page;mso-height-relative:page;" coordorigin="4894,396" coordsize="636,2" o:gfxdata="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zIe/vaAAAACQEAAA8AAAAAAAAAAQAgAAAAIgAAAGRycy9kb3ducmV2LnhtbFBLAQIU&#10;ABQAAAAIAIdO4kBH4jrmnAIAANcFAAAOAAAAAAAAAAEAIAAAACkBAABkcnMvZTJvRG9jLnhtbFBL&#10;BQYAAAAABgAGAFkBAAA3BgAAAAA=&#10;">
                <o:lock v:ext="edit" aspectratio="f"/>
                <v:shape id="任意多边形 36" o:spid="_x0000_s1026" o:spt="100" style="position:absolute;left:4894;top:396;height:2;width:636;" filled="f" stroked="t" coordsize="636,1" o:gfxdata="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Gh/KugAAANsA&#10;AAAPAAAAAAAAAAEAIAAAACIAAABkcnMvZG93bnJldi54bWxQSwECFAAUAAAACACHTuJAMy8FnjsA&#10;AAA5AAAAEAAAAAAAAAABACAAAAAJAQAAZHJzL3NoYXBleG1sLnhtbFBLBQYAAAAABgAGAFsBAACz&#10;Aw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c</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353DD91E">
      <w:pPr>
        <w:pStyle w:val="12"/>
        <w:tabs>
          <w:tab w:val="left" w:pos="2817"/>
        </w:tabs>
        <w:spacing w:line="142" w:lineRule="exact"/>
        <w:ind w:left="2424"/>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1552" behindDoc="1" locked="0" layoutInCell="1" allowOverlap="1">
                <wp:simplePos x="0" y="0"/>
                <wp:positionH relativeFrom="page">
                  <wp:posOffset>3246755</wp:posOffset>
                </wp:positionH>
                <wp:positionV relativeFrom="paragraph">
                  <wp:posOffset>29845</wp:posOffset>
                </wp:positionV>
                <wp:extent cx="163195" cy="20828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a:effectLst/>
                      </wps:spPr>
                      <wps:txbx>
                        <w:txbxContent>
                          <w:p w14:paraId="4285C362">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6.4pt;width:12.85pt;mso-position-horizontal-relative:page;z-index:-251644928;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Uzt7PYAAAACAEAAA8AAAAAAAAAAQAgAAAAIgAAAGRycy9k&#10;b3ducmV2LnhtbFBLAQIUABQAAAAIAIdO4kAHBXSzyQEAAI8DAAAOAAAAAAAAAAEAIAAAACcBAABk&#10;cnMvZTJvRG9jLnhtbFBLBQYAAAAABgAGAFkBAABiBQAAAAA=&#10;">
                <v:fill on="f" focussize="0,0"/>
                <v:stroke on="f"/>
                <v:imagedata o:title=""/>
                <o:lock v:ext="edit" aspectratio="f"/>
                <v:textbox inset="0mm,0mm,0mm,0mm">
                  <w:txbxContent>
                    <w:p w14:paraId="4285C362">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0</w:t>
      </w:r>
    </w:p>
    <w:p w14:paraId="6EAC0818">
      <w:pPr>
        <w:pStyle w:val="12"/>
        <w:spacing w:before="26"/>
        <w:ind w:left="3454" w:right="4848"/>
        <w:jc w:val="center"/>
        <w:rPr>
          <w:rFonts w:hint="eastAsia" w:ascii="宋体" w:hAnsi="宋体" w:eastAsia="宋体" w:cs="宋体"/>
          <w:color w:val="auto"/>
          <w:sz w:val="14"/>
          <w:szCs w:val="14"/>
          <w:highlight w:val="none"/>
        </w:rPr>
      </w:pPr>
    </w:p>
    <w:p w14:paraId="02D9DD82">
      <w:pPr>
        <w:spacing w:before="4" w:line="170" w:lineRule="exact"/>
        <w:rPr>
          <w:rFonts w:hint="eastAsia" w:ascii="宋体" w:hAnsi="宋体" w:eastAsia="宋体" w:cs="宋体"/>
          <w:color w:val="auto"/>
          <w:sz w:val="17"/>
          <w:szCs w:val="17"/>
          <w:highlight w:val="none"/>
        </w:rPr>
      </w:pPr>
    </w:p>
    <w:p w14:paraId="6E2B670E">
      <w:pPr>
        <w:spacing w:line="405"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2576"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40" name="组合 40"/>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16" name="任意多边形 39"/>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4390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jDrmHaAAAACQEAAA8AAAAAAAAAAQAgAAAAIgAAAGRycy9kb3ducmV2LnhtbFBLAQIU&#10;ABQAAAAIAIdO4kByO27HnAIAANcFAAAOAAAAAAAAAAEAIAAAACkBAABkcnMvZTJvRG9jLnhtbFBL&#10;BQYAAAAABgAGAFkBAAA3BgAAAAA=&#10;">
                <o:lock v:ext="edit" aspectratio="f"/>
                <v:shape id="任意多边形 39" o:spid="_x0000_s1026" o:spt="100" style="position:absolute;left:4961;top:396;height:2;width:636;" filled="f" stroked="t" coordsize="636,1" o:gfxdata="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5tvFK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24B660EE">
      <w:pPr>
        <w:pStyle w:val="12"/>
        <w:tabs>
          <w:tab w:val="left" w:pos="2884"/>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3600" behindDoc="1" locked="0" layoutInCell="1" allowOverlap="1">
                <wp:simplePos x="0" y="0"/>
                <wp:positionH relativeFrom="page">
                  <wp:posOffset>3289300</wp:posOffset>
                </wp:positionH>
                <wp:positionV relativeFrom="paragraph">
                  <wp:posOffset>29845</wp:posOffset>
                </wp:positionV>
                <wp:extent cx="296545" cy="24638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a:effectLst/>
                      </wps:spPr>
                      <wps:txbx>
                        <w:txbxContent>
                          <w:p w14:paraId="5B96BE60">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19.4pt;width:23.35pt;mso-position-horizontal-relative:page;z-index:-25164288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5C8xnXAAAACAEAAA8AAAAAAAAAAQAgAAAAIgAAAGRycy9k&#10;b3ducmV2LnhtbFBLAQIUABQAAAAIAIdO4kC7W5FxygEAAI8DAAAOAAAAAAAAAAEAIAAAACYBAABk&#10;cnMvZTJvRG9jLnhtbFBLBQYAAAAABgAGAFkBAABiBQAAAAA=&#10;">
                <v:fill on="f" focussize="0,0"/>
                <v:stroke on="f"/>
                <v:imagedata o:title=""/>
                <o:lock v:ext="edit" aspectratio="f"/>
                <v:textbox inset="0mm,0mm,0mm,0mm">
                  <w:txbxContent>
                    <w:p w14:paraId="5B96BE60">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rFonts w:hint="eastAsia" w:ascii="宋体" w:hAnsi="宋体" w:eastAsia="宋体" w:cs="宋体"/>
          <w:color w:val="auto"/>
          <w:sz w:val="14"/>
          <w:szCs w:val="14"/>
          <w:highlight w:val="none"/>
        </w:rPr>
        <w:t>1    0</w:t>
      </w:r>
    </w:p>
    <w:p w14:paraId="50B70754">
      <w:pPr>
        <w:pStyle w:val="12"/>
        <w:spacing w:before="26"/>
        <w:ind w:left="3521" w:right="4781"/>
        <w:jc w:val="center"/>
        <w:rPr>
          <w:rFonts w:hint="eastAsia" w:ascii="宋体" w:hAnsi="宋体" w:eastAsia="宋体" w:cs="宋体"/>
          <w:color w:val="auto"/>
          <w:sz w:val="14"/>
          <w:szCs w:val="14"/>
          <w:highlight w:val="none"/>
        </w:rPr>
      </w:pPr>
    </w:p>
    <w:p w14:paraId="01F71173">
      <w:pPr>
        <w:spacing w:before="3" w:line="120" w:lineRule="exact"/>
        <w:rPr>
          <w:rFonts w:hint="eastAsia" w:ascii="宋体" w:hAnsi="宋体" w:eastAsia="宋体" w:cs="宋体"/>
          <w:color w:val="auto"/>
          <w:sz w:val="12"/>
          <w:szCs w:val="12"/>
          <w:highlight w:val="none"/>
        </w:rPr>
      </w:pPr>
    </w:p>
    <w:p w14:paraId="084972B6">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szCs w:val="24"/>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为施工当月项目所在地工程造价管理机构发布的材料、工程设备单价；A为合同约定的材料、工程设备单价涨跌风险幅度值。</w:t>
      </w:r>
    </w:p>
    <w:p w14:paraId="0B18C517">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bCs/>
          <w:snapToGrid w:val="0"/>
          <w:color w:val="auto"/>
          <w:kern w:val="0"/>
          <w:szCs w:val="24"/>
          <w:highlight w:val="none"/>
        </w:rPr>
        <w:t>2.3.6.3</w:t>
      </w:r>
      <w:r>
        <w:rPr>
          <w:rFonts w:hint="eastAsia" w:ascii="宋体" w:hAnsi="宋体" w:eastAsia="宋体" w:cs="宋体"/>
          <w:snapToGrid w:val="0"/>
          <w:color w:val="auto"/>
          <w:kern w:val="0"/>
          <w:szCs w:val="24"/>
          <w:highlight w:val="none"/>
        </w:rPr>
        <w:t xml:space="preserve"> 合同履行期间，当《发包人提供材料和工程设备一览表》（详见招标工程量清单）中的材料、工程设备单价发生变化时，由发包人按照实际变化调整，并列入合同价款。</w:t>
      </w:r>
    </w:p>
    <w:p w14:paraId="0FD707BF">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2.3.6.4</w:t>
      </w:r>
      <w:r>
        <w:rPr>
          <w:rFonts w:hint="eastAsia" w:ascii="宋体" w:hAnsi="宋体" w:eastAsia="宋体" w:cs="宋体"/>
          <w:snapToGrid w:val="0"/>
          <w:color w:val="auto"/>
          <w:kern w:val="0"/>
          <w:szCs w:val="24"/>
          <w:highlight w:val="none"/>
        </w:rPr>
        <w:t xml:space="preserve"> 本招标项目约定，施工机具台班单价涨跌风险幅度值B为</w:t>
      </w:r>
      <w:r>
        <w:rPr>
          <w:rFonts w:hint="eastAsia" w:ascii="宋体" w:hAnsi="宋体" w:eastAsia="宋体" w:cs="宋体"/>
          <w:snapToGrid w:val="0"/>
          <w:color w:val="auto"/>
          <w:kern w:val="0"/>
          <w:szCs w:val="24"/>
          <w:highlight w:val="none"/>
          <w:u w:val="single"/>
        </w:rPr>
        <w:t xml:space="preserve"> 10% </w:t>
      </w:r>
      <w:r>
        <w:rPr>
          <w:rFonts w:hint="eastAsia" w:ascii="宋体" w:hAnsi="宋体" w:eastAsia="宋体" w:cs="宋体"/>
          <w:snapToGrid w:val="0"/>
          <w:color w:val="auto"/>
          <w:kern w:val="0"/>
          <w:szCs w:val="24"/>
          <w:highlight w:val="none"/>
        </w:rPr>
        <w:t>。合同履行期间，当施工机具台班单价涨跌幅度等于或低于B值时，该施工机具台班单价不予调整；超过B值时，其超过部分可以调整。相关费用按有关规定进行相应调整。</w:t>
      </w:r>
    </w:p>
    <w:p w14:paraId="3F927A6C">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a</w:t>
      </w:r>
      <w:r>
        <w:rPr>
          <w:rFonts w:hint="eastAsia" w:ascii="宋体" w:hAnsi="宋体" w:eastAsia="宋体" w:cs="宋体"/>
          <w:snapToGrid w:val="0"/>
          <w:color w:val="auto"/>
          <w:kern w:val="0"/>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4F50235F">
      <w:pPr>
        <w:spacing w:line="418" w:lineRule="exact"/>
        <w:ind w:left="120" w:firstLine="241" w:firstLineChars="100"/>
        <w:jc w:val="left"/>
        <w:rPr>
          <w:rFonts w:hint="eastAsia" w:ascii="宋体" w:hAnsi="宋体" w:eastAsia="宋体" w:cs="宋体"/>
          <w:color w:val="auto"/>
          <w:szCs w:val="24"/>
          <w:highlight w:val="none"/>
        </w:rPr>
      </w:pPr>
      <w:r>
        <w:rPr>
          <w:rFonts w:hint="eastAsia" w:ascii="宋体" w:hAnsi="宋体" w:eastAsia="宋体" w:cs="宋体"/>
          <w:b/>
          <w:bCs/>
          <w:color w:val="auto"/>
          <w:highlight w:val="none"/>
        </w:rPr>
        <mc:AlternateContent>
          <mc:Choice Requires="wpg">
            <w:drawing>
              <wp:anchor distT="0" distB="0" distL="114300" distR="114300" simplePos="0" relativeHeight="251674624" behindDoc="0" locked="0" layoutInCell="1" allowOverlap="1">
                <wp:simplePos x="0" y="0"/>
                <wp:positionH relativeFrom="page">
                  <wp:posOffset>3107055</wp:posOffset>
                </wp:positionH>
                <wp:positionV relativeFrom="paragraph">
                  <wp:posOffset>259715</wp:posOffset>
                </wp:positionV>
                <wp:extent cx="403860" cy="1270"/>
                <wp:effectExtent l="0" t="0" r="0" b="0"/>
                <wp:wrapNone/>
                <wp:docPr id="41" name="组合 41"/>
                <wp:cNvGraphicFramePr/>
                <a:graphic xmlns:a="http://schemas.openxmlformats.org/drawingml/2006/main">
                  <a:graphicData uri="http://schemas.microsoft.com/office/word/2010/wordprocessingGroup">
                    <wpg:wgp>
                      <wpg:cNvGrpSpPr/>
                      <wpg:grpSpPr>
                        <a:xfrm>
                          <a:off x="0" y="0"/>
                          <a:ext cx="403860" cy="1270"/>
                          <a:chOff x="4894" y="410"/>
                          <a:chExt cx="636" cy="2"/>
                        </a:xfrm>
                        <a:effectLst/>
                      </wpg:grpSpPr>
                      <wps:wsp>
                        <wps:cNvPr id="21" name="任意多边形 42"/>
                        <wps:cNvSpPr/>
                        <wps:spPr>
                          <a:xfrm>
                            <a:off x="4894" y="410"/>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20.45pt;height:0.1pt;width:31.8pt;mso-position-horizontal-relative:page;z-index:25167462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UT1lkNkAAAAJAQAADwAAAAAAAAABACAAAAAiAAAAZHJzL2Rvd25yZXYueG1sUEsBAhQA&#10;FAAAAAgAh07iQG7mfNWcAgAA1wUAAA4AAAAAAAAAAQAgAAAAKAEAAGRycy9lMm9Eb2MueG1sUEsF&#10;BgAAAAAGAAYAWQEAADYGAAAAAA==&#10;">
                <o:lock v:ext="edit" aspectratio="f"/>
                <v:shape id="任意多边形 42" o:spid="_x0000_s1026" o:spt="100" style="position:absolute;left:4894;top:410;height:2;width:636;" filled="f" stroked="t" coordsize="636,1" o:gfxdata="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jum7sAAADb&#10;AAAADwAAAAAAAAABACAAAAAiAAAAZHJzL2Rvd25yZXYueG1sUEsBAhQAFAAAAAgAh07iQDMvBZ47&#10;AAAAOQAAABAAAAAAAAAAAQAgAAAACgEAAGRycy9zaGFwZXhtbC54bWxQSwUGAAAAAAYABgBbAQAA&#10;tAM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28"/>
          <w:szCs w:val="28"/>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28"/>
          <w:szCs w:val="28"/>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04550B87">
      <w:pPr>
        <w:pStyle w:val="12"/>
        <w:tabs>
          <w:tab w:val="left" w:pos="2817"/>
        </w:tabs>
        <w:spacing w:after="0" w:line="200" w:lineRule="exact"/>
        <w:ind w:left="2426"/>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mc:AlternateContent>
          <mc:Choice Requires="wps">
            <w:drawing>
              <wp:anchor distT="0" distB="0" distL="114300" distR="114300" simplePos="0" relativeHeight="251675648" behindDoc="0" locked="0" layoutInCell="1" allowOverlap="1">
                <wp:simplePos x="0" y="0"/>
                <wp:positionH relativeFrom="page">
                  <wp:posOffset>3246755</wp:posOffset>
                </wp:positionH>
                <wp:positionV relativeFrom="paragraph">
                  <wp:posOffset>29845</wp:posOffset>
                </wp:positionV>
                <wp:extent cx="220980" cy="24638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a:effectLst/>
                      </wps:spPr>
                      <wps:txbx>
                        <w:txbxContent>
                          <w:p w14:paraId="6498500A">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9.4pt;width:17.4pt;mso-position-horizontal-relative:page;z-index:251675648;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VseIJ1wAAAAgBAAAPAAAAAAAAAAEAIAAAACIAAABkcnMvZG93&#10;bnJldi54bWxQSwECFAAUAAAACACHTuJAG6mmQcgBAACPAwAADgAAAAAAAAABACAAAAAmAQAAZHJz&#10;L2Uyb0RvYy54bWxQSwUGAAAAAAYABgBZAQAAYAUAAAAA&#10;">
                <v:fill on="f" focussize="0,0"/>
                <v:stroke on="f"/>
                <v:imagedata o:title=""/>
                <o:lock v:ext="edit" aspectratio="f"/>
                <v:textbox inset="0mm,0mm,0mm,0mm">
                  <w:txbxContent>
                    <w:p w14:paraId="6498500A">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5"/>
          <w:szCs w:val="15"/>
          <w:highlight w:val="none"/>
        </w:rPr>
        <w:t>1</w:t>
      </w:r>
      <w:r>
        <w:rPr>
          <w:rFonts w:hint="eastAsia" w:ascii="宋体" w:hAnsi="宋体" w:eastAsia="宋体" w:cs="宋体"/>
          <w:color w:val="auto"/>
          <w:sz w:val="15"/>
          <w:szCs w:val="15"/>
          <w:highlight w:val="none"/>
        </w:rPr>
        <w:tab/>
      </w:r>
      <w:r>
        <w:rPr>
          <w:rFonts w:hint="eastAsia" w:ascii="宋体" w:hAnsi="宋体" w:eastAsia="宋体" w:cs="宋体"/>
          <w:color w:val="auto"/>
          <w:sz w:val="15"/>
          <w:szCs w:val="15"/>
          <w:highlight w:val="none"/>
        </w:rPr>
        <w:t>0</w:t>
      </w:r>
    </w:p>
    <w:p w14:paraId="79FF2308">
      <w:pPr>
        <w:pStyle w:val="12"/>
        <w:spacing w:after="0" w:line="240" w:lineRule="exact"/>
        <w:ind w:left="3454" w:right="4848"/>
        <w:jc w:val="center"/>
        <w:rPr>
          <w:rFonts w:hint="eastAsia" w:ascii="宋体" w:hAnsi="宋体" w:eastAsia="宋体" w:cs="宋体"/>
          <w:color w:val="auto"/>
          <w:sz w:val="15"/>
          <w:szCs w:val="15"/>
          <w:highlight w:val="none"/>
        </w:rPr>
      </w:pPr>
    </w:p>
    <w:p w14:paraId="6D852080">
      <w:pPr>
        <w:spacing w:before="4" w:line="170" w:lineRule="exact"/>
        <w:rPr>
          <w:rFonts w:hint="eastAsia" w:ascii="宋体" w:hAnsi="宋体" w:eastAsia="宋体" w:cs="宋体"/>
          <w:color w:val="auto"/>
          <w:sz w:val="17"/>
          <w:szCs w:val="17"/>
          <w:highlight w:val="none"/>
        </w:rPr>
      </w:pPr>
    </w:p>
    <w:p w14:paraId="105F4E6F">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6672" behindDoc="0" locked="0" layoutInCell="1" allowOverlap="1">
                <wp:simplePos x="0" y="0"/>
                <wp:positionH relativeFrom="page">
                  <wp:posOffset>3048635</wp:posOffset>
                </wp:positionH>
                <wp:positionV relativeFrom="paragraph">
                  <wp:posOffset>222250</wp:posOffset>
                </wp:positionV>
                <wp:extent cx="388620" cy="1270"/>
                <wp:effectExtent l="0" t="0" r="0" b="0"/>
                <wp:wrapNone/>
                <wp:docPr id="42" name="组合 42"/>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24"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0.05pt;margin-top:17.5pt;height:0.1pt;width:30.6pt;mso-position-horizontal-relative:page;z-index:251676672;mso-width-relative:page;mso-height-relative:page;" coordorigin="4937,395" coordsize="612,2" o:gfxdata="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qOHGc2QAAAAkBAAAPAAAAAAAAAAEAIAAAACIAAABkcnMvZG93bnJldi54&#10;bWxQSwECFAAUAAAACACHTuJArX2vQKQCAADXBQAADgAAAAAAAAABACAAAAAoAQAAZHJzL2Uyb0Rv&#10;Yy54bWxQSwUGAAAAAAYABgBZAQAAPgYAAAAA&#10;">
                <o:lock v:ext="edit" aspectratio="f"/>
                <v:shape id="任意多边形 45" o:spid="_x0000_s1026" o:spt="100" style="position:absolute;left:4937;top:395;height:2;width:612;" filled="f" stroked="t" coordsize="612,1" o:gfxdata="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GTG+/&#10;AAAA2wAAAA8AAAAAAAAAAQAgAAAAIgAAAGRycy9kb3ducmV2LnhtbFBLAQIUABQAAAAIAIdO4kAz&#10;LwWeOwAAADkAAAAQAAAAAAAAAAEAIAAAAA4BAABkcnMvc2hhcGV4bWwueG1sUEsFBgAAAAAGAAYA&#10;WwEAALgDA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0"/>
          <w:szCs w:val="30"/>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1"/>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1C50C8B4">
      <w:pPr>
        <w:pStyle w:val="12"/>
        <w:tabs>
          <w:tab w:val="left" w:pos="2870"/>
        </w:tabs>
        <w:spacing w:line="142" w:lineRule="exact"/>
        <w:ind w:left="249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7696" behindDoc="0" locked="0" layoutInCell="1" allowOverlap="1">
                <wp:simplePos x="0" y="0"/>
                <wp:positionH relativeFrom="page">
                  <wp:posOffset>3274060</wp:posOffset>
                </wp:positionH>
                <wp:positionV relativeFrom="paragraph">
                  <wp:posOffset>29845</wp:posOffset>
                </wp:positionV>
                <wp:extent cx="231140" cy="19875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a:effectLst/>
                      </wps:spPr>
                      <wps:txbx>
                        <w:txbxContent>
                          <w:p w14:paraId="1DCC4AB5">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_x0000_s1026" o:spid="_x0000_s1026" o:spt="202" type="#_x0000_t202" style="position:absolute;left:0pt;margin-left:257.8pt;margin-top:2.35pt;height:15.65pt;width:18.2pt;mso-position-horizontal-relative:page;z-index:251677696;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eW1FbXAAAACAEAAA8AAAAAAAAAAQAgAAAAIgAAAGRycy9k&#10;b3ducmV2LnhtbFBLAQIUABQAAAAIAIdO4kD4rfATygEAAI8DAAAOAAAAAAAAAAEAIAAAACYBAABk&#10;cnMvZTJvRG9jLnhtbFBLBQYAAAAABgAGAFkBAABiBQAAAAA=&#10;">
                <v:fill on="f" focussize="0,0"/>
                <v:stroke on="f"/>
                <v:imagedata o:title=""/>
                <o:lock v:ext="edit" aspectratio="f"/>
                <v:textbox inset="0mm,0mm,0mm,0mm">
                  <w:txbxContent>
                    <w:p w14:paraId="1DCC4AB5">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7AB20CDE">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b</w:t>
      </w:r>
      <w:r>
        <w:rPr>
          <w:rFonts w:hint="eastAsia" w:ascii="宋体" w:hAnsi="宋体" w:eastAsia="宋体" w:cs="宋体"/>
          <w:snapToGrid w:val="0"/>
          <w:color w:val="auto"/>
          <w:kern w:val="0"/>
          <w:szCs w:val="24"/>
          <w:highlight w:val="none"/>
        </w:rPr>
        <w:t>．如果中标单价高于基准单价，该施工机具台班的结算单价调整公式为：</w:t>
      </w:r>
    </w:p>
    <w:p w14:paraId="5677A8F5">
      <w:pPr>
        <w:spacing w:line="404" w:lineRule="exact"/>
        <w:ind w:left="120" w:firstLine="240" w:firstLineChars="10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4864" behindDoc="0" locked="0" layoutInCell="1" allowOverlap="1">
                <wp:simplePos x="0" y="0"/>
                <wp:positionH relativeFrom="page">
                  <wp:posOffset>2962910</wp:posOffset>
                </wp:positionH>
                <wp:positionV relativeFrom="paragraph">
                  <wp:posOffset>234315</wp:posOffset>
                </wp:positionV>
                <wp:extent cx="388620" cy="1270"/>
                <wp:effectExtent l="0" t="0" r="0" b="0"/>
                <wp:wrapNone/>
                <wp:docPr id="5" name="组合 5"/>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8"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33.3pt;margin-top:18.45pt;height:0.1pt;width:30.6pt;mso-position-horizontal-relative:page;z-index:251684864;mso-width-relative:page;mso-height-relative:page;" coordorigin="4937,395" coordsize="612,2" o:gfxdata="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v2y3ldoAAAAJAQAADwAAAAAAAAABACAAAAAiAAAAZHJzL2Rvd25yZXYueG1sUEsBAhQA&#10;FAAAAAgAh07iQOkxYjmbAgAA1AUAAA4AAAAAAAAAAQAgAAAAKQEAAGRycy9lMm9Eb2MueG1sUEsF&#10;BgAAAAAGAAYAWQEAADYGAAAAAA==&#10;">
                <o:lock v:ext="edit" aspectratio="f"/>
                <v:shape id="任意多边形 45" o:spid="_x0000_s1026" o:spt="100" style="position:absolute;left:4937;top:395;height:2;width:612;" filled="f" stroked="t" coordsize="612,1" o:gfxdata="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6zlbsAAADa&#10;AAAADwAAAAAAAAABACAAAAAiAAAAZHJzL2Rvd25yZXYueG1sUEsBAhQAFAAAAAgAh07iQDMvBZ47&#10;AAAAOQAAABAAAAAAAAAAAQAgAAAACgEAAGRycy9zaGFwZXhtbC54bWxQSwUGAAAAAAYABgBbAQAA&#10;tA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5"/>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2"/>
          <w:szCs w:val="32"/>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7"/>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4E0CDCA8">
      <w:pPr>
        <w:pStyle w:val="12"/>
        <w:tabs>
          <w:tab w:val="left" w:pos="2815"/>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8720" behindDoc="0" locked="0" layoutInCell="1" allowOverlap="1">
                <wp:simplePos x="0" y="0"/>
                <wp:positionH relativeFrom="page">
                  <wp:posOffset>3239135</wp:posOffset>
                </wp:positionH>
                <wp:positionV relativeFrom="paragraph">
                  <wp:posOffset>29845</wp:posOffset>
                </wp:positionV>
                <wp:extent cx="288290" cy="25527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a:effectLst/>
                      </wps:spPr>
                      <wps:txbx>
                        <w:txbxContent>
                          <w:p w14:paraId="08AB1550">
                            <w:r>
                              <w:rPr>
                                <w:rFonts w:ascii="Times New Roman" w:eastAsia="Times New Roman"/>
                                <w:spacing w:val="-39"/>
                                <w:position w:val="15"/>
                                <w:szCs w:val="24"/>
                              </w:rPr>
                              <w:t>F</w:t>
                            </w:r>
                            <w:r>
                              <w:rPr>
                                <w:rFonts w:ascii="Times New Roman" w:eastAsia="Times New Roman"/>
                                <w:position w:val="9"/>
                                <w:sz w:val="14"/>
                                <w:szCs w:val="14"/>
                              </w:rPr>
                              <w:t>1</w:t>
                            </w:r>
                          </w:p>
                          <w:p w14:paraId="154A29E9"/>
                        </w:txbxContent>
                      </wps:txbx>
                      <wps:bodyPr wrap="square" lIns="0" tIns="0" rIns="0" bIns="0" upright="1"/>
                    </wps:wsp>
                  </a:graphicData>
                </a:graphic>
              </wp:anchor>
            </w:drawing>
          </mc:Choice>
          <mc:Fallback>
            <w:pict>
              <v:shape id="_x0000_s1026" o:spid="_x0000_s1026" o:spt="202" type="#_x0000_t202" style="position:absolute;left:0pt;margin-left:255.05pt;margin-top:2.35pt;height:20.1pt;width:22.7pt;mso-position-horizontal-relative:page;z-index:251678720;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zZ/is1gAAAAgBAAAPAAAAAAAAAAEAIAAAACIAAABkcnMvZG93&#10;bnJldi54bWxQSwECFAAUAAAACACHTuJAB5KzS8kBAACPAwAADgAAAAAAAAABACAAAAAlAQAAZHJz&#10;L2Uyb0RvYy54bWxQSwUGAAAAAAYABgBZAQAAYAUAAAAA&#10;">
                <v:fill on="f" focussize="0,0"/>
                <v:stroke on="f"/>
                <v:imagedata o:title=""/>
                <o:lock v:ext="edit" aspectratio="f"/>
                <v:textbox inset="0mm,0mm,0mm,0mm">
                  <w:txbxContent>
                    <w:p w14:paraId="08AB1550">
                      <w:r>
                        <w:rPr>
                          <w:rFonts w:ascii="Times New Roman" w:eastAsia="Times New Roman"/>
                          <w:spacing w:val="-39"/>
                          <w:position w:val="15"/>
                          <w:szCs w:val="24"/>
                        </w:rPr>
                        <w:t>F</w:t>
                      </w:r>
                      <w:r>
                        <w:rPr>
                          <w:rFonts w:ascii="Times New Roman" w:eastAsia="Times New Roman"/>
                          <w:position w:val="9"/>
                          <w:sz w:val="14"/>
                          <w:szCs w:val="14"/>
                        </w:rPr>
                        <w:t>1</w:t>
                      </w:r>
                    </w:p>
                    <w:p w14:paraId="154A29E9"/>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4115CB34">
      <w:pPr>
        <w:pStyle w:val="12"/>
        <w:spacing w:before="26"/>
        <w:ind w:left="3441" w:right="4885"/>
        <w:jc w:val="center"/>
        <w:rPr>
          <w:rFonts w:hint="eastAsia" w:ascii="宋体" w:hAnsi="宋体" w:eastAsia="宋体" w:cs="宋体"/>
          <w:color w:val="auto"/>
          <w:sz w:val="20"/>
          <w:highlight w:val="none"/>
        </w:rPr>
      </w:pPr>
    </w:p>
    <w:p w14:paraId="0A470A04">
      <w:pPr>
        <w:spacing w:before="3" w:line="170" w:lineRule="exact"/>
        <w:rPr>
          <w:rFonts w:hint="eastAsia" w:ascii="宋体" w:hAnsi="宋体" w:eastAsia="宋体" w:cs="宋体"/>
          <w:color w:val="auto"/>
          <w:sz w:val="17"/>
          <w:szCs w:val="17"/>
          <w:highlight w:val="none"/>
        </w:rPr>
      </w:pPr>
    </w:p>
    <w:p w14:paraId="4EB3FF2E">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9744"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45" name="组合 45"/>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28" name="任意多边形 49"/>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7974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MOuYdoAAAAJAQAADwAAAAAAAAABACAAAAAiAAAAZHJzL2Rvd25yZXYueG1sUEsB&#10;AhQAFAAAAAgAh07iQPuOubeeAgAA1wUAAA4AAAAAAAAAAQAgAAAAKQEAAGRycy9lMm9Eb2MueG1s&#10;UEsFBgAAAAAGAAYAWQEAADkGAAAAAA==&#10;">
                <o:lock v:ext="edit" aspectratio="f"/>
                <v:shape id="任意多边形 49" o:spid="_x0000_s1026" o:spt="100" style="position:absolute;left:4961;top:396;height:2;width:636;" filled="f" stroked="t" coordsize="636,1" o:gfxdata="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7SRwa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3875F677">
      <w:pPr>
        <w:pStyle w:val="12"/>
        <w:tabs>
          <w:tab w:val="left" w:pos="2884"/>
        </w:tabs>
        <w:spacing w:line="142" w:lineRule="exact"/>
        <w:ind w:firstLine="2520" w:firstLineChars="180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0768" behindDoc="0" locked="0" layoutInCell="1" allowOverlap="1">
                <wp:simplePos x="0" y="0"/>
                <wp:positionH relativeFrom="page">
                  <wp:posOffset>3289300</wp:posOffset>
                </wp:positionH>
                <wp:positionV relativeFrom="paragraph">
                  <wp:posOffset>29845</wp:posOffset>
                </wp:positionV>
                <wp:extent cx="220980" cy="29337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a:effectLst/>
                      </wps:spPr>
                      <wps:txbx>
                        <w:txbxContent>
                          <w:p w14:paraId="23092C2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23.1pt;width:17.4pt;mso-position-horizontal-relative:page;z-index:251680768;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NpqnnYAAAACAEAAA8AAAAAAAAAAQAgAAAAIgAAAGRycy9k&#10;b3ducmV2LnhtbFBLAQIUABQAAAAIAIdO4kAs4XBeyQEAAI8DAAAOAAAAAAAAAAEAIAAAACcBAABk&#10;cnMvZTJvRG9jLnhtbFBLBQYAAAAABgAGAFkBAABiBQAAAAA=&#10;">
                <v:fill on="f" focussize="0,0"/>
                <v:stroke on="f"/>
                <v:imagedata o:title=""/>
                <o:lock v:ext="edit" aspectratio="f"/>
                <v:textbox inset="0mm,0mm,0mm,0mm">
                  <w:txbxContent>
                    <w:p w14:paraId="23092C2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1    0</w:t>
      </w:r>
    </w:p>
    <w:p w14:paraId="2F3EE2A6">
      <w:pPr>
        <w:spacing w:line="200" w:lineRule="exact"/>
        <w:rPr>
          <w:rFonts w:hint="eastAsia" w:ascii="宋体" w:hAnsi="宋体" w:eastAsia="宋体" w:cs="宋体"/>
          <w:color w:val="auto"/>
          <w:sz w:val="20"/>
          <w:highlight w:val="none"/>
        </w:rPr>
      </w:pPr>
    </w:p>
    <w:p w14:paraId="58178585">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c</w:t>
      </w:r>
      <w:r>
        <w:rPr>
          <w:rFonts w:hint="eastAsia" w:ascii="宋体" w:hAnsi="宋体" w:eastAsia="宋体" w:cs="宋体"/>
          <w:snapToGrid w:val="0"/>
          <w:color w:val="auto"/>
          <w:kern w:val="0"/>
          <w:szCs w:val="24"/>
          <w:highlight w:val="none"/>
        </w:rPr>
        <w:t>．如果中标单价等于基准单价，该施工机具台班的结算单价调整公式为：</w:t>
      </w:r>
    </w:p>
    <w:p w14:paraId="57603EB9">
      <w:pPr>
        <w:spacing w:line="404" w:lineRule="exact"/>
        <w:ind w:left="120" w:firstLine="240" w:firstLineChars="10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5888" behindDoc="0" locked="0" layoutInCell="1" allowOverlap="1">
                <wp:simplePos x="0" y="0"/>
                <wp:positionH relativeFrom="page">
                  <wp:posOffset>2848610</wp:posOffset>
                </wp:positionH>
                <wp:positionV relativeFrom="paragraph">
                  <wp:posOffset>217805</wp:posOffset>
                </wp:positionV>
                <wp:extent cx="388620" cy="1270"/>
                <wp:effectExtent l="0" t="0" r="0" b="0"/>
                <wp:wrapNone/>
                <wp:docPr id="11" name="组合 11"/>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14"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24.3pt;margin-top:17.15pt;height:0.1pt;width:30.6pt;mso-position-horizontal-relative:page;z-index:251685888;mso-width-relative:page;mso-height-relative:page;" coordorigin="4937,395" coordsize="612,2" o:gfxdata="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6NUo2tkAAAAJAQAADwAAAAAAAAABACAAAAAiAAAAZHJzL2Rvd25yZXYueG1sUEsB&#10;AhQAFAAAAAgAh07iQGiPK3mfAgAA1wUAAA4AAAAAAAAAAQAgAAAAKAEAAGRycy9lMm9Eb2MueG1s&#10;UEsFBgAAAAAGAAYAWQEAADkGAAAAAA==&#10;">
                <o:lock v:ext="edit" aspectratio="f"/>
                <v:shape id="任意多边形 45" o:spid="_x0000_s1026" o:spt="100" style="position:absolute;left:4937;top:395;height:2;width:612;" filled="f" stroked="t" coordsize="612,1" o:gfxdata="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KobSvQAA&#10;ANsAAAAPAAAAAAAAAAEAIAAAACIAAABkcnMvZG93bnJldi54bWxQSwECFAAUAAAACACHTuJAMy8F&#10;njsAAAA5AAAAEAAAAAAAAAABACAAAAAMAQAAZHJzL3NoYXBleG1sLnhtbFBLBQYAAAAABgAGAFsB&#10;AAC2Aw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742C141C">
      <w:pPr>
        <w:pStyle w:val="12"/>
        <w:tabs>
          <w:tab w:val="left" w:pos="2817"/>
        </w:tabs>
        <w:spacing w:line="142" w:lineRule="exact"/>
        <w:ind w:left="2424"/>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1792" behindDoc="0" locked="0" layoutInCell="1" allowOverlap="1">
                <wp:simplePos x="0" y="0"/>
                <wp:positionH relativeFrom="page">
                  <wp:posOffset>3246755</wp:posOffset>
                </wp:positionH>
                <wp:positionV relativeFrom="paragraph">
                  <wp:posOffset>29845</wp:posOffset>
                </wp:positionV>
                <wp:extent cx="163195" cy="20828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a:effectLst/>
                      </wps:spPr>
                      <wps:txbx>
                        <w:txbxContent>
                          <w:p w14:paraId="033032B7">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6.4pt;width:12.85pt;mso-position-horizontal-relative:page;z-index:251681792;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1M7ez2AAAAAgBAAAPAAAAAAAAAAEAIAAAACIAAABkcnMv&#10;ZG93bnJldi54bWxQSwECFAAUAAAACACHTuJAzkQvs8oBAACPAwAADgAAAAAAAAABACAAAAAnAQAA&#10;ZHJzL2Uyb0RvYy54bWxQSwUGAAAAAAYABgBZAQAAYwUAAAAA&#10;">
                <v:fill on="f" focussize="0,0"/>
                <v:stroke on="f"/>
                <v:imagedata o:title=""/>
                <o:lock v:ext="edit" aspectratio="f"/>
                <v:textbox inset="0mm,0mm,0mm,0mm">
                  <w:txbxContent>
                    <w:p w14:paraId="033032B7">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0</w:t>
      </w:r>
    </w:p>
    <w:p w14:paraId="1AD95EC5">
      <w:pPr>
        <w:pStyle w:val="12"/>
        <w:spacing w:before="26"/>
        <w:ind w:left="3454" w:right="4848"/>
        <w:jc w:val="center"/>
        <w:rPr>
          <w:rFonts w:hint="eastAsia" w:ascii="宋体" w:hAnsi="宋体" w:eastAsia="宋体" w:cs="宋体"/>
          <w:color w:val="auto"/>
          <w:sz w:val="14"/>
          <w:szCs w:val="14"/>
          <w:highlight w:val="none"/>
          <w:lang w:val="en-US" w:eastAsia="zh-CN"/>
        </w:rPr>
      </w:pPr>
      <w:r>
        <w:rPr>
          <w:rFonts w:hint="eastAsia" w:hAnsi="宋体" w:cs="宋体"/>
          <w:color w:val="auto"/>
          <w:sz w:val="14"/>
          <w:szCs w:val="14"/>
          <w:highlight w:val="none"/>
          <w:lang w:val="en-US" w:eastAsia="zh-CN"/>
        </w:rPr>
        <w:t>x</w:t>
      </w:r>
    </w:p>
    <w:p w14:paraId="356EB4A6">
      <w:pPr>
        <w:spacing w:before="4" w:line="170" w:lineRule="exact"/>
        <w:rPr>
          <w:rFonts w:hint="eastAsia" w:ascii="宋体" w:hAnsi="宋体" w:eastAsia="宋体" w:cs="宋体"/>
          <w:color w:val="auto"/>
          <w:sz w:val="17"/>
          <w:szCs w:val="17"/>
          <w:highlight w:val="none"/>
        </w:rPr>
      </w:pPr>
    </w:p>
    <w:p w14:paraId="7B70BAB2">
      <w:pPr>
        <w:spacing w:line="405"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2816"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46" name="组合 46"/>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32" name="任意多边形 53"/>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82816;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BIw65h2gAAAAkBAAAPAAAAAAAAAAEAIAAAACIAAABkcnMvZG93bnJldi54bWxQ&#10;SwECFAAUAAAACACHTuJA2taWg6ACAADXBQAADgAAAAAAAAABACAAAAApAQAAZHJzL2Uyb0RvYy54&#10;bWxQSwUGAAAAAAYABgBZAQAAOwYAAAAA&#10;">
                <o:lock v:ext="edit" aspectratio="f"/>
                <v:shape id="任意多边形 53" o:spid="_x0000_s1026" o:spt="100" style="position:absolute;left:4961;top:396;height:2;width:636;" filled="f" stroked="t" coordsize="636,1" o:gfxdata="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5jG8AAAA&#10;2wAAAA8AAAAAAAAAAQAgAAAAIgAAAGRycy9kb3ducmV2LnhtbFBLAQIUABQAAAAIAIdO4kAzLwWe&#10;OwAAADkAAAAQAAAAAAAAAAEAIAAAAAsBAABkcnMvc2hhcGV4bWwueG1sUEsFBgAAAAAGAAYAWwEA&#10;ALUD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04A75AB4">
      <w:pPr>
        <w:pStyle w:val="12"/>
        <w:tabs>
          <w:tab w:val="left" w:pos="2884"/>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3840" behindDoc="0" locked="0" layoutInCell="1" allowOverlap="1">
                <wp:simplePos x="0" y="0"/>
                <wp:positionH relativeFrom="page">
                  <wp:posOffset>3289300</wp:posOffset>
                </wp:positionH>
                <wp:positionV relativeFrom="paragraph">
                  <wp:posOffset>29845</wp:posOffset>
                </wp:positionV>
                <wp:extent cx="296545" cy="24638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a:effectLst/>
                      </wps:spPr>
                      <wps:txbx>
                        <w:txbxContent>
                          <w:p w14:paraId="2DA0A5BC">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19.4pt;width:23.35pt;mso-position-horizontal-relative:page;z-index:25168384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eQvMZ1wAAAAgBAAAPAAAAAAAAAAEAIAAAACIAAABkcnMv&#10;ZG93bnJldi54bWxQSwECFAAUAAAACACHTuJAKGCBNMsBAACPAwAADgAAAAAAAAABACAAAAAmAQAA&#10;ZHJzL2Uyb0RvYy54bWxQSwUGAAAAAAYABgBZAQAAYwUAAAAA&#10;">
                <v:fill on="f" focussize="0,0"/>
                <v:stroke on="f"/>
                <v:imagedata o:title=""/>
                <o:lock v:ext="edit" aspectratio="f"/>
                <v:textbox inset="0mm,0mm,0mm,0mm">
                  <w:txbxContent>
                    <w:p w14:paraId="2DA0A5BC">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rFonts w:hint="eastAsia" w:ascii="宋体" w:hAnsi="宋体" w:eastAsia="宋体" w:cs="宋体"/>
          <w:color w:val="auto"/>
          <w:sz w:val="14"/>
          <w:szCs w:val="14"/>
          <w:highlight w:val="none"/>
        </w:rPr>
        <w:t>1    0</w:t>
      </w:r>
    </w:p>
    <w:p w14:paraId="7C10777A">
      <w:pPr>
        <w:pStyle w:val="12"/>
        <w:spacing w:before="26"/>
        <w:ind w:left="3521" w:right="4781"/>
        <w:jc w:val="center"/>
        <w:rPr>
          <w:rFonts w:hint="eastAsia" w:ascii="宋体" w:hAnsi="宋体" w:eastAsia="宋体" w:cs="宋体"/>
          <w:color w:val="auto"/>
          <w:sz w:val="14"/>
          <w:szCs w:val="14"/>
          <w:highlight w:val="none"/>
        </w:rPr>
      </w:pPr>
    </w:p>
    <w:p w14:paraId="7B9E6DFF">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szCs w:val="24"/>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为施工当月项目所在地工程造价管理机构发布的施工机具台班单价；B为合同约定的施工机具台班单价涨跌风险幅度值。</w:t>
      </w:r>
    </w:p>
    <w:p w14:paraId="5FEB21A2">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w:t>
      </w:r>
      <w:r>
        <w:rPr>
          <w:rFonts w:hint="eastAsia" w:ascii="宋体" w:hAnsi="宋体" w:eastAsia="宋体" w:cs="宋体"/>
          <w:bCs/>
          <w:snapToGrid w:val="0"/>
          <w:color w:val="auto"/>
          <w:kern w:val="0"/>
          <w:szCs w:val="28"/>
          <w:highlight w:val="none"/>
        </w:rPr>
        <w:t xml:space="preserve"> 暂估价和暂列金额</w:t>
      </w:r>
    </w:p>
    <w:p w14:paraId="6B7CB60B">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2.3.7.1</w:t>
      </w:r>
      <w:r>
        <w:rPr>
          <w:rFonts w:hint="eastAsia" w:ascii="宋体" w:hAnsi="宋体" w:eastAsia="宋体" w:cs="宋体"/>
          <w:bCs/>
          <w:snapToGrid w:val="0"/>
          <w:color w:val="auto"/>
          <w:kern w:val="0"/>
          <w:szCs w:val="28"/>
          <w:highlight w:val="none"/>
        </w:rPr>
        <w:t xml:space="preserve"> 暂估价项目按第一章第三节“投标人须知正文”第</w:t>
      </w:r>
      <w:r>
        <w:rPr>
          <w:rFonts w:hint="eastAsia" w:ascii="宋体" w:hAnsi="宋体" w:eastAsia="宋体" w:cs="宋体"/>
          <w:b/>
          <w:bCs/>
          <w:snapToGrid w:val="0"/>
          <w:color w:val="auto"/>
          <w:kern w:val="0"/>
          <w:highlight w:val="none"/>
        </w:rPr>
        <w:t>8.5</w:t>
      </w:r>
      <w:r>
        <w:rPr>
          <w:rFonts w:hint="eastAsia" w:ascii="宋体" w:hAnsi="宋体" w:eastAsia="宋体" w:cs="宋体"/>
          <w:bCs/>
          <w:snapToGrid w:val="0"/>
          <w:color w:val="auto"/>
          <w:kern w:val="0"/>
          <w:szCs w:val="28"/>
          <w:highlight w:val="none"/>
        </w:rPr>
        <w:t>条的规定确定专业工程承包人（或材料供应商、工程设备供应商）后，将专业工程合同价款（或材料单价、工程设备单价）取代相应暂估价，并调整合同价款。</w:t>
      </w:r>
    </w:p>
    <w:p w14:paraId="04E2955D">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2.3.7.2</w:t>
      </w:r>
      <w:r>
        <w:rPr>
          <w:rFonts w:hint="eastAsia" w:ascii="宋体" w:hAnsi="宋体" w:eastAsia="宋体" w:cs="宋体"/>
          <w:bCs/>
          <w:snapToGrid w:val="0"/>
          <w:color w:val="auto"/>
          <w:kern w:val="0"/>
          <w:szCs w:val="28"/>
          <w:highlight w:val="none"/>
        </w:rPr>
        <w:t xml:space="preserve"> 暂列金额由发包人掌握和使用。暂列金额项目若有发生，按第一章第三节“投标人须知正文”第</w:t>
      </w:r>
      <w:r>
        <w:rPr>
          <w:rFonts w:hint="eastAsia" w:ascii="宋体" w:hAnsi="宋体" w:eastAsia="宋体" w:cs="宋体"/>
          <w:b/>
          <w:snapToGrid w:val="0"/>
          <w:color w:val="auto"/>
          <w:kern w:val="0"/>
          <w:szCs w:val="28"/>
          <w:highlight w:val="none"/>
        </w:rPr>
        <w:t>8.6</w:t>
      </w:r>
      <w:r>
        <w:rPr>
          <w:rFonts w:hint="eastAsia" w:ascii="宋体" w:hAnsi="宋体" w:eastAsia="宋体" w:cs="宋体"/>
          <w:bCs/>
          <w:snapToGrid w:val="0"/>
          <w:color w:val="auto"/>
          <w:kern w:val="0"/>
          <w:szCs w:val="28"/>
          <w:highlight w:val="none"/>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234DC1C6">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2.3.8</w:t>
      </w:r>
      <w:r>
        <w:rPr>
          <w:rFonts w:hint="eastAsia" w:ascii="宋体" w:hAnsi="宋体" w:eastAsia="宋体" w:cs="宋体"/>
          <w:bCs/>
          <w:snapToGrid w:val="0"/>
          <w:color w:val="auto"/>
          <w:kern w:val="0"/>
          <w:szCs w:val="28"/>
          <w:highlight w:val="none"/>
        </w:rPr>
        <w:t xml:space="preserve"> 预算包干费按照广东省建设工程计价依据（2018)有关规定执行。本招标项目的预算包干内容包括：</w:t>
      </w:r>
      <w:r>
        <w:rPr>
          <w:rFonts w:hint="eastAsia" w:ascii="宋体" w:hAnsi="宋体" w:eastAsia="宋体" w:cs="宋体"/>
          <w:bCs/>
          <w:snapToGrid w:val="0"/>
          <w:color w:val="auto"/>
          <w:kern w:val="0"/>
          <w:szCs w:val="28"/>
          <w:highlight w:val="none"/>
          <w:u w:val="single"/>
        </w:rPr>
        <w:t xml:space="preserve">施工雨水污水的排除；因地形（场地）影响造成的场内料具二次运输；工程用水加压措施；施工场地材料场地的整理；工程成品的保护；施工中的临时停水停电；基础埋深2米以内挖土方的塌方；日间照明施工增加费；完工后的场地清理等  </w:t>
      </w:r>
      <w:r>
        <w:rPr>
          <w:rFonts w:hint="eastAsia" w:ascii="宋体" w:hAnsi="宋体" w:eastAsia="宋体" w:cs="宋体"/>
          <w:bCs/>
          <w:snapToGrid w:val="0"/>
          <w:color w:val="auto"/>
          <w:kern w:val="0"/>
          <w:szCs w:val="28"/>
          <w:highlight w:val="none"/>
        </w:rPr>
        <w:t>。对于以上预算包干内容，承包人不得提出额外付款或延长工期等要求。</w:t>
      </w:r>
      <w:r>
        <w:rPr>
          <w:rFonts w:hint="eastAsia" w:ascii="宋体" w:hAnsi="宋体" w:eastAsia="宋体" w:cs="宋体"/>
          <w:snapToGrid w:val="0"/>
          <w:color w:val="auto"/>
          <w:kern w:val="0"/>
          <w:szCs w:val="24"/>
          <w:highlight w:val="none"/>
        </w:rPr>
        <w:t>对此类要求，发包人不作任何考虑及答复</w:t>
      </w:r>
      <w:r>
        <w:rPr>
          <w:rFonts w:hint="eastAsia" w:ascii="宋体" w:hAnsi="宋体" w:eastAsia="宋体" w:cs="宋体"/>
          <w:bCs/>
          <w:snapToGrid w:val="0"/>
          <w:color w:val="auto"/>
          <w:kern w:val="0"/>
          <w:szCs w:val="28"/>
          <w:highlight w:val="none"/>
        </w:rPr>
        <w:t>。</w:t>
      </w:r>
    </w:p>
    <w:p w14:paraId="0D575BAE">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snapToGrid w:val="0"/>
          <w:color w:val="auto"/>
          <w:kern w:val="0"/>
          <w:szCs w:val="28"/>
          <w:highlight w:val="none"/>
        </w:rPr>
        <w:t>2.3.9</w:t>
      </w:r>
      <w:r>
        <w:rPr>
          <w:rFonts w:hint="eastAsia" w:ascii="宋体" w:hAnsi="宋体" w:eastAsia="宋体" w:cs="宋体"/>
          <w:bCs/>
          <w:snapToGrid w:val="0"/>
          <w:color w:val="auto"/>
          <w:kern w:val="0"/>
          <w:szCs w:val="28"/>
          <w:highlight w:val="none"/>
        </w:rPr>
        <w:t xml:space="preserve"> 其余事项（如不可抗力、索赔、现场签证等）的调整原则按照《建设工程工程量清单计价规范》（GB50500—2013）有关规定执行。 </w:t>
      </w:r>
    </w:p>
    <w:p w14:paraId="654EFDF2">
      <w:pPr>
        <w:wordWrap w:val="0"/>
        <w:adjustRightInd w:val="0"/>
        <w:snapToGrid w:val="0"/>
        <w:spacing w:line="440" w:lineRule="exact"/>
        <w:ind w:firstLine="560"/>
        <w:rPr>
          <w:rFonts w:hint="eastAsia" w:ascii="宋体" w:hAnsi="宋体" w:eastAsia="宋体" w:cs="宋体"/>
          <w:b/>
          <w:snapToGrid w:val="0"/>
          <w:color w:val="auto"/>
          <w:kern w:val="0"/>
          <w:szCs w:val="28"/>
          <w:highlight w:val="none"/>
        </w:rPr>
      </w:pPr>
      <w:r>
        <w:rPr>
          <w:rFonts w:hint="eastAsia" w:ascii="宋体" w:hAnsi="宋体" w:eastAsia="宋体" w:cs="宋体"/>
          <w:b/>
          <w:bCs/>
          <w:snapToGrid w:val="0"/>
          <w:color w:val="auto"/>
          <w:kern w:val="0"/>
          <w:szCs w:val="24"/>
          <w:highlight w:val="none"/>
        </w:rPr>
        <w:t>2.4</w:t>
      </w:r>
      <w:r>
        <w:rPr>
          <w:rFonts w:hint="eastAsia" w:ascii="宋体" w:hAnsi="宋体" w:eastAsia="宋体" w:cs="宋体"/>
          <w:snapToGrid w:val="0"/>
          <w:color w:val="auto"/>
          <w:kern w:val="0"/>
          <w:szCs w:val="24"/>
          <w:highlight w:val="none"/>
        </w:rPr>
        <w:t xml:space="preserve"> 凡将引起合同价款调增的事项，承包人必须于拟实施14天前，将详细的报价书（含拟实施项目名称、变更部位、理由、预计造价等）报监理单位审核和发包人批准后方可实施。</w:t>
      </w:r>
      <w:bookmarkStart w:id="215" w:name="_Hlt112206782"/>
      <w:bookmarkEnd w:id="215"/>
    </w:p>
    <w:p w14:paraId="6B80A0AB">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2.5</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人不得以不完全了解现场情况为理由，提出额外付款或延长工期等要求。对此类要求，发包人不作任何考虑及答复。</w:t>
      </w:r>
    </w:p>
    <w:p w14:paraId="4A3C50FC">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2.6</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人已标价工程量清单中漏报、错报或少报的清单项目，其价格均视为已经包含在其它清单项目中，竣工结算时不得重新组价和调整。</w:t>
      </w:r>
    </w:p>
    <w:p w14:paraId="178A1E07">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2.7</w:t>
      </w:r>
      <w:r>
        <w:rPr>
          <w:rFonts w:hint="eastAsia" w:ascii="宋体" w:hAnsi="宋体" w:eastAsia="宋体" w:cs="宋体"/>
          <w:snapToGrid w:val="0"/>
          <w:color w:val="auto"/>
          <w:kern w:val="0"/>
          <w:szCs w:val="24"/>
          <w:highlight w:val="none"/>
        </w:rPr>
        <w:t xml:space="preserve"> 项目完工后，发、承包双方和受其委托具备相应资质的工程造价咨询单位必须按照《建设工程工程量清单计价规范》（GB50500—2013）和国家、省、市的有关规定办理竣工结算。</w:t>
      </w:r>
    </w:p>
    <w:p w14:paraId="242E8211">
      <w:pPr>
        <w:wordWrap w:val="0"/>
        <w:adjustRightInd w:val="0"/>
        <w:snapToGrid w:val="0"/>
        <w:spacing w:line="360" w:lineRule="auto"/>
        <w:ind w:firstLine="56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2.8</w:t>
      </w:r>
      <w:r>
        <w:rPr>
          <w:rFonts w:hint="eastAsia" w:ascii="宋体" w:hAnsi="宋体" w:eastAsia="宋体" w:cs="宋体"/>
          <w:snapToGrid w:val="0"/>
          <w:color w:val="auto"/>
          <w:kern w:val="0"/>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5883F03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rPr>
      </w:pPr>
      <w:r>
        <w:rPr>
          <w:rFonts w:hint="eastAsia"/>
          <w:b/>
          <w:bCs/>
          <w:lang w:val="en-US" w:eastAsia="zh-CN"/>
        </w:rPr>
        <w:t>2.9</w:t>
      </w:r>
      <w:r>
        <w:rPr>
          <w:rFonts w:hint="eastAsia"/>
          <w:lang w:val="en-US" w:eastAsia="zh-CN"/>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的，则采用厂商报价或市场询价等方式取得有合法依据的市场价格，报发包人确认。</w:t>
      </w:r>
    </w:p>
    <w:p w14:paraId="64A4040C">
      <w:pPr>
        <w:wordWrap w:val="0"/>
        <w:adjustRightInd w:val="0"/>
        <w:snapToGrid w:val="0"/>
        <w:spacing w:line="440" w:lineRule="exact"/>
        <w:ind w:firstLine="560"/>
        <w:rPr>
          <w:rFonts w:hint="eastAsia" w:ascii="宋体" w:hAnsi="宋体" w:eastAsia="宋体" w:cs="宋体"/>
          <w:snapToGrid w:val="0"/>
          <w:color w:val="auto"/>
          <w:kern w:val="0"/>
          <w:szCs w:val="24"/>
          <w:highlight w:val="none"/>
        </w:rPr>
      </w:pPr>
    </w:p>
    <w:bookmarkEnd w:id="211"/>
    <w:bookmarkEnd w:id="212"/>
    <w:bookmarkEnd w:id="213"/>
    <w:bookmarkEnd w:id="214"/>
    <w:p w14:paraId="3C741F45">
      <w:pPr>
        <w:pStyle w:val="5"/>
        <w:bidi w:val="0"/>
        <w:spacing w:line="360" w:lineRule="auto"/>
        <w:ind w:firstLine="964"/>
        <w:rPr>
          <w:rFonts w:hint="eastAsia" w:ascii="宋体" w:hAnsi="宋体" w:eastAsia="宋体" w:cs="宋体"/>
          <w:color w:val="auto"/>
        </w:rPr>
      </w:pPr>
      <w:bookmarkStart w:id="216" w:name="_Toc14683"/>
      <w:bookmarkStart w:id="217" w:name="_Toc108200417"/>
      <w:bookmarkStart w:id="218" w:name="_Toc26653"/>
      <w:r>
        <w:rPr>
          <w:rFonts w:hint="eastAsia" w:ascii="宋体" w:hAnsi="宋体" w:eastAsia="宋体" w:cs="宋体"/>
          <w:color w:val="auto"/>
        </w:rPr>
        <w:t>3. 工程付款办法</w:t>
      </w:r>
      <w:bookmarkEnd w:id="216"/>
      <w:bookmarkEnd w:id="217"/>
      <w:bookmarkEnd w:id="218"/>
    </w:p>
    <w:p w14:paraId="1B1EC90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3.1</w:t>
      </w:r>
      <w:r>
        <w:rPr>
          <w:rFonts w:hint="eastAsia" w:ascii="宋体" w:hAnsi="宋体" w:eastAsia="宋体" w:cs="宋体"/>
          <w:snapToGrid w:val="0"/>
          <w:color w:val="auto"/>
          <w:kern w:val="0"/>
          <w:highlight w:val="none"/>
        </w:rPr>
        <w:t xml:space="preserve"> 本招标项目</w:t>
      </w:r>
      <w:r>
        <w:rPr>
          <w:rFonts w:hint="eastAsia" w:ascii="宋体" w:hAnsi="宋体" w:eastAsia="宋体" w:cs="宋体"/>
          <w:snapToGrid w:val="0"/>
          <w:color w:val="auto"/>
          <w:kern w:val="0"/>
          <w:highlight w:val="none"/>
          <w:u w:val="single"/>
        </w:rPr>
        <w:t xml:space="preserve"> 支付 </w:t>
      </w:r>
      <w:r>
        <w:rPr>
          <w:rFonts w:hint="eastAsia" w:ascii="宋体" w:hAnsi="宋体" w:eastAsia="宋体" w:cs="宋体"/>
          <w:snapToGrid w:val="0"/>
          <w:color w:val="auto"/>
          <w:kern w:val="0"/>
          <w:highlight w:val="none"/>
        </w:rPr>
        <w:t>施工预付款。</w:t>
      </w:r>
    </w:p>
    <w:p w14:paraId="177FE19B">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w:t>
      </w:r>
      <w:r>
        <w:rPr>
          <w:rFonts w:hint="eastAsia" w:ascii="宋体" w:hAnsi="宋体" w:eastAsia="宋体" w:cs="宋体"/>
          <w:snapToGrid w:val="0"/>
          <w:color w:val="auto"/>
          <w:kern w:val="0"/>
          <w:highlight w:val="none"/>
        </w:rPr>
        <w:t xml:space="preserve"> 施工预付款必须专用于合同工程，并按以下原则支付和抵扣：</w:t>
      </w:r>
    </w:p>
    <w:p w14:paraId="363E4E48">
      <w:pPr>
        <w:wordWrap w:val="0"/>
        <w:adjustRightInd w:val="0"/>
        <w:snapToGrid w:val="0"/>
        <w:spacing w:line="360" w:lineRule="auto"/>
        <w:ind w:firstLine="482" w:firstLineChars="200"/>
        <w:rPr>
          <w:rFonts w:hint="eastAsia" w:ascii="宋体" w:hAnsi="宋体" w:eastAsia="宋体" w:cs="宋体"/>
          <w:i/>
          <w:iCs/>
          <w:snapToGrid w:val="0"/>
          <w:color w:val="auto"/>
          <w:kern w:val="0"/>
          <w:highlight w:val="none"/>
        </w:rPr>
      </w:pPr>
      <w:r>
        <w:rPr>
          <w:rFonts w:hint="eastAsia" w:ascii="宋体" w:hAnsi="宋体" w:eastAsia="宋体" w:cs="宋体"/>
          <w:b/>
          <w:bCs/>
          <w:snapToGrid w:val="0"/>
          <w:color w:val="auto"/>
          <w:kern w:val="0"/>
          <w:szCs w:val="24"/>
          <w:highlight w:val="none"/>
        </w:rPr>
        <w:t>3.2.1</w:t>
      </w:r>
      <w:r>
        <w:rPr>
          <w:rFonts w:hint="eastAsia" w:ascii="宋体" w:hAnsi="宋体" w:eastAsia="宋体" w:cs="宋体"/>
          <w:snapToGrid w:val="0"/>
          <w:color w:val="auto"/>
          <w:kern w:val="0"/>
          <w:highlight w:val="none"/>
        </w:rPr>
        <w:t xml:space="preserve"> 施工预付款支付比例为：按施工合同价（暂列金额除外）的</w:t>
      </w:r>
      <w:r>
        <w:rPr>
          <w:rFonts w:hint="eastAsia" w:ascii="宋体" w:hAnsi="宋体" w:eastAsia="宋体" w:cs="宋体"/>
          <w:snapToGrid w:val="0"/>
          <w:color w:val="auto"/>
          <w:kern w:val="0"/>
          <w:highlight w:val="none"/>
          <w:u w:val="single"/>
        </w:rPr>
        <w:t xml:space="preserve"> 30% </w:t>
      </w:r>
      <w:r>
        <w:rPr>
          <w:rFonts w:hint="eastAsia" w:ascii="宋体" w:hAnsi="宋体" w:eastAsia="宋体" w:cs="宋体"/>
          <w:snapToGrid w:val="0"/>
          <w:color w:val="auto"/>
          <w:kern w:val="0"/>
          <w:highlight w:val="none"/>
        </w:rPr>
        <w:t>支付。</w:t>
      </w:r>
    </w:p>
    <w:p w14:paraId="3FB2C3B5">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3.2.2</w:t>
      </w:r>
      <w:r>
        <w:rPr>
          <w:rFonts w:hint="eastAsia" w:ascii="宋体" w:hAnsi="宋体" w:eastAsia="宋体" w:cs="宋体"/>
          <w:snapToGrid w:val="0"/>
          <w:color w:val="auto"/>
          <w:kern w:val="0"/>
          <w:highlight w:val="none"/>
        </w:rPr>
        <w:t xml:space="preserve"> 本招标项目</w:t>
      </w:r>
      <w:r>
        <w:rPr>
          <w:rFonts w:hint="eastAsia" w:ascii="宋体" w:hAnsi="宋体" w:eastAsia="宋体" w:cs="宋体"/>
          <w:snapToGrid w:val="0"/>
          <w:color w:val="auto"/>
          <w:kern w:val="0"/>
          <w:highlight w:val="none"/>
          <w:u w:val="single"/>
        </w:rPr>
        <w:t xml:space="preserve"> 要求 </w:t>
      </w:r>
      <w:r>
        <w:rPr>
          <w:rFonts w:hint="eastAsia" w:ascii="宋体" w:hAnsi="宋体" w:eastAsia="宋体" w:cs="宋体"/>
          <w:snapToGrid w:val="0"/>
          <w:color w:val="auto"/>
          <w:kern w:val="0"/>
          <w:highlight w:val="none"/>
        </w:rPr>
        <w:t>承包人提供与预付款等额的预付款保函。</w:t>
      </w:r>
    </w:p>
    <w:p w14:paraId="3A6D0437">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3.2.3</w:t>
      </w:r>
      <w:r>
        <w:rPr>
          <w:rFonts w:hint="eastAsia" w:ascii="宋体" w:hAnsi="宋体" w:eastAsia="宋体" w:cs="宋体"/>
          <w:snapToGrid w:val="0"/>
          <w:color w:val="auto"/>
          <w:kern w:val="0"/>
          <w:highlight w:val="none"/>
        </w:rPr>
        <w:t xml:space="preserve"> 承包人应在签订合同后，在提供符合要求的预付款保函或预付款保险及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4D3B6FD8">
      <w:pPr>
        <w:wordWrap w:val="0"/>
        <w:adjustRightInd w:val="0"/>
        <w:snapToGrid w:val="0"/>
        <w:spacing w:line="360" w:lineRule="auto"/>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szCs w:val="24"/>
          <w:highlight w:val="none"/>
        </w:rPr>
        <w:t>3.2.4</w:t>
      </w:r>
      <w:r>
        <w:rPr>
          <w:rFonts w:hint="eastAsia" w:ascii="宋体" w:hAnsi="宋体" w:eastAsia="宋体" w:cs="宋体"/>
          <w:snapToGrid w:val="0"/>
          <w:color w:val="auto"/>
          <w:kern w:val="0"/>
          <w:highlight w:val="none"/>
        </w:rPr>
        <w:t xml:space="preserve"> 预付款应从每支付期应支付给承包人的工程进度款中扣回，扣回比例为每月的工程进度款的30%，直到扣回的金额达到合同约定的预付款金额为止。如因建设工期短导致工程已完工而预付款尚未扣清的，尚未扣清的预付款余额在竣工初步验收合格后当期应支付的工程款项中一次性扣清。</w:t>
      </w:r>
    </w:p>
    <w:p w14:paraId="468398EA">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3.3</w:t>
      </w:r>
      <w:r>
        <w:rPr>
          <w:rFonts w:hint="eastAsia" w:ascii="宋体" w:hAnsi="宋体" w:eastAsia="宋体" w:cs="宋体"/>
          <w:snapToGrid w:val="0"/>
          <w:color w:val="auto"/>
          <w:kern w:val="0"/>
          <w:highlight w:val="none"/>
        </w:rPr>
        <w:t xml:space="preserve"> 施工过程中按月支付工程进度款：承包人每月按工程实际完成工程量（含变更及增加工程）申报，承包人必须将《已完成工程量报表》和《工程付款申请书》于当月26日前报监理单位核实。经监理单位审核、发包人审定后的工程进度款（指已经按照合同约定，扣除该支付期内因承包人违约而应扣除的管理费），于申报次月支付。</w:t>
      </w:r>
    </w:p>
    <w:p w14:paraId="5E11716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3.4</w:t>
      </w:r>
      <w:r>
        <w:rPr>
          <w:rFonts w:hint="eastAsia" w:ascii="宋体" w:hAnsi="宋体" w:eastAsia="宋体" w:cs="宋体"/>
          <w:snapToGrid w:val="0"/>
          <w:color w:val="auto"/>
          <w:kern w:val="0"/>
          <w:highlight w:val="none"/>
        </w:rPr>
        <w:t xml:space="preserve"> 每月的工程进度款按工程实际完成工程量的80%支付，工程进度款中的作业工人工资款项由发包人单独足额拨付到承包人的工资专户。</w:t>
      </w:r>
    </w:p>
    <w:p w14:paraId="5EED34DA">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3.5</w:t>
      </w:r>
      <w:r>
        <w:rPr>
          <w:rFonts w:hint="eastAsia" w:ascii="宋体" w:hAnsi="宋体" w:eastAsia="宋体" w:cs="宋体"/>
          <w:snapToGrid w:val="0"/>
          <w:color w:val="auto"/>
          <w:kern w:val="0"/>
          <w:highlight w:val="none"/>
        </w:rPr>
        <w:t xml:space="preserve"> 措施项目费中的“绿色施工安全防护措施费”拨付按照《广东省建设工程计价依据（2018）》执行，按照项目所在地的建设行政主管部门有关规定支付。发生一般事故及以上等级重大安全事故的，发包人可扣除承包人金额相当于所有“绿色施工安全防护措施费”的工程管理费。</w:t>
      </w:r>
    </w:p>
    <w:p w14:paraId="438CDD20">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3.6</w:t>
      </w:r>
      <w:r>
        <w:rPr>
          <w:rFonts w:hint="eastAsia" w:ascii="宋体" w:hAnsi="宋体" w:eastAsia="宋体" w:cs="宋体"/>
          <w:snapToGrid w:val="0"/>
          <w:color w:val="auto"/>
          <w:kern w:val="0"/>
          <w:highlight w:val="none"/>
        </w:rPr>
        <w:t xml:space="preserve"> 变更工程造价必须经监理单位核实，并经发包人核定后方可支付。</w:t>
      </w:r>
    </w:p>
    <w:p w14:paraId="7E4948C4">
      <w:pPr>
        <w:wordWrap w:val="0"/>
        <w:adjustRightInd w:val="0"/>
        <w:snapToGrid w:val="0"/>
        <w:spacing w:line="360" w:lineRule="auto"/>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szCs w:val="24"/>
          <w:highlight w:val="none"/>
        </w:rPr>
        <w:t>3.7</w:t>
      </w:r>
      <w:r>
        <w:rPr>
          <w:rFonts w:hint="eastAsia" w:ascii="宋体" w:hAnsi="宋体" w:eastAsia="宋体" w:cs="宋体"/>
          <w:snapToGrid w:val="0"/>
          <w:color w:val="auto"/>
          <w:kern w:val="0"/>
          <w:highlight w:val="none"/>
        </w:rPr>
        <w:t xml:space="preserve"> 结算审核完成后，于次月支付至</w:t>
      </w:r>
      <w:r>
        <w:rPr>
          <w:rFonts w:hint="eastAsia" w:ascii="宋体" w:hAnsi="宋体" w:eastAsia="宋体" w:cs="宋体"/>
          <w:snapToGrid w:val="0"/>
          <w:color w:val="auto"/>
          <w:kern w:val="0"/>
          <w:highlight w:val="none"/>
          <w:lang w:val="en-US" w:eastAsia="zh-CN"/>
        </w:rPr>
        <w:t>结算</w:t>
      </w:r>
      <w:r>
        <w:rPr>
          <w:rFonts w:hint="eastAsia" w:ascii="宋体" w:hAnsi="宋体" w:eastAsia="宋体" w:cs="宋体"/>
          <w:snapToGrid w:val="0"/>
          <w:color w:val="auto"/>
          <w:kern w:val="0"/>
          <w:highlight w:val="none"/>
        </w:rPr>
        <w:t>价的97%，剩余3%转为质量保证金；承包人提交了等额</w:t>
      </w:r>
      <w:r>
        <w:rPr>
          <w:rFonts w:hint="eastAsia" w:ascii="宋体" w:hAnsi="宋体" w:eastAsia="宋体" w:cs="宋体"/>
          <w:bCs/>
          <w:snapToGrid w:val="0"/>
          <w:color w:val="auto"/>
          <w:kern w:val="0"/>
          <w:highlight w:val="none"/>
        </w:rPr>
        <w:t>质量保证担保或质量保证保险的，于次月一次性结清</w:t>
      </w:r>
      <w:r>
        <w:rPr>
          <w:rFonts w:hint="eastAsia" w:ascii="宋体" w:hAnsi="宋体" w:eastAsia="宋体" w:cs="宋体"/>
          <w:bCs/>
          <w:snapToGrid w:val="0"/>
          <w:color w:val="auto"/>
          <w:kern w:val="0"/>
          <w:highlight w:val="none"/>
          <w:lang w:val="en-US" w:eastAsia="zh-CN"/>
        </w:rPr>
        <w:t>结算</w:t>
      </w:r>
      <w:r>
        <w:rPr>
          <w:rFonts w:hint="eastAsia" w:ascii="宋体" w:hAnsi="宋体" w:eastAsia="宋体" w:cs="宋体"/>
          <w:bCs/>
          <w:snapToGrid w:val="0"/>
          <w:color w:val="auto"/>
          <w:kern w:val="0"/>
          <w:highlight w:val="none"/>
        </w:rPr>
        <w:t>价。</w:t>
      </w:r>
    </w:p>
    <w:p w14:paraId="6119B4B1">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snapToGrid w:val="0"/>
          <w:color w:val="auto"/>
          <w:kern w:val="0"/>
          <w:highlight w:val="none"/>
        </w:rPr>
        <w:t>3.8</w:t>
      </w:r>
      <w:r>
        <w:rPr>
          <w:rFonts w:hint="eastAsia" w:ascii="宋体" w:hAnsi="宋体" w:eastAsia="宋体" w:cs="宋体"/>
          <w:bCs/>
          <w:snapToGrid w:val="0"/>
          <w:color w:val="auto"/>
          <w:kern w:val="0"/>
          <w:highlight w:val="none"/>
        </w:rPr>
        <w:t xml:space="preserve"> 本招标项目缺陷责任期为</w:t>
      </w:r>
      <w:r>
        <w:rPr>
          <w:rFonts w:hint="eastAsia" w:ascii="宋体" w:hAnsi="宋体" w:eastAsia="宋体" w:cs="宋体"/>
          <w:bCs/>
          <w:snapToGrid w:val="0"/>
          <w:color w:val="auto"/>
          <w:kern w:val="0"/>
          <w:highlight w:val="none"/>
          <w:u w:val="single"/>
        </w:rPr>
        <w:t xml:space="preserve"> </w:t>
      </w:r>
      <w:r>
        <w:rPr>
          <w:rFonts w:hint="eastAsia" w:hAnsi="宋体" w:cs="宋体"/>
          <w:bCs/>
          <w:snapToGrid w:val="0"/>
          <w:color w:val="auto"/>
          <w:kern w:val="0"/>
          <w:highlight w:val="none"/>
          <w:u w:val="single"/>
          <w:lang w:val="en-US" w:eastAsia="zh-CN"/>
        </w:rPr>
        <w:t>2</w:t>
      </w:r>
      <w:r>
        <w:rPr>
          <w:rFonts w:hint="eastAsia" w:ascii="宋体" w:hAnsi="宋体" w:eastAsia="宋体" w:cs="宋体"/>
          <w:bCs/>
          <w:snapToGrid w:val="0"/>
          <w:color w:val="auto"/>
          <w:kern w:val="0"/>
          <w:highlight w:val="none"/>
          <w:u w:val="single"/>
        </w:rPr>
        <w:t xml:space="preserve"> </w:t>
      </w:r>
      <w:r>
        <w:rPr>
          <w:rFonts w:hint="eastAsia" w:ascii="宋体" w:hAnsi="宋体" w:eastAsia="宋体" w:cs="宋体"/>
          <w:bCs/>
          <w:snapToGrid w:val="0"/>
          <w:color w:val="auto"/>
          <w:kern w:val="0"/>
          <w:highlight w:val="none"/>
        </w:rPr>
        <w:t>年（自通过竣工验收之日起计）。</w:t>
      </w:r>
      <w:r>
        <w:rPr>
          <w:rFonts w:hint="eastAsia" w:ascii="宋体" w:hAnsi="宋体" w:eastAsia="宋体" w:cs="宋体"/>
          <w:snapToGrid w:val="0"/>
          <w:color w:val="auto"/>
          <w:kern w:val="0"/>
          <w:highlight w:val="none"/>
        </w:rPr>
        <w:t>缺陷责任期到期后，承包人向发包人申请退还质量保证。发包人收到退还申请后，于14天内会同承包人进行核实。经双方核实且均无异议后，发包人在核实之日起</w:t>
      </w:r>
      <w:r>
        <w:rPr>
          <w:rFonts w:hint="eastAsia" w:ascii="宋体" w:hAnsi="宋体" w:eastAsia="宋体" w:cs="宋体"/>
          <w:snapToGrid w:val="0"/>
          <w:color w:val="auto"/>
          <w:kern w:val="0"/>
          <w:highlight w:val="none"/>
          <w:u w:val="single"/>
        </w:rPr>
        <w:t xml:space="preserve"> 14 </w:t>
      </w:r>
      <w:r>
        <w:rPr>
          <w:rFonts w:hint="eastAsia" w:ascii="宋体" w:hAnsi="宋体" w:eastAsia="宋体" w:cs="宋体"/>
          <w:snapToGrid w:val="0"/>
          <w:color w:val="auto"/>
          <w:kern w:val="0"/>
          <w:highlight w:val="none"/>
        </w:rPr>
        <w:t>天内将应返保证金（或银行保函）退还承包人。</w:t>
      </w:r>
    </w:p>
    <w:p w14:paraId="62316C52">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3.9</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发包人每次支付工程款前，承包人均应提供有效的增值税专用发票。如果承包人无法提供符合要求的发票，由此造成的相应损失由承包人承担。</w:t>
      </w:r>
      <w:r>
        <w:rPr>
          <w:rFonts w:hint="eastAsia" w:ascii="宋体" w:hAnsi="宋体" w:eastAsia="宋体" w:cs="宋体"/>
          <w:snapToGrid w:val="0"/>
          <w:color w:val="auto"/>
          <w:kern w:val="0"/>
          <w:highlight w:val="none"/>
        </w:rPr>
        <w:t>所有工程款均以市财政局审核价款支付为准。</w:t>
      </w:r>
    </w:p>
    <w:p w14:paraId="20E6A714">
      <w:pPr>
        <w:wordWrap w:val="0"/>
        <w:adjustRightInd w:val="0"/>
        <w:snapToGrid w:val="0"/>
        <w:spacing w:line="36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3.10</w:t>
      </w:r>
      <w:r>
        <w:rPr>
          <w:rFonts w:hint="eastAsia" w:ascii="宋体" w:hAnsi="宋体" w:eastAsia="宋体" w:cs="宋体"/>
          <w:snapToGrid w:val="0"/>
          <w:color w:val="auto"/>
          <w:kern w:val="0"/>
          <w:szCs w:val="24"/>
          <w:highlight w:val="none"/>
        </w:rPr>
        <w:t xml:space="preserve"> 暂列金额支付方式：</w:t>
      </w:r>
      <w:r>
        <w:rPr>
          <w:rFonts w:hint="eastAsia" w:ascii="宋体" w:hAnsi="宋体" w:eastAsia="宋体" w:cs="宋体"/>
          <w:color w:val="auto"/>
          <w:sz w:val="24"/>
          <w:szCs w:val="24"/>
          <w:u w:val="single"/>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90％，其余部分待结算完成审核后支付至97%，剩余3%为工程质量保修金</w:t>
      </w:r>
      <w:r>
        <w:rPr>
          <w:rFonts w:hint="eastAsia" w:ascii="宋体" w:hAnsi="宋体" w:eastAsia="宋体" w:cs="宋体"/>
          <w:snapToGrid w:val="0"/>
          <w:color w:val="auto"/>
          <w:kern w:val="0"/>
          <w:szCs w:val="24"/>
          <w:highlight w:val="none"/>
          <w:u w:val="single"/>
        </w:rPr>
        <w:t>。</w:t>
      </w:r>
    </w:p>
    <w:p w14:paraId="5FD57214">
      <w:pPr>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snapToGrid w:val="0"/>
          <w:color w:val="auto"/>
          <w:kern w:val="0"/>
          <w:szCs w:val="24"/>
          <w:highlight w:val="none"/>
        </w:rPr>
        <w:t>3.11</w:t>
      </w:r>
      <w:r>
        <w:rPr>
          <w:rFonts w:hint="eastAsia" w:ascii="宋体" w:hAnsi="宋体" w:eastAsia="宋体" w:cs="宋体"/>
          <w:color w:val="auto"/>
          <w:sz w:val="24"/>
          <w:szCs w:val="24"/>
        </w:rPr>
        <w:t>材料暂估价、专业工程暂估价支付方式：</w:t>
      </w:r>
      <w:r>
        <w:rPr>
          <w:rFonts w:hint="eastAsia" w:ascii="宋体" w:hAnsi="宋体" w:eastAsia="宋体" w:cs="宋体"/>
          <w:color w:val="auto"/>
          <w:sz w:val="24"/>
          <w:szCs w:val="24"/>
          <w:u w:val="single"/>
        </w:rPr>
        <w:t xml:space="preserve"> 材料暂估价、专业工程暂估价与每个月的工程进度款一并报送，但需要列明详细项目内容，该部分材料暂估价、专业工程暂估价按该部分实际完成工程量的50%支付，剩余部分结算完成后支付至97%，剩余3%为工程质量保修金</w:t>
      </w:r>
      <w:r>
        <w:rPr>
          <w:rFonts w:hint="eastAsia" w:ascii="宋体" w:hAnsi="宋体" w:eastAsia="宋体" w:cs="宋体"/>
          <w:color w:val="auto"/>
          <w:sz w:val="24"/>
          <w:szCs w:val="24"/>
        </w:rPr>
        <w:t>。</w:t>
      </w:r>
    </w:p>
    <w:p w14:paraId="4942194A">
      <w:pPr>
        <w:wordWrap w:val="0"/>
        <w:adjustRightInd w:val="0"/>
        <w:snapToGrid w:val="0"/>
        <w:spacing w:line="360" w:lineRule="auto"/>
        <w:ind w:firstLine="482" w:firstLineChars="200"/>
        <w:rPr>
          <w:rFonts w:hint="eastAsia" w:ascii="宋体" w:hAnsi="宋体" w:eastAsia="宋体" w:cs="宋体"/>
          <w:b/>
          <w:bCs/>
          <w:snapToGrid w:val="0"/>
          <w:color w:val="auto"/>
          <w:kern w:val="0"/>
          <w:szCs w:val="24"/>
          <w:highlight w:val="none"/>
        </w:rPr>
      </w:pPr>
    </w:p>
    <w:p w14:paraId="7284979A">
      <w:pPr>
        <w:wordWrap w:val="0"/>
        <w:adjustRightInd w:val="0"/>
        <w:snapToGrid w:val="0"/>
        <w:spacing w:line="36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kern w:val="0"/>
          <w:sz w:val="24"/>
          <w:lang w:val="en-US" w:eastAsia="zh-CN" w:bidi="ar-SA"/>
        </w:rPr>
        <w:t>4．</w:t>
      </w:r>
      <w:r>
        <w:rPr>
          <w:rFonts w:hint="eastAsia" w:hAnsi="宋体" w:cs="宋体"/>
          <w:b/>
          <w:kern w:val="0"/>
          <w:sz w:val="24"/>
          <w:lang w:val="en-US" w:eastAsia="zh-CN" w:bidi="ar-SA"/>
        </w:rPr>
        <w:t>其他</w:t>
      </w:r>
      <w:r>
        <w:rPr>
          <w:rFonts w:hint="eastAsia" w:ascii="宋体" w:hAnsi="宋体" w:eastAsia="宋体" w:cs="宋体"/>
          <w:b/>
          <w:kern w:val="0"/>
          <w:sz w:val="24"/>
          <w:lang w:val="en-US" w:eastAsia="zh-CN" w:bidi="ar-SA"/>
        </w:rPr>
        <w:t>专用合同条款</w:t>
      </w:r>
      <w:r>
        <w:rPr>
          <w:rFonts w:hint="eastAsia" w:ascii="宋体" w:hAnsi="宋体" w:eastAsia="宋体" w:cs="宋体"/>
          <w:snapToGrid w:val="0"/>
          <w:color w:val="auto"/>
          <w:kern w:val="0"/>
          <w:szCs w:val="24"/>
          <w:highlight w:val="none"/>
        </w:rPr>
        <w:t>（由招标人根据本工程实际情况和地方政策与中标人自行协商签定相关专用合同条款。）</w:t>
      </w:r>
    </w:p>
    <w:bookmarkEnd w:id="186"/>
    <w:bookmarkEnd w:id="187"/>
    <w:p w14:paraId="45A6E9B5">
      <w:pPr>
        <w:pStyle w:val="5"/>
        <w:bidi w:val="0"/>
        <w:spacing w:line="360" w:lineRule="auto"/>
        <w:ind w:firstLine="964"/>
        <w:rPr>
          <w:rFonts w:hint="eastAsia" w:ascii="宋体" w:hAnsi="宋体" w:eastAsia="宋体" w:cs="Times New Roman"/>
          <w:highlight w:val="none"/>
        </w:rPr>
      </w:pPr>
      <w:bookmarkStart w:id="219" w:name="_Toc9642"/>
      <w:bookmarkStart w:id="220" w:name="_Toc21669"/>
      <w:bookmarkStart w:id="221" w:name="_Hlt69698796"/>
      <w:r>
        <w:rPr>
          <w:rFonts w:hint="eastAsia" w:cs="Times New Roman"/>
          <w:highlight w:val="none"/>
          <w:lang w:val="en-US" w:eastAsia="zh-CN"/>
        </w:rPr>
        <w:t>4.1.</w:t>
      </w:r>
      <w:r>
        <w:rPr>
          <w:rFonts w:hint="eastAsia" w:ascii="宋体" w:hAnsi="宋体" w:eastAsia="宋体" w:cs="Times New Roman"/>
          <w:highlight w:val="none"/>
        </w:rPr>
        <w:t>专业工程分包</w:t>
      </w:r>
      <w:bookmarkEnd w:id="219"/>
    </w:p>
    <w:p w14:paraId="26F894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snapToGrid w:val="0"/>
          <w:color w:val="auto"/>
          <w:kern w:val="0"/>
          <w:highlight w:val="none"/>
        </w:rPr>
        <w:t>合同范围内的工程未经发包人同意一律不得分包，一经发现，取消承包人的承包资格，由此引起的一切经济损失和法律责任由承包人自行承担。若有专业工程必须分包的，</w:t>
      </w:r>
      <w:r>
        <w:rPr>
          <w:rFonts w:hint="eastAsia" w:hAnsi="宋体" w:cs="宋体"/>
          <w:snapToGrid w:val="0"/>
          <w:color w:val="auto"/>
          <w:kern w:val="0"/>
          <w:highlight w:val="none"/>
          <w:lang w:val="en-US" w:eastAsia="zh-CN"/>
        </w:rPr>
        <w:t>中标人必须发包给具备相应资质的专业分包人，</w:t>
      </w:r>
      <w:r>
        <w:rPr>
          <w:rFonts w:hint="eastAsia" w:ascii="宋体" w:hAnsi="宋体" w:eastAsia="宋体" w:cs="宋体"/>
          <w:snapToGrid w:val="0"/>
          <w:color w:val="auto"/>
          <w:kern w:val="0"/>
          <w:highlight w:val="none"/>
        </w:rPr>
        <w:t>发包人不另行支付总包服务费；其分包合同由总包人与分包人双方签订，发包人不参与总包人与分包人之间的结算，该部分工程的造价仍按总包人与发包人签订的合同的有关条款进行结算。</w:t>
      </w:r>
    </w:p>
    <w:p w14:paraId="02BAA101">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2" w:name="_Toc4288"/>
      <w:bookmarkStart w:id="223" w:name="_Toc23958"/>
      <w:r>
        <w:rPr>
          <w:rFonts w:hint="eastAsia" w:ascii="宋体" w:hAnsi="宋体" w:eastAsia="宋体" w:cs="宋体"/>
          <w:b/>
          <w:bCs w:val="0"/>
          <w:snapToGrid w:val="0"/>
          <w:color w:val="auto"/>
          <w:kern w:val="0"/>
          <w:sz w:val="24"/>
          <w:szCs w:val="24"/>
          <w:highlight w:val="none"/>
        </w:rPr>
        <w:t>4.2．工人工资支付专用账户</w:t>
      </w:r>
      <w:bookmarkEnd w:id="222"/>
      <w:bookmarkEnd w:id="223"/>
    </w:p>
    <w:p w14:paraId="7E6F3845">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4.2.1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6A379213">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4.2.2依据人力资源社会保障部等十部门印发的《工程建设领域农民工工资专用账户管理暂行办法》（人社部发〔2021〕53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69D2A93C">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号)及《韶关市工程建设领域农民工工资保证金管理实施细则》（韶法审〔2023〕19 号）规定执行。承包人在签订工程施工承包合同后一个月内必须办妥该事项，并将办妥回执交发包人。</w:t>
      </w:r>
    </w:p>
    <w:p w14:paraId="66127AD2">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w:t>
      </w:r>
    </w:p>
    <w:p w14:paraId="22A4A405">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4.2.3承包人应在工资专户开立后 2 个工作日内，将开户银行及其账号、开户协议等资料提交给发包人。 </w:t>
      </w:r>
    </w:p>
    <w:p w14:paraId="228E9080">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（1）用人单位应当在建设项目动工前，在建设项目所在地银行设立工人工资支付专用账户。 </w:t>
      </w:r>
    </w:p>
    <w:p w14:paraId="36349AAD">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（2）用人单位应当在用工之日起 15 日内为每一位工人办理个人银行账户。 </w:t>
      </w:r>
    </w:p>
    <w:p w14:paraId="6D962509">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（3）用人单位应当指定专人负责建设项目施工现场台账管理，真实、准确记录工人名册、劳务合同、劳动合同、工程进度、工时台账、劳务承包款和工人工资支付等信息，并保存两年以上备查。 </w:t>
      </w:r>
    </w:p>
    <w:p w14:paraId="4280CB65">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用人单位应当按照“及时支付，按实结算”的原则，在规定日期前通过银行工人工资支付专用账户将工人工资直接支付到工人的个人银行账户，并按月将工人工资支付明细表报施工总承包单位和建设单位备案。用人单位未建立、保存用工管理台账，或者伪造相关台账的，按照《广东省劳动保障监察条例》第五十条的规定，由人力资源社会保障部门责令改正，并可处以二千元以上二万元以下的人民币罚款。</w:t>
      </w:r>
    </w:p>
    <w:p w14:paraId="78F0296A">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rPr>
        <w:t>4.2.</w:t>
      </w:r>
      <w:r>
        <w:rPr>
          <w:rFonts w:hint="eastAsia" w:ascii="宋体" w:hAnsi="宋体" w:cs="宋体"/>
          <w:b w:val="0"/>
          <w:bCs/>
          <w:snapToGrid w:val="0"/>
          <w:color w:val="auto"/>
          <w:kern w:val="0"/>
          <w:sz w:val="24"/>
          <w:szCs w:val="24"/>
          <w:highlight w:val="none"/>
          <w:lang w:val="en-US" w:eastAsia="zh-CN"/>
        </w:rPr>
        <w:t>4</w:t>
      </w:r>
      <w:r>
        <w:rPr>
          <w:rFonts w:hint="eastAsia" w:ascii="宋体" w:hAnsi="宋体" w:eastAsia="宋体" w:cs="宋体"/>
          <w:b w:val="0"/>
          <w:bCs/>
          <w:snapToGrid w:val="0"/>
          <w:color w:val="auto"/>
          <w:kern w:val="0"/>
          <w:sz w:val="24"/>
          <w:szCs w:val="24"/>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76F9C53F">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4.2.5承包人必须依照各相关规定做好工人工资支付保证金、工人工资支付专用账户、用工实名制管理工作。</w:t>
      </w:r>
    </w:p>
    <w:p w14:paraId="70726BDC">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（1）施工预付款中已包括施工合同价的5%专用于承包人办理工人工资支付保证金，承包人必须于合同签订后5个工作日内办理完成保证金缴交或免缴手续。</w:t>
      </w:r>
    </w:p>
    <w:p w14:paraId="2E5E39E3">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2）承包人已依照相关规定开立工人工资支付专用账户，发包人支付工程进度款时，其中75%支付进入本合同协议书载明的承包人账户、其中25%支付进入本款载明的工人工资支付专用账户。承包人必须与所有聘用人员签订劳动合同，并按劳动合同约定每月足额通过专用账户发放工资，并按月将工资发放资料提交一份给发包人。</w:t>
      </w:r>
    </w:p>
    <w:p w14:paraId="5D515ECF">
      <w:pPr>
        <w:pStyle w:val="61"/>
        <w:spacing w:line="360" w:lineRule="auto"/>
        <w:ind w:firstLine="480" w:firstLineChars="200"/>
        <w:jc w:val="left"/>
        <w:rPr>
          <w:rFonts w:hint="default" w:ascii="宋体" w:hAnsi="宋体" w:eastAsia="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（3）承包人应在开工前编制用工实名管理专项方案以及费用使用计划，经监理单位审批后，作为施工合同的组成部分，并依照相关规定做好用工实名信息化管理。</w:t>
      </w:r>
    </w:p>
    <w:p w14:paraId="1392B673">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4" w:name="_Toc15476"/>
      <w:bookmarkStart w:id="225" w:name="_Toc21233"/>
      <w:r>
        <w:rPr>
          <w:rFonts w:hint="eastAsia" w:ascii="宋体" w:hAnsi="宋体" w:eastAsia="宋体" w:cs="宋体"/>
          <w:b/>
          <w:bCs w:val="0"/>
          <w:snapToGrid w:val="0"/>
          <w:color w:val="auto"/>
          <w:kern w:val="0"/>
          <w:sz w:val="24"/>
          <w:szCs w:val="24"/>
          <w:highlight w:val="none"/>
        </w:rPr>
        <w:t>4.3．诚信登记</w:t>
      </w:r>
      <w:bookmarkEnd w:id="224"/>
      <w:bookmarkEnd w:id="225"/>
    </w:p>
    <w:p w14:paraId="16AE5021">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bookmarkStart w:id="226" w:name="_Toc24195"/>
      <w:bookmarkStart w:id="227" w:name="_Toc30115"/>
      <w:r>
        <w:rPr>
          <w:rFonts w:hint="eastAsia" w:ascii="宋体" w:hAnsi="宋体" w:cs="宋体"/>
          <w:b w:val="0"/>
          <w:bCs/>
          <w:snapToGrid w:val="0"/>
          <w:color w:val="auto"/>
          <w:kern w:val="0"/>
          <w:sz w:val="24"/>
          <w:szCs w:val="24"/>
          <w:highlight w:val="none"/>
          <w:lang w:val="en-US" w:eastAsia="zh-CN"/>
        </w:rPr>
        <w:t>/</w:t>
      </w:r>
    </w:p>
    <w:p w14:paraId="37D0C190">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4.4．工期进度</w:t>
      </w:r>
      <w:bookmarkEnd w:id="226"/>
      <w:bookmarkEnd w:id="227"/>
    </w:p>
    <w:p w14:paraId="73D3A20E">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4.4.1本招标项目施工工期</w:t>
      </w:r>
      <w:r>
        <w:rPr>
          <w:rFonts w:hint="eastAsia" w:ascii="宋体" w:hAnsi="宋体" w:eastAsia="宋体" w:cs="宋体"/>
          <w:b w:val="0"/>
          <w:bCs/>
          <w:snapToGrid w:val="0"/>
          <w:color w:val="0000FF"/>
          <w:kern w:val="0"/>
          <w:sz w:val="24"/>
          <w:szCs w:val="24"/>
          <w:highlight w:val="none"/>
        </w:rPr>
        <w:t>为</w:t>
      </w:r>
      <w:r>
        <w:rPr>
          <w:rFonts w:hint="eastAsia" w:ascii="宋体" w:hAnsi="宋体" w:cs="宋体"/>
          <w:b w:val="0"/>
          <w:bCs/>
          <w:snapToGrid w:val="0"/>
          <w:color w:val="0000FF"/>
          <w:kern w:val="0"/>
          <w:sz w:val="24"/>
          <w:szCs w:val="24"/>
          <w:highlight w:val="none"/>
          <w:lang w:val="en-US" w:eastAsia="zh-CN"/>
        </w:rPr>
        <w:t>90</w:t>
      </w:r>
      <w:r>
        <w:rPr>
          <w:rFonts w:hint="eastAsia" w:ascii="宋体" w:hAnsi="宋体" w:eastAsia="宋体" w:cs="宋体"/>
          <w:b w:val="0"/>
          <w:bCs/>
          <w:snapToGrid w:val="0"/>
          <w:color w:val="0000FF"/>
          <w:kern w:val="0"/>
          <w:sz w:val="24"/>
          <w:szCs w:val="24"/>
          <w:highlight w:val="none"/>
        </w:rPr>
        <w:t>个日</w:t>
      </w:r>
      <w:r>
        <w:rPr>
          <w:rFonts w:hint="eastAsia" w:ascii="宋体" w:hAnsi="宋体" w:eastAsia="宋体" w:cs="宋体"/>
          <w:b w:val="0"/>
          <w:bCs/>
          <w:snapToGrid w:val="0"/>
          <w:color w:val="auto"/>
          <w:kern w:val="0"/>
          <w:sz w:val="24"/>
          <w:szCs w:val="24"/>
          <w:highlight w:val="none"/>
        </w:rPr>
        <w:t>历天，承包人必须在招标工期内完成招标范围内的全部内容。</w:t>
      </w:r>
    </w:p>
    <w:p w14:paraId="4EC5742C">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4.4.2 施工工期从承包人收到监理单位签发的开工令之日起计，至竣工验收合格之日止。</w:t>
      </w:r>
    </w:p>
    <w:p w14:paraId="3ADBB02F">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4.2.3工期奖罚</w:t>
      </w:r>
    </w:p>
    <w:p w14:paraId="684E4667">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□竣工验收合格交付使用每提前/天竣工；奖/元，奖励金额不超过合同价款的%（一般为 2%～5%）且不超过/万元。 </w:t>
      </w:r>
    </w:p>
    <w:p w14:paraId="6BF7763A">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☑按施工合同期约定，因承包人原因每延误1天竣工，罚</w:t>
      </w:r>
      <w:r>
        <w:rPr>
          <w:rFonts w:hint="eastAsia" w:ascii="宋体" w:hAnsi="宋体" w:cs="宋体"/>
          <w:b w:val="0"/>
          <w:bCs/>
          <w:snapToGrid w:val="0"/>
          <w:color w:val="auto"/>
          <w:kern w:val="0"/>
          <w:sz w:val="24"/>
          <w:szCs w:val="24"/>
          <w:highlight w:val="none"/>
          <w:lang w:val="en-US" w:eastAsia="zh-CN"/>
        </w:rPr>
        <w:t>5000.00</w:t>
      </w:r>
      <w:r>
        <w:rPr>
          <w:rFonts w:hint="eastAsia" w:ascii="宋体" w:hAnsi="宋体" w:eastAsia="宋体" w:cs="宋体"/>
          <w:b w:val="0"/>
          <w:bCs/>
          <w:snapToGrid w:val="0"/>
          <w:color w:val="auto"/>
          <w:kern w:val="0"/>
          <w:sz w:val="24"/>
          <w:szCs w:val="24"/>
          <w:highlight w:val="none"/>
        </w:rPr>
        <w:t xml:space="preserve">元。 </w:t>
      </w:r>
    </w:p>
    <w:p w14:paraId="1FF5955E">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□按施工合同期约定，因承包人原因延误工期</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天内不处罚，自第</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天起每延误</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天竣工, 罚</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元。处罚金额不超过合同价款的 %（一般为 2%～5%）且不超过</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万元，累计延误工期达到</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 xml:space="preserve">天，报请建设行政主管部门作不良行为记录，非承包方原因或不可抗力造成延误的除外。 </w:t>
      </w:r>
    </w:p>
    <w:p w14:paraId="6F097F2A">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□其它说明：/</w:t>
      </w:r>
    </w:p>
    <w:p w14:paraId="173B0935">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8" w:name="_Toc21648"/>
      <w:bookmarkStart w:id="229" w:name="_Toc16363"/>
      <w:r>
        <w:rPr>
          <w:rFonts w:hint="eastAsia" w:ascii="宋体" w:hAnsi="宋体" w:eastAsia="宋体" w:cs="宋体"/>
          <w:b/>
          <w:bCs w:val="0"/>
          <w:snapToGrid w:val="0"/>
          <w:color w:val="auto"/>
          <w:kern w:val="0"/>
          <w:sz w:val="24"/>
          <w:szCs w:val="24"/>
          <w:highlight w:val="none"/>
        </w:rPr>
        <w:t>4.5．项目管理机构</w:t>
      </w:r>
      <w:bookmarkEnd w:id="228"/>
      <w:bookmarkEnd w:id="229"/>
    </w:p>
    <w:p w14:paraId="05C98E8E">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4.5.1 承包人派驻的项目管理班子成员必须为其投标文件确定的人员，否则发包人有权终止合同。</w:t>
      </w:r>
    </w:p>
    <w:p w14:paraId="77C16B10">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4.5.2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2007AE05">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lang w:val="en-US" w:eastAsia="zh-CN"/>
        </w:rPr>
      </w:pPr>
      <w:r>
        <w:rPr>
          <w:rFonts w:hint="eastAsia" w:hAnsi="宋体" w:cs="宋体"/>
          <w:b w:val="0"/>
          <w:bCs/>
          <w:snapToGrid w:val="0"/>
          <w:color w:val="auto"/>
          <w:kern w:val="0"/>
          <w:sz w:val="24"/>
          <w:szCs w:val="24"/>
          <w:highlight w:val="none"/>
          <w:lang w:val="en-US" w:eastAsia="zh-CN"/>
        </w:rPr>
        <w:t>4.5.3根据项目实施进度情况，发包人有权要求承包人增派项目管理人员，以满足项目的现场管理工作要求。</w:t>
      </w:r>
    </w:p>
    <w:p w14:paraId="76DE293F">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30" w:name="_Toc16233"/>
      <w:bookmarkStart w:id="231" w:name="_Toc21811"/>
      <w:r>
        <w:rPr>
          <w:rFonts w:hint="eastAsia" w:ascii="宋体" w:hAnsi="宋体" w:eastAsia="宋体" w:cs="宋体"/>
          <w:b/>
          <w:bCs w:val="0"/>
          <w:snapToGrid w:val="0"/>
          <w:color w:val="auto"/>
          <w:kern w:val="0"/>
          <w:sz w:val="24"/>
          <w:szCs w:val="24"/>
          <w:highlight w:val="none"/>
        </w:rPr>
        <w:t>4.6．现场管理</w:t>
      </w:r>
      <w:bookmarkEnd w:id="230"/>
      <w:bookmarkEnd w:id="231"/>
    </w:p>
    <w:p w14:paraId="4CE15584">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4.61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660CEC5F">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4.6.2 承包人应按安全施工有关规定，采取严格、科学的安全防护措施，确保施工和人员（包括第三者）的安全，承担由于自身安全防护措施不力所造成的安全事故责任和发生的费用。</w:t>
      </w:r>
    </w:p>
    <w:p w14:paraId="5F022E7F">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4.6.3 为保证施工现场的环境卫生，承包人在本招标项目施工过程中，所有的车辆必须按发包人规定的行车路线行驶。</w:t>
      </w:r>
    </w:p>
    <w:p w14:paraId="04A6992E">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32" w:name="_Toc1176"/>
      <w:bookmarkStart w:id="233" w:name="_Toc1442"/>
      <w:r>
        <w:rPr>
          <w:rFonts w:hint="eastAsia" w:ascii="宋体" w:hAnsi="宋体" w:eastAsia="宋体" w:cs="宋体"/>
          <w:b/>
          <w:bCs w:val="0"/>
          <w:snapToGrid w:val="0"/>
          <w:color w:val="auto"/>
          <w:kern w:val="0"/>
          <w:sz w:val="24"/>
          <w:szCs w:val="24"/>
          <w:highlight w:val="none"/>
        </w:rPr>
        <w:t>4.7．监督实施</w:t>
      </w:r>
      <w:bookmarkEnd w:id="232"/>
      <w:bookmarkEnd w:id="233"/>
    </w:p>
    <w:p w14:paraId="787304AD">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17785F14">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34" w:name="_Toc1485"/>
      <w:bookmarkStart w:id="235" w:name="_Toc5482"/>
      <w:r>
        <w:rPr>
          <w:rFonts w:hint="eastAsia" w:ascii="宋体" w:hAnsi="宋体" w:eastAsia="宋体" w:cs="宋体"/>
          <w:b/>
          <w:bCs w:val="0"/>
          <w:snapToGrid w:val="0"/>
          <w:color w:val="auto"/>
          <w:kern w:val="0"/>
          <w:sz w:val="24"/>
          <w:szCs w:val="24"/>
          <w:highlight w:val="none"/>
        </w:rPr>
        <w:t>4.8．主材的采购和使用</w:t>
      </w:r>
      <w:bookmarkEnd w:id="234"/>
      <w:bookmarkEnd w:id="235"/>
    </w:p>
    <w:p w14:paraId="5B600D05">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1A10AFB0">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36" w:name="_Toc27130"/>
      <w:bookmarkStart w:id="237" w:name="_Toc11557"/>
      <w:r>
        <w:rPr>
          <w:rFonts w:hint="eastAsia" w:ascii="宋体" w:hAnsi="宋体" w:eastAsia="宋体" w:cs="宋体"/>
          <w:b/>
          <w:bCs w:val="0"/>
          <w:snapToGrid w:val="0"/>
          <w:color w:val="auto"/>
          <w:kern w:val="0"/>
          <w:sz w:val="24"/>
          <w:szCs w:val="24"/>
          <w:highlight w:val="none"/>
        </w:rPr>
        <w:t>4.9</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竣工资料移交</w:t>
      </w:r>
      <w:bookmarkEnd w:id="236"/>
      <w:bookmarkEnd w:id="237"/>
    </w:p>
    <w:p w14:paraId="0391DD2D">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项目竣工验收时，承包人应向监理单位和发包人提供符合国家档案部门备案要求的，编制成册的竣工图及有关的技术档案资料（含声像档案）一式</w:t>
      </w:r>
      <w:r>
        <w:rPr>
          <w:rFonts w:hint="eastAsia" w:ascii="宋体" w:hAnsi="宋体" w:eastAsia="宋体" w:cs="宋体"/>
          <w:b w:val="0"/>
          <w:bCs/>
          <w:snapToGrid w:val="0"/>
          <w:color w:val="auto"/>
          <w:kern w:val="0"/>
          <w:sz w:val="24"/>
          <w:szCs w:val="24"/>
          <w:highlight w:val="none"/>
          <w:u w:val="single"/>
        </w:rPr>
        <w:t>八</w:t>
      </w:r>
      <w:r>
        <w:rPr>
          <w:rFonts w:hint="eastAsia" w:ascii="宋体" w:hAnsi="宋体" w:eastAsia="宋体" w:cs="宋体"/>
          <w:b w:val="0"/>
          <w:bCs/>
          <w:snapToGrid w:val="0"/>
          <w:color w:val="auto"/>
          <w:kern w:val="0"/>
          <w:sz w:val="24"/>
          <w:szCs w:val="24"/>
          <w:highlight w:val="none"/>
        </w:rPr>
        <w:t>份。</w:t>
      </w:r>
    </w:p>
    <w:p w14:paraId="58030BB3">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38" w:name="_Toc20949"/>
      <w:bookmarkStart w:id="239" w:name="_Toc14292"/>
      <w:r>
        <w:rPr>
          <w:rFonts w:hint="eastAsia" w:ascii="宋体" w:hAnsi="宋体" w:eastAsia="宋体" w:cs="宋体"/>
          <w:b/>
          <w:bCs w:val="0"/>
          <w:snapToGrid w:val="0"/>
          <w:color w:val="auto"/>
          <w:kern w:val="0"/>
          <w:sz w:val="24"/>
          <w:szCs w:val="24"/>
          <w:highlight w:val="none"/>
        </w:rPr>
        <w:t>4.10</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质量保证</w:t>
      </w:r>
      <w:bookmarkEnd w:id="238"/>
      <w:bookmarkEnd w:id="239"/>
    </w:p>
    <w:p w14:paraId="61AA83F6">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4.10.1 本招标项目缺陷责任期为</w:t>
      </w:r>
      <w:r>
        <w:rPr>
          <w:rFonts w:hint="eastAsia" w:ascii="宋体" w:hAnsi="宋体" w:eastAsia="宋体" w:cs="宋体"/>
          <w:b/>
          <w:bCs w:val="0"/>
          <w:snapToGrid w:val="0"/>
          <w:color w:val="auto"/>
          <w:kern w:val="0"/>
          <w:sz w:val="24"/>
          <w:szCs w:val="24"/>
          <w:highlight w:val="none"/>
          <w:u w:val="single"/>
        </w:rPr>
        <w:t>2</w:t>
      </w:r>
      <w:r>
        <w:rPr>
          <w:rFonts w:hint="eastAsia" w:ascii="宋体" w:hAnsi="宋体" w:eastAsia="宋体" w:cs="宋体"/>
          <w:b/>
          <w:bCs w:val="0"/>
          <w:snapToGrid w:val="0"/>
          <w:color w:val="auto"/>
          <w:kern w:val="0"/>
          <w:sz w:val="24"/>
          <w:szCs w:val="24"/>
          <w:highlight w:val="none"/>
        </w:rPr>
        <w:t>年</w:t>
      </w:r>
      <w:r>
        <w:rPr>
          <w:rFonts w:hint="eastAsia" w:ascii="宋体" w:hAnsi="宋体" w:eastAsia="宋体" w:cs="宋体"/>
          <w:b w:val="0"/>
          <w:bCs/>
          <w:snapToGrid w:val="0"/>
          <w:color w:val="auto"/>
          <w:kern w:val="0"/>
          <w:sz w:val="24"/>
          <w:szCs w:val="24"/>
          <w:highlight w:val="none"/>
        </w:rPr>
        <w:t>（自通过竣工验收之日起计），在此期间预留金额为结算价</w:t>
      </w:r>
      <w:r>
        <w:rPr>
          <w:rFonts w:hint="eastAsia" w:ascii="宋体" w:hAnsi="宋体" w:eastAsia="宋体" w:cs="宋体"/>
          <w:b/>
          <w:bCs w:val="0"/>
          <w:snapToGrid w:val="0"/>
          <w:color w:val="auto"/>
          <w:kern w:val="0"/>
          <w:sz w:val="24"/>
          <w:szCs w:val="24"/>
          <w:highlight w:val="none"/>
          <w:u w:val="single"/>
        </w:rPr>
        <w:t>3%</w:t>
      </w:r>
      <w:r>
        <w:rPr>
          <w:rFonts w:hint="eastAsia" w:ascii="宋体" w:hAnsi="宋体" w:eastAsia="宋体" w:cs="宋体"/>
          <w:b w:val="0"/>
          <w:bCs/>
          <w:snapToGrid w:val="0"/>
          <w:color w:val="auto"/>
          <w:kern w:val="0"/>
          <w:sz w:val="24"/>
          <w:szCs w:val="24"/>
          <w:highlight w:val="none"/>
        </w:rPr>
        <w:t>的质量保证。</w:t>
      </w:r>
    </w:p>
    <w:p w14:paraId="5AA75137">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4.10.2 质量保证的形式：质量保证的形式包括质量保证金、质量保证担保、质量保证保险三种，由承包人自主选择。</w:t>
      </w:r>
    </w:p>
    <w:p w14:paraId="61B048F2">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（1）采用质量保证金形式的，在结清审定总造价时一次性扣留相应金额作为质量保证金。</w:t>
      </w:r>
    </w:p>
    <w:p w14:paraId="699B0C2B">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lang w:val="en-US" w:eastAsia="zh-CN"/>
        </w:rPr>
        <w:t>（2）采用质量保证担保或质量保证保险的，承包人应在竣工验收时向发包人提交有效的商业保函、银行保函或保险合同（或保险单）原件，商业保函、银行保函或保险合同（或保险单）的有效期不得短于缺陷责任期</w:t>
      </w:r>
      <w:r>
        <w:rPr>
          <w:rFonts w:hint="eastAsia" w:ascii="宋体" w:hAnsi="宋体" w:eastAsia="宋体" w:cs="宋体"/>
          <w:b w:val="0"/>
          <w:bCs/>
          <w:snapToGrid w:val="0"/>
          <w:color w:val="auto"/>
          <w:kern w:val="0"/>
          <w:sz w:val="24"/>
          <w:szCs w:val="24"/>
          <w:highlight w:val="none"/>
        </w:rPr>
        <w:t>。</w:t>
      </w:r>
    </w:p>
    <w:p w14:paraId="043079F2">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4.10.3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7561FBE5">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由他人原因造成的缺陷，发包人负责组织维修，承包人不承担费用，且发包人不得从质量保证中扣除费用。</w:t>
      </w:r>
    </w:p>
    <w:p w14:paraId="49F06170">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4.10.4 缺陷责任期内，承包人应认真履行合同约定的责任。缺陷责任期到期后，承包人向发包人申请退还质量保证，发包人应按照《建设工程质量保证金管理办法》有关规定将质量保证退还给承包人。</w:t>
      </w:r>
    </w:p>
    <w:p w14:paraId="5D4566EB">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bookmarkStart w:id="240" w:name="_Toc211"/>
      <w:bookmarkStart w:id="241" w:name="_Toc9682"/>
      <w:r>
        <w:rPr>
          <w:rFonts w:hint="eastAsia" w:ascii="宋体" w:hAnsi="宋体" w:eastAsia="宋体" w:cs="宋体"/>
          <w:b/>
          <w:bCs w:val="0"/>
          <w:snapToGrid w:val="0"/>
          <w:color w:val="auto"/>
          <w:kern w:val="0"/>
          <w:sz w:val="24"/>
          <w:szCs w:val="24"/>
          <w:highlight w:val="none"/>
        </w:rPr>
        <w:t>4.11</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不良行为处理</w:t>
      </w:r>
      <w:bookmarkEnd w:id="240"/>
      <w:bookmarkEnd w:id="241"/>
    </w:p>
    <w:p w14:paraId="727E98BE">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及其有关人员有下列行为之一的，发包人应及时向建设行政主管部门报告。除按照有关法律、法规进行处罚外，不良行为将计入企业及有关个人诚信档案，并在韶关市住房和城乡建设管理局网站（http://zgj.sg.gov.cn）公示。</w:t>
      </w:r>
    </w:p>
    <w:p w14:paraId="0EBC2B08">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（1）转包、违法分包或违反投标承诺分包工程的；</w:t>
      </w:r>
    </w:p>
    <w:p w14:paraId="51BCD840">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（2）非原参加投标中标的项目经理负责组织施工或在实施过程中擅自更换项目经理的、项目的其他主要管理人员与中标文件确定的人员不相符的；</w:t>
      </w:r>
    </w:p>
    <w:p w14:paraId="64FC89AA">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（3）投标文件确定的大型机械设备没有进入施工现场的；</w:t>
      </w:r>
    </w:p>
    <w:p w14:paraId="4118434C">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（4）与建设单位、监理单位串通，签认虚假工程量或工程造价的；</w:t>
      </w:r>
    </w:p>
    <w:p w14:paraId="7BB02833">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（5）项目经理施工现场管理不到位的；</w:t>
      </w:r>
    </w:p>
    <w:p w14:paraId="482CC3E3">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（6）项目经理在非本人资格证书注册单位从事工程项目施工管理的；</w:t>
      </w:r>
    </w:p>
    <w:p w14:paraId="38E65049">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（7）项目经理同时承担超过一项工程项目的；</w:t>
      </w:r>
    </w:p>
    <w:p w14:paraId="577CE277">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（8）违反有关法律、法规、规章规定的其它行为。</w:t>
      </w:r>
    </w:p>
    <w:p w14:paraId="452888BA">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42" w:name="_Toc16682"/>
      <w:bookmarkStart w:id="243" w:name="_Toc15004"/>
      <w:r>
        <w:rPr>
          <w:rFonts w:hint="eastAsia" w:ascii="宋体" w:hAnsi="宋体" w:eastAsia="宋体" w:cs="宋体"/>
          <w:b/>
          <w:bCs w:val="0"/>
          <w:snapToGrid w:val="0"/>
          <w:color w:val="auto"/>
          <w:kern w:val="0"/>
          <w:sz w:val="24"/>
          <w:szCs w:val="24"/>
          <w:highlight w:val="none"/>
        </w:rPr>
        <w:t>4.12</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信用评价条款内容</w:t>
      </w:r>
      <w:bookmarkEnd w:id="242"/>
      <w:bookmarkEnd w:id="243"/>
    </w:p>
    <w:p w14:paraId="49EBB793">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 </w:t>
      </w:r>
    </w:p>
    <w:p w14:paraId="4B6FC819">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cs="宋体"/>
          <w:b/>
          <w:bCs w:val="0"/>
          <w:snapToGrid w:val="0"/>
          <w:color w:val="auto"/>
          <w:kern w:val="0"/>
          <w:sz w:val="24"/>
          <w:szCs w:val="24"/>
          <w:highlight w:val="none"/>
          <w:lang w:val="en-US" w:eastAsia="zh-CN"/>
        </w:rPr>
        <w:t>4.13.</w:t>
      </w:r>
      <w:r>
        <w:rPr>
          <w:rFonts w:hint="eastAsia" w:ascii="宋体" w:hAnsi="宋体" w:eastAsia="宋体" w:cs="宋体"/>
          <w:b w:val="0"/>
          <w:bCs/>
          <w:snapToGrid w:val="0"/>
          <w:color w:val="auto"/>
          <w:kern w:val="0"/>
          <w:sz w:val="24"/>
          <w:szCs w:val="24"/>
          <w:highlight w:val="none"/>
        </w:rPr>
        <w:t>危险性较大的分部分项工程安全管理约定。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w:t>
      </w:r>
    </w:p>
    <w:p w14:paraId="16F5D20F">
      <w:pPr>
        <w:pStyle w:val="61"/>
        <w:spacing w:line="360" w:lineRule="auto"/>
        <w:ind w:firstLine="480" w:firstLineChars="200"/>
        <w:jc w:val="left"/>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67A68337">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14.</w:t>
      </w:r>
      <w:r>
        <w:rPr>
          <w:rFonts w:hint="eastAsia" w:ascii="宋体" w:hAnsi="宋体" w:eastAsia="宋体" w:cs="宋体"/>
          <w:b w:val="0"/>
          <w:bCs/>
          <w:snapToGrid w:val="0"/>
          <w:color w:val="auto"/>
          <w:kern w:val="0"/>
          <w:sz w:val="24"/>
          <w:szCs w:val="24"/>
          <w:highlight w:val="none"/>
        </w:rPr>
        <w:t>承包人在工程实施过程中，按照国家、省、市的相关规定制定相关的专项安全施工方案（如高支模、基坑支护、沉井等），编制专项施工方案报监理人、招标人审批后方可开展专项工程的施工。</w:t>
      </w:r>
    </w:p>
    <w:p w14:paraId="16730DE3">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5.</w:t>
      </w:r>
      <w:r>
        <w:rPr>
          <w:rFonts w:hint="eastAsia" w:ascii="宋体" w:hAnsi="宋体" w:eastAsia="宋体" w:cs="宋体"/>
          <w:b w:val="0"/>
          <w:bCs/>
          <w:snapToGrid w:val="0"/>
          <w:color w:val="auto"/>
          <w:kern w:val="0"/>
          <w:sz w:val="24"/>
          <w:szCs w:val="24"/>
          <w:highlight w:val="none"/>
        </w:rPr>
        <w:t>中标人须按照《韶关市建筑垃圾管理条例》（2021年5月1日起施行），将弃土运至招标人指定的场所，否则招标人有权要求中标人无条件将弃土从违约弃土点运至招标人指定的场所并扣除违约金</w:t>
      </w:r>
      <w:r>
        <w:rPr>
          <w:rFonts w:hint="eastAsia" w:ascii="宋体" w:hAnsi="宋体" w:cs="宋体"/>
          <w:b w:val="0"/>
          <w:bCs/>
          <w:snapToGrid w:val="0"/>
          <w:color w:val="auto"/>
          <w:kern w:val="0"/>
          <w:sz w:val="24"/>
          <w:szCs w:val="24"/>
          <w:highlight w:val="none"/>
          <w:lang w:val="en-US" w:eastAsia="zh-CN"/>
        </w:rPr>
        <w:t>1</w:t>
      </w:r>
      <w:r>
        <w:rPr>
          <w:rFonts w:hint="eastAsia" w:ascii="宋体" w:hAnsi="宋体" w:eastAsia="宋体" w:cs="宋体"/>
          <w:b w:val="0"/>
          <w:bCs/>
          <w:snapToGrid w:val="0"/>
          <w:color w:val="auto"/>
          <w:kern w:val="0"/>
          <w:sz w:val="24"/>
          <w:szCs w:val="24"/>
          <w:highlight w:val="none"/>
        </w:rPr>
        <w:t>万元人民币/次。中标人对建筑垃圾须按《韶关市建筑垃圾管理条例》（2021年5月1日起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2EA7E69A">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6.</w:t>
      </w:r>
      <w:r>
        <w:rPr>
          <w:rFonts w:hint="eastAsia" w:ascii="宋体" w:hAnsi="宋体" w:eastAsia="宋体" w:cs="宋体"/>
          <w:b w:val="0"/>
          <w:bCs/>
          <w:snapToGrid w:val="0"/>
          <w:color w:val="auto"/>
          <w:kern w:val="0"/>
          <w:sz w:val="24"/>
          <w:szCs w:val="24"/>
          <w:highlight w:val="none"/>
        </w:rPr>
        <w:t>工程竣工验收后15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66B3A030">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17.</w:t>
      </w:r>
      <w:r>
        <w:rPr>
          <w:rFonts w:hint="eastAsia" w:ascii="宋体" w:hAnsi="宋体" w:eastAsia="宋体" w:cs="宋体"/>
          <w:b w:val="0"/>
          <w:bCs/>
          <w:snapToGrid w:val="0"/>
          <w:color w:val="auto"/>
          <w:kern w:val="0"/>
          <w:sz w:val="24"/>
          <w:szCs w:val="24"/>
          <w:highlight w:val="none"/>
        </w:rPr>
        <w:t xml:space="preserve">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6F1C04ED">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8.</w:t>
      </w:r>
      <w:r>
        <w:rPr>
          <w:rFonts w:hint="eastAsia" w:ascii="宋体" w:hAnsi="宋体" w:eastAsia="宋体" w:cs="宋体"/>
          <w:b/>
          <w:bCs w:val="0"/>
          <w:snapToGrid w:val="0"/>
          <w:color w:val="auto"/>
          <w:kern w:val="0"/>
          <w:sz w:val="24"/>
          <w:szCs w:val="24"/>
          <w:highlight w:val="none"/>
        </w:rPr>
        <w:t xml:space="preserve"> </w:t>
      </w:r>
      <w:r>
        <w:rPr>
          <w:rFonts w:hint="eastAsia" w:ascii="宋体" w:hAnsi="宋体" w:eastAsia="宋体" w:cs="宋体"/>
          <w:b w:val="0"/>
          <w:bCs/>
          <w:snapToGrid w:val="0"/>
          <w:color w:val="auto"/>
          <w:kern w:val="0"/>
          <w:sz w:val="24"/>
          <w:szCs w:val="24"/>
          <w:highlight w:val="none"/>
        </w:rPr>
        <w:t xml:space="preserve">承包人中标后必须按规定及时缴交工人工资保证金、环保噪声排污费等。 </w:t>
      </w:r>
    </w:p>
    <w:p w14:paraId="2F3602F4">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9.</w:t>
      </w:r>
      <w:r>
        <w:rPr>
          <w:rFonts w:hint="eastAsia" w:ascii="宋体" w:hAnsi="宋体" w:eastAsia="宋体" w:cs="宋体"/>
          <w:b w:val="0"/>
          <w:bCs/>
          <w:snapToGrid w:val="0"/>
          <w:color w:val="auto"/>
          <w:kern w:val="0"/>
          <w:sz w:val="24"/>
          <w:szCs w:val="24"/>
          <w:highlight w:val="none"/>
        </w:rPr>
        <w:t xml:space="preserve"> 工程质量保修期按《中华人民共和国建筑法》、《建设工程质量管理条例》等相关规定实施。 </w:t>
      </w:r>
    </w:p>
    <w:p w14:paraId="2BA97DD8">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20.</w:t>
      </w:r>
      <w:r>
        <w:rPr>
          <w:rFonts w:hint="eastAsia" w:ascii="宋体" w:hAnsi="宋体" w:eastAsia="宋体" w:cs="宋体"/>
          <w:b w:val="0"/>
          <w:bCs/>
          <w:snapToGrid w:val="0"/>
          <w:color w:val="auto"/>
          <w:kern w:val="0"/>
          <w:sz w:val="24"/>
          <w:szCs w:val="24"/>
          <w:highlight w:val="none"/>
        </w:rPr>
        <w:t xml:space="preserve"> 如项目实施过程中发生了工程变更及工程签证，承包人需根据发包人发布的 《工程变更管理办法》和《工程签证管理办法》完善工程变更签证相关程序。 </w:t>
      </w:r>
    </w:p>
    <w:p w14:paraId="7B208E69">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21.</w:t>
      </w:r>
      <w:r>
        <w:rPr>
          <w:rFonts w:hint="eastAsia" w:ascii="宋体" w:hAnsi="宋体" w:eastAsia="宋体" w:cs="宋体"/>
          <w:b w:val="0"/>
          <w:bCs/>
          <w:snapToGrid w:val="0"/>
          <w:color w:val="auto"/>
          <w:kern w:val="0"/>
          <w:sz w:val="24"/>
          <w:szCs w:val="24"/>
          <w:highlight w:val="none"/>
        </w:rPr>
        <w:t xml:space="preserve"> 承包人需按相关规定要求，设置本工程符合相关要求的永久性标牌及规划公示牌，投标人在投标报价时综合考虑在报价内，发包人不另行支付该部分费用。 </w:t>
      </w:r>
    </w:p>
    <w:p w14:paraId="4B437C1B">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4.2</w:t>
      </w:r>
      <w:r>
        <w:rPr>
          <w:rFonts w:hint="eastAsia" w:ascii="宋体" w:hAnsi="宋体" w:cs="宋体"/>
          <w:b/>
          <w:bCs w:val="0"/>
          <w:snapToGrid w:val="0"/>
          <w:color w:val="auto"/>
          <w:kern w:val="0"/>
          <w:sz w:val="24"/>
          <w:szCs w:val="24"/>
          <w:highlight w:val="none"/>
          <w:lang w:val="en-US" w:eastAsia="zh-CN"/>
        </w:rPr>
        <w:t>2.</w:t>
      </w:r>
      <w:r>
        <w:rPr>
          <w:rFonts w:hint="eastAsia" w:ascii="宋体" w:hAnsi="宋体" w:eastAsia="宋体" w:cs="宋体"/>
          <w:b/>
          <w:bCs w:val="0"/>
          <w:snapToGrid w:val="0"/>
          <w:color w:val="auto"/>
          <w:kern w:val="0"/>
          <w:sz w:val="24"/>
          <w:szCs w:val="24"/>
          <w:highlight w:val="none"/>
        </w:rPr>
        <w:t xml:space="preserve"> </w:t>
      </w:r>
      <w:r>
        <w:rPr>
          <w:rFonts w:hint="eastAsia" w:ascii="宋体" w:hAnsi="宋体" w:eastAsia="宋体" w:cs="宋体"/>
          <w:b w:val="0"/>
          <w:bCs/>
          <w:snapToGrid w:val="0"/>
          <w:color w:val="auto"/>
          <w:kern w:val="0"/>
          <w:sz w:val="24"/>
          <w:szCs w:val="24"/>
          <w:highlight w:val="none"/>
        </w:rPr>
        <w:t xml:space="preserve">承包人应在项目所在地住建管理部门办理诚信登记，发包人将严格按住建管理部门诚信登记管理办法对承包人履约情况进行考核。 </w:t>
      </w:r>
    </w:p>
    <w:p w14:paraId="75024C5C">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4.2</w:t>
      </w:r>
      <w:r>
        <w:rPr>
          <w:rFonts w:hint="eastAsia" w:ascii="宋体" w:hAnsi="宋体" w:cs="宋体"/>
          <w:b/>
          <w:bCs w:val="0"/>
          <w:snapToGrid w:val="0"/>
          <w:color w:val="auto"/>
          <w:kern w:val="0"/>
          <w:sz w:val="24"/>
          <w:szCs w:val="24"/>
          <w:highlight w:val="none"/>
          <w:lang w:val="en-US" w:eastAsia="zh-CN"/>
        </w:rPr>
        <w:t>3.</w:t>
      </w:r>
      <w:r>
        <w:rPr>
          <w:rFonts w:hint="eastAsia" w:ascii="宋体" w:hAnsi="宋体" w:eastAsia="宋体" w:cs="宋体"/>
          <w:b w:val="0"/>
          <w:bCs/>
          <w:snapToGrid w:val="0"/>
          <w:color w:val="auto"/>
          <w:kern w:val="0"/>
          <w:sz w:val="24"/>
          <w:szCs w:val="24"/>
          <w:highlight w:val="none"/>
        </w:rPr>
        <w:t xml:space="preserve"> 承包人应按韶关市住房和城乡建设管理局、韶关市人力资源和社会保障局等职能部门对用工实名制的相关规定,落实工人及相关软硬件设施要求。</w:t>
      </w:r>
    </w:p>
    <w:p w14:paraId="4FF90012">
      <w:pPr>
        <w:pStyle w:val="61"/>
        <w:spacing w:line="360" w:lineRule="auto"/>
        <w:ind w:firstLine="482"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4.2</w:t>
      </w:r>
      <w:r>
        <w:rPr>
          <w:rFonts w:hint="eastAsia" w:ascii="宋体" w:hAnsi="宋体" w:cs="宋体"/>
          <w:bCs/>
          <w:color w:val="auto"/>
          <w:sz w:val="24"/>
          <w:szCs w:val="24"/>
          <w:highlight w:val="none"/>
          <w:lang w:val="en-US" w:eastAsia="zh-CN"/>
        </w:rPr>
        <w:t>3.</w:t>
      </w:r>
      <w:r>
        <w:rPr>
          <w:rFonts w:hint="eastAsia" w:ascii="宋体" w:hAnsi="宋体" w:eastAsia="宋体" w:cs="宋体"/>
          <w:b w:val="0"/>
          <w:bCs w:val="0"/>
          <w:color w:val="auto"/>
          <w:sz w:val="24"/>
          <w:szCs w:val="24"/>
          <w:highlight w:val="none"/>
        </w:rPr>
        <w:t>根据乐昌市应急管理局《关于做好安全生产责任保险推广工作的通知》（乐安委办〔2020〕21号），安责险实施全覆盖的文件精神，投标单位须按照文件要求将项目安责险费用计入投标报价中。</w:t>
      </w:r>
    </w:p>
    <w:p w14:paraId="47D6778F">
      <w:pPr>
        <w:widowControl w:val="0"/>
        <w:numPr>
          <w:ilvl w:val="0"/>
          <w:numId w:val="0"/>
        </w:numPr>
        <w:spacing w:line="360" w:lineRule="auto"/>
        <w:jc w:val="both"/>
        <w:rPr>
          <w:rFonts w:hint="eastAsia" w:ascii="宋体" w:hAnsi="宋体" w:eastAsia="宋体" w:cs="宋体"/>
          <w:color w:val="auto"/>
          <w:highlight w:val="none"/>
          <w:lang w:eastAsia="zh-CN"/>
        </w:rPr>
      </w:pPr>
    </w:p>
    <w:p w14:paraId="15714797">
      <w:pPr>
        <w:pStyle w:val="11"/>
        <w:rPr>
          <w:rFonts w:hint="eastAsia" w:ascii="宋体" w:hAnsi="宋体" w:eastAsia="宋体" w:cs="宋体"/>
          <w:color w:val="auto"/>
          <w:highlight w:val="none"/>
          <w:lang w:eastAsia="zh-CN"/>
        </w:rPr>
      </w:pPr>
    </w:p>
    <w:p w14:paraId="67017B1D">
      <w:pPr>
        <w:rPr>
          <w:rFonts w:hint="eastAsia" w:ascii="宋体" w:hAnsi="宋体" w:eastAsia="宋体" w:cs="宋体"/>
          <w:color w:val="auto"/>
          <w:highlight w:val="none"/>
          <w:lang w:eastAsia="zh-CN"/>
        </w:rPr>
      </w:pPr>
    </w:p>
    <w:p w14:paraId="756F944E">
      <w:pPr>
        <w:pStyle w:val="11"/>
        <w:rPr>
          <w:rFonts w:hint="eastAsia" w:ascii="宋体" w:hAnsi="宋体" w:eastAsia="宋体" w:cs="宋体"/>
          <w:color w:val="auto"/>
          <w:highlight w:val="none"/>
          <w:lang w:eastAsia="zh-CN"/>
        </w:rPr>
      </w:pPr>
    </w:p>
    <w:p w14:paraId="1D864578">
      <w:pPr>
        <w:pStyle w:val="3"/>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bookmarkStart w:id="244" w:name="_Toc9687"/>
      <w:bookmarkStart w:id="245" w:name="_Toc3051"/>
    </w:p>
    <w:p w14:paraId="1FDDEDD4">
      <w:pPr>
        <w:pStyle w:val="3"/>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r>
        <w:rPr>
          <w:rFonts w:hint="eastAsia" w:ascii="宋体" w:hAnsi="宋体" w:eastAsia="宋体" w:cs="宋体"/>
          <w:b/>
          <w:snapToGrid w:val="0"/>
          <w:color w:val="auto"/>
          <w:sz w:val="24"/>
          <w:highlight w:val="none"/>
          <w:lang w:val="en-US" w:eastAsia="zh-CN"/>
        </w:rPr>
        <w:t>第四章</w:t>
      </w:r>
      <w:bookmarkStart w:id="246" w:name="_Hlt87793853"/>
      <w:bookmarkEnd w:id="246"/>
      <w:r>
        <w:rPr>
          <w:rFonts w:hint="eastAsia" w:ascii="宋体" w:hAnsi="宋体" w:eastAsia="宋体" w:cs="宋体"/>
          <w:b/>
          <w:snapToGrid w:val="0"/>
          <w:color w:val="auto"/>
          <w:sz w:val="24"/>
          <w:highlight w:val="none"/>
          <w:lang w:val="en-US" w:eastAsia="zh-CN"/>
        </w:rPr>
        <w:t xml:space="preserve"> 技术要求</w:t>
      </w:r>
      <w:bookmarkEnd w:id="220"/>
      <w:bookmarkEnd w:id="244"/>
      <w:bookmarkEnd w:id="245"/>
    </w:p>
    <w:bookmarkEnd w:id="221"/>
    <w:p w14:paraId="1C356AF4">
      <w:pPr>
        <w:pStyle w:val="5"/>
        <w:keepNext w:val="0"/>
        <w:keepLines w:val="0"/>
        <w:wordWrap w:val="0"/>
        <w:adjustRightInd w:val="0"/>
        <w:snapToGrid w:val="0"/>
        <w:spacing w:before="0" w:after="0" w:line="440" w:lineRule="exact"/>
        <w:ind w:left="643"/>
        <w:jc w:val="both"/>
        <w:rPr>
          <w:rFonts w:hint="eastAsia" w:ascii="宋体" w:hAnsi="宋体" w:eastAsia="宋体" w:cs="宋体"/>
          <w:b/>
          <w:snapToGrid w:val="0"/>
          <w:color w:val="auto"/>
          <w:kern w:val="0"/>
          <w:highlight w:val="none"/>
        </w:rPr>
      </w:pPr>
      <w:bookmarkStart w:id="247" w:name="_Hlt69265216"/>
      <w:bookmarkEnd w:id="247"/>
      <w:bookmarkStart w:id="248" w:name="_Hlt75685840"/>
      <w:bookmarkEnd w:id="248"/>
      <w:bookmarkStart w:id="249" w:name="_Hlt69116854"/>
      <w:bookmarkEnd w:id="249"/>
      <w:bookmarkStart w:id="250" w:name="_Hlt66104926"/>
      <w:bookmarkEnd w:id="250"/>
      <w:bookmarkStart w:id="251" w:name="_Hlt69359335"/>
      <w:bookmarkEnd w:id="251"/>
      <w:bookmarkStart w:id="252" w:name="_Hlt68774758"/>
      <w:bookmarkEnd w:id="252"/>
      <w:bookmarkStart w:id="253" w:name="_Hlt69358207"/>
      <w:bookmarkEnd w:id="253"/>
      <w:bookmarkStart w:id="254" w:name="_Hlt87793346"/>
      <w:bookmarkEnd w:id="254"/>
      <w:bookmarkStart w:id="255" w:name="_Hlt80411122"/>
      <w:bookmarkEnd w:id="255"/>
      <w:bookmarkStart w:id="256" w:name="_Hlt87793370"/>
      <w:bookmarkEnd w:id="256"/>
      <w:bookmarkStart w:id="257" w:name="_Hlt69357851"/>
      <w:bookmarkEnd w:id="257"/>
    </w:p>
    <w:p w14:paraId="6C015FA8">
      <w:pPr>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rPr>
        <w:t>1．房屋建筑工程建设项目</w:t>
      </w:r>
    </w:p>
    <w:p w14:paraId="5A28B94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bookmarkStart w:id="258" w:name="_Hlt69359086"/>
      <w:bookmarkEnd w:id="258"/>
      <w:bookmarkStart w:id="259" w:name="_Hlt69635252"/>
      <w:bookmarkEnd w:id="259"/>
      <w:bookmarkStart w:id="260" w:name="_Hlt69359245"/>
      <w:bookmarkEnd w:id="260"/>
      <w:bookmarkStart w:id="261" w:name="_Hlt69116858"/>
      <w:bookmarkEnd w:id="261"/>
      <w:bookmarkStart w:id="262" w:name="_Hlt78709799"/>
      <w:bookmarkEnd w:id="262"/>
      <w:bookmarkStart w:id="263" w:name="_Hlt69359243"/>
      <w:bookmarkEnd w:id="263"/>
      <w:bookmarkStart w:id="264" w:name="_Hlt69358458"/>
      <w:bookmarkEnd w:id="264"/>
      <w:r>
        <w:rPr>
          <w:rFonts w:hint="eastAsia" w:ascii="宋体" w:hAnsi="宋体" w:eastAsia="宋体" w:cs="宋体"/>
          <w:bCs/>
          <w:snapToGrid w:val="0"/>
          <w:color w:val="auto"/>
          <w:kern w:val="0"/>
          <w:highlight w:val="none"/>
        </w:rPr>
        <w:t>房屋建筑工程建设项目必须执行的现行技术规范，包括且不限于：</w:t>
      </w:r>
    </w:p>
    <w:p w14:paraId="3E247DA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（1）《建筑工程施工质量验收统一标准》；</w:t>
      </w:r>
    </w:p>
    <w:p w14:paraId="618E0ABE">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（2）《建筑地基基础工程施工质量验收规范》；</w:t>
      </w:r>
    </w:p>
    <w:p w14:paraId="62A0F845">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（3）《砌体工程施工质量验收规范》；</w:t>
      </w:r>
    </w:p>
    <w:p w14:paraId="78A72A1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（4）《混凝土结构工程施工质量验收规范》；</w:t>
      </w:r>
    </w:p>
    <w:p w14:paraId="1096890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（5）《屋面工程质量验收规范》；</w:t>
      </w:r>
    </w:p>
    <w:p w14:paraId="0EF868A5">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（6）《地下防水工程质量验收规范》；</w:t>
      </w:r>
    </w:p>
    <w:p w14:paraId="7B2CEA6B">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w:t>
      </w:r>
      <w:bookmarkStart w:id="265" w:name="_Hlt78795211"/>
      <w:bookmarkEnd w:id="265"/>
      <w:r>
        <w:rPr>
          <w:rFonts w:hint="eastAsia" w:ascii="宋体" w:hAnsi="宋体" w:eastAsia="宋体" w:cs="宋体"/>
          <w:bCs/>
          <w:snapToGrid w:val="0"/>
          <w:color w:val="auto"/>
          <w:kern w:val="0"/>
          <w:highlight w:val="none"/>
        </w:rPr>
        <w:t>《建筑地面工程施工质量验收规范》；</w:t>
      </w:r>
    </w:p>
    <w:p w14:paraId="0C5ED171">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（8）《建筑装饰装修工程施工质量验收规范》；</w:t>
      </w:r>
    </w:p>
    <w:p w14:paraId="34EA7A24">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（9）《建筑给排水及采暖工程施工质量验收规范》；</w:t>
      </w:r>
    </w:p>
    <w:p w14:paraId="3C9646B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（10）《建筑电气工程施工质量验收规范》；</w:t>
      </w:r>
    </w:p>
    <w:p w14:paraId="10E63477">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（11）《住建部绿色建筑评价标准》；</w:t>
      </w:r>
    </w:p>
    <w:p w14:paraId="0D84396C">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（12）《建筑节能与可再生能源利用通用规范》（GB55015-2021）；</w:t>
      </w:r>
    </w:p>
    <w:p w14:paraId="4651D76A">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（13）《建筑环境通用规范》；</w:t>
      </w:r>
    </w:p>
    <w:p w14:paraId="67E87FAD">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（14）《广东省住房和城乡建设厅绿色施工导则》；</w:t>
      </w:r>
    </w:p>
    <w:p w14:paraId="302139B7">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（15）《广东省建筑工程绿色施工评价标准》；</w:t>
      </w:r>
    </w:p>
    <w:p w14:paraId="0E90459D">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lang w:eastAsia="zh-CN"/>
        </w:rPr>
      </w:pPr>
      <w:r>
        <w:rPr>
          <w:rFonts w:hint="eastAsia" w:ascii="宋体" w:hAnsi="宋体" w:eastAsia="宋体" w:cs="宋体"/>
          <w:b w:val="0"/>
          <w:bCs/>
          <w:snapToGrid w:val="0"/>
          <w:color w:val="auto"/>
          <w:kern w:val="0"/>
          <w:highlight w:val="none"/>
        </w:rPr>
        <w:t>（16）《广东省建筑节能与绿色建筑工程施工质量验收规范》</w:t>
      </w:r>
      <w:r>
        <w:rPr>
          <w:rFonts w:hint="eastAsia" w:ascii="宋体" w:hAnsi="宋体" w:eastAsia="宋体" w:cs="宋体"/>
          <w:b w:val="0"/>
          <w:bCs/>
          <w:snapToGrid w:val="0"/>
          <w:color w:val="auto"/>
          <w:kern w:val="0"/>
          <w:highlight w:val="none"/>
          <w:lang w:eastAsia="zh-CN"/>
        </w:rPr>
        <w:t>；</w:t>
      </w:r>
    </w:p>
    <w:p w14:paraId="7B9D7E1F">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（17）其他现行国家、广东省关于房建工程的施工及验收规范、定额、规程、标准。</w:t>
      </w:r>
    </w:p>
    <w:p w14:paraId="5080BA8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p>
    <w:p w14:paraId="6E5E2588">
      <w:pPr>
        <w:wordWrap w:val="0"/>
        <w:adjustRightInd w:val="0"/>
        <w:snapToGrid w:val="0"/>
        <w:spacing w:line="440" w:lineRule="exact"/>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2．市政基础设施工程建设项目</w:t>
      </w:r>
    </w:p>
    <w:p w14:paraId="05651E09">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highlight w:val="none"/>
        </w:rPr>
        <w:t>市政基础设施工程建设项目必须执行的现行技术规范，包括且不限于：</w:t>
      </w:r>
    </w:p>
    <w:p w14:paraId="12F416B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szCs w:val="28"/>
          <w:highlight w:val="none"/>
        </w:rPr>
        <w:t>（1）《公路路基施工技术规范》</w:t>
      </w:r>
      <w:r>
        <w:rPr>
          <w:rFonts w:hint="eastAsia" w:ascii="宋体" w:hAnsi="宋体" w:eastAsia="宋体" w:cs="宋体"/>
          <w:bCs/>
          <w:snapToGrid w:val="0"/>
          <w:color w:val="auto"/>
          <w:kern w:val="0"/>
          <w:highlight w:val="none"/>
        </w:rPr>
        <w:t>；</w:t>
      </w:r>
    </w:p>
    <w:p w14:paraId="1BC4DB40">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（2）《市政道路工程质量检验评定标准》；</w:t>
      </w:r>
    </w:p>
    <w:p w14:paraId="27499BAF">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（3）《市政排水管渠工程质量检验评定标准》；</w:t>
      </w:r>
    </w:p>
    <w:p w14:paraId="5ED9B364">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（4）《给水排水管道工程施工及验收规范》；</w:t>
      </w:r>
    </w:p>
    <w:p w14:paraId="57256810">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（5）《城市道路路基工程施工及验收规范》；</w:t>
      </w:r>
    </w:p>
    <w:p w14:paraId="4AE499C2">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（6）《水泥砼路面施工及验收规范》；</w:t>
      </w:r>
    </w:p>
    <w:p w14:paraId="13C37E75">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（7）《公路水泥砼路面施工技术规范》；</w:t>
      </w:r>
    </w:p>
    <w:p w14:paraId="09968CB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（8）《埋地硬聚氯乙烯排水管道工程技术规程》；</w:t>
      </w:r>
    </w:p>
    <w:p w14:paraId="7709411E">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（9）《沥青路面施工及验收规范》；</w:t>
      </w:r>
    </w:p>
    <w:p w14:paraId="2A012A77">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（10）《广东省市政工程施工质量技术资料统一用表》。</w:t>
      </w:r>
    </w:p>
    <w:p w14:paraId="68D52DDC">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kern w:val="0"/>
          <w:szCs w:val="21"/>
          <w:highlight w:val="none"/>
        </w:rPr>
      </w:pPr>
      <w:bookmarkStart w:id="266" w:name="_Toc17128"/>
      <w:bookmarkStart w:id="267" w:name="_Toc30443"/>
      <w:r>
        <w:rPr>
          <w:rFonts w:hint="eastAsia" w:ascii="宋体" w:hAnsi="宋体" w:eastAsia="宋体" w:cs="宋体"/>
          <w:b w:val="0"/>
          <w:bCs/>
          <w:snapToGrid w:val="0"/>
          <w:color w:val="auto"/>
          <w:kern w:val="0"/>
          <w:highlight w:val="none"/>
        </w:rPr>
        <w:t>（11）</w:t>
      </w:r>
      <w:r>
        <w:rPr>
          <w:rFonts w:hint="eastAsia" w:ascii="宋体" w:hAnsi="宋体" w:eastAsia="宋体" w:cs="宋体"/>
          <w:b w:val="0"/>
          <w:bCs/>
          <w:color w:val="auto"/>
          <w:kern w:val="0"/>
          <w:szCs w:val="21"/>
          <w:highlight w:val="none"/>
        </w:rPr>
        <w:t>《城市道路照明设计标准》（CJJ45-2015）；</w:t>
      </w:r>
      <w:bookmarkEnd w:id="266"/>
      <w:bookmarkEnd w:id="267"/>
    </w:p>
    <w:p w14:paraId="4E85B519">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szCs w:val="21"/>
          <w:highlight w:val="none"/>
        </w:rPr>
      </w:pPr>
      <w:bookmarkStart w:id="268" w:name="_Toc32596"/>
      <w:bookmarkStart w:id="269" w:name="_Toc31453"/>
      <w:r>
        <w:rPr>
          <w:rFonts w:hint="eastAsia" w:ascii="宋体" w:hAnsi="宋体" w:eastAsia="宋体" w:cs="宋体"/>
          <w:b w:val="0"/>
          <w:bCs/>
          <w:color w:val="auto"/>
          <w:kern w:val="0"/>
          <w:szCs w:val="21"/>
          <w:highlight w:val="none"/>
        </w:rPr>
        <w:t>（12）《低压配电设计规范》（GB50054-2011）；</w:t>
      </w:r>
      <w:bookmarkEnd w:id="268"/>
      <w:bookmarkEnd w:id="269"/>
    </w:p>
    <w:p w14:paraId="7933467B">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szCs w:val="21"/>
          <w:highlight w:val="none"/>
        </w:rPr>
      </w:pPr>
      <w:bookmarkStart w:id="270" w:name="_Toc31862"/>
      <w:bookmarkStart w:id="271" w:name="_Toc25564"/>
      <w:r>
        <w:rPr>
          <w:rFonts w:hint="eastAsia" w:ascii="宋体" w:hAnsi="宋体" w:eastAsia="宋体" w:cs="宋体"/>
          <w:b w:val="0"/>
          <w:bCs/>
          <w:color w:val="auto"/>
          <w:kern w:val="0"/>
          <w:szCs w:val="21"/>
          <w:highlight w:val="none"/>
        </w:rPr>
        <w:t>（13）《城市道路照明工程施工及验收规程》（CJJ89-2012）；</w:t>
      </w:r>
      <w:bookmarkEnd w:id="270"/>
      <w:bookmarkEnd w:id="271"/>
    </w:p>
    <w:p w14:paraId="5F5199B6">
      <w:pPr>
        <w:pStyle w:val="2"/>
        <w:spacing w:line="500" w:lineRule="exact"/>
        <w:ind w:left="0" w:leftChars="0" w:firstLine="480"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（14）《LED道路照明工程技术规范》（DB44/T 1898-2016）；</w:t>
      </w:r>
    </w:p>
    <w:p w14:paraId="37120317">
      <w:pPr>
        <w:pStyle w:val="2"/>
        <w:spacing w:line="500" w:lineRule="exact"/>
        <w:ind w:left="0" w:leftChars="0" w:firstLine="480"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（15）《灯具第1部分：一般要求与试验》（GB7000.1-2015）；</w:t>
      </w:r>
    </w:p>
    <w:p w14:paraId="5EDAB013">
      <w:pPr>
        <w:wordWrap w:val="0"/>
        <w:adjustRightInd w:val="0"/>
        <w:snapToGrid w:val="0"/>
        <w:spacing w:line="500" w:lineRule="exact"/>
        <w:ind w:firstLine="480" w:firstLineChars="200"/>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rPr>
        <w:t>（16）《电缆工程电缆设计标准》（GB50217-2018）；</w:t>
      </w:r>
    </w:p>
    <w:p w14:paraId="798AF194">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（17）其他现行国家、广东省关于市政工程的技术及验收规范、定额、规程、标准。</w:t>
      </w:r>
    </w:p>
    <w:p w14:paraId="32EBB2F6">
      <w:pPr>
        <w:wordWrap w:val="0"/>
        <w:adjustRightInd w:val="0"/>
        <w:snapToGrid w:val="0"/>
        <w:spacing w:line="440" w:lineRule="exact"/>
        <w:ind w:firstLine="560"/>
        <w:rPr>
          <w:rFonts w:hint="eastAsia" w:ascii="宋体" w:hAnsi="宋体" w:eastAsia="宋体" w:cs="宋体"/>
          <w:strike/>
          <w:snapToGrid w:val="0"/>
          <w:color w:val="auto"/>
          <w:kern w:val="0"/>
          <w:highlight w:val="none"/>
        </w:rPr>
      </w:pPr>
      <w:r>
        <w:rPr>
          <w:rFonts w:hint="eastAsia" w:ascii="宋体" w:hAnsi="宋体" w:eastAsia="宋体" w:cs="宋体"/>
          <w:b/>
          <w:snapToGrid w:val="0"/>
          <w:color w:val="auto"/>
          <w:kern w:val="0"/>
          <w:highlight w:val="none"/>
        </w:rPr>
        <w:t>3．备查要求</w:t>
      </w:r>
    </w:p>
    <w:p w14:paraId="08DCFED9">
      <w:pPr>
        <w:wordWrap w:val="0"/>
        <w:adjustRightInd w:val="0"/>
        <w:snapToGrid w:val="0"/>
        <w:spacing w:line="440" w:lineRule="exact"/>
        <w:ind w:firstLine="560"/>
        <w:rPr>
          <w:rFonts w:hint="eastAsia" w:ascii="宋体" w:hAnsi="宋体" w:eastAsia="宋体" w:cs="宋体"/>
          <w:strike/>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人必须在施工现场准备至少一套上述规范，</w:t>
      </w:r>
      <w:r>
        <w:rPr>
          <w:rFonts w:hint="eastAsia" w:ascii="宋体" w:hAnsi="宋体" w:eastAsia="宋体" w:cs="宋体"/>
          <w:snapToGrid w:val="0"/>
          <w:color w:val="auto"/>
          <w:kern w:val="0"/>
          <w:highlight w:val="none"/>
        </w:rPr>
        <w:t>发包</w:t>
      </w:r>
      <w:r>
        <w:rPr>
          <w:rFonts w:hint="eastAsia" w:ascii="宋体" w:hAnsi="宋体" w:eastAsia="宋体" w:cs="宋体"/>
          <w:bCs/>
          <w:snapToGrid w:val="0"/>
          <w:color w:val="auto"/>
          <w:kern w:val="0"/>
          <w:highlight w:val="none"/>
        </w:rPr>
        <w:t>人和监理单位可随时检查</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人的上述规范，并监督</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人按规范要求执行。</w:t>
      </w:r>
      <w:bookmarkStart w:id="272" w:name="_Hlt69670335"/>
      <w:bookmarkEnd w:id="272"/>
    </w:p>
    <w:p w14:paraId="53901DBA">
      <w:pPr>
        <w:pStyle w:val="3"/>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bookmarkStart w:id="273" w:name="_Hlt69265207"/>
      <w:bookmarkEnd w:id="273"/>
      <w:bookmarkStart w:id="274" w:name="_Hlt69116863"/>
      <w:bookmarkEnd w:id="274"/>
      <w:bookmarkStart w:id="275" w:name="_Hlt69635247"/>
      <w:bookmarkEnd w:id="275"/>
      <w:bookmarkStart w:id="276" w:name="_Hlt66848640"/>
      <w:bookmarkEnd w:id="276"/>
      <w:bookmarkStart w:id="277" w:name="_Hlt69358336"/>
      <w:bookmarkEnd w:id="277"/>
      <w:bookmarkStart w:id="278" w:name="_Hlt69338190"/>
      <w:bookmarkEnd w:id="278"/>
      <w:bookmarkStart w:id="279" w:name="_Toc29329"/>
      <w:bookmarkStart w:id="280" w:name="_Toc10057"/>
      <w:bookmarkStart w:id="281" w:name="_Toc10987"/>
      <w:r>
        <w:rPr>
          <w:rFonts w:hint="eastAsia" w:ascii="宋体" w:hAnsi="宋体" w:eastAsia="宋体" w:cs="宋体"/>
          <w:b/>
          <w:snapToGrid w:val="0"/>
          <w:color w:val="auto"/>
          <w:sz w:val="24"/>
          <w:highlight w:val="none"/>
          <w:lang w:val="en-US" w:eastAsia="zh-CN"/>
        </w:rPr>
        <w:t>第五章</w:t>
      </w:r>
      <w:bookmarkStart w:id="282" w:name="_Hlt87793860"/>
      <w:bookmarkEnd w:id="282"/>
      <w:r>
        <w:rPr>
          <w:rFonts w:hint="eastAsia" w:ascii="宋体" w:hAnsi="宋体" w:eastAsia="宋体" w:cs="宋体"/>
          <w:b/>
          <w:snapToGrid w:val="0"/>
          <w:color w:val="auto"/>
          <w:sz w:val="24"/>
          <w:highlight w:val="none"/>
          <w:lang w:val="en-US" w:eastAsia="zh-CN"/>
        </w:rPr>
        <w:t xml:space="preserve"> 图纸和招标工程</w:t>
      </w:r>
      <w:bookmarkStart w:id="283" w:name="_Hlt69669215"/>
      <w:bookmarkEnd w:id="283"/>
      <w:r>
        <w:rPr>
          <w:rFonts w:hint="eastAsia" w:ascii="宋体" w:hAnsi="宋体" w:eastAsia="宋体" w:cs="宋体"/>
          <w:b/>
          <w:snapToGrid w:val="0"/>
          <w:color w:val="auto"/>
          <w:sz w:val="24"/>
          <w:highlight w:val="none"/>
          <w:lang w:val="en-US" w:eastAsia="zh-CN"/>
        </w:rPr>
        <w:t>量清单</w:t>
      </w:r>
      <w:bookmarkEnd w:id="279"/>
      <w:bookmarkEnd w:id="280"/>
      <w:bookmarkEnd w:id="281"/>
    </w:p>
    <w:p w14:paraId="15E491AE">
      <w:pPr>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bookmarkStart w:id="284" w:name="_Hlt87793868"/>
      <w:bookmarkEnd w:id="284"/>
      <w:bookmarkStart w:id="285" w:name="_Hlt66104919"/>
      <w:bookmarkEnd w:id="285"/>
      <w:bookmarkStart w:id="286" w:name="_Hlt69669182"/>
      <w:bookmarkEnd w:id="286"/>
      <w:bookmarkStart w:id="287" w:name="_Hlt75747203"/>
      <w:bookmarkEnd w:id="287"/>
      <w:bookmarkStart w:id="288" w:name="_Toc25252"/>
      <w:bookmarkStart w:id="289" w:name="_Hlt69698785"/>
    </w:p>
    <w:p w14:paraId="4B7D39ED">
      <w:pPr>
        <w:pStyle w:val="5"/>
        <w:bidi w:val="0"/>
        <w:spacing w:line="360" w:lineRule="auto"/>
        <w:ind w:firstLine="964"/>
        <w:rPr>
          <w:rFonts w:hint="eastAsia" w:ascii="宋体" w:hAnsi="宋体" w:eastAsia="宋体" w:cs="宋体"/>
        </w:rPr>
      </w:pPr>
      <w:bookmarkStart w:id="290" w:name="_Toc28153"/>
      <w:r>
        <w:rPr>
          <w:rFonts w:hint="eastAsia" w:ascii="宋体" w:hAnsi="宋体" w:eastAsia="宋体" w:cs="宋体"/>
        </w:rPr>
        <w:t>1．图纸</w:t>
      </w:r>
      <w:bookmarkEnd w:id="290"/>
    </w:p>
    <w:p w14:paraId="2D6BC2EC">
      <w:pPr>
        <w:wordWrap w:val="0"/>
        <w:adjustRightInd w:val="0"/>
        <w:snapToGrid w:val="0"/>
        <w:spacing w:line="360" w:lineRule="auto"/>
        <w:ind w:firstLine="480" w:firstLineChars="200"/>
        <w:rPr>
          <w:rFonts w:hint="eastAsia" w:ascii="宋体" w:hAnsi="宋体" w:eastAsia="宋体" w:cs="宋体"/>
          <w:b w:val="0"/>
          <w:bCs/>
          <w:color w:val="000000"/>
          <w:highlight w:val="none"/>
          <w:lang w:eastAsia="zh-CN"/>
        </w:rPr>
      </w:pPr>
      <w:bookmarkStart w:id="291" w:name="_Toc14740"/>
      <w:r>
        <w:rPr>
          <w:rFonts w:hint="eastAsia" w:ascii="宋体" w:hAnsi="宋体" w:eastAsia="宋体" w:cs="宋体"/>
          <w:snapToGrid w:val="0"/>
          <w:color w:val="auto"/>
          <w:kern w:val="0"/>
          <w:highlight w:val="none"/>
        </w:rPr>
        <w:t>本招标文件随文另附施工图（电子文件）各一套。</w:t>
      </w:r>
    </w:p>
    <w:p w14:paraId="545A489C">
      <w:pPr>
        <w:pStyle w:val="5"/>
        <w:bidi w:val="0"/>
        <w:spacing w:line="360" w:lineRule="auto"/>
        <w:ind w:firstLine="964"/>
        <w:rPr>
          <w:rFonts w:hint="eastAsia" w:ascii="宋体" w:hAnsi="宋体" w:eastAsia="宋体" w:cs="宋体"/>
        </w:rPr>
      </w:pPr>
      <w:r>
        <w:rPr>
          <w:rFonts w:hint="eastAsia" w:ascii="宋体" w:hAnsi="宋体" w:eastAsia="宋体" w:cs="宋体"/>
        </w:rPr>
        <w:t>2．招标工程量清单</w:t>
      </w:r>
      <w:bookmarkEnd w:id="291"/>
    </w:p>
    <w:p w14:paraId="2035DFBB">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2.1</w:t>
      </w:r>
      <w:r>
        <w:rPr>
          <w:rFonts w:hint="eastAsia" w:ascii="宋体" w:hAnsi="宋体" w:eastAsia="宋体" w:cs="宋体"/>
          <w:snapToGrid w:val="0"/>
          <w:color w:val="auto"/>
          <w:kern w:val="0"/>
          <w:highlight w:val="none"/>
        </w:rPr>
        <w:t xml:space="preserve"> 本招标文件随文另附招标工程量清单一套。</w:t>
      </w:r>
    </w:p>
    <w:p w14:paraId="2030868B">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2.2</w:t>
      </w:r>
      <w:r>
        <w:rPr>
          <w:rFonts w:hint="eastAsia" w:ascii="宋体" w:hAnsi="宋体" w:eastAsia="宋体" w:cs="宋体"/>
          <w:snapToGrid w:val="0"/>
          <w:color w:val="auto"/>
          <w:kern w:val="0"/>
          <w:highlight w:val="none"/>
        </w:rPr>
        <w:t xml:space="preserve"> 本工程按照以下依据编制招标工程量清单：</w:t>
      </w:r>
    </w:p>
    <w:p w14:paraId="4AABE2B1">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（1）《建设工程工程量清单计价规范》（GB50500—2013）；</w:t>
      </w:r>
    </w:p>
    <w:p w14:paraId="174B66D4">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（2）有关工程量计量规范。具体包括：《房屋建筑与装饰工程工程量计算规范》（GB50854—2013）、《市政工程工程量计算规范》（ GB50857—2013）等；</w:t>
      </w:r>
    </w:p>
    <w:p w14:paraId="20C940BD">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7C243B47">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（4）施工图及相关资料；</w:t>
      </w:r>
    </w:p>
    <w:p w14:paraId="15766287">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（5）招标文件；</w:t>
      </w:r>
    </w:p>
    <w:p w14:paraId="1A28A09E">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（6）施工现场情况、地勘水文资料、工程特点及常规施工方案；</w:t>
      </w:r>
    </w:p>
    <w:p w14:paraId="2109269F">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（7）与建设工程有关的标准、规范、技术资料。</w:t>
      </w:r>
    </w:p>
    <w:p w14:paraId="0EBB62E8">
      <w:pPr>
        <w:wordWrap w:val="0"/>
        <w:adjustRightInd w:val="0"/>
        <w:snapToGrid w:val="0"/>
        <w:spacing w:line="440" w:lineRule="exact"/>
        <w:ind w:firstLine="480"/>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25F2F193">
      <w:pPr>
        <w:pStyle w:val="3"/>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bookmarkStart w:id="292" w:name="_Toc16415"/>
      <w:bookmarkStart w:id="293" w:name="_Toc22127"/>
      <w:r>
        <w:rPr>
          <w:rFonts w:hint="eastAsia" w:ascii="宋体" w:hAnsi="宋体" w:eastAsia="宋体" w:cs="宋体"/>
          <w:b/>
          <w:snapToGrid w:val="0"/>
          <w:color w:val="auto"/>
          <w:sz w:val="24"/>
          <w:highlight w:val="none"/>
          <w:lang w:val="en-US" w:eastAsia="zh-CN"/>
        </w:rPr>
        <w:t xml:space="preserve">第六章 </w:t>
      </w:r>
      <w:bookmarkEnd w:id="288"/>
      <w:bookmarkStart w:id="294" w:name="_Hlt75747044"/>
      <w:bookmarkEnd w:id="294"/>
      <w:r>
        <w:rPr>
          <w:rFonts w:hint="eastAsia" w:ascii="宋体" w:hAnsi="宋体" w:eastAsia="宋体" w:cs="宋体"/>
          <w:b/>
          <w:snapToGrid w:val="0"/>
          <w:color w:val="auto"/>
          <w:sz w:val="24"/>
          <w:highlight w:val="none"/>
          <w:lang w:val="en-US" w:eastAsia="zh-CN"/>
        </w:rPr>
        <w:t>投标文件格式</w:t>
      </w:r>
      <w:bookmarkEnd w:id="292"/>
      <w:bookmarkEnd w:id="293"/>
    </w:p>
    <w:bookmarkEnd w:id="289"/>
    <w:p w14:paraId="7E251A55">
      <w:pPr>
        <w:pStyle w:val="79"/>
        <w:keepNext w:val="0"/>
        <w:keepLines w:val="0"/>
        <w:widowControl w:val="0"/>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bookmarkStart w:id="295" w:name="_附件四：工期承诺书"/>
      <w:bookmarkEnd w:id="295"/>
      <w:bookmarkStart w:id="296" w:name="_附件二：近三年度主要施工项目（竣工及在建）一览表"/>
      <w:bookmarkEnd w:id="296"/>
      <w:bookmarkStart w:id="297" w:name="_附件一：投标函"/>
      <w:bookmarkEnd w:id="297"/>
      <w:bookmarkStart w:id="298" w:name="_附件五：综合评审合理低价法"/>
      <w:bookmarkEnd w:id="298"/>
      <w:bookmarkStart w:id="299" w:name="_附件一：对招标文件条款自愿接受承诺书"/>
      <w:bookmarkEnd w:id="299"/>
      <w:bookmarkStart w:id="300" w:name="_附件二：工期承诺书"/>
      <w:bookmarkEnd w:id="300"/>
      <w:bookmarkStart w:id="301" w:name="_Toc200338097"/>
      <w:bookmarkStart w:id="302" w:name="_Toc137621693"/>
      <w:bookmarkStart w:id="303" w:name="_Toc66849200"/>
      <w:bookmarkStart w:id="304" w:name="_Hlt66847557"/>
    </w:p>
    <w:p w14:paraId="07326EEA">
      <w:pPr>
        <w:pStyle w:val="5"/>
        <w:bidi w:val="0"/>
        <w:ind w:firstLine="964"/>
        <w:rPr>
          <w:rFonts w:hint="eastAsia" w:ascii="宋体" w:hAnsi="宋体" w:eastAsia="宋体" w:cs="宋体"/>
        </w:rPr>
      </w:pPr>
      <w:bookmarkStart w:id="305" w:name="_Toc17749"/>
      <w:bookmarkStart w:id="306" w:name="_Toc14677"/>
      <w:bookmarkStart w:id="307" w:name="_Toc13462"/>
      <w:r>
        <w:rPr>
          <w:rFonts w:hint="eastAsia" w:ascii="宋体" w:hAnsi="宋体" w:eastAsia="宋体" w:cs="宋体"/>
        </w:rPr>
        <w:t>格式一 封面</w:t>
      </w:r>
      <w:bookmarkEnd w:id="305"/>
      <w:bookmarkEnd w:id="306"/>
      <w:bookmarkEnd w:id="307"/>
    </w:p>
    <w:p w14:paraId="35C711A0">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39BE9094">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24D8608D">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2724EB52">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12581ABE">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09B8487B">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77BBEDF2">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7B3FC116">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Cs/>
          <w:snapToGrid w:val="0"/>
          <w:color w:val="auto"/>
          <w:sz w:val="48"/>
          <w:szCs w:val="48"/>
          <w:highlight w:val="none"/>
          <w:u w:val="single"/>
        </w:rPr>
        <w:t xml:space="preserve">             </w:t>
      </w:r>
      <w:r>
        <w:rPr>
          <w:rFonts w:hint="eastAsia" w:ascii="宋体" w:hAnsi="宋体" w:eastAsia="宋体" w:cs="宋体"/>
          <w:b/>
          <w:snapToGrid w:val="0"/>
          <w:color w:val="auto"/>
          <w:sz w:val="48"/>
          <w:szCs w:val="48"/>
          <w:highlight w:val="none"/>
        </w:rPr>
        <w:t>（项目名称）招标</w:t>
      </w:r>
    </w:p>
    <w:p w14:paraId="0263B5F6">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477E5FAB">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72"/>
          <w:highlight w:val="none"/>
        </w:rPr>
      </w:pPr>
      <w:r>
        <w:rPr>
          <w:rFonts w:hint="eastAsia" w:ascii="宋体" w:hAnsi="宋体" w:eastAsia="宋体" w:cs="宋体"/>
          <w:b/>
          <w:snapToGrid w:val="0"/>
          <w:color w:val="auto"/>
          <w:sz w:val="72"/>
          <w:highlight w:val="none"/>
        </w:rPr>
        <w:t>投  标  文  件</w:t>
      </w:r>
    </w:p>
    <w:p w14:paraId="4758F242">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29453F34">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
          <w:snapToGrid w:val="0"/>
          <w:color w:val="auto"/>
          <w:sz w:val="48"/>
          <w:szCs w:val="48"/>
          <w:highlight w:val="none"/>
        </w:rPr>
        <w:t>（商务标书／经济标书／施工组织设计）</w:t>
      </w:r>
    </w:p>
    <w:p w14:paraId="51008BFB">
      <w:pPr>
        <w:pStyle w:val="75"/>
        <w:widowControl w:val="0"/>
        <w:wordWrap w:val="0"/>
        <w:adjustRightInd w:val="0"/>
        <w:snapToGrid w:val="0"/>
        <w:spacing w:line="240" w:lineRule="auto"/>
        <w:rPr>
          <w:rFonts w:hint="eastAsia" w:ascii="宋体" w:hAnsi="宋体" w:eastAsia="宋体" w:cs="宋体"/>
          <w:b/>
          <w:snapToGrid w:val="0"/>
          <w:color w:val="auto"/>
          <w:highlight w:val="none"/>
        </w:rPr>
      </w:pPr>
    </w:p>
    <w:p w14:paraId="71E18A6C">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13419781">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359E0F7C">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3EB8F2BB">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6C21F8BD">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1A740E67">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3757E79F">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D3356DD">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429551C">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183AE944">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1B791486">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196AFC29">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514EEFEA">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6E22DBB0">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530CA57B">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u w:val="single"/>
        </w:rPr>
      </w:pPr>
    </w:p>
    <w:p w14:paraId="665D9E66">
      <w:pPr>
        <w:pStyle w:val="75"/>
        <w:widowControl w:val="0"/>
        <w:wordWrap w:val="0"/>
        <w:adjustRightInd w:val="0"/>
        <w:snapToGrid w:val="0"/>
        <w:spacing w:line="24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4164D74B">
      <w:pPr>
        <w:pStyle w:val="75"/>
        <w:widowControl w:val="0"/>
        <w:wordWrap w:val="0"/>
        <w:adjustRightInd w:val="0"/>
        <w:snapToGrid w:val="0"/>
        <w:rPr>
          <w:rFonts w:hint="eastAsia" w:ascii="宋体" w:hAnsi="宋体" w:eastAsia="宋体" w:cs="宋体"/>
          <w:b/>
          <w:snapToGrid w:val="0"/>
          <w:color w:val="auto"/>
          <w:highlight w:val="none"/>
        </w:rPr>
      </w:pPr>
    </w:p>
    <w:p w14:paraId="592C7ADD">
      <w:pPr>
        <w:pStyle w:val="75"/>
        <w:widowControl w:val="0"/>
        <w:wordWrap w:val="0"/>
        <w:adjustRightInd w:val="0"/>
        <w:snapToGrid w:val="0"/>
        <w:rPr>
          <w:rFonts w:hint="eastAsia" w:ascii="宋体" w:hAnsi="宋体" w:eastAsia="宋体" w:cs="宋体"/>
          <w:b/>
          <w:snapToGrid w:val="0"/>
          <w:color w:val="auto"/>
          <w:highlight w:val="none"/>
        </w:rPr>
      </w:pPr>
    </w:p>
    <w:p w14:paraId="60C702B6">
      <w:pPr>
        <w:pStyle w:val="75"/>
        <w:widowControl w:val="0"/>
        <w:wordWrap w:val="0"/>
        <w:adjustRightInd w:val="0"/>
        <w:snapToGrid w:val="0"/>
        <w:rPr>
          <w:rFonts w:hint="eastAsia" w:ascii="宋体" w:hAnsi="宋体" w:eastAsia="宋体" w:cs="宋体"/>
          <w:b/>
          <w:snapToGrid w:val="0"/>
          <w:color w:val="auto"/>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1E1C4294">
      <w:pPr>
        <w:pStyle w:val="5"/>
        <w:bidi w:val="0"/>
        <w:ind w:firstLine="964"/>
        <w:rPr>
          <w:rFonts w:hint="eastAsia" w:ascii="宋体" w:hAnsi="宋体" w:eastAsia="宋体" w:cs="宋体"/>
        </w:rPr>
      </w:pPr>
      <w:bookmarkStart w:id="308" w:name="_Toc3166"/>
      <w:bookmarkStart w:id="309" w:name="_Toc7500"/>
      <w:bookmarkStart w:id="310" w:name="_Toc17232"/>
      <w:bookmarkStart w:id="311" w:name="_Toc106418843"/>
      <w:bookmarkStart w:id="312" w:name="_Toc104711098"/>
      <w:bookmarkStart w:id="313" w:name="_Toc28280"/>
      <w:r>
        <w:rPr>
          <w:rFonts w:hint="eastAsia" w:ascii="宋体" w:hAnsi="宋体" w:eastAsia="宋体" w:cs="宋体"/>
        </w:rPr>
        <w:t>格式</w:t>
      </w:r>
      <w:bookmarkStart w:id="314" w:name="_Hlt97526007"/>
      <w:bookmarkEnd w:id="314"/>
      <w:r>
        <w:rPr>
          <w:rFonts w:hint="eastAsia" w:ascii="宋体" w:hAnsi="宋体" w:eastAsia="宋体" w:cs="宋体"/>
        </w:rPr>
        <w:t>二 投标函</w:t>
      </w:r>
      <w:bookmarkEnd w:id="308"/>
      <w:bookmarkEnd w:id="309"/>
      <w:bookmarkEnd w:id="310"/>
    </w:p>
    <w:p w14:paraId="178DD935">
      <w:pPr>
        <w:pStyle w:val="5"/>
        <w:keepNext w:val="0"/>
        <w:keepLines w:val="0"/>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bookmarkStart w:id="315" w:name="_Toc26551"/>
      <w:bookmarkStart w:id="316" w:name="_Toc25895"/>
      <w:bookmarkStart w:id="317" w:name="_Toc23239"/>
      <w:r>
        <w:rPr>
          <w:rFonts w:hint="eastAsia" w:ascii="宋体" w:hAnsi="宋体" w:eastAsia="宋体" w:cs="宋体"/>
          <w:b/>
          <w:snapToGrid w:val="0"/>
          <w:color w:val="auto"/>
          <w:kern w:val="0"/>
          <w:sz w:val="30"/>
          <w:highlight w:val="none"/>
        </w:rPr>
        <w:t>投  标  函</w:t>
      </w:r>
      <w:bookmarkEnd w:id="311"/>
      <w:bookmarkEnd w:id="312"/>
      <w:bookmarkEnd w:id="313"/>
      <w:bookmarkEnd w:id="315"/>
      <w:bookmarkEnd w:id="316"/>
      <w:bookmarkEnd w:id="317"/>
    </w:p>
    <w:p w14:paraId="4A372194">
      <w:pPr>
        <w:wordWrap w:val="0"/>
        <w:adjustRightInd w:val="0"/>
        <w:snapToGrid w:val="0"/>
        <w:spacing w:line="440" w:lineRule="exact"/>
        <w:jc w:val="center"/>
        <w:rPr>
          <w:rFonts w:hint="eastAsia" w:ascii="宋体" w:hAnsi="宋体" w:eastAsia="宋体" w:cs="宋体"/>
          <w:b/>
          <w:snapToGrid w:val="0"/>
          <w:color w:val="auto"/>
          <w:kern w:val="0"/>
          <w:highlight w:val="none"/>
        </w:rPr>
      </w:pPr>
    </w:p>
    <w:p w14:paraId="39CF5827">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（招标人名称）</w:t>
      </w:r>
    </w:p>
    <w:p w14:paraId="0EA96BB2">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1. </w:t>
      </w:r>
      <w:r>
        <w:rPr>
          <w:rFonts w:hint="eastAsia" w:ascii="宋体" w:hAnsi="宋体" w:eastAsia="宋体" w:cs="宋体"/>
          <w:snapToGrid w:val="0"/>
          <w:color w:val="auto"/>
          <w:kern w:val="0"/>
          <w:szCs w:val="22"/>
          <w:highlight w:val="none"/>
        </w:rPr>
        <w:t>我方</w:t>
      </w:r>
      <w:r>
        <w:rPr>
          <w:rFonts w:hint="eastAsia" w:ascii="宋体" w:hAnsi="宋体" w:eastAsia="宋体" w:cs="宋体"/>
          <w:snapToGrid w:val="0"/>
          <w:color w:val="auto"/>
          <w:kern w:val="0"/>
          <w:highlight w:val="none"/>
        </w:rPr>
        <w:t>考察现场并充分研究</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（项目名称）（以下简称“本项目”）施工招标文件</w:t>
      </w:r>
      <w:r>
        <w:rPr>
          <w:rFonts w:hint="eastAsia" w:ascii="宋体" w:hAnsi="宋体" w:eastAsia="宋体" w:cs="宋体"/>
          <w:snapToGrid w:val="0"/>
          <w:color w:val="auto"/>
          <w:kern w:val="0"/>
          <w:szCs w:val="22"/>
          <w:highlight w:val="none"/>
        </w:rPr>
        <w:t>所有内容后</w:t>
      </w:r>
      <w:r>
        <w:rPr>
          <w:rFonts w:hint="eastAsia" w:ascii="宋体" w:hAnsi="宋体" w:eastAsia="宋体" w:cs="宋体"/>
          <w:snapToGrid w:val="0"/>
          <w:color w:val="auto"/>
          <w:kern w:val="0"/>
          <w:highlight w:val="none"/>
        </w:rPr>
        <w:t>，结合自身资质、能力和特点，愿意接受招标文件的全部内容和条件，兹以人民币（大写）：</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szCs w:val="22"/>
          <w:highlight w:val="none"/>
        </w:rPr>
        <w:t>的投标总价</w:t>
      </w:r>
      <w:r>
        <w:rPr>
          <w:rFonts w:hint="eastAsia" w:ascii="宋体" w:hAnsi="宋体" w:eastAsia="宋体" w:cs="宋体"/>
          <w:snapToGrid w:val="0"/>
          <w:color w:val="auto"/>
          <w:kern w:val="0"/>
          <w:highlight w:val="none"/>
        </w:rPr>
        <w:t>竞投本项目施工。</w:t>
      </w:r>
    </w:p>
    <w:p w14:paraId="4B1F7F85">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在我方的上述投标总价中，包括：绿色施工安全防护措施费¥</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，暂列金额¥</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，暂估价¥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p>
    <w:p w14:paraId="4164A019">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 如果我方中标，我方保证按照合同约定的开工日期开始本项目的施工，</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个日历天内竣工，并确保工程质量达到</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标准和维修其中的任何缺陷。</w:t>
      </w:r>
    </w:p>
    <w:p w14:paraId="2B280DD7">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49249662">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4．我方在此声明，我方不存在本项目招标文件第一章第三节第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条“禁止投标条款”所列出的任何一种情形，并愿意承担因我方就此弄虚作假所引起的一切法律后果。</w:t>
      </w:r>
    </w:p>
    <w:p w14:paraId="35BE1F10">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2573CEBB">
      <w:pPr>
        <w:wordWrap w:val="0"/>
        <w:adjustRightInd w:val="0"/>
        <w:snapToGrid w:val="0"/>
        <w:spacing w:line="440" w:lineRule="exact"/>
        <w:ind w:firstLine="570"/>
        <w:rPr>
          <w:rFonts w:hint="eastAsia" w:ascii="宋体" w:hAnsi="宋体" w:eastAsia="宋体" w:cs="宋体"/>
          <w:snapToGrid w:val="0"/>
          <w:color w:val="auto"/>
          <w:kern w:val="0"/>
          <w:highlight w:val="none"/>
        </w:rPr>
      </w:pPr>
      <w:bookmarkStart w:id="318" w:name="_Hlt68771070"/>
      <w:bookmarkEnd w:id="318"/>
      <w:r>
        <w:rPr>
          <w:rFonts w:hint="eastAsia" w:ascii="宋体" w:hAnsi="宋体" w:eastAsia="宋体" w:cs="宋体"/>
          <w:snapToGrid w:val="0"/>
          <w:color w:val="auto"/>
          <w:kern w:val="0"/>
          <w:highlight w:val="none"/>
        </w:rPr>
        <w:t>6. 我方理解你方不一定要接纳收到的最低投标总价或任何投标总价的投标人中标，也不要求你方解释我方是否中标的原因。</w:t>
      </w:r>
    </w:p>
    <w:p w14:paraId="6CAAA209">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p>
    <w:p w14:paraId="3CBFC925">
      <w:pPr>
        <w:wordWrap w:val="0"/>
        <w:adjustRightInd w:val="0"/>
        <w:snapToGrid w:val="0"/>
        <w:spacing w:line="440" w:lineRule="exact"/>
        <w:rPr>
          <w:rFonts w:hint="eastAsia" w:ascii="宋体" w:hAnsi="宋体" w:eastAsia="宋体" w:cs="宋体"/>
          <w:snapToGrid w:val="0"/>
          <w:color w:val="auto"/>
          <w:kern w:val="0"/>
          <w:highlight w:val="none"/>
        </w:rPr>
      </w:pPr>
    </w:p>
    <w:p w14:paraId="19425B9A">
      <w:pPr>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14:paraId="670F61E9">
      <w:pPr>
        <w:wordWrap w:val="0"/>
        <w:adjustRightInd w:val="0"/>
        <w:snapToGrid w:val="0"/>
        <w:spacing w:line="440" w:lineRule="exact"/>
        <w:jc w:val="right"/>
        <w:rPr>
          <w:rFonts w:hint="eastAsia" w:ascii="宋体" w:hAnsi="宋体" w:eastAsia="宋体" w:cs="宋体"/>
          <w:snapToGrid w:val="0"/>
          <w:color w:val="auto"/>
          <w:kern w:val="0"/>
          <w:highlight w:val="none"/>
        </w:rPr>
      </w:pPr>
    </w:p>
    <w:p w14:paraId="3E08508F">
      <w:pPr>
        <w:wordWrap w:val="0"/>
        <w:adjustRightInd w:val="0"/>
        <w:snapToGrid w:val="0"/>
        <w:spacing w:line="440" w:lineRule="exact"/>
        <w:jc w:val="right"/>
        <w:rPr>
          <w:rFonts w:hint="eastAsia" w:ascii="宋体" w:hAnsi="宋体" w:eastAsia="宋体" w:cs="宋体"/>
          <w:snapToGrid w:val="0"/>
          <w:color w:val="auto"/>
          <w:kern w:val="0"/>
          <w:highlight w:val="none"/>
        </w:rPr>
      </w:pPr>
    </w:p>
    <w:p w14:paraId="3C5FC563">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14:paraId="1473195F">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p>
    <w:p w14:paraId="2FCF498F">
      <w:pPr>
        <w:wordWrap w:val="0"/>
        <w:adjustRightInd w:val="0"/>
        <w:snapToGrid w:val="0"/>
        <w:spacing w:line="440" w:lineRule="exact"/>
        <w:jc w:val="left"/>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74ACF981">
      <w:pPr>
        <w:pStyle w:val="5"/>
        <w:bidi w:val="0"/>
        <w:ind w:firstLine="964"/>
        <w:rPr>
          <w:rFonts w:hint="eastAsia" w:ascii="宋体" w:hAnsi="宋体" w:eastAsia="宋体" w:cs="宋体"/>
        </w:rPr>
      </w:pPr>
      <w:bookmarkStart w:id="319" w:name="_Toc26367"/>
      <w:r>
        <w:rPr>
          <w:rFonts w:hint="eastAsia" w:ascii="宋体" w:hAnsi="宋体" w:eastAsia="宋体" w:cs="宋体"/>
        </w:rPr>
        <w:t>格式三 各项承诺一览表</w:t>
      </w:r>
      <w:bookmarkEnd w:id="319"/>
    </w:p>
    <w:p w14:paraId="6FF4701C">
      <w:pPr>
        <w:pStyle w:val="79"/>
        <w:keepNext w:val="0"/>
        <w:keepLines w:val="0"/>
        <w:widowControl w:val="0"/>
        <w:wordWrap w:val="0"/>
        <w:adjustRightInd w:val="0"/>
        <w:snapToGrid w:val="0"/>
        <w:spacing w:before="260" w:after="260" w:line="440" w:lineRule="exact"/>
        <w:ind w:firstLine="0"/>
        <w:rPr>
          <w:rFonts w:hint="eastAsia" w:ascii="宋体" w:hAnsi="宋体" w:eastAsia="宋体" w:cs="宋体"/>
          <w:b/>
          <w:snapToGrid w:val="0"/>
          <w:color w:val="auto"/>
          <w:highlight w:val="none"/>
        </w:rPr>
      </w:pPr>
      <w:bookmarkStart w:id="320" w:name="_Toc18715"/>
      <w:bookmarkStart w:id="321" w:name="_Toc29967"/>
      <w:bookmarkStart w:id="322" w:name="_Toc19422"/>
      <w:r>
        <w:rPr>
          <w:rFonts w:hint="eastAsia" w:ascii="宋体" w:hAnsi="宋体" w:eastAsia="宋体" w:cs="宋体"/>
          <w:b/>
          <w:snapToGrid w:val="0"/>
          <w:color w:val="auto"/>
          <w:sz w:val="30"/>
          <w:highlight w:val="none"/>
        </w:rPr>
        <w:t>各项承诺一览表</w:t>
      </w:r>
      <w:bookmarkEnd w:id="320"/>
      <w:bookmarkEnd w:id="321"/>
      <w:bookmarkEnd w:id="322"/>
    </w:p>
    <w:tbl>
      <w:tblPr>
        <w:tblStyle w:val="31"/>
        <w:tblW w:w="10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5051"/>
      </w:tblGrid>
      <w:tr w14:paraId="03C9B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noWrap w:val="0"/>
            <w:vAlign w:val="center"/>
          </w:tcPr>
          <w:p w14:paraId="62E8979F">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序号</w:t>
            </w:r>
          </w:p>
        </w:tc>
        <w:tc>
          <w:tcPr>
            <w:tcW w:w="1573" w:type="dxa"/>
            <w:noWrap w:val="0"/>
            <w:vAlign w:val="center"/>
          </w:tcPr>
          <w:p w14:paraId="58342991">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承诺事项</w:t>
            </w:r>
          </w:p>
        </w:tc>
        <w:tc>
          <w:tcPr>
            <w:tcW w:w="2923" w:type="dxa"/>
            <w:noWrap w:val="0"/>
            <w:vAlign w:val="center"/>
          </w:tcPr>
          <w:p w14:paraId="28CAA643">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承诺内容</w:t>
            </w:r>
          </w:p>
        </w:tc>
        <w:tc>
          <w:tcPr>
            <w:tcW w:w="5051" w:type="dxa"/>
            <w:noWrap w:val="0"/>
            <w:vAlign w:val="center"/>
          </w:tcPr>
          <w:p w14:paraId="6F175A27">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违约承诺</w:t>
            </w:r>
          </w:p>
        </w:tc>
      </w:tr>
      <w:tr w14:paraId="1DD0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noWrap w:val="0"/>
            <w:vAlign w:val="center"/>
          </w:tcPr>
          <w:p w14:paraId="7381B3F5">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73" w:type="dxa"/>
            <w:noWrap w:val="0"/>
            <w:vAlign w:val="center"/>
          </w:tcPr>
          <w:p w14:paraId="25D7BFC3">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自愿接受招标</w:t>
            </w:r>
          </w:p>
          <w:p w14:paraId="40F0BE70">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文件条款的承诺</w:t>
            </w:r>
          </w:p>
        </w:tc>
        <w:tc>
          <w:tcPr>
            <w:tcW w:w="2923" w:type="dxa"/>
            <w:noWrap w:val="0"/>
            <w:vAlign w:val="center"/>
          </w:tcPr>
          <w:p w14:paraId="5670FB0B">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我方自愿接受招标文件的所有条款，所递交的投标文件已经充分响应招标文件的实质性要求。</w:t>
            </w:r>
          </w:p>
        </w:tc>
        <w:tc>
          <w:tcPr>
            <w:tcW w:w="5051" w:type="dxa"/>
            <w:noWrap w:val="0"/>
            <w:vAlign w:val="center"/>
          </w:tcPr>
          <w:p w14:paraId="7CEB23BF">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63114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noWrap w:val="0"/>
            <w:vAlign w:val="center"/>
          </w:tcPr>
          <w:p w14:paraId="7B16ED88">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73" w:type="dxa"/>
            <w:noWrap w:val="0"/>
            <w:vAlign w:val="center"/>
          </w:tcPr>
          <w:p w14:paraId="31C20022">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1A5EE73F">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2923" w:type="dxa"/>
            <w:noWrap w:val="0"/>
            <w:vAlign w:val="center"/>
          </w:tcPr>
          <w:p w14:paraId="6E975F6F">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5051" w:type="dxa"/>
            <w:noWrap w:val="0"/>
            <w:vAlign w:val="center"/>
          </w:tcPr>
          <w:p w14:paraId="3BB02722">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650A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9" w:hRule="atLeast"/>
          <w:jc w:val="center"/>
        </w:trPr>
        <w:tc>
          <w:tcPr>
            <w:tcW w:w="716" w:type="dxa"/>
            <w:noWrap w:val="0"/>
            <w:vAlign w:val="center"/>
          </w:tcPr>
          <w:p w14:paraId="0B31134B">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73" w:type="dxa"/>
            <w:noWrap w:val="0"/>
            <w:vAlign w:val="center"/>
          </w:tcPr>
          <w:p w14:paraId="5B156DD3">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w:t>
            </w:r>
          </w:p>
          <w:p w14:paraId="25D38E75">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串标和弄虚</w:t>
            </w:r>
          </w:p>
          <w:p w14:paraId="414D59AD">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作假行为的承诺</w:t>
            </w:r>
          </w:p>
        </w:tc>
        <w:tc>
          <w:tcPr>
            <w:tcW w:w="2923" w:type="dxa"/>
            <w:noWrap w:val="0"/>
            <w:vAlign w:val="center"/>
          </w:tcPr>
          <w:p w14:paraId="515C8DF3">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5051" w:type="dxa"/>
            <w:noWrap w:val="0"/>
            <w:vAlign w:val="center"/>
          </w:tcPr>
          <w:p w14:paraId="797A4E72">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E3BA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716" w:type="dxa"/>
            <w:noWrap w:val="0"/>
            <w:vAlign w:val="center"/>
          </w:tcPr>
          <w:p w14:paraId="26721F35">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573" w:type="dxa"/>
            <w:noWrap w:val="0"/>
            <w:vAlign w:val="center"/>
          </w:tcPr>
          <w:p w14:paraId="2520C8AD">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p w14:paraId="2A812F9A">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任职承诺</w:t>
            </w:r>
          </w:p>
        </w:tc>
        <w:tc>
          <w:tcPr>
            <w:tcW w:w="2923" w:type="dxa"/>
            <w:noWrap w:val="0"/>
            <w:vAlign w:val="center"/>
          </w:tcPr>
          <w:p w14:paraId="7DC536DB">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我方拟派项目经理现阶段没有担任任何在施（包括已中标未开工、已开工未竣工）建设工程项目的项目经理。</w:t>
            </w:r>
          </w:p>
        </w:tc>
        <w:tc>
          <w:tcPr>
            <w:tcW w:w="5051" w:type="dxa"/>
            <w:noWrap w:val="0"/>
            <w:vAlign w:val="center"/>
          </w:tcPr>
          <w:p w14:paraId="6CCC3C85">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339AF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716" w:type="dxa"/>
            <w:noWrap w:val="0"/>
            <w:vAlign w:val="center"/>
          </w:tcPr>
          <w:p w14:paraId="1910B3D1">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573" w:type="dxa"/>
            <w:noWrap w:val="0"/>
            <w:vAlign w:val="center"/>
          </w:tcPr>
          <w:p w14:paraId="00915560">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300E9B3F">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真实性承诺</w:t>
            </w:r>
          </w:p>
        </w:tc>
        <w:tc>
          <w:tcPr>
            <w:tcW w:w="2923" w:type="dxa"/>
            <w:noWrap w:val="0"/>
            <w:vAlign w:val="center"/>
          </w:tcPr>
          <w:p w14:paraId="3B1CA2F0">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我方所递交投标文件的全部内容均为真实、有效、准确的。</w:t>
            </w:r>
          </w:p>
        </w:tc>
        <w:tc>
          <w:tcPr>
            <w:tcW w:w="5051" w:type="dxa"/>
            <w:noWrap w:val="0"/>
            <w:vAlign w:val="center"/>
          </w:tcPr>
          <w:p w14:paraId="71CFA3C3">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17D3A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716" w:type="dxa"/>
            <w:noWrap w:val="0"/>
            <w:vAlign w:val="center"/>
          </w:tcPr>
          <w:p w14:paraId="054B8D42">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573" w:type="dxa"/>
            <w:noWrap w:val="0"/>
            <w:vAlign w:val="center"/>
          </w:tcPr>
          <w:p w14:paraId="0D223469">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5CE6E6E8">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信息公开承诺</w:t>
            </w:r>
          </w:p>
        </w:tc>
        <w:tc>
          <w:tcPr>
            <w:tcW w:w="2923" w:type="dxa"/>
            <w:noWrap w:val="0"/>
            <w:vAlign w:val="center"/>
          </w:tcPr>
          <w:p w14:paraId="7FF4193E">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Style w:val="149"/>
                <w:rFonts w:hint="eastAsia" w:ascii="宋体" w:hAnsi="宋体" w:eastAsia="宋体" w:cs="宋体"/>
                <w:color w:val="auto"/>
                <w:kern w:val="0"/>
                <w:sz w:val="21"/>
                <w:szCs w:val="21"/>
                <w:highlight w:val="none"/>
                <w:lang w:val="en-US" w:eastAsia="zh-CN" w:bidi="ar-SA"/>
              </w:rPr>
              <w:t>我方提供完整的电子文件。如果我方成为本项目中标候选人，我方同意并授权招标人在评标结果公示期内公开我方商务标书的全部内容。</w:t>
            </w:r>
          </w:p>
        </w:tc>
        <w:tc>
          <w:tcPr>
            <w:tcW w:w="5051" w:type="dxa"/>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14:paraId="792CD4D6">
            <w:pPr>
              <w:pStyle w:val="105"/>
              <w:wordWrap w:val="0"/>
              <w:adjustRightInd w:val="0"/>
              <w:snapToGrid w:val="0"/>
              <w:spacing w:line="240" w:lineRule="auto"/>
              <w:ind w:firstLine="0" w:firstLineChars="0"/>
              <w:jc w:val="left"/>
              <mc:AlternateContent>
                <mc:Choice Requires="wpsCustomData">
                  <wpsCustomData:diagonalParaType/>
                </mc:Choice>
              </mc:AlternateConten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p>
          <w:p w14:paraId="5371DC32">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tc>
      </w:tr>
      <w:tr w14:paraId="5558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noWrap w:val="0"/>
            <w:vAlign w:val="center"/>
          </w:tcPr>
          <w:p w14:paraId="2CA55772">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1573" w:type="dxa"/>
            <w:noWrap w:val="0"/>
            <w:vAlign w:val="center"/>
          </w:tcPr>
          <w:p w14:paraId="6932DB3C">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对不正常报价</w:t>
            </w:r>
          </w:p>
          <w:p w14:paraId="47C72A9E">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的确认承诺</w:t>
            </w:r>
          </w:p>
        </w:tc>
        <w:tc>
          <w:tcPr>
            <w:tcW w:w="2923" w:type="dxa"/>
            <w:noWrap w:val="0"/>
            <w:vAlign w:val="center"/>
          </w:tcPr>
          <w:p w14:paraId="23C60564">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如果我方中标，我方接受招标人在合同订立期间依据招标文件有关条款约定对我方已标价工程量清单中不正常报价的修正或认定，并按要求签署《不正常报价清单》加以确认。</w:t>
            </w:r>
          </w:p>
        </w:tc>
        <w:tc>
          <w:tcPr>
            <w:tcW w:w="5051" w:type="dxa"/>
            <w:tcBorders>
              <w:tr2bl w:val="single" w:color="auto" w:sz="4" w:space="0"/>
            </w:tcBorders>
            <w:noWrap w:val="0"/>
            <w:vAlign w:val="center"/>
          </w:tcPr>
          <w:p w14:paraId="55668576">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p w14:paraId="642CF26D">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tc>
      </w:tr>
      <w:tr w14:paraId="2256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noWrap w:val="0"/>
            <w:vAlign w:val="center"/>
          </w:tcPr>
          <w:p w14:paraId="152E1C26">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573" w:type="dxa"/>
            <w:noWrap w:val="0"/>
            <w:vAlign w:val="center"/>
          </w:tcPr>
          <w:p w14:paraId="602BAC82">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按时提交履约</w:t>
            </w:r>
          </w:p>
          <w:p w14:paraId="17D76285">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保证的承诺</w:t>
            </w:r>
          </w:p>
        </w:tc>
        <w:tc>
          <w:tcPr>
            <w:tcW w:w="2923" w:type="dxa"/>
            <w:noWrap w:val="0"/>
            <w:vAlign w:val="center"/>
          </w:tcPr>
          <w:p w14:paraId="1C8A78CC">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如果我方中标，我方保证在招标文件规定的时限内全额提交履约保证。</w:t>
            </w:r>
          </w:p>
        </w:tc>
        <w:tc>
          <w:tcPr>
            <w:tcW w:w="5051" w:type="dxa"/>
            <w:noWrap w:val="0"/>
            <w:vAlign w:val="center"/>
          </w:tcPr>
          <w:p w14:paraId="65D95811">
            <w:pPr>
              <w:pStyle w:val="105"/>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7A45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14:paraId="3886BCE4">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w:t>
            </w:r>
          </w:p>
        </w:tc>
        <w:tc>
          <w:tcPr>
            <w:tcW w:w="1573" w:type="dxa"/>
            <w:noWrap w:val="0"/>
            <w:vAlign w:val="center"/>
          </w:tcPr>
          <w:p w14:paraId="5884F3E6">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w:t>
            </w:r>
          </w:p>
          <w:p w14:paraId="3E22C25F">
            <w:pPr>
              <w:pStyle w:val="105"/>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的承诺</w:t>
            </w:r>
          </w:p>
        </w:tc>
        <w:tc>
          <w:tcPr>
            <w:tcW w:w="2923" w:type="dxa"/>
            <w:noWrap w:val="0"/>
            <w:vAlign w:val="center"/>
          </w:tcPr>
          <w:p w14:paraId="0F6C8B79">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5051" w:type="dxa"/>
            <w:noWrap w:val="0"/>
            <w:vAlign w:val="center"/>
          </w:tcPr>
          <w:p w14:paraId="09F1152E">
            <w:pPr>
              <w:pStyle w:val="105"/>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12BF36D9">
      <w:pPr>
        <w:pStyle w:val="63"/>
        <w:wordWrap w:val="0"/>
        <w:adjustRightInd w:val="0"/>
        <w:snapToGrid w:val="0"/>
        <w:spacing w:line="420" w:lineRule="exact"/>
        <w:jc w:val="left"/>
        <w:rPr>
          <w:rFonts w:hint="eastAsia" w:ascii="宋体" w:hAnsi="宋体" w:eastAsia="宋体" w:cs="宋体"/>
          <w:snapToGrid w:val="0"/>
          <w:color w:val="auto"/>
          <w:kern w:val="0"/>
          <w:highlight w:val="none"/>
        </w:rPr>
      </w:pPr>
    </w:p>
    <w:p w14:paraId="1FFF2D81">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（盖单位章）</w:t>
      </w:r>
    </w:p>
    <w:p w14:paraId="23E43B1D">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2AC55EB8">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0F909714">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法定代表人或其委托代理人：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（签字或盖章）</w:t>
      </w:r>
    </w:p>
    <w:p w14:paraId="135C2E42">
      <w:pPr>
        <w:pStyle w:val="18"/>
        <w:wordWrap w:val="0"/>
        <w:adjustRightInd w:val="0"/>
        <w:snapToGrid w:val="0"/>
        <w:spacing w:line="420" w:lineRule="exact"/>
        <w:ind w:firstLine="480" w:firstLineChars="200"/>
        <w:rPr>
          <w:rFonts w:hint="eastAsia" w:ascii="宋体" w:hAnsi="宋体" w:eastAsia="宋体" w:cs="宋体"/>
          <w:snapToGrid w:val="0"/>
          <w:color w:val="auto"/>
          <w:kern w:val="0"/>
          <w:szCs w:val="24"/>
          <w:highlight w:val="none"/>
        </w:rPr>
      </w:pPr>
    </w:p>
    <w:p w14:paraId="2D5F2631">
      <w:pPr>
        <w:pStyle w:val="18"/>
        <w:wordWrap w:val="0"/>
        <w:adjustRightInd w:val="0"/>
        <w:snapToGrid w:val="0"/>
        <w:spacing w:line="420" w:lineRule="exact"/>
        <w:ind w:firstLine="480" w:firstLineChars="200"/>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月</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日</w:t>
      </w:r>
    </w:p>
    <w:p w14:paraId="6C177A91">
      <w:pPr>
        <w:wordWrap w:val="0"/>
        <w:adjustRightInd w:val="0"/>
        <w:snapToGrid w:val="0"/>
        <w:spacing w:line="420" w:lineRule="exact"/>
        <w:jc w:val="left"/>
        <w:outlineLvl w:val="2"/>
        <w:rPr>
          <w:rFonts w:hint="eastAsia" w:ascii="宋体" w:hAnsi="宋体" w:eastAsia="宋体" w:cs="宋体"/>
          <w:b/>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139350AD">
      <w:pPr>
        <w:pStyle w:val="5"/>
        <w:bidi w:val="0"/>
        <w:ind w:firstLine="964"/>
        <w:rPr>
          <w:rFonts w:hint="eastAsia" w:ascii="宋体" w:hAnsi="宋体" w:eastAsia="宋体" w:cs="宋体"/>
        </w:rPr>
      </w:pPr>
      <w:bookmarkStart w:id="323" w:name="_Toc1689"/>
      <w:bookmarkStart w:id="324" w:name="_Toc1822"/>
      <w:r>
        <w:rPr>
          <w:rFonts w:hint="eastAsia" w:ascii="宋体" w:hAnsi="宋体" w:eastAsia="宋体" w:cs="宋体"/>
        </w:rPr>
        <w:t>格式四 授权委托书</w:t>
      </w:r>
      <w:bookmarkEnd w:id="323"/>
      <w:bookmarkEnd w:id="324"/>
    </w:p>
    <w:p w14:paraId="6E80C7C9">
      <w:pPr>
        <w:wordWrap w:val="0"/>
        <w:adjustRightInd w:val="0"/>
        <w:snapToGrid w:val="0"/>
        <w:spacing w:line="440" w:lineRule="exact"/>
        <w:outlineLvl w:val="2"/>
        <w:rPr>
          <w:rFonts w:hint="eastAsia" w:ascii="宋体" w:hAnsi="宋体" w:eastAsia="宋体" w:cs="宋体"/>
          <w:b/>
          <w:bCs/>
          <w:snapToGrid w:val="0"/>
          <w:color w:val="auto"/>
          <w:kern w:val="0"/>
          <w:szCs w:val="24"/>
          <w:highlight w:val="none"/>
        </w:rPr>
      </w:pPr>
    </w:p>
    <w:p w14:paraId="668E4464">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授权委托书</w:t>
      </w:r>
    </w:p>
    <w:p w14:paraId="410F446E">
      <w:pPr>
        <w:wordWrap w:val="0"/>
        <w:adjustRightInd w:val="0"/>
        <w:snapToGrid w:val="0"/>
        <w:spacing w:line="440" w:lineRule="exact"/>
        <w:rPr>
          <w:rFonts w:hint="eastAsia" w:ascii="宋体" w:hAnsi="宋体" w:eastAsia="宋体" w:cs="宋体"/>
          <w:snapToGrid w:val="0"/>
          <w:color w:val="auto"/>
          <w:kern w:val="0"/>
          <w:szCs w:val="28"/>
          <w:highlight w:val="none"/>
        </w:rPr>
      </w:pPr>
    </w:p>
    <w:p w14:paraId="2B15256A">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（项目名称）投标文件、签订合同和处理有关事宜，其法律后果由我方承担。</w:t>
      </w:r>
    </w:p>
    <w:p w14:paraId="71F398E8">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委托期限：至</w:t>
      </w:r>
      <w:r>
        <w:rPr>
          <w:rFonts w:hint="eastAsia" w:ascii="宋体" w:hAnsi="宋体" w:eastAsia="宋体" w:cs="宋体"/>
          <w:snapToGrid w:val="0"/>
          <w:color w:val="auto"/>
          <w:kern w:val="0"/>
          <w:szCs w:val="21"/>
          <w:highlight w:val="none"/>
          <w:u w:val="single"/>
        </w:rPr>
        <w:t xml:space="preserve">     年   月   日</w:t>
      </w:r>
      <w:r>
        <w:rPr>
          <w:rFonts w:hint="eastAsia" w:ascii="宋体" w:hAnsi="宋体" w:eastAsia="宋体" w:cs="宋体"/>
          <w:i/>
          <w:iCs/>
          <w:snapToGrid w:val="0"/>
          <w:color w:val="auto"/>
          <w:kern w:val="0"/>
          <w:szCs w:val="21"/>
          <w:highlight w:val="none"/>
          <w:u w:val="single"/>
        </w:rPr>
        <w:t>（不得短于招标文件规定的投标有效期）</w:t>
      </w:r>
      <w:r>
        <w:rPr>
          <w:rFonts w:hint="eastAsia" w:ascii="宋体" w:hAnsi="宋体" w:eastAsia="宋体" w:cs="宋体"/>
          <w:snapToGrid w:val="0"/>
          <w:color w:val="auto"/>
          <w:kern w:val="0"/>
          <w:szCs w:val="21"/>
          <w:highlight w:val="none"/>
        </w:rPr>
        <w:t xml:space="preserve"> 。</w:t>
      </w:r>
    </w:p>
    <w:p w14:paraId="13533AD5">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代理人无转委托权。</w:t>
      </w:r>
    </w:p>
    <w:p w14:paraId="18314F57">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28A04AE0">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00057EDC">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投  标  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0DF58A6E">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24CEF71F">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3EBAC6E8">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2410A6DB">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0662E304">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hAnsi="宋体" w:cs="宋体"/>
          <w:snapToGrid w:val="0"/>
          <w:color w:val="auto"/>
          <w:kern w:val="0"/>
          <w:szCs w:val="21"/>
          <w:highlight w:val="none"/>
          <w:lang w:val="en-US" w:eastAsia="zh-CN"/>
        </w:rPr>
        <w:t xml:space="preserve">       </w:t>
      </w:r>
      <w:r>
        <w:rPr>
          <w:rFonts w:hint="eastAsia" w:ascii="宋体" w:hAnsi="宋体" w:eastAsia="宋体" w:cs="宋体"/>
          <w:snapToGrid w:val="0"/>
          <w:color w:val="auto"/>
          <w:kern w:val="0"/>
          <w:szCs w:val="21"/>
          <w:highlight w:val="none"/>
        </w:rPr>
        <w:t>委托代理人：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6541EF4D">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0E4C77A7">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78A4A827">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442C4CE0">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317F7755">
      <w:pPr>
        <w:wordWrap w:val="0"/>
        <w:adjustRightInd w:val="0"/>
        <w:snapToGrid w:val="0"/>
        <w:ind w:firstLine="6440" w:firstLineChars="23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8"/>
          <w:szCs w:val="28"/>
          <w:highlight w:val="none"/>
          <w:u w:val="single"/>
        </w:rPr>
        <mc:AlternateContent>
          <mc:Choice Requires="wps">
            <w:drawing>
              <wp:anchor distT="0" distB="0" distL="114300" distR="114300" simplePos="0" relativeHeight="251661312" behindDoc="0" locked="0" layoutInCell="1" allowOverlap="1">
                <wp:simplePos x="0" y="0"/>
                <wp:positionH relativeFrom="column">
                  <wp:posOffset>1466850</wp:posOffset>
                </wp:positionH>
                <wp:positionV relativeFrom="paragraph">
                  <wp:posOffset>33020</wp:posOffset>
                </wp:positionV>
                <wp:extent cx="3190875" cy="2202815"/>
                <wp:effectExtent l="4445" t="4445" r="5080" b="21590"/>
                <wp:wrapNone/>
                <wp:docPr id="20" name="自选图形 19"/>
                <wp:cNvGraphicFramePr/>
                <a:graphic xmlns:a="http://schemas.openxmlformats.org/drawingml/2006/main">
                  <a:graphicData uri="http://schemas.microsoft.com/office/word/2010/wordprocessingShape">
                    <wps:wsp>
                      <wps:cNvSpPr/>
                      <wps:spPr>
                        <a:xfrm>
                          <a:off x="0" y="0"/>
                          <a:ext cx="3190875" cy="22028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20F9F4C">
                            <w:pPr>
                              <w:jc w:val="both"/>
                              <w:rPr>
                                <w:rFonts w:hint="eastAsia"/>
                                <w:szCs w:val="21"/>
                              </w:rPr>
                            </w:pPr>
                          </w:p>
                          <w:p w14:paraId="3519F283">
                            <w:pPr>
                              <w:jc w:val="center"/>
                              <w:rPr>
                                <w:szCs w:val="21"/>
                              </w:rPr>
                            </w:pPr>
                            <w:r>
                              <w:rPr>
                                <w:rFonts w:hint="eastAsia"/>
                                <w:szCs w:val="21"/>
                              </w:rPr>
                              <w:t>委托代理人身份证</w:t>
                            </w:r>
                            <w:r>
                              <w:rPr>
                                <w:rFonts w:hint="eastAsia"/>
                                <w:szCs w:val="21"/>
                                <w:lang w:val="en-US" w:eastAsia="zh-CN"/>
                              </w:rPr>
                              <w:t>彩色扫描件</w:t>
                            </w:r>
                            <w:r>
                              <w:rPr>
                                <w:rFonts w:hint="eastAsia"/>
                                <w:szCs w:val="21"/>
                              </w:rPr>
                              <w:t>正、反面</w:t>
                            </w:r>
                          </w:p>
                        </w:txbxContent>
                      </wps:txbx>
                      <wps:bodyPr wrap="square" upright="1"/>
                    </wps:wsp>
                  </a:graphicData>
                </a:graphic>
              </wp:anchor>
            </w:drawing>
          </mc:Choice>
          <mc:Fallback>
            <w:pict>
              <v:shape id="自选图形 19" o:spid="_x0000_s1026" o:spt="176" type="#_x0000_t176" style="position:absolute;left:0pt;margin-left:115.5pt;margin-top:2.6pt;height:173.45pt;width:251.25pt;z-index:251661312;mso-width-relative:page;mso-height-relative:page;" fillcolor="#FFFFFF" filled="t" stroked="t" coordsize="21600,21600" o:gfxdata="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dUEotgAAAAJAQAADwAAAAAAAAABACAAAAAiAAAAZHJzL2Rvd25yZXYueG1sUEsBAhQAFAAAAAgA&#10;h07iQCOOAcwlAgAAVQQAAA4AAAAAAAAAAQAgAAAAJwEAAGRycy9lMm9Eb2MueG1sUEsFBgAAAAAG&#10;AAYAWQEAAL4FAAAAAA==&#10;">
                <v:fill on="t" focussize="0,0"/>
                <v:stroke color="#000000" joinstyle="miter"/>
                <v:imagedata o:title=""/>
                <o:lock v:ext="edit" aspectratio="f"/>
                <v:textbox>
                  <w:txbxContent>
                    <w:p w14:paraId="720F9F4C">
                      <w:pPr>
                        <w:jc w:val="both"/>
                        <w:rPr>
                          <w:rFonts w:hint="eastAsia"/>
                          <w:szCs w:val="21"/>
                        </w:rPr>
                      </w:pPr>
                    </w:p>
                    <w:p w14:paraId="3519F283">
                      <w:pPr>
                        <w:jc w:val="center"/>
                        <w:rPr>
                          <w:szCs w:val="21"/>
                        </w:rPr>
                      </w:pPr>
                      <w:r>
                        <w:rPr>
                          <w:rFonts w:hint="eastAsia"/>
                          <w:szCs w:val="21"/>
                        </w:rPr>
                        <w:t>委托代理人身份证</w:t>
                      </w:r>
                      <w:r>
                        <w:rPr>
                          <w:rFonts w:hint="eastAsia"/>
                          <w:szCs w:val="21"/>
                          <w:lang w:val="en-US" w:eastAsia="zh-CN"/>
                        </w:rPr>
                        <w:t>彩色扫描件</w:t>
                      </w:r>
                      <w:r>
                        <w:rPr>
                          <w:rFonts w:hint="eastAsia"/>
                          <w:szCs w:val="21"/>
                        </w:rPr>
                        <w:t>正、反面</w:t>
                      </w:r>
                    </w:p>
                  </w:txbxContent>
                </v:textbox>
              </v:shape>
            </w:pict>
          </mc:Fallback>
        </mc:AlternateContent>
      </w:r>
    </w:p>
    <w:p w14:paraId="318E5F3D">
      <w:pPr>
        <w:pStyle w:val="12"/>
        <w:wordWrap w:val="0"/>
        <w:adjustRightInd w:val="0"/>
        <w:snapToGrid w:val="0"/>
        <w:rPr>
          <w:rFonts w:hint="eastAsia" w:ascii="宋体" w:hAnsi="宋体" w:eastAsia="宋体" w:cs="宋体"/>
          <w:snapToGrid w:val="0"/>
          <w:color w:val="auto"/>
          <w:kern w:val="0"/>
          <w:szCs w:val="24"/>
          <w:highlight w:val="none"/>
        </w:rPr>
      </w:pPr>
    </w:p>
    <w:p w14:paraId="22AA67A4">
      <w:pPr>
        <w:pStyle w:val="5"/>
        <w:keepNext w:val="0"/>
        <w:keepLines w:val="0"/>
        <w:wordWrap w:val="0"/>
        <w:adjustRightInd w:val="0"/>
        <w:snapToGrid w:val="0"/>
        <w:rPr>
          <w:rFonts w:hint="eastAsia" w:ascii="宋体" w:hAnsi="宋体" w:eastAsia="宋体" w:cs="宋体"/>
          <w:snapToGrid w:val="0"/>
          <w:color w:val="auto"/>
          <w:kern w:val="0"/>
          <w:highlight w:val="none"/>
        </w:rPr>
      </w:pPr>
    </w:p>
    <w:p w14:paraId="3C0011E6">
      <w:pPr>
        <w:pStyle w:val="6"/>
        <w:widowControl w:val="0"/>
        <w:wordWrap w:val="0"/>
        <w:adjustRightInd w:val="0"/>
        <w:snapToGrid w:val="0"/>
        <w:rPr>
          <w:rFonts w:hint="eastAsia" w:ascii="宋体" w:hAnsi="宋体" w:eastAsia="宋体" w:cs="宋体"/>
          <w:snapToGrid w:val="0"/>
          <w:color w:val="auto"/>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55305402">
      <w:pPr>
        <w:pStyle w:val="5"/>
        <w:bidi w:val="0"/>
        <w:ind w:firstLine="964"/>
        <w:rPr>
          <w:rFonts w:hint="eastAsia" w:ascii="宋体" w:hAnsi="宋体" w:eastAsia="宋体" w:cs="宋体"/>
        </w:rPr>
      </w:pPr>
      <w:bookmarkStart w:id="325" w:name="_Toc21377"/>
      <w:bookmarkStart w:id="326" w:name="_Toc26408"/>
      <w:r>
        <w:rPr>
          <w:rFonts w:hint="eastAsia" w:ascii="宋体" w:hAnsi="宋体" w:eastAsia="宋体" w:cs="宋体"/>
        </w:rPr>
        <w:t>格式五 法定代表人身份证明</w:t>
      </w:r>
      <w:bookmarkEnd w:id="325"/>
      <w:bookmarkEnd w:id="326"/>
    </w:p>
    <w:p w14:paraId="6EE0024B">
      <w:pPr>
        <w:wordWrap w:val="0"/>
        <w:adjustRightInd w:val="0"/>
        <w:snapToGrid w:val="0"/>
        <w:spacing w:line="440" w:lineRule="exact"/>
        <w:outlineLvl w:val="2"/>
        <w:rPr>
          <w:rFonts w:hint="eastAsia" w:ascii="宋体" w:hAnsi="宋体" w:eastAsia="宋体" w:cs="宋体"/>
          <w:b/>
          <w:snapToGrid w:val="0"/>
          <w:color w:val="auto"/>
          <w:kern w:val="0"/>
          <w:highlight w:val="none"/>
        </w:rPr>
      </w:pPr>
    </w:p>
    <w:p w14:paraId="50523454">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法定代表人身份证明</w:t>
      </w:r>
    </w:p>
    <w:p w14:paraId="7C43F6B7">
      <w:pPr>
        <w:wordWrap w:val="0"/>
        <w:adjustRightInd w:val="0"/>
        <w:snapToGrid w:val="0"/>
        <w:spacing w:line="440" w:lineRule="exact"/>
        <w:rPr>
          <w:rFonts w:hint="eastAsia" w:ascii="宋体" w:hAnsi="宋体" w:eastAsia="宋体" w:cs="宋体"/>
          <w:snapToGrid w:val="0"/>
          <w:color w:val="auto"/>
          <w:kern w:val="0"/>
          <w:szCs w:val="21"/>
          <w:highlight w:val="none"/>
        </w:rPr>
      </w:pPr>
    </w:p>
    <w:p w14:paraId="0C110D28">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投标人名称：</w:t>
      </w:r>
      <w:r>
        <w:rPr>
          <w:rFonts w:hint="eastAsia" w:ascii="宋体" w:hAnsi="宋体" w:eastAsia="宋体" w:cs="宋体"/>
          <w:snapToGrid w:val="0"/>
          <w:color w:val="auto"/>
          <w:kern w:val="0"/>
          <w:szCs w:val="21"/>
          <w:highlight w:val="none"/>
          <w:u w:val="single"/>
        </w:rPr>
        <w:t xml:space="preserve">                  </w:t>
      </w:r>
    </w:p>
    <w:p w14:paraId="50CE7298">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姓名：</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性别：</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年龄：</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职务：</w:t>
      </w:r>
      <w:r>
        <w:rPr>
          <w:rFonts w:hint="eastAsia" w:ascii="宋体" w:hAnsi="宋体" w:eastAsia="宋体" w:cs="宋体"/>
          <w:snapToGrid w:val="0"/>
          <w:color w:val="auto"/>
          <w:kern w:val="0"/>
          <w:szCs w:val="21"/>
          <w:highlight w:val="none"/>
          <w:u w:val="single"/>
        </w:rPr>
        <w:t xml:space="preserve">           </w:t>
      </w:r>
    </w:p>
    <w:p w14:paraId="66B94B4C">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w:t>
      </w:r>
    </w:p>
    <w:p w14:paraId="067D108E">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特此证明。</w:t>
      </w:r>
    </w:p>
    <w:p w14:paraId="5EBCD16A">
      <w:pPr>
        <w:wordWrap w:val="0"/>
        <w:adjustRightInd w:val="0"/>
        <w:snapToGrid w:val="0"/>
        <w:spacing w:line="440" w:lineRule="exact"/>
        <w:rPr>
          <w:rFonts w:hint="eastAsia" w:ascii="宋体" w:hAnsi="宋体" w:eastAsia="宋体" w:cs="宋体"/>
          <w:snapToGrid w:val="0"/>
          <w:color w:val="auto"/>
          <w:kern w:val="0"/>
          <w:szCs w:val="21"/>
          <w:highlight w:val="none"/>
        </w:rPr>
      </w:pPr>
    </w:p>
    <w:p w14:paraId="18FE08E2">
      <w:pPr>
        <w:wordWrap w:val="0"/>
        <w:adjustRightInd w:val="0"/>
        <w:snapToGrid w:val="0"/>
        <w:spacing w:line="440" w:lineRule="exact"/>
        <w:rPr>
          <w:rFonts w:hint="eastAsia" w:ascii="宋体" w:hAnsi="宋体" w:eastAsia="宋体" w:cs="宋体"/>
          <w:snapToGrid w:val="0"/>
          <w:color w:val="auto"/>
          <w:kern w:val="0"/>
          <w:szCs w:val="21"/>
          <w:highlight w:val="none"/>
        </w:rPr>
      </w:pPr>
    </w:p>
    <w:p w14:paraId="42917C0D">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5859D1C7">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0DC7F95B">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5B803A15">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58BEF30E">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44B2537E">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 xml:space="preserve">日       </w:t>
      </w:r>
    </w:p>
    <w:p w14:paraId="17861ECA">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086D601B">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i/>
          <w:iCs/>
          <w:snapToGrid w:val="0"/>
          <w:color w:val="auto"/>
          <w:kern w:val="0"/>
          <w:szCs w:val="21"/>
          <w:highlight w:val="none"/>
        </w:rPr>
        <w:t xml:space="preserve"> </w:t>
      </w:r>
    </w:p>
    <w:p w14:paraId="7AE560AF">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p>
    <w:p w14:paraId="7EF52D27">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p>
    <w:p w14:paraId="6CEA5BFE">
      <w:pPr>
        <w:wordWrap w:val="0"/>
        <w:adjustRightInd w:val="0"/>
        <w:snapToGrid w:val="0"/>
        <w:rPr>
          <w:rFonts w:hint="eastAsia" w:ascii="宋体" w:hAnsi="宋体" w:eastAsia="宋体" w:cs="宋体"/>
          <w:b/>
          <w:snapToGrid w:val="0"/>
          <w:color w:val="auto"/>
          <w:kern w:val="0"/>
          <w:szCs w:val="21"/>
          <w:highlight w:val="none"/>
        </w:rPr>
      </w:pPr>
      <w:r>
        <w:rPr>
          <w:rFonts w:hint="eastAsia" w:ascii="宋体" w:hAnsi="宋体" w:eastAsia="宋体" w:cs="宋体"/>
          <w:b/>
          <w:snapToGrid w:val="0"/>
          <w:color w:val="auto"/>
          <w:kern w:val="0"/>
          <w:szCs w:val="21"/>
          <w:highlight w:val="none"/>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3120390" cy="2336165"/>
                <wp:effectExtent l="4445" t="4445" r="18415" b="21590"/>
                <wp:wrapNone/>
                <wp:docPr id="19" name="自选图形 18"/>
                <wp:cNvGraphicFramePr/>
                <a:graphic xmlns:a="http://schemas.openxmlformats.org/drawingml/2006/main">
                  <a:graphicData uri="http://schemas.microsoft.com/office/word/2010/wordprocessingShape">
                    <wps:wsp>
                      <wps:cNvSpPr/>
                      <wps:spPr>
                        <a:xfrm>
                          <a:off x="0" y="0"/>
                          <a:ext cx="3120390" cy="233616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6661002F">
                            <w:pPr>
                              <w:jc w:val="center"/>
                              <w:rPr>
                                <w:rFonts w:hint="eastAsia"/>
                                <w:szCs w:val="21"/>
                              </w:rPr>
                            </w:pPr>
                          </w:p>
                          <w:p w14:paraId="4A6AF7FF">
                            <w:pPr>
                              <w:jc w:val="center"/>
                              <w:rPr>
                                <w:szCs w:val="21"/>
                              </w:rPr>
                            </w:pPr>
                            <w:r>
                              <w:rPr>
                                <w:rFonts w:hint="eastAsia"/>
                                <w:szCs w:val="21"/>
                              </w:rPr>
                              <w:t>法定代表人身份证</w:t>
                            </w:r>
                            <w:r>
                              <w:rPr>
                                <w:rFonts w:hint="eastAsia"/>
                                <w:szCs w:val="21"/>
                                <w:lang w:val="en-US" w:eastAsia="zh-CN"/>
                              </w:rPr>
                              <w:t>彩色扫描件</w:t>
                            </w:r>
                            <w:r>
                              <w:rPr>
                                <w:rFonts w:hint="eastAsia"/>
                                <w:szCs w:val="21"/>
                              </w:rPr>
                              <w:t>正、反面</w:t>
                            </w:r>
                          </w:p>
                        </w:txbxContent>
                      </wps:txbx>
                      <wps:bodyPr wrap="square" upright="1"/>
                    </wps:wsp>
                  </a:graphicData>
                </a:graphic>
              </wp:anchor>
            </w:drawing>
          </mc:Choice>
          <mc:Fallback>
            <w:pict>
              <v:shape id="自选图形 18" o:spid="_x0000_s1026" o:spt="176" type="#_x0000_t176" style="position:absolute;left:0pt;margin-left:127.5pt;margin-top:1.6pt;height:183.95pt;width:245.7pt;z-index:251660288;mso-width-relative:page;mso-height-relative:page;" fillcolor="#FFFFFF" filled="t" stroked="t" coordsize="21600,21600" o:gfxdata="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yCSMrXAAAACQEAAA8AAAAAAAAAAQAgAAAAIgAAAGRycy9kb3ducmV2LnhtbFBLAQIUABQAAAAI&#10;AIdO4kCFFy0zJwIAAFUEAAAOAAAAAAAAAAEAIAAAACYBAABkcnMvZTJvRG9jLnhtbFBLBQYAAAAA&#10;BgAGAFkBAAC/BQAAAAA=&#10;">
                <v:fill on="t" focussize="0,0"/>
                <v:stroke color="#000000" joinstyle="miter"/>
                <v:imagedata o:title=""/>
                <o:lock v:ext="edit" aspectratio="f"/>
                <v:textbox>
                  <w:txbxContent>
                    <w:p w14:paraId="6661002F">
                      <w:pPr>
                        <w:jc w:val="center"/>
                        <w:rPr>
                          <w:rFonts w:hint="eastAsia"/>
                          <w:szCs w:val="21"/>
                        </w:rPr>
                      </w:pPr>
                    </w:p>
                    <w:p w14:paraId="4A6AF7FF">
                      <w:pPr>
                        <w:jc w:val="center"/>
                        <w:rPr>
                          <w:szCs w:val="21"/>
                        </w:rPr>
                      </w:pPr>
                      <w:r>
                        <w:rPr>
                          <w:rFonts w:hint="eastAsia"/>
                          <w:szCs w:val="21"/>
                        </w:rPr>
                        <w:t>法定代表人身份证</w:t>
                      </w:r>
                      <w:r>
                        <w:rPr>
                          <w:rFonts w:hint="eastAsia"/>
                          <w:szCs w:val="21"/>
                          <w:lang w:val="en-US" w:eastAsia="zh-CN"/>
                        </w:rPr>
                        <w:t>彩色扫描件</w:t>
                      </w:r>
                      <w:r>
                        <w:rPr>
                          <w:rFonts w:hint="eastAsia"/>
                          <w:szCs w:val="21"/>
                        </w:rPr>
                        <w:t>正、反面</w:t>
                      </w:r>
                    </w:p>
                  </w:txbxContent>
                </v:textbox>
              </v:shape>
            </w:pict>
          </mc:Fallback>
        </mc:AlternateContent>
      </w:r>
    </w:p>
    <w:p w14:paraId="111EA1AD">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宋体" w:hAnsi="宋体" w:eastAsia="宋体" w:cs="宋体"/>
          <w:snapToGrid w:val="0"/>
          <w:color w:val="auto"/>
          <w:kern w:val="0"/>
          <w:sz w:val="28"/>
          <w:szCs w:val="28"/>
          <w:highlight w:val="none"/>
        </w:rPr>
      </w:pPr>
    </w:p>
    <w:p w14:paraId="68311271">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05479ACC">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2BCA9777">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2AAFEBA5">
      <w:pPr>
        <w:pStyle w:val="5"/>
        <w:bidi w:val="0"/>
        <w:ind w:firstLine="964"/>
        <w:rPr>
          <w:rFonts w:hint="eastAsia" w:ascii="宋体" w:hAnsi="宋体" w:eastAsia="宋体" w:cs="宋体"/>
        </w:rPr>
      </w:pPr>
      <w:bookmarkStart w:id="327" w:name="_Toc191"/>
      <w:r>
        <w:rPr>
          <w:rFonts w:hint="eastAsia" w:ascii="宋体" w:hAnsi="宋体" w:eastAsia="宋体" w:cs="宋体"/>
        </w:rPr>
        <w:t>格式六 联合体协议书</w:t>
      </w:r>
      <w:bookmarkEnd w:id="327"/>
    </w:p>
    <w:p w14:paraId="72741372">
      <w:pPr>
        <w:pStyle w:val="75"/>
        <w:widowControl w:val="0"/>
        <w:wordWrap w:val="0"/>
        <w:adjustRightInd w:val="0"/>
        <w:snapToGrid w:val="0"/>
        <w:spacing w:line="440" w:lineRule="exact"/>
        <w:ind w:firstLine="0"/>
        <w:rPr>
          <w:rFonts w:hint="eastAsia" w:ascii="宋体" w:hAnsi="宋体" w:eastAsia="宋体" w:cs="宋体"/>
          <w:b/>
          <w:bCs/>
          <w:snapToGrid w:val="0"/>
          <w:color w:val="auto"/>
          <w:sz w:val="24"/>
          <w:szCs w:val="24"/>
          <w:highlight w:val="none"/>
        </w:rPr>
      </w:pPr>
    </w:p>
    <w:p w14:paraId="41DB3835">
      <w:pPr>
        <w:pStyle w:val="75"/>
        <w:widowControl w:val="0"/>
        <w:wordWrap w:val="0"/>
        <w:adjustRightInd w:val="0"/>
        <w:snapToGrid w:val="0"/>
        <w:spacing w:before="240" w:after="240" w:line="440" w:lineRule="exact"/>
        <w:ind w:firstLine="0"/>
        <w:jc w:val="center"/>
        <w:rPr>
          <w:rFonts w:hint="eastAsia" w:ascii="宋体" w:hAnsi="宋体" w:eastAsia="宋体" w:cs="宋体"/>
          <w:snapToGrid w:val="0"/>
          <w:color w:val="auto"/>
          <w:sz w:val="24"/>
          <w:szCs w:val="21"/>
          <w:highlight w:val="none"/>
        </w:rPr>
      </w:pPr>
      <w:r>
        <w:rPr>
          <w:rFonts w:hint="eastAsia" w:ascii="宋体" w:hAnsi="宋体" w:eastAsia="宋体" w:cs="宋体"/>
          <w:b/>
          <w:snapToGrid w:val="0"/>
          <w:color w:val="auto"/>
          <w:sz w:val="30"/>
          <w:highlight w:val="none"/>
        </w:rPr>
        <w:t>联合体协议书</w:t>
      </w:r>
    </w:p>
    <w:p w14:paraId="7B1FDFC7">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83E66A7">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14:paraId="6AA42EDC">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7C4DCC05">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42499157">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3E318967">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w:t>
      </w:r>
      <w:r>
        <w:rPr>
          <w:rFonts w:hint="eastAsia" w:hAnsi="宋体" w:cs="宋体"/>
          <w:snapToGrid w:val="0"/>
          <w:color w:val="auto"/>
          <w:sz w:val="24"/>
          <w:szCs w:val="24"/>
          <w:highlight w:val="none"/>
          <w:lang w:val="en-US" w:eastAsia="zh-CN"/>
        </w:rPr>
        <w:t>二</w:t>
      </w:r>
      <w:r>
        <w:rPr>
          <w:rFonts w:hint="eastAsia" w:ascii="宋体" w:hAnsi="宋体" w:eastAsia="宋体" w:cs="宋体"/>
          <w:snapToGrid w:val="0"/>
          <w:color w:val="auto"/>
          <w:sz w:val="24"/>
          <w:szCs w:val="24"/>
          <w:highlight w:val="none"/>
        </w:rPr>
        <w:t>名称：</w:t>
      </w:r>
      <w:r>
        <w:rPr>
          <w:rFonts w:hint="eastAsia" w:ascii="宋体" w:hAnsi="宋体" w:eastAsia="宋体" w:cs="宋体"/>
          <w:snapToGrid w:val="0"/>
          <w:color w:val="auto"/>
          <w:sz w:val="24"/>
          <w:szCs w:val="24"/>
          <w:highlight w:val="none"/>
          <w:u w:val="single"/>
        </w:rPr>
        <w:t xml:space="preserve">                                                  </w:t>
      </w:r>
    </w:p>
    <w:p w14:paraId="28B9972A">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6F25810A">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24FEF042">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14C20DC4">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（项目名称）（以下简称“本项目”）的施工投标并争取赢得本项目施工承包合同（以下简称合同）。现就联合体投标事宜订立如下协议：</w:t>
      </w:r>
    </w:p>
    <w:p w14:paraId="18709A4A">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14:paraId="1E40AD6C">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50C3A983">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6D7EB687">
      <w:pPr>
        <w:pStyle w:val="75"/>
        <w:widowControl w:val="0"/>
        <w:wordWrap w:val="0"/>
        <w:adjustRightInd w:val="0"/>
        <w:snapToGrid w:val="0"/>
        <w:spacing w:line="440" w:lineRule="exact"/>
        <w:ind w:firstLine="48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4．联合体各成员单位内部的职责分工如下：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14:paraId="29C87631">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5．投标工作和联合体在中标后工程实施过程中的有关费用按各自承担的工作量分摊。</w:t>
      </w:r>
    </w:p>
    <w:p w14:paraId="5F87FB6B">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6．联合体中标后，本联合体协议是合同的附件，对联合体各成员单位有合同约束力。</w:t>
      </w:r>
    </w:p>
    <w:p w14:paraId="448375A3">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7．本协议书自签署之日起生效，联合体未中标或者中标时合同履行完毕后自动失效。</w:t>
      </w:r>
    </w:p>
    <w:p w14:paraId="22B92612">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14:paraId="6C624B7E">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20A8E8A0">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1ECB1BD8">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2BCA5B9D">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7B591364">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1B6524DC">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4D3D3CC3">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0822D36C">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22A66B01">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6EDCE6F1">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751C4994">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3D47C42F">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w:t>
      </w:r>
      <w:r>
        <w:rPr>
          <w:rFonts w:hint="eastAsia" w:hAnsi="宋体" w:cs="宋体"/>
          <w:snapToGrid w:val="0"/>
          <w:color w:val="auto"/>
          <w:sz w:val="24"/>
          <w:szCs w:val="24"/>
          <w:highlight w:val="none"/>
          <w:lang w:val="en-US" w:eastAsia="zh-CN"/>
        </w:rPr>
        <w:t>二</w:t>
      </w:r>
      <w:r>
        <w:rPr>
          <w:rFonts w:hint="eastAsia" w:ascii="宋体" w:hAnsi="宋体" w:eastAsia="宋体" w:cs="宋体"/>
          <w:snapToGrid w:val="0"/>
          <w:color w:val="auto"/>
          <w:sz w:val="24"/>
          <w:szCs w:val="24"/>
          <w:highlight w:val="none"/>
        </w:rPr>
        <w:t>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0E30BAB7">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4897D456">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776ECCCA">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72A788C1">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050351A7">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3B76D85D">
      <w:pPr>
        <w:pStyle w:val="7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14:paraId="48603A45">
      <w:pPr>
        <w:pStyle w:val="7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p>
    <w:p w14:paraId="6C67DAEF">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1"/>
          <w:szCs w:val="21"/>
          <w:highlight w:val="none"/>
        </w:rPr>
        <w:t>说明：《联合体协议书》由委托代理人签字或盖章的，应附法定代表人签字或盖章的授权委托书。</w:t>
      </w:r>
    </w:p>
    <w:p w14:paraId="06F67B56">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4CDAD11C">
      <w:pPr>
        <w:pStyle w:val="5"/>
        <w:bidi w:val="0"/>
        <w:ind w:firstLine="964"/>
        <w:rPr>
          <w:rFonts w:hint="eastAsia" w:ascii="宋体" w:hAnsi="宋体" w:eastAsia="宋体" w:cs="宋体"/>
        </w:rPr>
      </w:pPr>
      <w:bookmarkStart w:id="328" w:name="_Toc4289"/>
      <w:bookmarkStart w:id="329" w:name="_Toc15143"/>
      <w:r>
        <w:rPr>
          <w:rFonts w:hint="eastAsia" w:ascii="宋体" w:hAnsi="宋体" w:eastAsia="宋体" w:cs="宋体"/>
        </w:rPr>
        <w:t>格式七 投标人基本情况表</w:t>
      </w:r>
      <w:bookmarkEnd w:id="328"/>
      <w:bookmarkEnd w:id="329"/>
    </w:p>
    <w:p w14:paraId="0866184C">
      <w:pPr>
        <w:pStyle w:val="75"/>
        <w:widowControl w:val="0"/>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投标人基本情况表</w:t>
      </w:r>
    </w:p>
    <w:tbl>
      <w:tblPr>
        <w:tblStyle w:val="31"/>
        <w:tblW w:w="9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1236"/>
        <w:gridCol w:w="1350"/>
        <w:gridCol w:w="803"/>
        <w:gridCol w:w="457"/>
        <w:gridCol w:w="789"/>
        <w:gridCol w:w="260"/>
        <w:gridCol w:w="709"/>
        <w:gridCol w:w="1890"/>
      </w:tblGrid>
      <w:tr w14:paraId="216C6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9D56CF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投标人名称</w:t>
            </w:r>
          </w:p>
        </w:tc>
        <w:tc>
          <w:tcPr>
            <w:tcW w:w="7494" w:type="dxa"/>
            <w:gridSpan w:val="8"/>
            <w:noWrap w:val="0"/>
            <w:vAlign w:val="center"/>
          </w:tcPr>
          <w:p w14:paraId="510F47E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4122A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9C7017E">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注册地址</w:t>
            </w:r>
          </w:p>
        </w:tc>
        <w:tc>
          <w:tcPr>
            <w:tcW w:w="3389" w:type="dxa"/>
            <w:gridSpan w:val="3"/>
            <w:noWrap w:val="0"/>
            <w:vAlign w:val="center"/>
          </w:tcPr>
          <w:p w14:paraId="58B7A935">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1C27882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邮政编码</w:t>
            </w:r>
          </w:p>
        </w:tc>
        <w:tc>
          <w:tcPr>
            <w:tcW w:w="2859" w:type="dxa"/>
            <w:gridSpan w:val="3"/>
            <w:noWrap w:val="0"/>
            <w:vAlign w:val="center"/>
          </w:tcPr>
          <w:p w14:paraId="183CE11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7CD3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vMerge w:val="restart"/>
            <w:noWrap w:val="0"/>
            <w:vAlign w:val="center"/>
          </w:tcPr>
          <w:p w14:paraId="616410A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联系方式</w:t>
            </w:r>
          </w:p>
        </w:tc>
        <w:tc>
          <w:tcPr>
            <w:tcW w:w="1236" w:type="dxa"/>
            <w:noWrap w:val="0"/>
            <w:vAlign w:val="center"/>
          </w:tcPr>
          <w:p w14:paraId="411B04BE">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w:t>
            </w:r>
          </w:p>
        </w:tc>
        <w:tc>
          <w:tcPr>
            <w:tcW w:w="2153" w:type="dxa"/>
            <w:gridSpan w:val="2"/>
            <w:noWrap w:val="0"/>
            <w:vAlign w:val="center"/>
          </w:tcPr>
          <w:p w14:paraId="0B1A73C7">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23EB4934">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  话</w:t>
            </w:r>
          </w:p>
        </w:tc>
        <w:tc>
          <w:tcPr>
            <w:tcW w:w="2859" w:type="dxa"/>
            <w:gridSpan w:val="3"/>
            <w:noWrap w:val="0"/>
            <w:vAlign w:val="center"/>
          </w:tcPr>
          <w:p w14:paraId="6B5F10F3">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75AFF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vMerge w:val="continue"/>
            <w:noWrap w:val="0"/>
            <w:vAlign w:val="center"/>
          </w:tcPr>
          <w:p w14:paraId="2FF6D18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36" w:type="dxa"/>
            <w:noWrap w:val="0"/>
            <w:vAlign w:val="center"/>
          </w:tcPr>
          <w:p w14:paraId="4887582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传  真</w:t>
            </w:r>
          </w:p>
        </w:tc>
        <w:tc>
          <w:tcPr>
            <w:tcW w:w="2153" w:type="dxa"/>
            <w:gridSpan w:val="2"/>
            <w:noWrap w:val="0"/>
            <w:vAlign w:val="center"/>
          </w:tcPr>
          <w:p w14:paraId="40F51F14">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1D8AF32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电子邮箱</w:t>
            </w:r>
          </w:p>
        </w:tc>
        <w:tc>
          <w:tcPr>
            <w:tcW w:w="2859" w:type="dxa"/>
            <w:gridSpan w:val="3"/>
            <w:noWrap w:val="0"/>
            <w:vAlign w:val="center"/>
          </w:tcPr>
          <w:p w14:paraId="4AC4D9B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5E7ED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AC6678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单位性质</w:t>
            </w:r>
          </w:p>
        </w:tc>
        <w:tc>
          <w:tcPr>
            <w:tcW w:w="7494" w:type="dxa"/>
            <w:gridSpan w:val="8"/>
            <w:noWrap w:val="0"/>
            <w:vAlign w:val="center"/>
          </w:tcPr>
          <w:p w14:paraId="45D5160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097F7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C050D0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法定代表人</w:t>
            </w:r>
          </w:p>
        </w:tc>
        <w:tc>
          <w:tcPr>
            <w:tcW w:w="1236" w:type="dxa"/>
            <w:noWrap w:val="0"/>
            <w:vAlign w:val="center"/>
          </w:tcPr>
          <w:p w14:paraId="4F1F27C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姓名</w:t>
            </w:r>
          </w:p>
        </w:tc>
        <w:tc>
          <w:tcPr>
            <w:tcW w:w="1350" w:type="dxa"/>
            <w:noWrap w:val="0"/>
            <w:vAlign w:val="center"/>
          </w:tcPr>
          <w:p w14:paraId="5701327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noWrap w:val="0"/>
            <w:vAlign w:val="center"/>
          </w:tcPr>
          <w:p w14:paraId="3C3F20B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技术职称</w:t>
            </w:r>
          </w:p>
        </w:tc>
        <w:tc>
          <w:tcPr>
            <w:tcW w:w="1049" w:type="dxa"/>
            <w:gridSpan w:val="2"/>
            <w:noWrap w:val="0"/>
            <w:vAlign w:val="center"/>
          </w:tcPr>
          <w:p w14:paraId="28C35915">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709" w:type="dxa"/>
            <w:noWrap w:val="0"/>
            <w:vAlign w:val="center"/>
          </w:tcPr>
          <w:p w14:paraId="6BB86557">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电话</w:t>
            </w:r>
          </w:p>
        </w:tc>
        <w:tc>
          <w:tcPr>
            <w:tcW w:w="1890" w:type="dxa"/>
            <w:noWrap w:val="0"/>
            <w:vAlign w:val="center"/>
          </w:tcPr>
          <w:p w14:paraId="65F3021B">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6EAC9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1F61400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成立时间</w:t>
            </w:r>
          </w:p>
        </w:tc>
        <w:tc>
          <w:tcPr>
            <w:tcW w:w="2586" w:type="dxa"/>
            <w:gridSpan w:val="2"/>
            <w:noWrap w:val="0"/>
            <w:vAlign w:val="center"/>
          </w:tcPr>
          <w:p w14:paraId="12F82F2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4908" w:type="dxa"/>
            <w:gridSpan w:val="6"/>
            <w:noWrap w:val="0"/>
            <w:vAlign w:val="center"/>
          </w:tcPr>
          <w:p w14:paraId="65F1D88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员工总人数（个）：</w:t>
            </w:r>
          </w:p>
        </w:tc>
      </w:tr>
      <w:tr w14:paraId="0C037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B01CAD1">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企业资质</w:t>
            </w:r>
          </w:p>
          <w:p w14:paraId="18F4BB65">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类型和等级</w:t>
            </w:r>
          </w:p>
        </w:tc>
        <w:tc>
          <w:tcPr>
            <w:tcW w:w="2586" w:type="dxa"/>
            <w:gridSpan w:val="2"/>
            <w:noWrap w:val="0"/>
            <w:vAlign w:val="center"/>
          </w:tcPr>
          <w:p w14:paraId="17D5AA9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restart"/>
            <w:noWrap w:val="0"/>
            <w:vAlign w:val="center"/>
          </w:tcPr>
          <w:p w14:paraId="560AE16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其中</w:t>
            </w:r>
          </w:p>
        </w:tc>
        <w:tc>
          <w:tcPr>
            <w:tcW w:w="1758" w:type="dxa"/>
            <w:gridSpan w:val="3"/>
            <w:noWrap w:val="0"/>
            <w:vAlign w:val="center"/>
          </w:tcPr>
          <w:p w14:paraId="66615877">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w:t>
            </w:r>
          </w:p>
        </w:tc>
        <w:tc>
          <w:tcPr>
            <w:tcW w:w="1890" w:type="dxa"/>
            <w:noWrap w:val="0"/>
            <w:vAlign w:val="center"/>
          </w:tcPr>
          <w:p w14:paraId="469D4467">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302D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F3FA978">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营业执照号</w:t>
            </w:r>
          </w:p>
        </w:tc>
        <w:tc>
          <w:tcPr>
            <w:tcW w:w="2586" w:type="dxa"/>
            <w:gridSpan w:val="2"/>
            <w:noWrap w:val="0"/>
            <w:vAlign w:val="center"/>
          </w:tcPr>
          <w:p w14:paraId="552EDA9B">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574EDC95">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6B0BD724">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高级职称人员</w:t>
            </w:r>
          </w:p>
        </w:tc>
        <w:tc>
          <w:tcPr>
            <w:tcW w:w="1890" w:type="dxa"/>
            <w:noWrap w:val="0"/>
            <w:vAlign w:val="center"/>
          </w:tcPr>
          <w:p w14:paraId="35A6AF85">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3B6BA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1EF47BBF">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注册资金</w:t>
            </w:r>
          </w:p>
        </w:tc>
        <w:tc>
          <w:tcPr>
            <w:tcW w:w="2586" w:type="dxa"/>
            <w:gridSpan w:val="2"/>
            <w:noWrap w:val="0"/>
            <w:vAlign w:val="center"/>
          </w:tcPr>
          <w:p w14:paraId="74485A8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165C9BE8">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503D331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中级职称人员</w:t>
            </w:r>
          </w:p>
        </w:tc>
        <w:tc>
          <w:tcPr>
            <w:tcW w:w="1890" w:type="dxa"/>
            <w:noWrap w:val="0"/>
            <w:vAlign w:val="center"/>
          </w:tcPr>
          <w:p w14:paraId="61039E6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7270A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4895BFCE">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基本账户</w:t>
            </w:r>
          </w:p>
          <w:p w14:paraId="26B03910">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开户银行</w:t>
            </w:r>
          </w:p>
        </w:tc>
        <w:tc>
          <w:tcPr>
            <w:tcW w:w="2586" w:type="dxa"/>
            <w:gridSpan w:val="2"/>
            <w:noWrap w:val="0"/>
            <w:vAlign w:val="center"/>
          </w:tcPr>
          <w:p w14:paraId="43F0116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0924A60D">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6889800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初级职称人员</w:t>
            </w:r>
          </w:p>
        </w:tc>
        <w:tc>
          <w:tcPr>
            <w:tcW w:w="1890" w:type="dxa"/>
            <w:noWrap w:val="0"/>
            <w:vAlign w:val="center"/>
          </w:tcPr>
          <w:p w14:paraId="60A2363E">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2535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B153338">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基本账户</w:t>
            </w:r>
          </w:p>
          <w:p w14:paraId="2B58A2D8">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银行账号</w:t>
            </w:r>
          </w:p>
        </w:tc>
        <w:tc>
          <w:tcPr>
            <w:tcW w:w="2586" w:type="dxa"/>
            <w:gridSpan w:val="2"/>
            <w:noWrap w:val="0"/>
            <w:vAlign w:val="center"/>
          </w:tcPr>
          <w:p w14:paraId="4621BAA2">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6F82209E">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5AC25199">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技术员</w:t>
            </w:r>
          </w:p>
        </w:tc>
        <w:tc>
          <w:tcPr>
            <w:tcW w:w="1890" w:type="dxa"/>
            <w:noWrap w:val="0"/>
            <w:vAlign w:val="center"/>
          </w:tcPr>
          <w:p w14:paraId="0ABED723">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1B17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19F8116">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经营范围</w:t>
            </w:r>
          </w:p>
        </w:tc>
        <w:tc>
          <w:tcPr>
            <w:tcW w:w="7494" w:type="dxa"/>
            <w:gridSpan w:val="8"/>
            <w:noWrap w:val="0"/>
            <w:vAlign w:val="center"/>
          </w:tcPr>
          <w:p w14:paraId="737B14A7">
            <w:pPr>
              <w:pStyle w:val="123"/>
              <w:wordWrap w:val="0"/>
              <w:adjustRightInd w:val="0"/>
              <w:snapToGrid w:val="0"/>
              <w:spacing w:line="360" w:lineRule="auto"/>
              <w:jc w:val="left"/>
              <w:rPr>
                <w:rFonts w:hint="eastAsia" w:ascii="宋体" w:hAnsi="宋体" w:eastAsia="宋体" w:cs="宋体"/>
                <w:snapToGrid w:val="0"/>
                <w:color w:val="auto"/>
                <w:kern w:val="0"/>
                <w:sz w:val="22"/>
                <w:szCs w:val="22"/>
                <w:highlight w:val="none"/>
              </w:rPr>
            </w:pPr>
          </w:p>
        </w:tc>
      </w:tr>
      <w:tr w14:paraId="06286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C383DFA">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关联企业情况</w:t>
            </w:r>
          </w:p>
        </w:tc>
        <w:tc>
          <w:tcPr>
            <w:tcW w:w="7494" w:type="dxa"/>
            <w:gridSpan w:val="8"/>
            <w:noWrap w:val="0"/>
            <w:vAlign w:val="center"/>
          </w:tcPr>
          <w:p w14:paraId="5FB77DDD">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包括但不限于与投标人存在以下关系的不同单位：</w:t>
            </w:r>
          </w:p>
          <w:p w14:paraId="7A014051">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1．法定代表人为同一人的。</w:t>
            </w:r>
          </w:p>
          <w:p w14:paraId="59207C35">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2．存在控股、管理关系的。</w:t>
            </w:r>
          </w:p>
          <w:p w14:paraId="7E7AF003">
            <w:pPr>
              <w:pStyle w:val="123"/>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3．主要人员相互任职的。</w:t>
            </w:r>
          </w:p>
        </w:tc>
      </w:tr>
      <w:tr w14:paraId="1CC44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E4138AC">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备注</w:t>
            </w:r>
          </w:p>
        </w:tc>
        <w:tc>
          <w:tcPr>
            <w:tcW w:w="7494" w:type="dxa"/>
            <w:gridSpan w:val="8"/>
            <w:noWrap w:val="0"/>
            <w:vAlign w:val="center"/>
          </w:tcPr>
          <w:p w14:paraId="5585431B">
            <w:pPr>
              <w:pStyle w:val="123"/>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bl>
    <w:p w14:paraId="71B47A4E">
      <w:pPr>
        <w:pStyle w:val="123"/>
        <w:wordWrap w:val="0"/>
        <w:adjustRightInd w:val="0"/>
        <w:snapToGrid w:val="0"/>
        <w:spacing w:line="400" w:lineRule="exact"/>
        <w:ind w:firstLine="440" w:firstLineChars="20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说明：</w:t>
      </w:r>
    </w:p>
    <w:p w14:paraId="08A97991">
      <w:pPr>
        <w:pStyle w:val="123"/>
        <w:wordWrap w:val="0"/>
        <w:adjustRightInd w:val="0"/>
        <w:snapToGrid w:val="0"/>
        <w:spacing w:line="400" w:lineRule="exact"/>
        <w:ind w:firstLine="440" w:firstLineChars="20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1．《投标人基本情况表》后应附以下资料：</w:t>
      </w:r>
    </w:p>
    <w:p w14:paraId="6BD6C641">
      <w:pPr>
        <w:pStyle w:val="123"/>
        <w:wordWrap w:val="0"/>
        <w:adjustRightInd w:val="0"/>
        <w:snapToGrid w:val="0"/>
        <w:spacing w:line="400" w:lineRule="exact"/>
        <w:ind w:firstLine="440" w:firstLineChars="200"/>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（1）企业营业执照、资质证书、安全生产许可证的（</w:t>
      </w:r>
      <w:r>
        <w:rPr>
          <w:rFonts w:hint="eastAsia" w:ascii="宋体" w:hAnsi="宋体" w:eastAsia="宋体" w:cs="宋体"/>
          <w:b/>
          <w:bCs/>
          <w:snapToGrid w:val="0"/>
          <w:color w:val="auto"/>
          <w:kern w:val="0"/>
          <w:sz w:val="22"/>
          <w:szCs w:val="22"/>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3D6B5434">
      <w:pPr>
        <w:pStyle w:val="123"/>
        <w:wordWrap w:val="0"/>
        <w:adjustRightInd w:val="0"/>
        <w:snapToGrid w:val="0"/>
        <w:spacing w:line="400" w:lineRule="exact"/>
        <w:ind w:firstLine="440" w:firstLineChars="200"/>
        <w:rPr>
          <w:rFonts w:hint="eastAsia" w:ascii="宋体" w:hAnsi="宋体" w:eastAsia="宋体" w:cs="宋体"/>
          <w:snapToGrid w:val="0"/>
          <w:color w:val="auto"/>
          <w:kern w:val="0"/>
          <w:sz w:val="22"/>
          <w:szCs w:val="28"/>
          <w:highlight w:val="none"/>
        </w:rPr>
      </w:pPr>
      <w:r>
        <w:rPr>
          <w:rFonts w:hint="eastAsia" w:ascii="宋体" w:hAnsi="宋体" w:eastAsia="宋体" w:cs="宋体"/>
          <w:snapToGrid w:val="0"/>
          <w:color w:val="auto"/>
          <w:kern w:val="0"/>
          <w:sz w:val="22"/>
          <w:szCs w:val="22"/>
          <w:highlight w:val="none"/>
        </w:rPr>
        <w:t>（2）</w:t>
      </w:r>
      <w:r>
        <w:rPr>
          <w:rFonts w:hint="eastAsia" w:ascii="宋体" w:hAnsi="宋体" w:eastAsia="宋体" w:cs="宋体"/>
          <w:snapToGrid w:val="0"/>
          <w:color w:val="auto"/>
          <w:kern w:val="0"/>
          <w:sz w:val="22"/>
          <w:szCs w:val="28"/>
          <w:highlight w:val="none"/>
        </w:rPr>
        <w:t>“进粤企业和人员诚信信息登记平台”企业信息情况打印页。（适用于省外建筑企业）</w:t>
      </w:r>
    </w:p>
    <w:p w14:paraId="7C15E69F">
      <w:pPr>
        <w:pStyle w:val="123"/>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8"/>
          <w:highlight w:val="none"/>
        </w:rPr>
        <w:t xml:space="preserve">    </w:t>
      </w:r>
      <w:r>
        <w:rPr>
          <w:rFonts w:hint="eastAsia" w:ascii="宋体" w:hAnsi="宋体" w:eastAsia="宋体" w:cs="宋体"/>
          <w:snapToGrid w:val="0"/>
          <w:color w:val="auto"/>
          <w:kern w:val="0"/>
          <w:sz w:val="22"/>
          <w:szCs w:val="22"/>
          <w:highlight w:val="none"/>
        </w:rPr>
        <w:t>2．联合体投标的，联合体成员单位均应填写《投标人基本情况表》并提供以上所需资料。</w:t>
      </w:r>
    </w:p>
    <w:p w14:paraId="4B136FA8">
      <w:pPr>
        <w:pStyle w:val="75"/>
        <w:widowControl w:val="0"/>
        <w:wordWrap w:val="0"/>
        <w:adjustRightInd w:val="0"/>
        <w:snapToGrid w:val="0"/>
        <w:spacing w:line="400" w:lineRule="exact"/>
        <w:jc w:val="center"/>
        <w:rPr>
          <w:rFonts w:hint="eastAsia" w:ascii="宋体" w:hAnsi="宋体" w:eastAsia="宋体" w:cs="宋体"/>
          <w:snapToGrid w:val="0"/>
          <w:color w:val="auto"/>
          <w:sz w:val="21"/>
          <w:szCs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bookmarkEnd w:id="301"/>
    <w:bookmarkEnd w:id="302"/>
    <w:p w14:paraId="185FC050">
      <w:pPr>
        <w:pStyle w:val="5"/>
        <w:bidi w:val="0"/>
        <w:ind w:firstLine="964"/>
        <w:rPr>
          <w:rFonts w:hint="eastAsia" w:ascii="宋体" w:hAnsi="宋体" w:eastAsia="宋体" w:cs="宋体"/>
        </w:rPr>
      </w:pPr>
      <w:bookmarkStart w:id="330" w:name="_Toc32402"/>
      <w:bookmarkStart w:id="331" w:name="_Toc27834"/>
      <w:bookmarkStart w:id="332" w:name="_Toc10778"/>
      <w:bookmarkStart w:id="333" w:name="_Toc20248"/>
      <w:r>
        <w:rPr>
          <w:rFonts w:hint="eastAsia" w:ascii="宋体" w:hAnsi="宋体" w:eastAsia="宋体" w:cs="宋体"/>
        </w:rPr>
        <w:t>格式八 项目经理简历表</w:t>
      </w:r>
      <w:bookmarkEnd w:id="330"/>
      <w:bookmarkEnd w:id="331"/>
      <w:bookmarkEnd w:id="332"/>
      <w:bookmarkEnd w:id="333"/>
    </w:p>
    <w:p w14:paraId="723EA6A9">
      <w:pPr>
        <w:rPr>
          <w:rFonts w:hint="eastAsia" w:ascii="宋体" w:hAnsi="宋体" w:eastAsia="宋体" w:cs="宋体"/>
          <w:color w:val="auto"/>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4121FE3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4258BF7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790F124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6014D75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51EBE3F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1E9CDFA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EE1B94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619E58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54EB177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7DBB925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2788887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3F4C007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66CB761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992CDD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EAEAE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6AB8704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5F60A76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05820F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0DE681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8321A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5FC458D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以项目经理身份参与过的主要业绩（已完工项目）</w:t>
            </w:r>
          </w:p>
        </w:tc>
      </w:tr>
      <w:tr w14:paraId="04EBAE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00C47BA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0AB18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FE6A5D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3FCE26B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2A15A2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3BE3A6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19A682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7AFAA8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CA08B7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10B7689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ED92F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E6CF21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06A62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AD975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0BEEDE9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BF8F4F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3E325EB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1CCE818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287EA0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0FFAF5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5796A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25F4C55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350A5B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C570C6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041891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15BC7E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1029B6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ACD20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012C2E3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DC4FD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93959E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2D6626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8D29BD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0E00320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7AD87A0B">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34" w:name="_Toc21706"/>
      <w:bookmarkStart w:id="335" w:name="_Toc31554"/>
      <w:r>
        <w:rPr>
          <w:rFonts w:hint="eastAsia" w:ascii="宋体" w:hAnsi="宋体" w:eastAsia="宋体" w:cs="宋体"/>
          <w:b/>
          <w:snapToGrid w:val="0"/>
          <w:color w:val="auto"/>
          <w:kern w:val="0"/>
          <w:sz w:val="30"/>
          <w:highlight w:val="none"/>
        </w:rPr>
        <w:t>项目经理简历表</w:t>
      </w:r>
      <w:bookmarkEnd w:id="334"/>
      <w:bookmarkEnd w:id="335"/>
    </w:p>
    <w:p w14:paraId="09738794">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7DA401AE">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2A7BA0C2">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项目经理：</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0D1F80DE">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5B88AC49">
      <w:pPr>
        <w:pStyle w:val="63"/>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619EBD67">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46B29C9B">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1"/>
          <w:highlight w:val="none"/>
        </w:rPr>
        <w:t>说明：《项目经理简历表》后应附拟派项目经理以下资料：</w:t>
      </w:r>
    </w:p>
    <w:p w14:paraId="12A467CB">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w:t>
      </w:r>
    </w:p>
    <w:p w14:paraId="4BAB474F">
      <w:pPr>
        <w:wordWrap w:val="0"/>
        <w:adjustRightInd w:val="0"/>
        <w:snapToGrid w:val="0"/>
        <w:spacing w:line="360" w:lineRule="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 xml:space="preserve">    2．</w:t>
      </w:r>
      <w:r>
        <w:rPr>
          <w:rFonts w:hint="eastAsia" w:ascii="宋体" w:hAnsi="宋体" w:eastAsia="宋体" w:cs="宋体"/>
          <w:snapToGrid w:val="0"/>
          <w:color w:val="auto"/>
          <w:kern w:val="0"/>
          <w:sz w:val="21"/>
          <w:szCs w:val="21"/>
          <w:highlight w:val="none"/>
          <w:lang w:eastAsia="zh-CN"/>
        </w:rPr>
        <w:t>建造师电子注册证书（在使用有效期内的有效电子证书）彩色扫描件；</w:t>
      </w:r>
    </w:p>
    <w:p w14:paraId="7569D0B8">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3．B类安全生产考核合格证书</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或广东省建筑施工企业管理人员安全生产考核系统考核合格信息打印页；</w:t>
      </w:r>
    </w:p>
    <w:p w14:paraId="68B44872">
      <w:pPr>
        <w:snapToGrid w:val="0"/>
        <w:spacing w:line="360" w:lineRule="auto"/>
        <w:ind w:firstLine="420" w:firstLineChars="200"/>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4．</w:t>
      </w:r>
      <w:r>
        <w:rPr>
          <w:rFonts w:hint="eastAsia" w:ascii="宋体" w:hAnsi="宋体" w:eastAsia="宋体" w:cs="宋体"/>
          <w:snapToGrid w:val="0"/>
          <w:color w:val="auto"/>
          <w:kern w:val="0"/>
          <w:sz w:val="21"/>
          <w:szCs w:val="21"/>
          <w:highlight w:val="none"/>
          <w:lang w:eastAsia="zh-CN"/>
        </w:rPr>
        <w:t>在本单位缴纳社保的证明（至少连续</w:t>
      </w:r>
      <w:r>
        <w:rPr>
          <w:rFonts w:hint="eastAsia" w:hAnsi="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lang w:eastAsia="zh-CN"/>
        </w:rPr>
        <w:t>个月，其中必须有202</w:t>
      </w:r>
      <w:r>
        <w:rPr>
          <w:rFonts w:hint="eastAsia" w:hAnsi="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hAnsi="宋体" w:cs="宋体"/>
          <w:snapToGrid w:val="0"/>
          <w:color w:val="auto"/>
          <w:kern w:val="0"/>
          <w:sz w:val="21"/>
          <w:szCs w:val="21"/>
          <w:highlight w:val="none"/>
          <w:lang w:val="en-US" w:eastAsia="zh-CN"/>
        </w:rPr>
        <w:t>7</w:t>
      </w:r>
      <w:r>
        <w:rPr>
          <w:rFonts w:hint="eastAsia" w:ascii="宋体" w:hAnsi="宋体" w:eastAsia="宋体" w:cs="宋体"/>
          <w:snapToGrid w:val="0"/>
          <w:color w:val="auto"/>
          <w:kern w:val="0"/>
          <w:sz w:val="21"/>
          <w:szCs w:val="21"/>
          <w:highlight w:val="none"/>
          <w:lang w:eastAsia="zh-CN"/>
        </w:rPr>
        <w:t>月）彩色扫描件。拟派项目经理为退休返聘人员无法提供社保证明的，提供退休证和劳动彩色扫描件；</w:t>
      </w:r>
    </w:p>
    <w:p w14:paraId="776109B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sectPr>
          <w:endnotePr>
            <w:numFmt w:val="decimal"/>
          </w:endnotePr>
          <w:pgSz w:w="11906" w:h="16838"/>
          <w:pgMar w:top="1134" w:right="1134" w:bottom="1134" w:left="1134" w:header="567" w:footer="567" w:gutter="0"/>
          <w:cols w:space="720" w:num="1"/>
          <w:docGrid w:linePitch="327" w:charSpace="0"/>
        </w:sect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“进粤企业和人员诚信信息登记平台”个人信息情况截图。（适用于省外建筑企业）。</w:t>
      </w:r>
    </w:p>
    <w:p w14:paraId="017DE304">
      <w:pPr>
        <w:pStyle w:val="5"/>
        <w:bidi w:val="0"/>
        <w:ind w:firstLine="964"/>
        <w:rPr>
          <w:rFonts w:hint="eastAsia" w:ascii="宋体" w:hAnsi="宋体" w:eastAsia="宋体" w:cs="宋体"/>
        </w:rPr>
      </w:pPr>
      <w:bookmarkStart w:id="336" w:name="_Toc8211"/>
      <w:bookmarkStart w:id="337" w:name="_Toc2842"/>
      <w:bookmarkStart w:id="338" w:name="_Toc5290"/>
      <w:bookmarkStart w:id="339" w:name="_Toc21761"/>
      <w:r>
        <w:rPr>
          <w:rFonts w:hint="eastAsia" w:ascii="宋体" w:hAnsi="宋体" w:eastAsia="宋体" w:cs="宋体"/>
        </w:rPr>
        <w:t>格式九 项目经理任职声明</w:t>
      </w:r>
      <w:bookmarkEnd w:id="336"/>
      <w:bookmarkEnd w:id="337"/>
      <w:bookmarkEnd w:id="338"/>
      <w:bookmarkEnd w:id="339"/>
    </w:p>
    <w:p w14:paraId="1CCD00B5">
      <w:pPr>
        <w:rPr>
          <w:rFonts w:hint="eastAsia" w:ascii="宋体" w:hAnsi="宋体" w:eastAsia="宋体" w:cs="宋体"/>
          <w:color w:val="auto"/>
          <w:highlight w:val="none"/>
        </w:rPr>
      </w:pPr>
    </w:p>
    <w:p w14:paraId="6D39230D">
      <w:pPr>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项目经理任职声明</w:t>
      </w:r>
    </w:p>
    <w:p w14:paraId="763FC626">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107F19CA">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15B123B6">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（项目名称）的项目经理</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（项目经理姓名）现阶段没有担任任何在施（包括已中标未开工、已开工未竣工）建设工程项目的项目经理。</w:t>
      </w:r>
    </w:p>
    <w:p w14:paraId="1C164C21">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206C4396">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57401394">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特此承诺　　</w:t>
      </w:r>
    </w:p>
    <w:p w14:paraId="6C2F26FF">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66988DA2">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709AFB6C">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1FCE5E6D">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251BCCBF">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67E43FC7">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7747287B">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5F86D22C">
      <w:pPr>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5180B4F6">
      <w:pPr>
        <w:wordWrap w:val="0"/>
        <w:adjustRightInd w:val="0"/>
        <w:snapToGrid w:val="0"/>
        <w:spacing w:line="440" w:lineRule="exact"/>
        <w:rPr>
          <w:rFonts w:hint="eastAsia" w:ascii="宋体" w:hAnsi="宋体" w:eastAsia="宋体" w:cs="宋体"/>
          <w:snapToGrid w:val="0"/>
          <w:color w:val="auto"/>
          <w:kern w:val="0"/>
          <w:szCs w:val="28"/>
          <w:highlight w:val="none"/>
        </w:rPr>
        <w:sectPr>
          <w:endnotePr>
            <w:numFmt w:val="decimal"/>
          </w:endnotePr>
          <w:pgSz w:w="11906" w:h="16838"/>
          <w:pgMar w:top="1134" w:right="1134" w:bottom="1134" w:left="1134" w:header="567" w:footer="567" w:gutter="0"/>
          <w:cols w:space="720" w:num="1"/>
          <w:docGrid w:linePitch="327" w:charSpace="0"/>
        </w:sectPr>
      </w:pPr>
    </w:p>
    <w:p w14:paraId="184A643A">
      <w:pPr>
        <w:pStyle w:val="5"/>
        <w:bidi w:val="0"/>
        <w:ind w:firstLine="964"/>
        <w:rPr>
          <w:rFonts w:hint="eastAsia" w:ascii="宋体" w:hAnsi="宋体" w:eastAsia="宋体" w:cs="宋体"/>
        </w:rPr>
      </w:pPr>
      <w:bookmarkStart w:id="340" w:name="_Toc21420"/>
      <w:bookmarkStart w:id="341" w:name="_Toc12722"/>
      <w:bookmarkStart w:id="342" w:name="_Toc27257"/>
      <w:bookmarkStart w:id="343" w:name="_Toc24994"/>
      <w:r>
        <w:rPr>
          <w:rFonts w:hint="eastAsia" w:ascii="宋体" w:hAnsi="宋体" w:eastAsia="宋体" w:cs="宋体"/>
        </w:rPr>
        <w:t>格式十 项目技术负责人简历表</w:t>
      </w:r>
      <w:bookmarkEnd w:id="340"/>
      <w:bookmarkEnd w:id="341"/>
      <w:bookmarkEnd w:id="342"/>
      <w:bookmarkEnd w:id="343"/>
    </w:p>
    <w:p w14:paraId="1FE22C9B">
      <w:pPr>
        <w:rPr>
          <w:rFonts w:hint="eastAsia" w:ascii="宋体" w:hAnsi="宋体" w:eastAsia="宋体" w:cs="宋体"/>
          <w:color w:val="auto"/>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66ACC1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4FF16C1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EBD95C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3AFB4D6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3710A54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166AE2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89BE61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CE4CF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048DE61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2CC602E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2461C62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3C1EC4A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494E470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076810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B6349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47A8E9D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00BFC7A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4F664A1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1C10BE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40B5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2EDB13B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以项目技术负责人身份参与过的主要业绩（已完工项目）</w:t>
            </w:r>
          </w:p>
        </w:tc>
      </w:tr>
      <w:tr w14:paraId="42CAD2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29D0958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F983E8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7757EA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3D2DFD1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3608C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1529E9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533FAF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1B7A44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A86A7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FDB9AC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3BA1E59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CED369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CBEEE2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9D7CB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D62C12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705B43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61C178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1FB18B4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AAC349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D65F13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AF833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2C3944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53CA2A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103A10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ABA280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B5B220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969054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B32CB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9C05A2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47DC4E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330338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725CED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8F46D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BE0FF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A371CE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D66D2F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41BB39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4B91F9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186C5ED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9614F8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CA2524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FC43522">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44" w:name="_Toc12290"/>
      <w:bookmarkStart w:id="345" w:name="_Toc6237"/>
      <w:r>
        <w:rPr>
          <w:rFonts w:hint="eastAsia" w:ascii="宋体" w:hAnsi="宋体" w:eastAsia="宋体" w:cs="宋体"/>
          <w:b/>
          <w:snapToGrid w:val="0"/>
          <w:color w:val="auto"/>
          <w:kern w:val="0"/>
          <w:sz w:val="30"/>
          <w:highlight w:val="none"/>
        </w:rPr>
        <w:t>项目技术负责人简历表</w:t>
      </w:r>
      <w:bookmarkEnd w:id="344"/>
      <w:bookmarkEnd w:id="345"/>
    </w:p>
    <w:p w14:paraId="4420AD86">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29B9FC62">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22CBA6D8">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项目技术负责人：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343F87B0">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19385D72">
      <w:pPr>
        <w:pStyle w:val="63"/>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1B2BE8E3">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5095BDE9">
      <w:pPr>
        <w:pStyle w:val="11"/>
        <w:rPr>
          <w:rFonts w:hint="eastAsia" w:ascii="宋体" w:hAnsi="宋体" w:eastAsia="宋体" w:cs="宋体"/>
          <w:snapToGrid w:val="0"/>
          <w:color w:val="auto"/>
          <w:kern w:val="0"/>
          <w:szCs w:val="28"/>
          <w:highlight w:val="none"/>
        </w:rPr>
      </w:pPr>
    </w:p>
    <w:p w14:paraId="116C30FF">
      <w:pPr>
        <w:rPr>
          <w:rFonts w:hint="eastAsia" w:ascii="宋体" w:hAnsi="宋体" w:eastAsia="宋体" w:cs="宋体"/>
          <w:color w:val="auto"/>
          <w:highlight w:val="none"/>
        </w:rPr>
      </w:pPr>
    </w:p>
    <w:p w14:paraId="7E9859DD">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bookmarkStart w:id="346" w:name="_Toc8264"/>
      <w:bookmarkStart w:id="347" w:name="_Toc200338098"/>
      <w:r>
        <w:rPr>
          <w:rFonts w:hint="eastAsia" w:ascii="宋体" w:hAnsi="宋体" w:eastAsia="宋体" w:cs="宋体"/>
          <w:snapToGrid w:val="0"/>
          <w:color w:val="auto"/>
          <w:kern w:val="0"/>
          <w:sz w:val="21"/>
          <w:szCs w:val="28"/>
          <w:highlight w:val="none"/>
        </w:rPr>
        <w:t>说明：《项目技术负责人简历表》后应附拟派项目技术负责人以下资料：</w:t>
      </w:r>
    </w:p>
    <w:p w14:paraId="0D47FA19">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1．身份证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7E5DAA7E">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2．职称证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3ECC6C75">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3．在本单位缴纳社保的证明（</w:t>
      </w:r>
      <w:r>
        <w:rPr>
          <w:rFonts w:hint="eastAsia" w:ascii="宋体" w:hAnsi="宋体" w:eastAsia="宋体" w:cs="宋体"/>
          <w:snapToGrid w:val="0"/>
          <w:color w:val="auto"/>
          <w:kern w:val="0"/>
          <w:sz w:val="21"/>
          <w:szCs w:val="28"/>
          <w:highlight w:val="none"/>
          <w:lang w:eastAsia="zh-CN"/>
        </w:rPr>
        <w:t>至少连续</w:t>
      </w:r>
      <w:r>
        <w:rPr>
          <w:rFonts w:hint="eastAsia" w:hAnsi="宋体" w:cs="宋体"/>
          <w:snapToGrid w:val="0"/>
          <w:color w:val="auto"/>
          <w:kern w:val="0"/>
          <w:sz w:val="21"/>
          <w:szCs w:val="28"/>
          <w:highlight w:val="none"/>
          <w:lang w:val="en-US" w:eastAsia="zh-CN"/>
        </w:rPr>
        <w:t>3</w:t>
      </w:r>
      <w:r>
        <w:rPr>
          <w:rFonts w:hint="eastAsia" w:ascii="宋体" w:hAnsi="宋体" w:eastAsia="宋体" w:cs="宋体"/>
          <w:snapToGrid w:val="0"/>
          <w:color w:val="auto"/>
          <w:kern w:val="0"/>
          <w:sz w:val="21"/>
          <w:szCs w:val="28"/>
          <w:highlight w:val="none"/>
          <w:lang w:eastAsia="zh-CN"/>
        </w:rPr>
        <w:t>个月，其中必须有202</w:t>
      </w:r>
      <w:r>
        <w:rPr>
          <w:rFonts w:hint="eastAsia" w:hAnsi="宋体" w:cs="宋体"/>
          <w:snapToGrid w:val="0"/>
          <w:color w:val="auto"/>
          <w:kern w:val="0"/>
          <w:sz w:val="21"/>
          <w:szCs w:val="28"/>
          <w:highlight w:val="none"/>
          <w:lang w:val="en-US" w:eastAsia="zh-CN"/>
        </w:rPr>
        <w:t>5</w:t>
      </w:r>
      <w:r>
        <w:rPr>
          <w:rFonts w:hint="eastAsia" w:ascii="宋体" w:hAnsi="宋体" w:eastAsia="宋体" w:cs="宋体"/>
          <w:snapToGrid w:val="0"/>
          <w:color w:val="auto"/>
          <w:kern w:val="0"/>
          <w:sz w:val="21"/>
          <w:szCs w:val="28"/>
          <w:highlight w:val="none"/>
          <w:lang w:eastAsia="zh-CN"/>
        </w:rPr>
        <w:t>年</w:t>
      </w:r>
      <w:r>
        <w:rPr>
          <w:rFonts w:hint="eastAsia" w:hAnsi="宋体" w:cs="宋体"/>
          <w:snapToGrid w:val="0"/>
          <w:color w:val="auto"/>
          <w:kern w:val="0"/>
          <w:sz w:val="21"/>
          <w:szCs w:val="28"/>
          <w:highlight w:val="none"/>
          <w:lang w:val="en-US" w:eastAsia="zh-CN"/>
        </w:rPr>
        <w:t>7</w:t>
      </w:r>
      <w:r>
        <w:rPr>
          <w:rFonts w:hint="eastAsia" w:ascii="宋体" w:hAnsi="宋体" w:eastAsia="宋体" w:cs="宋体"/>
          <w:snapToGrid w:val="0"/>
          <w:color w:val="auto"/>
          <w:kern w:val="0"/>
          <w:sz w:val="21"/>
          <w:szCs w:val="28"/>
          <w:highlight w:val="none"/>
          <w:lang w:eastAsia="zh-CN"/>
        </w:rPr>
        <w:t>月</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。拟派项目技术负责人为退休返聘人员无法提供社保证明的，提供退休证和劳动合同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1FF5B63B">
      <w:pPr>
        <w:ind w:firstLine="420" w:firstLineChars="200"/>
        <w:rPr>
          <w:rFonts w:hint="eastAsia" w:ascii="宋体" w:hAnsi="宋体" w:eastAsia="宋体" w:cs="宋体"/>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“进粤企业和人员诚信信息登记平台”个人信息情况截图。（适用于省外建筑企业）。</w:t>
      </w:r>
    </w:p>
    <w:p w14:paraId="5D1FA09D">
      <w:pPr>
        <w:pStyle w:val="5"/>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pPr>
    </w:p>
    <w:p w14:paraId="52C42004">
      <w:pPr>
        <w:pStyle w:val="6"/>
        <w:rPr>
          <w:rFonts w:hint="eastAsia" w:ascii="宋体" w:hAnsi="宋体" w:eastAsia="宋体" w:cs="宋体"/>
          <w:color w:val="auto"/>
          <w:highlight w:val="none"/>
        </w:rPr>
      </w:pPr>
    </w:p>
    <w:p w14:paraId="719EAFA7">
      <w:pPr>
        <w:pStyle w:val="5"/>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pPr>
      <w:bookmarkStart w:id="348" w:name="_Toc4344"/>
      <w:bookmarkStart w:id="349" w:name="_Toc9436"/>
      <w:bookmarkStart w:id="350" w:name="_Toc8834"/>
    </w:p>
    <w:p w14:paraId="2BF2BE1E">
      <w:pPr>
        <w:pStyle w:val="5"/>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sectPr>
          <w:endnotePr>
            <w:numFmt w:val="decimal"/>
          </w:endnotePr>
          <w:pgSz w:w="11906" w:h="16838"/>
          <w:pgMar w:top="1134" w:right="1134" w:bottom="1134" w:left="1134" w:header="567" w:footer="567" w:gutter="0"/>
          <w:cols w:space="720" w:num="1"/>
          <w:docGrid w:linePitch="327" w:charSpace="0"/>
        </w:sectPr>
      </w:pPr>
    </w:p>
    <w:p w14:paraId="2733E497">
      <w:pPr>
        <w:pStyle w:val="5"/>
        <w:bidi w:val="0"/>
        <w:ind w:firstLine="964"/>
        <w:rPr>
          <w:rFonts w:hint="eastAsia" w:ascii="宋体" w:hAnsi="宋体" w:eastAsia="宋体" w:cs="宋体"/>
        </w:rPr>
      </w:pPr>
      <w:bookmarkStart w:id="351" w:name="_Toc16727"/>
      <w:r>
        <w:rPr>
          <w:rFonts w:hint="eastAsia" w:ascii="宋体" w:hAnsi="宋体" w:eastAsia="宋体" w:cs="宋体"/>
        </w:rPr>
        <w:t>格式十一 专职安全员简历表</w:t>
      </w:r>
      <w:bookmarkEnd w:id="348"/>
      <w:bookmarkEnd w:id="349"/>
      <w:bookmarkEnd w:id="350"/>
      <w:bookmarkEnd w:id="351"/>
    </w:p>
    <w:p w14:paraId="0719671B">
      <w:pPr>
        <w:rPr>
          <w:rFonts w:hint="eastAsia" w:ascii="宋体" w:hAnsi="宋体" w:eastAsia="宋体" w:cs="宋体"/>
          <w:color w:val="auto"/>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6CA8009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79D041F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4543F0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1207AAF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75A9B1C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6D517A8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A1F3D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C165EE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5E1ABC4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163473D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6A2F79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567D70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26C3735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0DB07D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34129B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388CFBA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50CD297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43C5E88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244F41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58506C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0E5135A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以专职安全员身份参与过的主要业绩（已完工项目）</w:t>
            </w:r>
          </w:p>
        </w:tc>
      </w:tr>
      <w:tr w14:paraId="5AF4F39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2C2A702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82439F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6C96BC8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5422A8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D7525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664D1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6EB481B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2A75F21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241E341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B6E3BF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1644CE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AD4D4C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943A50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1D4E27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13185C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B61402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B097B2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659CE0E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B8BD1E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9AE75B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964F8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5DE8DD7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1321E8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58DC17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5E77F05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77A66C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1F6452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9F964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456B02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A0D3BA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01C4E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50E1C56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18AB50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4F76F1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15D578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764440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5DDAB6E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2883F9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5340CCE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C4466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8C3404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1991FEBD">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52" w:name="_Toc19513"/>
      <w:bookmarkStart w:id="353" w:name="_Toc12212"/>
      <w:r>
        <w:rPr>
          <w:rFonts w:hint="eastAsia" w:ascii="宋体" w:hAnsi="宋体" w:eastAsia="宋体" w:cs="宋体"/>
          <w:b/>
          <w:snapToGrid w:val="0"/>
          <w:color w:val="auto"/>
          <w:kern w:val="0"/>
          <w:sz w:val="30"/>
          <w:highlight w:val="none"/>
        </w:rPr>
        <w:t>专职安全员简历表</w:t>
      </w:r>
      <w:bookmarkEnd w:id="352"/>
      <w:bookmarkEnd w:id="353"/>
    </w:p>
    <w:p w14:paraId="62A9A926">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0D8D432F">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57BC3700">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专职安全员：</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03CB06CC">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17165757">
      <w:pPr>
        <w:pStyle w:val="63"/>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34A73CBF">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597B3B05">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1"/>
          <w:highlight w:val="none"/>
        </w:rPr>
        <w:t>说明：《专职安全员简历表》后应附拟派专职安全员以下资料：</w:t>
      </w:r>
    </w:p>
    <w:p w14:paraId="29529A72">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w:t>
      </w:r>
    </w:p>
    <w:p w14:paraId="4846F115">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2．C类安全生产考核合格证书</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或“广东省建筑施工企业管理人员安全生产考核信息系统”考核合格信息打印页；</w:t>
      </w:r>
    </w:p>
    <w:p w14:paraId="00ECA1F9">
      <w:pPr>
        <w:wordWrap w:val="0"/>
        <w:adjustRightInd w:val="0"/>
        <w:snapToGrid w:val="0"/>
        <w:spacing w:line="400" w:lineRule="exact"/>
        <w:ind w:firstLine="420" w:firstLineChars="200"/>
        <w:rPr>
          <w:rStyle w:val="149"/>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1"/>
          <w:highlight w:val="none"/>
          <w:lang w:eastAsia="zh-CN"/>
        </w:rPr>
        <w:t>在本单位缴纳社保的证明（至少连续</w:t>
      </w:r>
      <w:r>
        <w:rPr>
          <w:rFonts w:hint="eastAsia" w:hAnsi="宋体" w:cs="宋体"/>
          <w:snapToGrid w:val="0"/>
          <w:color w:val="auto"/>
          <w:kern w:val="0"/>
          <w:sz w:val="21"/>
          <w:szCs w:val="21"/>
          <w:highlight w:val="none"/>
          <w:lang w:val="en-US" w:eastAsia="zh-CN"/>
        </w:rPr>
        <w:t>3</w:t>
      </w:r>
      <w:r>
        <w:rPr>
          <w:rFonts w:hint="eastAsia" w:ascii="宋体" w:hAnsi="宋体" w:eastAsia="宋体" w:cs="宋体"/>
          <w:snapToGrid w:val="0"/>
          <w:color w:val="auto"/>
          <w:kern w:val="0"/>
          <w:sz w:val="21"/>
          <w:szCs w:val="21"/>
          <w:highlight w:val="none"/>
          <w:lang w:eastAsia="zh-CN"/>
        </w:rPr>
        <w:t>个月，其中必须有202</w:t>
      </w:r>
      <w:r>
        <w:rPr>
          <w:rFonts w:hint="eastAsia" w:hAnsi="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hAnsi="宋体" w:cs="宋体"/>
          <w:snapToGrid w:val="0"/>
          <w:color w:val="auto"/>
          <w:kern w:val="0"/>
          <w:sz w:val="21"/>
          <w:szCs w:val="21"/>
          <w:highlight w:val="none"/>
          <w:lang w:val="en-US" w:eastAsia="zh-CN"/>
        </w:rPr>
        <w:t>7</w:t>
      </w:r>
      <w:r>
        <w:rPr>
          <w:rFonts w:hint="eastAsia" w:ascii="宋体" w:hAnsi="宋体" w:eastAsia="宋体" w:cs="宋体"/>
          <w:snapToGrid w:val="0"/>
          <w:color w:val="auto"/>
          <w:kern w:val="0"/>
          <w:sz w:val="21"/>
          <w:szCs w:val="21"/>
          <w:highlight w:val="none"/>
          <w:lang w:eastAsia="zh-CN"/>
        </w:rPr>
        <w:t>月）彩色扫描件。拟派专职安全员为退休返聘人员无法提供社保证明的，提供退休证和劳动合同彩色扫描件；</w:t>
      </w:r>
    </w:p>
    <w:p w14:paraId="5398D940">
      <w:pPr>
        <w:pStyle w:val="75"/>
        <w:widowControl w:val="0"/>
        <w:wordWrap w:val="0"/>
        <w:adjustRightInd w:val="0"/>
        <w:snapToGrid w:val="0"/>
        <w:spacing w:line="400" w:lineRule="exact"/>
        <w:rPr>
          <w:rFonts w:hint="eastAsia" w:ascii="宋体" w:hAnsi="宋体" w:eastAsia="宋体" w:cs="宋体"/>
          <w:snapToGrid w:val="0"/>
          <w:color w:val="auto"/>
          <w:sz w:val="21"/>
          <w:szCs w:val="28"/>
          <w:highlight w:val="none"/>
        </w:rPr>
        <w:sectPr>
          <w:endnotePr>
            <w:numFmt w:val="decimal"/>
          </w:endnotePr>
          <w:pgSz w:w="11906" w:h="16838"/>
          <w:pgMar w:top="1134" w:right="1134" w:bottom="1134" w:left="1134" w:header="567" w:footer="567" w:gutter="0"/>
          <w:cols w:space="720" w:num="1"/>
          <w:docGrid w:linePitch="327" w:charSpace="0"/>
        </w:sect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“进粤企业和人员诚信信息登记平台”个人信息情况截图。（适用于省外建筑企业）。</w:t>
      </w:r>
    </w:p>
    <w:p w14:paraId="67D8686D">
      <w:pPr>
        <w:pStyle w:val="5"/>
        <w:bidi w:val="0"/>
        <w:ind w:firstLine="964"/>
        <w:rPr>
          <w:rFonts w:hint="eastAsia" w:ascii="宋体" w:hAnsi="宋体" w:eastAsia="宋体" w:cs="宋体"/>
        </w:rPr>
      </w:pPr>
      <w:bookmarkStart w:id="354" w:name="_Toc23812"/>
      <w:bookmarkStart w:id="355" w:name="_Toc14261309"/>
      <w:bookmarkStart w:id="356" w:name="_Toc14989"/>
      <w:bookmarkStart w:id="357" w:name="_Toc29727"/>
      <w:bookmarkStart w:id="358" w:name="_Toc994"/>
      <w:bookmarkStart w:id="359" w:name="_Toc20506"/>
      <w:r>
        <w:rPr>
          <w:rFonts w:hint="eastAsia" w:ascii="宋体" w:hAnsi="宋体" w:eastAsia="宋体" w:cs="宋体"/>
        </w:rPr>
        <w:t>格式</w:t>
      </w:r>
      <w:bookmarkStart w:id="360" w:name="_Hlt287950384"/>
      <w:bookmarkEnd w:id="360"/>
      <w:r>
        <w:rPr>
          <w:rFonts w:hint="eastAsia" w:ascii="宋体" w:hAnsi="宋体" w:eastAsia="宋体" w:cs="宋体"/>
        </w:rPr>
        <w:t>十二 项目管理机构组成表</w:t>
      </w:r>
      <w:bookmarkEnd w:id="354"/>
      <w:bookmarkEnd w:id="355"/>
      <w:bookmarkEnd w:id="356"/>
      <w:bookmarkEnd w:id="357"/>
      <w:bookmarkEnd w:id="358"/>
      <w:bookmarkEnd w:id="359"/>
    </w:p>
    <w:p w14:paraId="68DC46B2">
      <w:pPr>
        <w:wordWrap w:val="0"/>
        <w:adjustRightInd w:val="0"/>
        <w:snapToGrid w:val="0"/>
        <w:spacing w:before="260" w:after="260" w:line="440" w:lineRule="exact"/>
        <w:jc w:val="center"/>
        <w:outlineLvl w:val="2"/>
        <w:rPr>
          <w:rFonts w:hint="eastAsia" w:ascii="宋体" w:hAnsi="宋体" w:eastAsia="宋体" w:cs="宋体"/>
          <w:b/>
          <w:snapToGrid w:val="0"/>
          <w:color w:val="auto"/>
          <w:kern w:val="0"/>
          <w:highlight w:val="none"/>
        </w:rPr>
      </w:pPr>
      <w:bookmarkStart w:id="361" w:name="_Toc3834"/>
      <w:bookmarkStart w:id="362" w:name="_Toc14261751"/>
      <w:bookmarkStart w:id="363" w:name="_Toc21803"/>
      <w:r>
        <w:rPr>
          <w:rFonts w:hint="eastAsia" w:ascii="宋体" w:hAnsi="宋体" w:eastAsia="宋体" w:cs="宋体"/>
          <w:b/>
          <w:snapToGrid w:val="0"/>
          <w:color w:val="auto"/>
          <w:kern w:val="0"/>
          <w:sz w:val="30"/>
          <w:highlight w:val="none"/>
        </w:rPr>
        <w:t>项目管理机构组成表</w:t>
      </w:r>
      <w:bookmarkEnd w:id="361"/>
      <w:bookmarkEnd w:id="362"/>
      <w:bookmarkEnd w:id="363"/>
    </w:p>
    <w:tbl>
      <w:tblPr>
        <w:tblStyle w:val="31"/>
        <w:tblW w:w="89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230530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auto" w:sz="6" w:space="0"/>
              <w:left w:val="single" w:color="auto" w:sz="6" w:space="0"/>
              <w:bottom w:val="single" w:color="auto" w:sz="6" w:space="0"/>
              <w:right w:val="single" w:color="auto" w:sz="6" w:space="0"/>
            </w:tcBorders>
            <w:noWrap w:val="0"/>
            <w:vAlign w:val="center"/>
          </w:tcPr>
          <w:p w14:paraId="54053BC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1F54E9C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职务</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63A984D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姓名</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209805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性别</w:t>
            </w:r>
          </w:p>
        </w:tc>
        <w:tc>
          <w:tcPr>
            <w:tcW w:w="817" w:type="dxa"/>
            <w:tcBorders>
              <w:top w:val="single" w:color="auto" w:sz="6" w:space="0"/>
              <w:left w:val="single" w:color="auto" w:sz="6" w:space="0"/>
              <w:bottom w:val="single" w:color="auto" w:sz="6" w:space="0"/>
              <w:right w:val="single" w:color="auto" w:sz="6" w:space="0"/>
            </w:tcBorders>
            <w:noWrap w:val="0"/>
            <w:vAlign w:val="center"/>
          </w:tcPr>
          <w:p w14:paraId="18CDB1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年龄</w:t>
            </w:r>
          </w:p>
        </w:tc>
        <w:tc>
          <w:tcPr>
            <w:tcW w:w="1538" w:type="dxa"/>
            <w:tcBorders>
              <w:top w:val="single" w:color="auto" w:sz="6" w:space="0"/>
              <w:left w:val="single" w:color="auto" w:sz="6" w:space="0"/>
              <w:bottom w:val="single" w:color="auto" w:sz="6" w:space="0"/>
              <w:right w:val="single" w:color="auto" w:sz="6" w:space="0"/>
            </w:tcBorders>
            <w:noWrap w:val="0"/>
            <w:vAlign w:val="center"/>
          </w:tcPr>
          <w:p w14:paraId="27D0E3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w:t>
            </w:r>
          </w:p>
        </w:tc>
        <w:tc>
          <w:tcPr>
            <w:tcW w:w="2164" w:type="dxa"/>
            <w:tcBorders>
              <w:top w:val="single" w:color="auto" w:sz="6" w:space="0"/>
              <w:left w:val="single" w:color="auto" w:sz="6" w:space="0"/>
              <w:bottom w:val="single" w:color="auto" w:sz="6" w:space="0"/>
              <w:right w:val="single" w:color="auto" w:sz="6" w:space="0"/>
            </w:tcBorders>
            <w:noWrap w:val="0"/>
            <w:vAlign w:val="center"/>
          </w:tcPr>
          <w:p w14:paraId="1DEE274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备注</w:t>
            </w:r>
          </w:p>
        </w:tc>
      </w:tr>
      <w:tr w14:paraId="000DCA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74DA669B">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5FFA87A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0E1DDF00">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1FAC0F62">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064F0084">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203EB3D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499476F4">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5F6705F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1"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099AF4D1">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3AF8E36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项目技术</w:t>
            </w:r>
          </w:p>
          <w:p w14:paraId="46517DF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负责人</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43FF76BF">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6F1B9EAD">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486B5061">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22128AD6">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14AE992C">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3DCE2B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3" w:hRule="exact"/>
        </w:trPr>
        <w:tc>
          <w:tcPr>
            <w:tcW w:w="743" w:type="dxa"/>
            <w:tcBorders>
              <w:top w:val="single" w:color="auto" w:sz="6" w:space="0"/>
              <w:left w:val="single" w:color="auto" w:sz="6" w:space="0"/>
              <w:right w:val="single" w:color="auto" w:sz="6" w:space="0"/>
            </w:tcBorders>
            <w:noWrap w:val="0"/>
            <w:vAlign w:val="center"/>
          </w:tcPr>
          <w:p w14:paraId="543612C8">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21" w:type="dxa"/>
            <w:tcBorders>
              <w:top w:val="single" w:color="auto" w:sz="6" w:space="0"/>
              <w:left w:val="single" w:color="auto" w:sz="6" w:space="0"/>
              <w:right w:val="single" w:color="auto" w:sz="6" w:space="0"/>
            </w:tcBorders>
            <w:noWrap w:val="0"/>
            <w:vAlign w:val="center"/>
          </w:tcPr>
          <w:p w14:paraId="3D93BFD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专职安全员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3D4E2D57">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18A0D04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4F1F66C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5EB73526">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257B7C22">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26A6D9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47AC82E1">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hAnsi="宋体" w:cs="宋体"/>
                <w:snapToGrid w:val="0"/>
                <w:color w:val="auto"/>
                <w:kern w:val="0"/>
                <w:sz w:val="21"/>
                <w:szCs w:val="21"/>
                <w:highlight w:val="none"/>
                <w:lang w:val="en-US" w:eastAsia="zh-CN"/>
              </w:rPr>
              <w:t>4</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6763379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施工员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7584F419">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2F1DBEF5">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6BAAAB26">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2BE3DFE5">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54C7B34F">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669481A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2D8D6A3B">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hAnsi="宋体" w:cs="宋体"/>
                <w:snapToGrid w:val="0"/>
                <w:color w:val="auto"/>
                <w:kern w:val="0"/>
                <w:sz w:val="21"/>
                <w:szCs w:val="21"/>
                <w:highlight w:val="none"/>
                <w:lang w:val="en-US" w:eastAsia="zh-CN"/>
              </w:rPr>
              <w:t>5</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3C1938E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0CDA11F6">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437EFA52">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21C563B6">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20F5E7F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7218C6D0">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5A7117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487031C">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hAnsi="宋体" w:cs="宋体"/>
                <w:snapToGrid w:val="0"/>
                <w:color w:val="auto"/>
                <w:kern w:val="0"/>
                <w:sz w:val="21"/>
                <w:szCs w:val="21"/>
                <w:highlight w:val="none"/>
                <w:lang w:val="en-US" w:eastAsia="zh-CN"/>
              </w:rPr>
              <w:t>6</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5D2C6A6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材料员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07DE60D5">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0EF8ED80">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6EA81B1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7599AEE1">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3B24A589">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7AC09E8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5935EBFA">
            <w:pPr>
              <w:wordWrap w:val="0"/>
              <w:adjustRightInd w:val="0"/>
              <w:snapToGrid w:val="0"/>
              <w:jc w:val="center"/>
              <w:rPr>
                <w:rFonts w:hint="eastAsia" w:ascii="宋体" w:hAnsi="宋体" w:eastAsia="宋体" w:cs="宋体"/>
                <w:snapToGrid w:val="0"/>
                <w:color w:val="auto"/>
                <w:kern w:val="0"/>
                <w:sz w:val="21"/>
                <w:szCs w:val="21"/>
                <w:highlight w:val="none"/>
                <w:lang w:val="en-US" w:eastAsia="zh-CN"/>
              </w:rPr>
            </w:pPr>
            <w:r>
              <w:rPr>
                <w:rFonts w:hint="eastAsia" w:hAnsi="宋体" w:cs="宋体"/>
                <w:snapToGrid w:val="0"/>
                <w:color w:val="auto"/>
                <w:kern w:val="0"/>
                <w:sz w:val="21"/>
                <w:szCs w:val="21"/>
                <w:highlight w:val="none"/>
                <w:lang w:val="en-US" w:eastAsia="zh-CN"/>
              </w:rPr>
              <w:t>7</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226A309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资料员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5A19BD6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4F7B5EB7">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136CCB4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78213F50">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6DAE94AF">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5EEBCE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3969FAA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421" w:type="dxa"/>
            <w:tcBorders>
              <w:top w:val="single" w:color="auto" w:sz="6" w:space="0"/>
              <w:left w:val="single" w:color="auto" w:sz="6" w:space="0"/>
              <w:bottom w:val="single" w:color="auto" w:sz="6" w:space="0"/>
              <w:right w:val="single" w:color="auto" w:sz="6" w:space="0"/>
            </w:tcBorders>
            <w:noWrap w:val="0"/>
            <w:vAlign w:val="center"/>
          </w:tcPr>
          <w:p w14:paraId="5CE324E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4A3DEBBC">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456641E9">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2A153EAD">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74CFE14D">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1621EA5C">
            <w:pPr>
              <w:wordWrap w:val="0"/>
              <w:adjustRightInd w:val="0"/>
              <w:snapToGrid w:val="0"/>
              <w:jc w:val="center"/>
              <w:rPr>
                <w:rFonts w:hint="eastAsia" w:ascii="宋体" w:hAnsi="宋体" w:eastAsia="宋体" w:cs="宋体"/>
                <w:snapToGrid w:val="0"/>
                <w:color w:val="auto"/>
                <w:kern w:val="0"/>
                <w:sz w:val="21"/>
                <w:szCs w:val="21"/>
                <w:highlight w:val="none"/>
              </w:rPr>
            </w:pPr>
          </w:p>
        </w:tc>
        <w:bookmarkStart w:id="364" w:name="_附件二十四：技术标提问单"/>
        <w:bookmarkStart w:id="365" w:name="_附件十：单项工程费汇总表"/>
        <w:bookmarkStart w:id="366" w:name="_Hlt68774664"/>
        <w:bookmarkStart w:id="367" w:name="_附件二十五：综合评审合理低价法"/>
        <w:bookmarkStart w:id="368" w:name="_Hlt69116778"/>
      </w:tr>
      <w:bookmarkEnd w:id="346"/>
      <w:bookmarkEnd w:id="347"/>
      <w:bookmarkEnd w:id="364"/>
      <w:bookmarkEnd w:id="365"/>
      <w:bookmarkEnd w:id="366"/>
      <w:bookmarkEnd w:id="367"/>
      <w:bookmarkEnd w:id="368"/>
    </w:tbl>
    <w:p w14:paraId="5C3D4958">
      <w:pPr>
        <w:pStyle w:val="150"/>
        <w:snapToGrid w:val="0"/>
        <w:spacing w:line="400" w:lineRule="exact"/>
        <w:rPr>
          <w:rStyle w:val="149"/>
          <w:rFonts w:hint="eastAsia" w:ascii="宋体" w:hAnsi="宋体" w:eastAsia="宋体" w:cs="宋体"/>
          <w:color w:val="auto"/>
          <w:sz w:val="21"/>
          <w:szCs w:val="21"/>
          <w:highlight w:val="none"/>
        </w:rPr>
      </w:pPr>
      <w:r>
        <w:rPr>
          <w:rStyle w:val="149"/>
          <w:rFonts w:hint="eastAsia" w:ascii="宋体" w:hAnsi="宋体" w:eastAsia="宋体" w:cs="宋体"/>
          <w:color w:val="auto"/>
          <w:sz w:val="21"/>
          <w:szCs w:val="21"/>
          <w:highlight w:val="none"/>
        </w:rPr>
        <w:t>说明：</w:t>
      </w:r>
    </w:p>
    <w:p w14:paraId="0D2650AA">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8"/>
          <w:highlight w:val="none"/>
        </w:rPr>
      </w:pPr>
      <w:r>
        <w:rPr>
          <w:rFonts w:hint="eastAsia" w:ascii="宋体" w:hAnsi="宋体" w:eastAsia="宋体" w:cs="宋体"/>
          <w:snapToGrid w:val="0"/>
          <w:color w:val="auto"/>
          <w:sz w:val="21"/>
          <w:highlight w:val="none"/>
        </w:rPr>
        <w:t>1</w:t>
      </w:r>
      <w:r>
        <w:rPr>
          <w:rFonts w:hint="eastAsia" w:ascii="宋体" w:hAnsi="宋体" w:eastAsia="宋体" w:cs="宋体"/>
          <w:snapToGrid w:val="0"/>
          <w:color w:val="auto"/>
          <w:sz w:val="21"/>
          <w:szCs w:val="28"/>
          <w:highlight w:val="none"/>
        </w:rPr>
        <w:t>．</w:t>
      </w:r>
      <w:r>
        <w:rPr>
          <w:rFonts w:hint="eastAsia" w:ascii="宋体" w:hAnsi="宋体" w:eastAsia="宋体" w:cs="宋体"/>
          <w:snapToGrid w:val="0"/>
          <w:color w:val="auto"/>
          <w:sz w:val="21"/>
          <w:highlight w:val="none"/>
        </w:rPr>
        <w:t>《项目管理机构组成表》后应附表中拟派人员（项目经理、项目技术负责人、专职安全员除外）以下资料：</w:t>
      </w:r>
    </w:p>
    <w:p w14:paraId="2DD6835C">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7E945A42">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kern w:val="0"/>
          <w:sz w:val="21"/>
          <w:szCs w:val="28"/>
          <w:highlight w:val="none"/>
          <w:lang w:eastAsia="zh-CN"/>
        </w:rPr>
      </w:pPr>
      <w:r>
        <w:rPr>
          <w:rFonts w:hint="eastAsia" w:ascii="宋体" w:hAnsi="宋体" w:eastAsia="宋体" w:cs="宋体"/>
          <w:snapToGrid w:val="0"/>
          <w:color w:val="auto"/>
          <w:kern w:val="0"/>
          <w:sz w:val="21"/>
          <w:szCs w:val="28"/>
          <w:highlight w:val="none"/>
        </w:rPr>
        <w:t>（2）</w:t>
      </w:r>
      <w:r>
        <w:rPr>
          <w:rFonts w:hint="eastAsia" w:ascii="宋体" w:hAnsi="宋体" w:eastAsia="宋体" w:cs="宋体"/>
          <w:snapToGrid w:val="0"/>
          <w:color w:val="auto"/>
          <w:kern w:val="0"/>
          <w:sz w:val="21"/>
          <w:szCs w:val="28"/>
          <w:highlight w:val="none"/>
          <w:lang w:val="en-US" w:eastAsia="zh-CN"/>
        </w:rPr>
        <w:t>职称证或</w:t>
      </w:r>
      <w:r>
        <w:rPr>
          <w:rFonts w:hint="eastAsia" w:ascii="宋体" w:hAnsi="宋体" w:eastAsia="宋体" w:cs="宋体"/>
          <w:snapToGrid w:val="0"/>
          <w:color w:val="auto"/>
          <w:kern w:val="0"/>
          <w:sz w:val="21"/>
          <w:szCs w:val="28"/>
          <w:highlight w:val="none"/>
        </w:rPr>
        <w:t>岗位证或培训证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1"/>
          <w:highlight w:val="none"/>
        </w:rPr>
        <w:t>（或打印件）；</w:t>
      </w:r>
    </w:p>
    <w:p w14:paraId="546580F9">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8"/>
          <w:highlight w:val="none"/>
          <w:lang w:val="en-US" w:eastAsia="zh-CN"/>
        </w:rPr>
        <w:t>3</w:t>
      </w:r>
      <w:r>
        <w:rPr>
          <w:rFonts w:hint="eastAsia" w:ascii="宋体" w:hAnsi="宋体" w:eastAsia="宋体" w:cs="宋体"/>
          <w:snapToGrid w:val="0"/>
          <w:color w:val="auto"/>
          <w:kern w:val="0"/>
          <w:sz w:val="21"/>
          <w:szCs w:val="28"/>
          <w:highlight w:val="none"/>
        </w:rPr>
        <w:t>）在本单位缴纳社保的证明（</w:t>
      </w:r>
      <w:r>
        <w:rPr>
          <w:rFonts w:hint="eastAsia" w:ascii="宋体" w:hAnsi="宋体" w:eastAsia="宋体" w:cs="宋体"/>
          <w:snapToGrid w:val="0"/>
          <w:color w:val="auto"/>
          <w:kern w:val="0"/>
          <w:sz w:val="21"/>
          <w:szCs w:val="28"/>
          <w:highlight w:val="none"/>
          <w:lang w:eastAsia="zh-CN"/>
        </w:rPr>
        <w:t>至少连续</w:t>
      </w:r>
      <w:r>
        <w:rPr>
          <w:rFonts w:hint="eastAsia" w:hAnsi="宋体" w:cs="宋体"/>
          <w:snapToGrid w:val="0"/>
          <w:color w:val="auto"/>
          <w:kern w:val="0"/>
          <w:sz w:val="21"/>
          <w:szCs w:val="28"/>
          <w:highlight w:val="none"/>
          <w:lang w:val="en-US" w:eastAsia="zh-CN"/>
        </w:rPr>
        <w:t>3</w:t>
      </w:r>
      <w:r>
        <w:rPr>
          <w:rFonts w:hint="eastAsia" w:ascii="宋体" w:hAnsi="宋体" w:eastAsia="宋体" w:cs="宋体"/>
          <w:snapToGrid w:val="0"/>
          <w:color w:val="auto"/>
          <w:kern w:val="0"/>
          <w:sz w:val="21"/>
          <w:szCs w:val="28"/>
          <w:highlight w:val="none"/>
          <w:lang w:eastAsia="zh-CN"/>
        </w:rPr>
        <w:t>个月，其中必须有202</w:t>
      </w:r>
      <w:r>
        <w:rPr>
          <w:rFonts w:hint="eastAsia" w:hAnsi="宋体" w:cs="宋体"/>
          <w:snapToGrid w:val="0"/>
          <w:color w:val="auto"/>
          <w:kern w:val="0"/>
          <w:sz w:val="21"/>
          <w:szCs w:val="28"/>
          <w:highlight w:val="none"/>
          <w:lang w:val="en-US" w:eastAsia="zh-CN"/>
        </w:rPr>
        <w:t>5</w:t>
      </w:r>
      <w:r>
        <w:rPr>
          <w:rFonts w:hint="eastAsia" w:ascii="宋体" w:hAnsi="宋体" w:eastAsia="宋体" w:cs="宋体"/>
          <w:snapToGrid w:val="0"/>
          <w:color w:val="auto"/>
          <w:kern w:val="0"/>
          <w:sz w:val="21"/>
          <w:szCs w:val="28"/>
          <w:highlight w:val="none"/>
          <w:lang w:eastAsia="zh-CN"/>
        </w:rPr>
        <w:t>年</w:t>
      </w:r>
      <w:r>
        <w:rPr>
          <w:rFonts w:hint="eastAsia" w:hAnsi="宋体" w:cs="宋体"/>
          <w:snapToGrid w:val="0"/>
          <w:color w:val="auto"/>
          <w:kern w:val="0"/>
          <w:sz w:val="21"/>
          <w:szCs w:val="28"/>
          <w:highlight w:val="none"/>
          <w:lang w:val="en-US" w:eastAsia="zh-CN"/>
        </w:rPr>
        <w:t>7</w:t>
      </w:r>
      <w:r>
        <w:rPr>
          <w:rFonts w:hint="eastAsia" w:ascii="宋体" w:hAnsi="宋体" w:eastAsia="宋体" w:cs="宋体"/>
          <w:snapToGrid w:val="0"/>
          <w:color w:val="auto"/>
          <w:kern w:val="0"/>
          <w:sz w:val="21"/>
          <w:szCs w:val="28"/>
          <w:highlight w:val="none"/>
          <w:lang w:eastAsia="zh-CN"/>
        </w:rPr>
        <w:t>月</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w:t>
      </w:r>
      <w:r>
        <w:rPr>
          <w:rFonts w:hint="eastAsia" w:ascii="宋体" w:hAnsi="宋体" w:eastAsia="宋体" w:cs="宋体"/>
          <w:snapToGrid w:val="0"/>
          <w:color w:val="auto"/>
          <w:kern w:val="0"/>
          <w:sz w:val="21"/>
          <w:szCs w:val="28"/>
          <w:highlight w:val="none"/>
          <w:lang w:val="en-US" w:eastAsia="zh-CN"/>
        </w:rPr>
        <w:t>人员</w:t>
      </w:r>
      <w:r>
        <w:rPr>
          <w:rFonts w:hint="eastAsia" w:ascii="宋体" w:hAnsi="宋体" w:eastAsia="宋体" w:cs="宋体"/>
          <w:snapToGrid w:val="0"/>
          <w:color w:val="auto"/>
          <w:kern w:val="0"/>
          <w:sz w:val="21"/>
          <w:szCs w:val="28"/>
          <w:highlight w:val="none"/>
        </w:rPr>
        <w:t>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730CCBAB">
      <w:pPr>
        <w:keepNext w:val="0"/>
        <w:keepLines w:val="0"/>
        <w:pageBreakBefore w:val="0"/>
        <w:widowControl w:val="0"/>
        <w:kinsoku/>
        <w:overflowPunct/>
        <w:topLinePunct w:val="0"/>
        <w:autoSpaceDE/>
        <w:autoSpaceDN/>
        <w:bidi w:val="0"/>
        <w:spacing w:line="360" w:lineRule="auto"/>
        <w:ind w:firstLine="420" w:firstLineChars="200"/>
        <w:textAlignment w:val="auto"/>
        <w:rPr>
          <w:rFonts w:hint="eastAsia" w:ascii="宋体" w:hAnsi="宋体" w:eastAsia="宋体" w:cs="宋体"/>
          <w:sz w:val="21"/>
          <w:szCs w:val="16"/>
          <w:lang w:eastAsia="zh-CN"/>
        </w:rPr>
        <w:sectPr>
          <w:pgSz w:w="11907" w:h="16840"/>
          <w:pgMar w:top="1134" w:right="1134" w:bottom="1134" w:left="1134" w:header="567" w:footer="567" w:gutter="0"/>
          <w:cols w:space="720" w:num="1"/>
        </w:sectPr>
      </w:pPr>
      <w:r>
        <w:rPr>
          <w:rFonts w:hint="eastAsia" w:ascii="宋体" w:hAnsi="宋体" w:eastAsia="宋体" w:cs="宋体"/>
          <w:sz w:val="21"/>
          <w:szCs w:val="16"/>
          <w:lang w:eastAsia="zh-CN"/>
        </w:rPr>
        <w:t>（</w:t>
      </w:r>
      <w:r>
        <w:rPr>
          <w:rFonts w:hint="eastAsia" w:ascii="宋体" w:hAnsi="宋体" w:eastAsia="宋体" w:cs="宋体"/>
          <w:sz w:val="21"/>
          <w:szCs w:val="16"/>
          <w:lang w:val="en-US" w:eastAsia="zh-CN"/>
        </w:rPr>
        <w:t>4</w:t>
      </w:r>
      <w:r>
        <w:rPr>
          <w:rFonts w:hint="eastAsia" w:ascii="宋体" w:hAnsi="宋体" w:eastAsia="宋体" w:cs="宋体"/>
          <w:sz w:val="21"/>
          <w:szCs w:val="16"/>
          <w:lang w:eastAsia="zh-CN"/>
        </w:rPr>
        <w:t>）</w:t>
      </w:r>
      <w:r>
        <w:rPr>
          <w:rFonts w:hint="eastAsia" w:ascii="宋体" w:hAnsi="宋体" w:eastAsia="宋体" w:cs="宋体"/>
          <w:sz w:val="21"/>
          <w:szCs w:val="21"/>
          <w:lang w:eastAsia="zh-CN"/>
        </w:rPr>
        <w:t>“进粤企业和人员诚信信息登记平台”个人信息情况截图。（适用于省外建筑企业）。</w:t>
      </w:r>
    </w:p>
    <w:p w14:paraId="42F9106D">
      <w:pPr>
        <w:pStyle w:val="5"/>
        <w:bidi w:val="0"/>
        <w:ind w:firstLine="964"/>
        <w:rPr>
          <w:rFonts w:hint="eastAsia" w:ascii="宋体" w:hAnsi="宋体" w:eastAsia="宋体" w:cs="宋体"/>
        </w:rPr>
      </w:pPr>
      <w:bookmarkStart w:id="369" w:name="_Toc13555"/>
      <w:r>
        <w:rPr>
          <w:rFonts w:hint="eastAsia" w:ascii="宋体" w:hAnsi="宋体" w:eastAsia="宋体" w:cs="宋体"/>
        </w:rPr>
        <w:t>格式十</w:t>
      </w:r>
      <w:r>
        <w:rPr>
          <w:rFonts w:hint="eastAsia" w:ascii="宋体" w:hAnsi="宋体" w:eastAsia="宋体" w:cs="宋体"/>
          <w:lang w:val="en-US" w:eastAsia="zh-CN"/>
        </w:rPr>
        <w:t>三</w:t>
      </w:r>
      <w:r>
        <w:rPr>
          <w:rFonts w:hint="eastAsia" w:ascii="宋体" w:hAnsi="宋体" w:eastAsia="宋体" w:cs="宋体"/>
        </w:rPr>
        <w:t xml:space="preserve"> 建造师查询页（有效期+建造师签字）</w:t>
      </w:r>
      <w:bookmarkEnd w:id="369"/>
    </w:p>
    <w:p w14:paraId="18E7527A">
      <w:pPr>
        <w:pStyle w:val="75"/>
        <w:widowControl w:val="0"/>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caps w:val="0"/>
          <w:smallCaps w:val="0"/>
          <w:snapToGrid w:val="0"/>
          <w:color w:val="auto"/>
          <w:spacing w:val="0"/>
          <w:kern w:val="0"/>
          <w:sz w:val="21"/>
          <w:highlight w:val="none"/>
          <w:lang w:val="en-US" w:eastAsia="zh-CN"/>
        </w:rPr>
        <w:drawing>
          <wp:inline distT="0" distB="0" distL="114300" distR="114300">
            <wp:extent cx="5768975" cy="8063865"/>
            <wp:effectExtent l="0" t="0" r="3175" b="13335"/>
            <wp:docPr id="2" name="图片 2" descr="32d7491b2f9802d8de0f2607fe015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2d7491b2f9802d8de0f2607fe015bb"/>
                    <pic:cNvPicPr>
                      <a:picLocks noChangeAspect="1"/>
                    </pic:cNvPicPr>
                  </pic:nvPicPr>
                  <pic:blipFill>
                    <a:blip r:embed="rId8"/>
                    <a:stretch>
                      <a:fillRect/>
                    </a:stretch>
                  </pic:blipFill>
                  <pic:spPr>
                    <a:xfrm>
                      <a:off x="0" y="0"/>
                      <a:ext cx="5768975" cy="8063865"/>
                    </a:xfrm>
                    <a:prstGeom prst="rect">
                      <a:avLst/>
                    </a:prstGeom>
                    <a:noFill/>
                    <a:ln>
                      <a:noFill/>
                    </a:ln>
                  </pic:spPr>
                </pic:pic>
              </a:graphicData>
            </a:graphic>
          </wp:inline>
        </w:drawing>
      </w:r>
      <w:r>
        <w:rPr>
          <w:rFonts w:hint="eastAsia" w:ascii="宋体" w:hAnsi="宋体" w:eastAsia="宋体" w:cs="宋体"/>
          <w:color w:val="000000"/>
          <w:sz w:val="24"/>
          <w:szCs w:val="24"/>
        </w:rPr>
        <w:drawing>
          <wp:inline distT="0" distB="0" distL="114300" distR="114300">
            <wp:extent cx="6507480" cy="7734300"/>
            <wp:effectExtent l="0" t="0" r="7620" b="0"/>
            <wp:docPr id="1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56"/>
                    <pic:cNvPicPr>
                      <a:picLocks noChangeAspect="1"/>
                    </pic:cNvPicPr>
                  </pic:nvPicPr>
                  <pic:blipFill>
                    <a:blip r:embed="rId9"/>
                    <a:stretch>
                      <a:fillRect/>
                    </a:stretch>
                  </pic:blipFill>
                  <pic:spPr>
                    <a:xfrm>
                      <a:off x="0" y="0"/>
                      <a:ext cx="6507480" cy="7734300"/>
                    </a:xfrm>
                    <a:prstGeom prst="rect">
                      <a:avLst/>
                    </a:prstGeom>
                    <a:noFill/>
                    <a:ln w="9525">
                      <a:noFill/>
                    </a:ln>
                  </pic:spPr>
                </pic:pic>
              </a:graphicData>
            </a:graphic>
          </wp:inline>
        </w:drawing>
      </w:r>
    </w:p>
    <w:p w14:paraId="615D9609">
      <w:pPr>
        <w:rPr>
          <w:rFonts w:hint="eastAsia" w:ascii="宋体" w:hAnsi="宋体" w:eastAsia="宋体" w:cs="宋体"/>
          <w:b/>
          <w:bCs/>
          <w:snapToGrid w:val="0"/>
          <w:color w:val="auto"/>
          <w:sz w:val="21"/>
          <w:highlight w:val="none"/>
          <w:lang w:val="en-US" w:eastAsia="zh-CN"/>
        </w:rPr>
      </w:pPr>
      <w:r>
        <w:rPr>
          <w:rFonts w:hint="eastAsia" w:ascii="宋体" w:hAnsi="宋体" w:eastAsia="宋体" w:cs="宋体"/>
          <w:snapToGrid w:val="0"/>
          <w:color w:val="auto"/>
          <w:sz w:val="21"/>
          <w:highlight w:val="none"/>
        </w:rPr>
        <w:br w:type="page"/>
      </w:r>
    </w:p>
    <w:p w14:paraId="3100483F">
      <w:pPr>
        <w:pStyle w:val="75"/>
        <w:widowControl w:val="0"/>
        <w:wordWrap w:val="0"/>
        <w:adjustRightInd w:val="0"/>
        <w:snapToGrid w:val="0"/>
        <w:spacing w:line="240" w:lineRule="auto"/>
        <w:ind w:firstLine="0"/>
        <w:rPr>
          <w:rFonts w:hint="eastAsia" w:ascii="宋体" w:hAnsi="宋体" w:eastAsia="宋体" w:cs="宋体"/>
          <w:snapToGrid w:val="0"/>
          <w:color w:val="auto"/>
          <w:sz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bookmarkEnd w:id="7"/>
    <w:bookmarkEnd w:id="303"/>
    <w:bookmarkEnd w:id="304"/>
    <w:p w14:paraId="40246198">
      <w:pPr>
        <w:pStyle w:val="5"/>
        <w:bidi w:val="0"/>
        <w:ind w:firstLine="964"/>
        <w:rPr>
          <w:rFonts w:hint="eastAsia" w:ascii="宋体" w:hAnsi="宋体" w:eastAsia="宋体" w:cs="宋体"/>
        </w:rPr>
      </w:pPr>
      <w:bookmarkStart w:id="370" w:name="_Hlt87793582"/>
      <w:bookmarkEnd w:id="370"/>
      <w:bookmarkStart w:id="371" w:name="_Hlt87783244"/>
      <w:bookmarkEnd w:id="371"/>
      <w:bookmarkStart w:id="372" w:name="_附件十六：措施项目清单计价表"/>
      <w:bookmarkEnd w:id="372"/>
      <w:bookmarkStart w:id="373" w:name="_附件二十一：土建工程、电气工程、给排水工程工程清单项目费汇总表"/>
      <w:bookmarkEnd w:id="373"/>
      <w:bookmarkStart w:id="374" w:name="_Toc9569"/>
      <w:bookmarkStart w:id="375" w:name="_Toc13122"/>
      <w:bookmarkStart w:id="376" w:name="_Toc2067"/>
      <w:bookmarkStart w:id="377" w:name="_Toc346"/>
      <w:bookmarkStart w:id="378" w:name="_Toc13722"/>
      <w:bookmarkStart w:id="379" w:name="_Toc137444778"/>
      <w:bookmarkStart w:id="380" w:name="_Toc132687128"/>
      <w:bookmarkStart w:id="381" w:name="_Toc133160683"/>
      <w:bookmarkStart w:id="382" w:name="_Toc142468134"/>
      <w:bookmarkStart w:id="383" w:name="_Toc133815902"/>
      <w:bookmarkStart w:id="384" w:name="_Toc78794873"/>
      <w:r>
        <w:rPr>
          <w:rFonts w:hint="eastAsia" w:ascii="宋体" w:hAnsi="宋体" w:eastAsia="宋体" w:cs="宋体"/>
        </w:rPr>
        <w:t>格式十</w:t>
      </w:r>
      <w:r>
        <w:rPr>
          <w:rFonts w:hint="eastAsia" w:ascii="宋体" w:hAnsi="宋体" w:eastAsia="宋体" w:cs="宋体"/>
          <w:lang w:val="en-US" w:eastAsia="zh-CN"/>
        </w:rPr>
        <w:t>四</w:t>
      </w:r>
      <w:r>
        <w:rPr>
          <w:rFonts w:hint="eastAsia" w:ascii="宋体" w:hAnsi="宋体" w:eastAsia="宋体" w:cs="宋体"/>
        </w:rPr>
        <w:t xml:space="preserve"> 原件一览表</w:t>
      </w:r>
      <w:bookmarkEnd w:id="374"/>
      <w:bookmarkEnd w:id="375"/>
      <w:bookmarkEnd w:id="376"/>
      <w:bookmarkEnd w:id="377"/>
    </w:p>
    <w:p w14:paraId="3FC7BC27">
      <w:pPr>
        <w:spacing w:line="336" w:lineRule="auto"/>
        <w:contextualSpacing/>
        <w:jc w:val="left"/>
        <w:rPr>
          <w:rFonts w:hint="eastAsia" w:ascii="宋体" w:hAnsi="宋体" w:eastAsia="宋体" w:cs="宋体"/>
          <w:color w:val="auto"/>
          <w:highlight w:val="none"/>
        </w:rPr>
      </w:pPr>
    </w:p>
    <w:tbl>
      <w:tblPr>
        <w:tblStyle w:val="31"/>
        <w:tblpPr w:leftFromText="180" w:rightFromText="180" w:vertAnchor="text" w:horzAnchor="page" w:tblpX="1664" w:tblpY="438"/>
        <w:tblOverlap w:val="never"/>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1"/>
        <w:gridCol w:w="1506"/>
        <w:gridCol w:w="92"/>
        <w:gridCol w:w="1902"/>
        <w:gridCol w:w="1625"/>
        <w:gridCol w:w="754"/>
        <w:gridCol w:w="958"/>
        <w:gridCol w:w="1570"/>
      </w:tblGrid>
      <w:tr w14:paraId="6D204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3" w:hRule="atLeast"/>
        </w:trPr>
        <w:tc>
          <w:tcPr>
            <w:tcW w:w="9108" w:type="dxa"/>
            <w:gridSpan w:val="8"/>
            <w:shd w:val="clear" w:color="000000" w:fill="FFFFFF"/>
            <w:noWrap w:val="0"/>
            <w:tcMar>
              <w:left w:w="108" w:type="dxa"/>
              <w:right w:w="108" w:type="dxa"/>
            </w:tcMar>
            <w:vAlign w:val="center"/>
          </w:tcPr>
          <w:p w14:paraId="4E7A878D">
            <w:pPr>
              <w:jc w:val="center"/>
              <w:rPr>
                <w:rFonts w:hint="eastAsia" w:ascii="宋体" w:hAnsi="宋体" w:eastAsia="宋体" w:cs="宋体"/>
                <w:color w:val="auto"/>
                <w:highlight w:val="none"/>
              </w:rPr>
            </w:pPr>
            <w:r>
              <w:rPr>
                <w:rFonts w:hint="eastAsia" w:ascii="宋体" w:hAnsi="宋体" w:eastAsia="宋体" w:cs="宋体"/>
                <w:b/>
                <w:color w:val="auto"/>
                <w:highlight w:val="none"/>
              </w:rPr>
              <w:t>原件一览表</w:t>
            </w:r>
          </w:p>
        </w:tc>
      </w:tr>
      <w:tr w14:paraId="7C015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6E311043">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工程名称</w:t>
            </w:r>
          </w:p>
        </w:tc>
        <w:tc>
          <w:tcPr>
            <w:tcW w:w="6809" w:type="dxa"/>
            <w:gridSpan w:val="5"/>
            <w:shd w:val="clear" w:color="000000" w:fill="FFFFFF"/>
            <w:noWrap w:val="0"/>
            <w:tcMar>
              <w:left w:w="108" w:type="dxa"/>
              <w:right w:w="108" w:type="dxa"/>
            </w:tcMar>
            <w:vAlign w:val="center"/>
          </w:tcPr>
          <w:p w14:paraId="05C2F0C3">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xml:space="preserve"> </w:t>
            </w:r>
          </w:p>
        </w:tc>
      </w:tr>
      <w:tr w14:paraId="38473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7F381EAB">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投标人名称                (请务必填写单位全称)</w:t>
            </w:r>
          </w:p>
        </w:tc>
        <w:tc>
          <w:tcPr>
            <w:tcW w:w="6809" w:type="dxa"/>
            <w:gridSpan w:val="5"/>
            <w:shd w:val="clear" w:color="000000" w:fill="FFFFFF"/>
            <w:noWrap w:val="0"/>
            <w:tcMar>
              <w:left w:w="108" w:type="dxa"/>
              <w:right w:w="108" w:type="dxa"/>
            </w:tcMar>
            <w:vAlign w:val="center"/>
          </w:tcPr>
          <w:p w14:paraId="493612A6">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r>
      <w:tr w14:paraId="36361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2427A33D">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投标人法定代表人或其</w:t>
            </w:r>
          </w:p>
          <w:p w14:paraId="63368151">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委托代理人签名</w:t>
            </w:r>
          </w:p>
        </w:tc>
        <w:tc>
          <w:tcPr>
            <w:tcW w:w="3527" w:type="dxa"/>
            <w:gridSpan w:val="2"/>
            <w:shd w:val="clear" w:color="000000" w:fill="FFFFFF"/>
            <w:noWrap w:val="0"/>
            <w:tcMar>
              <w:left w:w="108" w:type="dxa"/>
              <w:right w:w="108" w:type="dxa"/>
            </w:tcMar>
            <w:vAlign w:val="center"/>
          </w:tcPr>
          <w:p w14:paraId="1D1D24FC">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c>
          <w:tcPr>
            <w:tcW w:w="754" w:type="dxa"/>
            <w:shd w:val="clear" w:color="000000" w:fill="FFFFFF"/>
            <w:noWrap w:val="0"/>
            <w:tcMar>
              <w:left w:w="108" w:type="dxa"/>
              <w:right w:w="108" w:type="dxa"/>
            </w:tcMar>
            <w:vAlign w:val="center"/>
          </w:tcPr>
          <w:p w14:paraId="46A0859A">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手机号码</w:t>
            </w:r>
          </w:p>
        </w:tc>
        <w:tc>
          <w:tcPr>
            <w:tcW w:w="2528" w:type="dxa"/>
            <w:gridSpan w:val="2"/>
            <w:shd w:val="clear" w:color="000000" w:fill="FFFFFF"/>
            <w:noWrap w:val="0"/>
            <w:tcMar>
              <w:left w:w="108" w:type="dxa"/>
              <w:right w:w="108" w:type="dxa"/>
            </w:tcMar>
            <w:vAlign w:val="center"/>
          </w:tcPr>
          <w:p w14:paraId="75C48710">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r>
      <w:tr w14:paraId="1B3FE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9108" w:type="dxa"/>
            <w:gridSpan w:val="8"/>
            <w:shd w:val="clear" w:color="000000" w:fill="FFFFFF"/>
            <w:noWrap w:val="0"/>
            <w:tcMar>
              <w:left w:w="108" w:type="dxa"/>
              <w:right w:w="108" w:type="dxa"/>
            </w:tcMar>
            <w:vAlign w:val="center"/>
          </w:tcPr>
          <w:p w14:paraId="2DC28513">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递交的证明材料原件如下：</w:t>
            </w:r>
          </w:p>
        </w:tc>
      </w:tr>
      <w:tr w14:paraId="4061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FFFFFF"/>
            <w:noWrap w:val="0"/>
            <w:tcMar>
              <w:left w:w="108" w:type="dxa"/>
              <w:right w:w="108" w:type="dxa"/>
            </w:tcMar>
            <w:vAlign w:val="center"/>
          </w:tcPr>
          <w:p w14:paraId="7FD9A98E">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序号</w:t>
            </w:r>
          </w:p>
        </w:tc>
        <w:tc>
          <w:tcPr>
            <w:tcW w:w="5125" w:type="dxa"/>
            <w:gridSpan w:val="4"/>
            <w:shd w:val="clear" w:color="auto" w:fill="FFFFFF"/>
            <w:noWrap w:val="0"/>
            <w:tcMar>
              <w:left w:w="108" w:type="dxa"/>
              <w:right w:w="108" w:type="dxa"/>
            </w:tcMar>
            <w:vAlign w:val="center"/>
          </w:tcPr>
          <w:p w14:paraId="20181643">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证明材料原件名称</w:t>
            </w:r>
          </w:p>
        </w:tc>
        <w:tc>
          <w:tcPr>
            <w:tcW w:w="1712" w:type="dxa"/>
            <w:gridSpan w:val="2"/>
            <w:shd w:val="clear" w:color="auto" w:fill="FFFFFF"/>
            <w:noWrap w:val="0"/>
            <w:tcMar>
              <w:left w:w="108" w:type="dxa"/>
              <w:right w:w="108" w:type="dxa"/>
            </w:tcMar>
            <w:vAlign w:val="center"/>
          </w:tcPr>
          <w:p w14:paraId="2225AF41">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单位</w:t>
            </w:r>
          </w:p>
        </w:tc>
        <w:tc>
          <w:tcPr>
            <w:tcW w:w="1570" w:type="dxa"/>
            <w:shd w:val="clear" w:color="auto" w:fill="FFFFFF"/>
            <w:noWrap w:val="0"/>
            <w:tcMar>
              <w:left w:w="108" w:type="dxa"/>
              <w:right w:w="108" w:type="dxa"/>
            </w:tcMar>
            <w:vAlign w:val="center"/>
          </w:tcPr>
          <w:p w14:paraId="116C52FD">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数量</w:t>
            </w:r>
          </w:p>
        </w:tc>
      </w:tr>
      <w:tr w14:paraId="7673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76543058">
            <w:pPr>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5125" w:type="dxa"/>
            <w:gridSpan w:val="4"/>
            <w:shd w:val="clear" w:color="000000" w:fill="FFFFFF"/>
            <w:noWrap w:val="0"/>
            <w:tcMar>
              <w:left w:w="108" w:type="dxa"/>
              <w:right w:w="108" w:type="dxa"/>
            </w:tcMar>
            <w:vAlign w:val="center"/>
          </w:tcPr>
          <w:p w14:paraId="63B7D42B">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406425E2">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591A1A8E">
            <w:pPr>
              <w:jc w:val="center"/>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6209B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16CB7BC1">
            <w:pPr>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5125" w:type="dxa"/>
            <w:gridSpan w:val="4"/>
            <w:shd w:val="clear" w:color="000000" w:fill="FFFFFF"/>
            <w:noWrap w:val="0"/>
            <w:tcMar>
              <w:left w:w="108" w:type="dxa"/>
              <w:right w:w="108" w:type="dxa"/>
            </w:tcMar>
            <w:vAlign w:val="center"/>
          </w:tcPr>
          <w:p w14:paraId="1E41FD0B">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2B5E0DA8">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78C6DA29">
            <w:pPr>
              <w:jc w:val="center"/>
              <w:rPr>
                <w:rFonts w:hint="eastAsia" w:ascii="宋体" w:hAnsi="宋体" w:eastAsia="宋体" w:cs="宋体"/>
                <w:color w:val="auto"/>
                <w:highlight w:val="none"/>
              </w:rPr>
            </w:pPr>
          </w:p>
        </w:tc>
      </w:tr>
      <w:tr w14:paraId="3072A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1F12190C">
            <w:pPr>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5125" w:type="dxa"/>
            <w:gridSpan w:val="4"/>
            <w:shd w:val="clear" w:color="000000" w:fill="FFFFFF"/>
            <w:noWrap w:val="0"/>
            <w:tcMar>
              <w:left w:w="108" w:type="dxa"/>
              <w:right w:w="108" w:type="dxa"/>
            </w:tcMar>
            <w:vAlign w:val="center"/>
          </w:tcPr>
          <w:p w14:paraId="1636723B">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69755702">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15CD621D">
            <w:pPr>
              <w:jc w:val="center"/>
              <w:rPr>
                <w:rFonts w:hint="eastAsia" w:ascii="宋体" w:hAnsi="宋体" w:eastAsia="宋体" w:cs="宋体"/>
                <w:color w:val="auto"/>
                <w:highlight w:val="none"/>
              </w:rPr>
            </w:pPr>
          </w:p>
        </w:tc>
      </w:tr>
      <w:tr w14:paraId="66D3C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334D2436">
            <w:pPr>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5125" w:type="dxa"/>
            <w:gridSpan w:val="4"/>
            <w:shd w:val="clear" w:color="000000" w:fill="FFFFFF"/>
            <w:noWrap w:val="0"/>
            <w:tcMar>
              <w:left w:w="108" w:type="dxa"/>
              <w:right w:w="108" w:type="dxa"/>
            </w:tcMar>
            <w:vAlign w:val="center"/>
          </w:tcPr>
          <w:p w14:paraId="4EA9B36C">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6268938B">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459BDC98">
            <w:pPr>
              <w:jc w:val="center"/>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618F6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78" w:hRule="atLeast"/>
        </w:trPr>
        <w:tc>
          <w:tcPr>
            <w:tcW w:w="701" w:type="dxa"/>
            <w:shd w:val="clear" w:color="auto" w:fill="FFFFFF"/>
            <w:noWrap w:val="0"/>
            <w:tcMar>
              <w:left w:w="108" w:type="dxa"/>
              <w:right w:w="108" w:type="dxa"/>
            </w:tcMar>
            <w:vAlign w:val="center"/>
          </w:tcPr>
          <w:p w14:paraId="583C59DE">
            <w:pPr>
              <w:ind w:left="8" w:hanging="94"/>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注意：</w:t>
            </w:r>
          </w:p>
        </w:tc>
        <w:tc>
          <w:tcPr>
            <w:tcW w:w="8407" w:type="dxa"/>
            <w:gridSpan w:val="7"/>
            <w:shd w:val="clear" w:color="auto" w:fill="FFFFFF"/>
            <w:noWrap w:val="0"/>
            <w:tcMar>
              <w:left w:w="108" w:type="dxa"/>
              <w:right w:w="108" w:type="dxa"/>
            </w:tcMar>
            <w:vAlign w:val="center"/>
          </w:tcPr>
          <w:p w14:paraId="40DEC06D">
            <w:pPr>
              <w:ind w:firstLine="480"/>
              <w:rPr>
                <w:rFonts w:hint="eastAsia" w:ascii="宋体" w:hAnsi="宋体" w:eastAsia="宋体" w:cs="宋体"/>
                <w:color w:val="auto"/>
                <w:sz w:val="20"/>
                <w:highlight w:val="none"/>
              </w:rPr>
            </w:pPr>
            <w:r>
              <w:rPr>
                <w:rFonts w:hint="eastAsia" w:ascii="宋体" w:hAnsi="宋体" w:eastAsia="宋体" w:cs="宋体"/>
                <w:color w:val="auto"/>
                <w:sz w:val="20"/>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0D82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3" w:hRule="atLeast"/>
        </w:trPr>
        <w:tc>
          <w:tcPr>
            <w:tcW w:w="2207" w:type="dxa"/>
            <w:gridSpan w:val="2"/>
            <w:shd w:val="clear" w:color="000000" w:fill="FFFFFF"/>
            <w:noWrap w:val="0"/>
            <w:tcMar>
              <w:left w:w="108" w:type="dxa"/>
              <w:right w:w="108" w:type="dxa"/>
            </w:tcMar>
            <w:vAlign w:val="center"/>
          </w:tcPr>
          <w:p w14:paraId="7226A6BD">
            <w:pPr>
              <w:jc w:val="center"/>
              <w:rPr>
                <w:rFonts w:hint="eastAsia" w:ascii="宋体" w:hAnsi="宋体" w:eastAsia="宋体" w:cs="宋体"/>
                <w:color w:val="auto"/>
                <w:sz w:val="20"/>
                <w:highlight w:val="none"/>
              </w:rPr>
            </w:pPr>
          </w:p>
          <w:p w14:paraId="31BF432B">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接收原件经办人(招标代理)：</w:t>
            </w:r>
          </w:p>
        </w:tc>
        <w:tc>
          <w:tcPr>
            <w:tcW w:w="1994" w:type="dxa"/>
            <w:gridSpan w:val="2"/>
            <w:shd w:val="clear" w:color="000000" w:fill="FFFFFF"/>
            <w:noWrap w:val="0"/>
            <w:tcMar>
              <w:left w:w="108" w:type="dxa"/>
              <w:right w:w="108" w:type="dxa"/>
            </w:tcMar>
            <w:vAlign w:val="center"/>
          </w:tcPr>
          <w:p w14:paraId="312659A0">
            <w:pPr>
              <w:jc w:val="center"/>
              <w:rPr>
                <w:rFonts w:hint="eastAsia" w:ascii="宋体" w:hAnsi="宋体" w:eastAsia="宋体" w:cs="宋体"/>
                <w:color w:val="auto"/>
                <w:sz w:val="20"/>
                <w:highlight w:val="none"/>
              </w:rPr>
            </w:pPr>
          </w:p>
        </w:tc>
        <w:tc>
          <w:tcPr>
            <w:tcW w:w="1625" w:type="dxa"/>
            <w:shd w:val="clear" w:color="000000" w:fill="FFFFFF"/>
            <w:noWrap w:val="0"/>
            <w:tcMar>
              <w:left w:w="108" w:type="dxa"/>
              <w:right w:w="108" w:type="dxa"/>
            </w:tcMar>
            <w:vAlign w:val="center"/>
          </w:tcPr>
          <w:p w14:paraId="0FD036CA">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接收时间：</w:t>
            </w:r>
          </w:p>
        </w:tc>
        <w:tc>
          <w:tcPr>
            <w:tcW w:w="3282" w:type="dxa"/>
            <w:gridSpan w:val="3"/>
            <w:shd w:val="clear" w:color="000000" w:fill="FFFFFF"/>
            <w:noWrap w:val="0"/>
            <w:tcMar>
              <w:left w:w="108" w:type="dxa"/>
              <w:right w:w="108" w:type="dxa"/>
            </w:tcMar>
            <w:vAlign w:val="center"/>
          </w:tcPr>
          <w:p w14:paraId="3A78C1CD">
            <w:pPr>
              <w:ind w:firstLine="600" w:firstLineChars="300"/>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年   月   日   时  分</w:t>
            </w:r>
          </w:p>
        </w:tc>
      </w:tr>
      <w:tr w14:paraId="67C7E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0" w:hRule="atLeast"/>
        </w:trPr>
        <w:tc>
          <w:tcPr>
            <w:tcW w:w="2207" w:type="dxa"/>
            <w:gridSpan w:val="2"/>
            <w:shd w:val="clear" w:color="000000" w:fill="FFFFFF"/>
            <w:noWrap w:val="0"/>
            <w:tcMar>
              <w:left w:w="108" w:type="dxa"/>
              <w:right w:w="108" w:type="dxa"/>
            </w:tcMar>
            <w:vAlign w:val="center"/>
          </w:tcPr>
          <w:p w14:paraId="397854D4">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退还原件接收人(投标人)：</w:t>
            </w:r>
          </w:p>
        </w:tc>
        <w:tc>
          <w:tcPr>
            <w:tcW w:w="1994" w:type="dxa"/>
            <w:gridSpan w:val="2"/>
            <w:shd w:val="clear" w:color="000000" w:fill="FFFFFF"/>
            <w:noWrap w:val="0"/>
            <w:tcMar>
              <w:left w:w="108" w:type="dxa"/>
              <w:right w:w="108" w:type="dxa"/>
            </w:tcMar>
            <w:vAlign w:val="center"/>
          </w:tcPr>
          <w:p w14:paraId="0CFD3FE0">
            <w:pPr>
              <w:jc w:val="center"/>
              <w:rPr>
                <w:rFonts w:hint="eastAsia" w:ascii="宋体" w:hAnsi="宋体" w:eastAsia="宋体" w:cs="宋体"/>
                <w:color w:val="auto"/>
                <w:sz w:val="20"/>
                <w:highlight w:val="none"/>
              </w:rPr>
            </w:pPr>
          </w:p>
        </w:tc>
        <w:tc>
          <w:tcPr>
            <w:tcW w:w="1625" w:type="dxa"/>
            <w:shd w:val="clear" w:color="000000" w:fill="FFFFFF"/>
            <w:noWrap w:val="0"/>
            <w:tcMar>
              <w:left w:w="108" w:type="dxa"/>
              <w:right w:w="108" w:type="dxa"/>
            </w:tcMar>
            <w:vAlign w:val="center"/>
          </w:tcPr>
          <w:p w14:paraId="240FA7DF">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退还时间：</w:t>
            </w:r>
          </w:p>
        </w:tc>
        <w:tc>
          <w:tcPr>
            <w:tcW w:w="3282" w:type="dxa"/>
            <w:gridSpan w:val="3"/>
            <w:shd w:val="clear" w:color="000000" w:fill="FFFFFF"/>
            <w:noWrap w:val="0"/>
            <w:tcMar>
              <w:left w:w="108" w:type="dxa"/>
              <w:right w:w="108" w:type="dxa"/>
            </w:tcMar>
            <w:vAlign w:val="center"/>
          </w:tcPr>
          <w:p w14:paraId="79633910">
            <w:pPr>
              <w:ind w:firstLine="600" w:firstLineChars="300"/>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年   月   日   时   分</w:t>
            </w:r>
          </w:p>
        </w:tc>
      </w:tr>
    </w:tbl>
    <w:p w14:paraId="64EB9C18">
      <w:pPr>
        <w:pStyle w:val="75"/>
        <w:widowControl w:val="0"/>
        <w:wordWrap w:val="0"/>
        <w:adjustRightInd w:val="0"/>
        <w:snapToGrid w:val="0"/>
        <w:spacing w:line="400" w:lineRule="exact"/>
        <w:rPr>
          <w:rFonts w:hint="eastAsia" w:ascii="宋体" w:hAnsi="宋体" w:eastAsia="宋体" w:cs="宋体"/>
          <w:snapToGrid w:val="0"/>
          <w:color w:val="auto"/>
          <w:sz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3BD45921">
      <w:pPr>
        <w:pStyle w:val="3"/>
        <w:wordWrap w:val="0"/>
        <w:autoSpaceDE/>
        <w:autoSpaceDN/>
        <w:snapToGrid w:val="0"/>
        <w:spacing w:line="440" w:lineRule="exact"/>
        <w:jc w:val="center"/>
        <w:rPr>
          <w:rFonts w:hint="eastAsia" w:ascii="宋体" w:hAnsi="宋体" w:eastAsia="宋体" w:cs="宋体"/>
          <w:b/>
          <w:snapToGrid w:val="0"/>
          <w:color w:val="auto"/>
          <w:sz w:val="24"/>
          <w:highlight w:val="none"/>
        </w:rPr>
      </w:pPr>
      <w:bookmarkStart w:id="385" w:name="_Toc13959"/>
      <w:bookmarkStart w:id="386" w:name="_Toc17586"/>
      <w:r>
        <w:rPr>
          <w:rFonts w:hint="eastAsia" w:ascii="宋体" w:hAnsi="宋体" w:eastAsia="宋体" w:cs="宋体"/>
          <w:b/>
          <w:snapToGrid w:val="0"/>
          <w:color w:val="auto"/>
          <w:sz w:val="24"/>
          <w:highlight w:val="none"/>
        </w:rPr>
        <w:t>第七章 建设工程施工合同</w:t>
      </w:r>
      <w:bookmarkEnd w:id="378"/>
      <w:bookmarkEnd w:id="379"/>
      <w:bookmarkEnd w:id="380"/>
      <w:bookmarkEnd w:id="381"/>
      <w:bookmarkEnd w:id="382"/>
      <w:bookmarkEnd w:id="385"/>
      <w:bookmarkEnd w:id="386"/>
    </w:p>
    <w:p w14:paraId="601B5C24">
      <w:pPr>
        <w:wordWrap w:val="0"/>
        <w:adjustRightInd w:val="0"/>
        <w:snapToGrid w:val="0"/>
        <w:spacing w:line="440" w:lineRule="exact"/>
        <w:rPr>
          <w:rFonts w:hint="eastAsia" w:ascii="宋体" w:hAnsi="宋体" w:eastAsia="宋体" w:cs="宋体"/>
          <w:snapToGrid w:val="0"/>
          <w:color w:val="auto"/>
          <w:kern w:val="0"/>
          <w:highlight w:val="none"/>
        </w:rPr>
      </w:pPr>
    </w:p>
    <w:p w14:paraId="56669EE1">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（略），</w:t>
      </w:r>
      <w:bookmarkEnd w:id="383"/>
      <w:bookmarkEnd w:id="384"/>
      <w:r>
        <w:rPr>
          <w:rFonts w:hint="eastAsia" w:ascii="宋体" w:hAnsi="宋体" w:eastAsia="宋体" w:cs="宋体"/>
          <w:snapToGrid w:val="0"/>
          <w:color w:val="auto"/>
          <w:kern w:val="0"/>
          <w:highlight w:val="none"/>
        </w:rPr>
        <w:t>按《广东省建设工程标准施工合同》（2009年版）或《建设工程施工合同（示范文本）》（GF—2017—0201）执行。</w:t>
      </w:r>
    </w:p>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EE03C">
    <w:pPr>
      <w:pStyle w:val="20"/>
      <w:pBdr>
        <w:between w:val="none" w:color="auto" w:sz="0" w:space="0"/>
      </w:pBdr>
      <w:rPr>
        <w:rFonts w:hint="eastAsia"/>
      </w:rPr>
    </w:pPr>
  </w:p>
  <w:p w14:paraId="674376BE">
    <w:pPr>
      <w:pStyle w:val="20"/>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DAB4B1">
    <w:pPr>
      <w:pStyle w:val="20"/>
      <w:pBdr>
        <w:between w:val="none" w:color="auto" w:sz="0" w:space="0"/>
      </w:pBd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807816">
                          <w:pPr>
                            <w:pStyle w:val="20"/>
                            <w:rPr>
                              <w:rFonts w:hint="eastAsia"/>
                            </w:rPr>
                          </w:pPr>
                          <w:r>
                            <w:rPr>
                              <w:rFonts w:hint="eastAsia" w:ascii="Times New Roman"/>
                              <w:sz w:val="21"/>
                            </w:rPr>
                            <w:t>—</w:t>
                          </w:r>
                          <w:r>
                            <w:rPr>
                              <w:rFonts w:hint="eastAsia" w:ascii="宋体" w:hAnsi="宋体" w:eastAsia="宋体" w:cs="宋体"/>
                              <w:sz w:val="21"/>
                            </w:rPr>
                            <w:fldChar w:fldCharType="begin"/>
                          </w:r>
                          <w:r>
                            <w:rPr>
                              <w:rFonts w:hint="eastAsia" w:ascii="宋体" w:hAnsi="宋体" w:eastAsia="宋体" w:cs="宋体"/>
                              <w:sz w:val="21"/>
                            </w:rPr>
                            <w:instrText xml:space="preserve"> PAGE  \* MERGEFORMAT </w:instrText>
                          </w:r>
                          <w:r>
                            <w:rPr>
                              <w:rFonts w:hint="eastAsia" w:ascii="宋体" w:hAnsi="宋体" w:eastAsia="宋体" w:cs="宋体"/>
                              <w:sz w:val="21"/>
                            </w:rPr>
                            <w:fldChar w:fldCharType="separate"/>
                          </w:r>
                          <w:r>
                            <w:rPr>
                              <w:rFonts w:hint="eastAsia" w:ascii="宋体" w:hAnsi="宋体" w:eastAsia="宋体" w:cs="宋体"/>
                            </w:rPr>
                            <w:t>54</w:t>
                          </w:r>
                          <w:r>
                            <w:rPr>
                              <w:rFonts w:hint="eastAsia" w:ascii="宋体" w:hAnsi="宋体" w:eastAsia="宋体" w:cs="宋体"/>
                              <w:sz w:val="21"/>
                            </w:rPr>
                            <w:fldChar w:fldCharType="end"/>
                          </w:r>
                          <w:r>
                            <w:rPr>
                              <w:rFonts w:hint="eastAsia" w:ascii="Times New Roman"/>
                              <w:sz w:val="21"/>
                            </w:rPr>
                            <w:t>—</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o2tjnsoBAACaAwAADgAAAAAAAAABACAAAAAeAQAAZHJzL2Uyb0Rv&#10;Yy54bWxQSwUGAAAAAAYABgBZAQAAWgUAAAAA&#10;">
              <v:fill on="f" focussize="0,0"/>
              <v:stroke on="f"/>
              <v:imagedata o:title=""/>
              <o:lock v:ext="edit" aspectratio="f"/>
              <v:textbox inset="0mm,0mm,0mm,0mm" style="mso-fit-shape-to-text:t;">
                <w:txbxContent>
                  <w:p w14:paraId="4B807816">
                    <w:pPr>
                      <w:pStyle w:val="20"/>
                      <w:rPr>
                        <w:rFonts w:hint="eastAsia"/>
                      </w:rPr>
                    </w:pPr>
                    <w:r>
                      <w:rPr>
                        <w:rFonts w:hint="eastAsia" w:ascii="Times New Roman"/>
                        <w:sz w:val="21"/>
                      </w:rPr>
                      <w:t>—</w:t>
                    </w:r>
                    <w:r>
                      <w:rPr>
                        <w:rFonts w:hint="eastAsia" w:ascii="宋体" w:hAnsi="宋体" w:eastAsia="宋体" w:cs="宋体"/>
                        <w:sz w:val="21"/>
                      </w:rPr>
                      <w:fldChar w:fldCharType="begin"/>
                    </w:r>
                    <w:r>
                      <w:rPr>
                        <w:rFonts w:hint="eastAsia" w:ascii="宋体" w:hAnsi="宋体" w:eastAsia="宋体" w:cs="宋体"/>
                        <w:sz w:val="21"/>
                      </w:rPr>
                      <w:instrText xml:space="preserve"> PAGE  \* MERGEFORMAT </w:instrText>
                    </w:r>
                    <w:r>
                      <w:rPr>
                        <w:rFonts w:hint="eastAsia" w:ascii="宋体" w:hAnsi="宋体" w:eastAsia="宋体" w:cs="宋体"/>
                        <w:sz w:val="21"/>
                      </w:rPr>
                      <w:fldChar w:fldCharType="separate"/>
                    </w:r>
                    <w:r>
                      <w:rPr>
                        <w:rFonts w:hint="eastAsia" w:ascii="宋体" w:hAnsi="宋体" w:eastAsia="宋体" w:cs="宋体"/>
                      </w:rPr>
                      <w:t>54</w:t>
                    </w:r>
                    <w:r>
                      <w:rPr>
                        <w:rFonts w:hint="eastAsia" w:ascii="宋体" w:hAnsi="宋体" w:eastAsia="宋体" w:cs="宋体"/>
                        <w:sz w:val="21"/>
                      </w:rPr>
                      <w:fldChar w:fldCharType="end"/>
                    </w:r>
                    <w:r>
                      <w:rPr>
                        <w:rFonts w:hint="eastAsia" w:ascii="Times New Roman"/>
                        <w:sz w:val="21"/>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148FC0"/>
    <w:multiLevelType w:val="singleLevel"/>
    <w:tmpl w:val="EF148FC0"/>
    <w:lvl w:ilvl="0" w:tentative="0">
      <w:start w:val="1"/>
      <w:numFmt w:val="decimal"/>
      <w:suff w:val="nothing"/>
      <w:lvlText w:val="（%1）"/>
      <w:lvlJc w:val="left"/>
    </w:lvl>
  </w:abstractNum>
  <w:abstractNum w:abstractNumId="1">
    <w:nsid w:val="5C0ECB2D"/>
    <w:multiLevelType w:val="singleLevel"/>
    <w:tmpl w:val="5C0ECB2D"/>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2ZDkzMDExZmZlMDNjYzI3MWQ2ZjMwZGUwNGZjNmYifQ=="/>
    <w:docVar w:name="KSO_WPS_MARK_KEY" w:val="339fc04a-30c4-466d-ab1a-b9d928989bea"/>
  </w:docVars>
  <w:rsids>
    <w:rsidRoot w:val="00172A27"/>
    <w:rsid w:val="000813CE"/>
    <w:rsid w:val="00156E02"/>
    <w:rsid w:val="001740E2"/>
    <w:rsid w:val="00204CA9"/>
    <w:rsid w:val="00253E2F"/>
    <w:rsid w:val="004804C4"/>
    <w:rsid w:val="00485BD6"/>
    <w:rsid w:val="004A677C"/>
    <w:rsid w:val="005D2C6E"/>
    <w:rsid w:val="00662AF1"/>
    <w:rsid w:val="00735061"/>
    <w:rsid w:val="00783750"/>
    <w:rsid w:val="008859E0"/>
    <w:rsid w:val="008B6453"/>
    <w:rsid w:val="00947E79"/>
    <w:rsid w:val="00976E7B"/>
    <w:rsid w:val="009E7023"/>
    <w:rsid w:val="009F585C"/>
    <w:rsid w:val="00C4516D"/>
    <w:rsid w:val="00D5717A"/>
    <w:rsid w:val="01065CF6"/>
    <w:rsid w:val="011A0428"/>
    <w:rsid w:val="011F3697"/>
    <w:rsid w:val="01635D69"/>
    <w:rsid w:val="01D953BA"/>
    <w:rsid w:val="020227A1"/>
    <w:rsid w:val="021717B9"/>
    <w:rsid w:val="02227179"/>
    <w:rsid w:val="02FC76B4"/>
    <w:rsid w:val="03315C3D"/>
    <w:rsid w:val="034C6D1C"/>
    <w:rsid w:val="035B58E7"/>
    <w:rsid w:val="03805A4B"/>
    <w:rsid w:val="03D006DB"/>
    <w:rsid w:val="04061CFF"/>
    <w:rsid w:val="041025A8"/>
    <w:rsid w:val="041341B1"/>
    <w:rsid w:val="04EB042F"/>
    <w:rsid w:val="05235E1B"/>
    <w:rsid w:val="05533E9B"/>
    <w:rsid w:val="05717EE4"/>
    <w:rsid w:val="057E6B27"/>
    <w:rsid w:val="06127454"/>
    <w:rsid w:val="065C6C4B"/>
    <w:rsid w:val="066300E8"/>
    <w:rsid w:val="06A32407"/>
    <w:rsid w:val="06C4753C"/>
    <w:rsid w:val="06CC5B3F"/>
    <w:rsid w:val="07031B00"/>
    <w:rsid w:val="072C105E"/>
    <w:rsid w:val="07311844"/>
    <w:rsid w:val="0732071C"/>
    <w:rsid w:val="076B1CFB"/>
    <w:rsid w:val="07852DBD"/>
    <w:rsid w:val="07982AEC"/>
    <w:rsid w:val="07D62FDE"/>
    <w:rsid w:val="082A5712"/>
    <w:rsid w:val="0837398B"/>
    <w:rsid w:val="08472853"/>
    <w:rsid w:val="0878647D"/>
    <w:rsid w:val="08C54904"/>
    <w:rsid w:val="08D32CA6"/>
    <w:rsid w:val="08DB54AE"/>
    <w:rsid w:val="09573962"/>
    <w:rsid w:val="0957416C"/>
    <w:rsid w:val="09AA019F"/>
    <w:rsid w:val="09CE23B5"/>
    <w:rsid w:val="0A0A7E5D"/>
    <w:rsid w:val="0A345888"/>
    <w:rsid w:val="0A860745"/>
    <w:rsid w:val="0ADD2F10"/>
    <w:rsid w:val="0B112BB9"/>
    <w:rsid w:val="0B337C85"/>
    <w:rsid w:val="0B3F61A8"/>
    <w:rsid w:val="0B4B1C27"/>
    <w:rsid w:val="0B9D0C4F"/>
    <w:rsid w:val="0BAF665A"/>
    <w:rsid w:val="0C264F0A"/>
    <w:rsid w:val="0C473915"/>
    <w:rsid w:val="0C5965C6"/>
    <w:rsid w:val="0C6F50D1"/>
    <w:rsid w:val="0C982D80"/>
    <w:rsid w:val="0CAD246E"/>
    <w:rsid w:val="0CE56967"/>
    <w:rsid w:val="0D161723"/>
    <w:rsid w:val="0D366D45"/>
    <w:rsid w:val="0D4232B6"/>
    <w:rsid w:val="0D53151A"/>
    <w:rsid w:val="0DB20DDC"/>
    <w:rsid w:val="0E054EB6"/>
    <w:rsid w:val="0E1919B2"/>
    <w:rsid w:val="0EA35515"/>
    <w:rsid w:val="0F427539"/>
    <w:rsid w:val="0F8B63BB"/>
    <w:rsid w:val="0F933B9D"/>
    <w:rsid w:val="0FB5646C"/>
    <w:rsid w:val="10162E29"/>
    <w:rsid w:val="101B48E8"/>
    <w:rsid w:val="102739F7"/>
    <w:rsid w:val="10336C65"/>
    <w:rsid w:val="1055163A"/>
    <w:rsid w:val="10637A6B"/>
    <w:rsid w:val="10817DC1"/>
    <w:rsid w:val="10B416E8"/>
    <w:rsid w:val="10C42F37"/>
    <w:rsid w:val="10CD6A2A"/>
    <w:rsid w:val="10DF5DAE"/>
    <w:rsid w:val="10E70644"/>
    <w:rsid w:val="11024F3F"/>
    <w:rsid w:val="114C494B"/>
    <w:rsid w:val="11934328"/>
    <w:rsid w:val="11B75455"/>
    <w:rsid w:val="11C404D9"/>
    <w:rsid w:val="123635C4"/>
    <w:rsid w:val="124226EB"/>
    <w:rsid w:val="12A80195"/>
    <w:rsid w:val="12C12CBB"/>
    <w:rsid w:val="135F0966"/>
    <w:rsid w:val="138B03FE"/>
    <w:rsid w:val="14060DE1"/>
    <w:rsid w:val="149D77CF"/>
    <w:rsid w:val="15226C56"/>
    <w:rsid w:val="153C6A85"/>
    <w:rsid w:val="153E45AB"/>
    <w:rsid w:val="15B42ABF"/>
    <w:rsid w:val="15C12761"/>
    <w:rsid w:val="160F6D81"/>
    <w:rsid w:val="162B0E39"/>
    <w:rsid w:val="163E52CD"/>
    <w:rsid w:val="16465E0D"/>
    <w:rsid w:val="16825090"/>
    <w:rsid w:val="16DD6444"/>
    <w:rsid w:val="16F17BE3"/>
    <w:rsid w:val="1751770F"/>
    <w:rsid w:val="17B95607"/>
    <w:rsid w:val="183C2959"/>
    <w:rsid w:val="184719C8"/>
    <w:rsid w:val="18534570"/>
    <w:rsid w:val="18A80D52"/>
    <w:rsid w:val="18C36995"/>
    <w:rsid w:val="18FF1058"/>
    <w:rsid w:val="1986632D"/>
    <w:rsid w:val="19C37774"/>
    <w:rsid w:val="1A232E93"/>
    <w:rsid w:val="1A9F7572"/>
    <w:rsid w:val="1AE6196C"/>
    <w:rsid w:val="1AF5570C"/>
    <w:rsid w:val="1B21189C"/>
    <w:rsid w:val="1B9D1DD5"/>
    <w:rsid w:val="1BF06998"/>
    <w:rsid w:val="1BFC04BB"/>
    <w:rsid w:val="1C5635D6"/>
    <w:rsid w:val="1C744DB0"/>
    <w:rsid w:val="1C7562B0"/>
    <w:rsid w:val="1D141CAC"/>
    <w:rsid w:val="1D55171C"/>
    <w:rsid w:val="1D69459E"/>
    <w:rsid w:val="1D742D80"/>
    <w:rsid w:val="1DB02AA1"/>
    <w:rsid w:val="1DE1641B"/>
    <w:rsid w:val="1E76451C"/>
    <w:rsid w:val="1ECB21F4"/>
    <w:rsid w:val="1F26151A"/>
    <w:rsid w:val="1F6F04E9"/>
    <w:rsid w:val="1F8F29A7"/>
    <w:rsid w:val="1FDA10C4"/>
    <w:rsid w:val="2036210F"/>
    <w:rsid w:val="20713F99"/>
    <w:rsid w:val="207B66B3"/>
    <w:rsid w:val="21224762"/>
    <w:rsid w:val="218A22F4"/>
    <w:rsid w:val="218D0B38"/>
    <w:rsid w:val="2192066D"/>
    <w:rsid w:val="219569C3"/>
    <w:rsid w:val="21DB149C"/>
    <w:rsid w:val="2223441C"/>
    <w:rsid w:val="226B1A58"/>
    <w:rsid w:val="226C0772"/>
    <w:rsid w:val="227E0643"/>
    <w:rsid w:val="230C3197"/>
    <w:rsid w:val="23381CEE"/>
    <w:rsid w:val="234E0189"/>
    <w:rsid w:val="23713D9D"/>
    <w:rsid w:val="23E66DB7"/>
    <w:rsid w:val="23E9602A"/>
    <w:rsid w:val="23FD1838"/>
    <w:rsid w:val="24132B71"/>
    <w:rsid w:val="24962A42"/>
    <w:rsid w:val="24BA4892"/>
    <w:rsid w:val="24EF141E"/>
    <w:rsid w:val="25236495"/>
    <w:rsid w:val="254A2AF8"/>
    <w:rsid w:val="25A16BBC"/>
    <w:rsid w:val="25C04D26"/>
    <w:rsid w:val="25CD411B"/>
    <w:rsid w:val="26393298"/>
    <w:rsid w:val="26526878"/>
    <w:rsid w:val="26730090"/>
    <w:rsid w:val="26A5092E"/>
    <w:rsid w:val="26D43BC6"/>
    <w:rsid w:val="26DC6022"/>
    <w:rsid w:val="27001050"/>
    <w:rsid w:val="270B2978"/>
    <w:rsid w:val="27303202"/>
    <w:rsid w:val="27541210"/>
    <w:rsid w:val="28096C9A"/>
    <w:rsid w:val="286E29AA"/>
    <w:rsid w:val="28BE4088"/>
    <w:rsid w:val="29135C0E"/>
    <w:rsid w:val="29421D31"/>
    <w:rsid w:val="299F64A8"/>
    <w:rsid w:val="2A251746"/>
    <w:rsid w:val="2AC27A05"/>
    <w:rsid w:val="2B4166E9"/>
    <w:rsid w:val="2BDD46C6"/>
    <w:rsid w:val="2BFE4F67"/>
    <w:rsid w:val="2C0B1A81"/>
    <w:rsid w:val="2C183670"/>
    <w:rsid w:val="2C290723"/>
    <w:rsid w:val="2C4D3FF3"/>
    <w:rsid w:val="2C4F43C7"/>
    <w:rsid w:val="2C724190"/>
    <w:rsid w:val="2D38581D"/>
    <w:rsid w:val="2D4B4E2D"/>
    <w:rsid w:val="2D51162C"/>
    <w:rsid w:val="2D973D96"/>
    <w:rsid w:val="2DAD3E66"/>
    <w:rsid w:val="2DF51B3E"/>
    <w:rsid w:val="2E1D2B43"/>
    <w:rsid w:val="2E204C18"/>
    <w:rsid w:val="2E2F0ABD"/>
    <w:rsid w:val="2E6B5FB9"/>
    <w:rsid w:val="2F2F348A"/>
    <w:rsid w:val="2F3C5BA7"/>
    <w:rsid w:val="2F3E191F"/>
    <w:rsid w:val="2F896F93"/>
    <w:rsid w:val="2FDA63FB"/>
    <w:rsid w:val="3018665F"/>
    <w:rsid w:val="303074BA"/>
    <w:rsid w:val="30536D05"/>
    <w:rsid w:val="305A2B4D"/>
    <w:rsid w:val="307D4226"/>
    <w:rsid w:val="30B30AAC"/>
    <w:rsid w:val="30B337A6"/>
    <w:rsid w:val="30C222D2"/>
    <w:rsid w:val="30C85944"/>
    <w:rsid w:val="30D501D4"/>
    <w:rsid w:val="31210BB1"/>
    <w:rsid w:val="317433D6"/>
    <w:rsid w:val="319A5508"/>
    <w:rsid w:val="31A041CB"/>
    <w:rsid w:val="31D51879"/>
    <w:rsid w:val="32A63A63"/>
    <w:rsid w:val="32BE2779"/>
    <w:rsid w:val="32D305D1"/>
    <w:rsid w:val="33182487"/>
    <w:rsid w:val="33377574"/>
    <w:rsid w:val="33557238"/>
    <w:rsid w:val="34117689"/>
    <w:rsid w:val="342C1BED"/>
    <w:rsid w:val="34437F20"/>
    <w:rsid w:val="352D168F"/>
    <w:rsid w:val="35586B6B"/>
    <w:rsid w:val="35812CF5"/>
    <w:rsid w:val="35EA0C71"/>
    <w:rsid w:val="35F15BE6"/>
    <w:rsid w:val="35F55F65"/>
    <w:rsid w:val="360A3E4F"/>
    <w:rsid w:val="361C403D"/>
    <w:rsid w:val="36211653"/>
    <w:rsid w:val="362700CC"/>
    <w:rsid w:val="36436AD9"/>
    <w:rsid w:val="365B7948"/>
    <w:rsid w:val="36653C36"/>
    <w:rsid w:val="369F1D0C"/>
    <w:rsid w:val="36F80606"/>
    <w:rsid w:val="36FE3E1F"/>
    <w:rsid w:val="37935F95"/>
    <w:rsid w:val="383D25F2"/>
    <w:rsid w:val="38841C4D"/>
    <w:rsid w:val="389B38FE"/>
    <w:rsid w:val="38EE5BAC"/>
    <w:rsid w:val="390F3BFF"/>
    <w:rsid w:val="39143A18"/>
    <w:rsid w:val="398B779E"/>
    <w:rsid w:val="398C62F9"/>
    <w:rsid w:val="39DF5703"/>
    <w:rsid w:val="3A005EB0"/>
    <w:rsid w:val="3A091E3B"/>
    <w:rsid w:val="3A096720"/>
    <w:rsid w:val="3A38094F"/>
    <w:rsid w:val="3A385253"/>
    <w:rsid w:val="3B0D7690"/>
    <w:rsid w:val="3B5A482F"/>
    <w:rsid w:val="3BAB6E46"/>
    <w:rsid w:val="3BB50377"/>
    <w:rsid w:val="3C501C16"/>
    <w:rsid w:val="3C6B3628"/>
    <w:rsid w:val="3C890B1C"/>
    <w:rsid w:val="3CDC0368"/>
    <w:rsid w:val="3CE82F45"/>
    <w:rsid w:val="3CE92789"/>
    <w:rsid w:val="3CF27EE4"/>
    <w:rsid w:val="3D142020"/>
    <w:rsid w:val="3D90085D"/>
    <w:rsid w:val="3DA821F1"/>
    <w:rsid w:val="3DCE34F0"/>
    <w:rsid w:val="3DE93F38"/>
    <w:rsid w:val="3DFA3EDF"/>
    <w:rsid w:val="3E2A01E0"/>
    <w:rsid w:val="3E3642DC"/>
    <w:rsid w:val="3E94568C"/>
    <w:rsid w:val="3EF77497"/>
    <w:rsid w:val="3F47212A"/>
    <w:rsid w:val="3F95226A"/>
    <w:rsid w:val="3FBB5D0C"/>
    <w:rsid w:val="3FC61702"/>
    <w:rsid w:val="40295CD4"/>
    <w:rsid w:val="40876255"/>
    <w:rsid w:val="414836DE"/>
    <w:rsid w:val="41EC0D67"/>
    <w:rsid w:val="42240113"/>
    <w:rsid w:val="42783DA7"/>
    <w:rsid w:val="42A4461E"/>
    <w:rsid w:val="42B526FB"/>
    <w:rsid w:val="42DE3A88"/>
    <w:rsid w:val="42E020F1"/>
    <w:rsid w:val="432F1B40"/>
    <w:rsid w:val="435A387A"/>
    <w:rsid w:val="43E103D4"/>
    <w:rsid w:val="44250560"/>
    <w:rsid w:val="4439334D"/>
    <w:rsid w:val="4484172B"/>
    <w:rsid w:val="44A818BD"/>
    <w:rsid w:val="44C90CE4"/>
    <w:rsid w:val="44F3240C"/>
    <w:rsid w:val="45307B43"/>
    <w:rsid w:val="454E4597"/>
    <w:rsid w:val="458B507A"/>
    <w:rsid w:val="45CE4402"/>
    <w:rsid w:val="45D16987"/>
    <w:rsid w:val="462C48A5"/>
    <w:rsid w:val="4666543F"/>
    <w:rsid w:val="46830038"/>
    <w:rsid w:val="46A3216A"/>
    <w:rsid w:val="46B20A58"/>
    <w:rsid w:val="46BD7176"/>
    <w:rsid w:val="46C4592F"/>
    <w:rsid w:val="4759106A"/>
    <w:rsid w:val="477348AB"/>
    <w:rsid w:val="477D10DD"/>
    <w:rsid w:val="47D51828"/>
    <w:rsid w:val="48CB6044"/>
    <w:rsid w:val="48D507A7"/>
    <w:rsid w:val="491F2342"/>
    <w:rsid w:val="493C6C84"/>
    <w:rsid w:val="49516671"/>
    <w:rsid w:val="49ED3E05"/>
    <w:rsid w:val="4A2C1F1B"/>
    <w:rsid w:val="4A2D0433"/>
    <w:rsid w:val="4A6D370F"/>
    <w:rsid w:val="4A927004"/>
    <w:rsid w:val="4AA462C2"/>
    <w:rsid w:val="4AD17C6A"/>
    <w:rsid w:val="4ADD673C"/>
    <w:rsid w:val="4AFD42C5"/>
    <w:rsid w:val="4BEC431A"/>
    <w:rsid w:val="4C26753E"/>
    <w:rsid w:val="4C7D6B0F"/>
    <w:rsid w:val="4C83676C"/>
    <w:rsid w:val="4CEE1D65"/>
    <w:rsid w:val="4CF54FD3"/>
    <w:rsid w:val="4CFB6302"/>
    <w:rsid w:val="4D0D7455"/>
    <w:rsid w:val="4D184DDC"/>
    <w:rsid w:val="4D305F93"/>
    <w:rsid w:val="4DCB3F26"/>
    <w:rsid w:val="4DE60D60"/>
    <w:rsid w:val="4DE906B8"/>
    <w:rsid w:val="4E034506"/>
    <w:rsid w:val="4E9D3A56"/>
    <w:rsid w:val="4ED06ACC"/>
    <w:rsid w:val="4EF11423"/>
    <w:rsid w:val="4F9D61B1"/>
    <w:rsid w:val="500A476B"/>
    <w:rsid w:val="50154140"/>
    <w:rsid w:val="5076449B"/>
    <w:rsid w:val="511424B5"/>
    <w:rsid w:val="5167777C"/>
    <w:rsid w:val="51E341EA"/>
    <w:rsid w:val="51EE072E"/>
    <w:rsid w:val="521F6F37"/>
    <w:rsid w:val="52831CC6"/>
    <w:rsid w:val="52DD4AA0"/>
    <w:rsid w:val="53334E5E"/>
    <w:rsid w:val="53414F13"/>
    <w:rsid w:val="53C02167"/>
    <w:rsid w:val="53EC2E48"/>
    <w:rsid w:val="545A2A0D"/>
    <w:rsid w:val="54DB6CF8"/>
    <w:rsid w:val="550860CF"/>
    <w:rsid w:val="553053B0"/>
    <w:rsid w:val="55490F06"/>
    <w:rsid w:val="558419F7"/>
    <w:rsid w:val="55843DEA"/>
    <w:rsid w:val="565572D8"/>
    <w:rsid w:val="56B125D7"/>
    <w:rsid w:val="56B87FEA"/>
    <w:rsid w:val="57ED15F0"/>
    <w:rsid w:val="587F6039"/>
    <w:rsid w:val="58CF6A0F"/>
    <w:rsid w:val="59326E77"/>
    <w:rsid w:val="59415611"/>
    <w:rsid w:val="59A63D9B"/>
    <w:rsid w:val="59BE7B1D"/>
    <w:rsid w:val="59C53DD7"/>
    <w:rsid w:val="59CD3A40"/>
    <w:rsid w:val="59D61BA3"/>
    <w:rsid w:val="5A9A7FEA"/>
    <w:rsid w:val="5AD7215D"/>
    <w:rsid w:val="5B8272E2"/>
    <w:rsid w:val="5BA1515F"/>
    <w:rsid w:val="5C8A5924"/>
    <w:rsid w:val="5CD361A8"/>
    <w:rsid w:val="5CE45E53"/>
    <w:rsid w:val="5CED5785"/>
    <w:rsid w:val="5CFA7B59"/>
    <w:rsid w:val="5D081B2B"/>
    <w:rsid w:val="5D7E531B"/>
    <w:rsid w:val="5DDF1B27"/>
    <w:rsid w:val="5DFF4CA0"/>
    <w:rsid w:val="5E162F9C"/>
    <w:rsid w:val="5E23390B"/>
    <w:rsid w:val="5E806055"/>
    <w:rsid w:val="5EDA25D7"/>
    <w:rsid w:val="5EF25AA4"/>
    <w:rsid w:val="5EFC720B"/>
    <w:rsid w:val="5F335282"/>
    <w:rsid w:val="5F456F62"/>
    <w:rsid w:val="5F6850AE"/>
    <w:rsid w:val="5FA338FA"/>
    <w:rsid w:val="5FB971CA"/>
    <w:rsid w:val="5FDA7209"/>
    <w:rsid w:val="5FE7724F"/>
    <w:rsid w:val="608839CA"/>
    <w:rsid w:val="60E94998"/>
    <w:rsid w:val="61810B92"/>
    <w:rsid w:val="61A134C4"/>
    <w:rsid w:val="61D2232C"/>
    <w:rsid w:val="61EE5FDE"/>
    <w:rsid w:val="626E7E8B"/>
    <w:rsid w:val="62EF7FF6"/>
    <w:rsid w:val="636812F3"/>
    <w:rsid w:val="63BB50B2"/>
    <w:rsid w:val="640C34EB"/>
    <w:rsid w:val="647257A1"/>
    <w:rsid w:val="64BD6E23"/>
    <w:rsid w:val="64E9313E"/>
    <w:rsid w:val="64FE49C2"/>
    <w:rsid w:val="657219D1"/>
    <w:rsid w:val="65B348B5"/>
    <w:rsid w:val="66136878"/>
    <w:rsid w:val="661E19B4"/>
    <w:rsid w:val="662D2233"/>
    <w:rsid w:val="66594E7C"/>
    <w:rsid w:val="66717333"/>
    <w:rsid w:val="66C043ED"/>
    <w:rsid w:val="66C11F13"/>
    <w:rsid w:val="66E57306"/>
    <w:rsid w:val="670D43FE"/>
    <w:rsid w:val="674622CC"/>
    <w:rsid w:val="674F55EC"/>
    <w:rsid w:val="67553AAB"/>
    <w:rsid w:val="676A713E"/>
    <w:rsid w:val="676F0E01"/>
    <w:rsid w:val="67830574"/>
    <w:rsid w:val="67B176A0"/>
    <w:rsid w:val="67DB2196"/>
    <w:rsid w:val="681D04F5"/>
    <w:rsid w:val="68667456"/>
    <w:rsid w:val="68A76E4E"/>
    <w:rsid w:val="68D97D4B"/>
    <w:rsid w:val="68F8079F"/>
    <w:rsid w:val="6919541B"/>
    <w:rsid w:val="69CA10DE"/>
    <w:rsid w:val="6A090914"/>
    <w:rsid w:val="6A60658C"/>
    <w:rsid w:val="6AF64BE0"/>
    <w:rsid w:val="6B306F2E"/>
    <w:rsid w:val="6BED7202"/>
    <w:rsid w:val="6BF14433"/>
    <w:rsid w:val="6C4C35F0"/>
    <w:rsid w:val="6C986FDB"/>
    <w:rsid w:val="6CC961B8"/>
    <w:rsid w:val="6D390A55"/>
    <w:rsid w:val="6D594D13"/>
    <w:rsid w:val="6D9258E0"/>
    <w:rsid w:val="6DA25CBE"/>
    <w:rsid w:val="6DD24CB8"/>
    <w:rsid w:val="6E385CCB"/>
    <w:rsid w:val="6E3D4575"/>
    <w:rsid w:val="6E4121AE"/>
    <w:rsid w:val="6E435064"/>
    <w:rsid w:val="6E530EB1"/>
    <w:rsid w:val="6E8B56BC"/>
    <w:rsid w:val="6EB45747"/>
    <w:rsid w:val="6EC40063"/>
    <w:rsid w:val="6EED58A5"/>
    <w:rsid w:val="6F37578E"/>
    <w:rsid w:val="6F8306AD"/>
    <w:rsid w:val="6FA80114"/>
    <w:rsid w:val="703A1840"/>
    <w:rsid w:val="705F3682"/>
    <w:rsid w:val="70B328CC"/>
    <w:rsid w:val="70E1119C"/>
    <w:rsid w:val="70F7175E"/>
    <w:rsid w:val="70F8517F"/>
    <w:rsid w:val="71861FE4"/>
    <w:rsid w:val="71EA67C2"/>
    <w:rsid w:val="71F238C8"/>
    <w:rsid w:val="72702E0F"/>
    <w:rsid w:val="72A43708"/>
    <w:rsid w:val="72D9462C"/>
    <w:rsid w:val="72EB5955"/>
    <w:rsid w:val="73001740"/>
    <w:rsid w:val="73611130"/>
    <w:rsid w:val="7386251A"/>
    <w:rsid w:val="73F303E1"/>
    <w:rsid w:val="74623C1E"/>
    <w:rsid w:val="74A40D4F"/>
    <w:rsid w:val="75067AB9"/>
    <w:rsid w:val="752B3379"/>
    <w:rsid w:val="75551EC0"/>
    <w:rsid w:val="75C61952"/>
    <w:rsid w:val="75F401CA"/>
    <w:rsid w:val="760B2304"/>
    <w:rsid w:val="760D3533"/>
    <w:rsid w:val="760D7FFA"/>
    <w:rsid w:val="764A3CD3"/>
    <w:rsid w:val="76A96199"/>
    <w:rsid w:val="771C4781"/>
    <w:rsid w:val="77494EF6"/>
    <w:rsid w:val="77912588"/>
    <w:rsid w:val="77C22EB1"/>
    <w:rsid w:val="781E5D2E"/>
    <w:rsid w:val="7843417C"/>
    <w:rsid w:val="78F833FC"/>
    <w:rsid w:val="795D44C5"/>
    <w:rsid w:val="798049F2"/>
    <w:rsid w:val="798149F9"/>
    <w:rsid w:val="79A62319"/>
    <w:rsid w:val="79AA0D57"/>
    <w:rsid w:val="79B06543"/>
    <w:rsid w:val="79F91F7E"/>
    <w:rsid w:val="7A0128FA"/>
    <w:rsid w:val="7A1A1600"/>
    <w:rsid w:val="7A4805DF"/>
    <w:rsid w:val="7A686FCC"/>
    <w:rsid w:val="7AA11B1E"/>
    <w:rsid w:val="7ABE3062"/>
    <w:rsid w:val="7AEC04F3"/>
    <w:rsid w:val="7AF4245F"/>
    <w:rsid w:val="7B026E3F"/>
    <w:rsid w:val="7B570210"/>
    <w:rsid w:val="7B6126DB"/>
    <w:rsid w:val="7BFC4D17"/>
    <w:rsid w:val="7C06244A"/>
    <w:rsid w:val="7C7400FF"/>
    <w:rsid w:val="7C8B0BA1"/>
    <w:rsid w:val="7D402DFE"/>
    <w:rsid w:val="7D4F6A43"/>
    <w:rsid w:val="7D622B91"/>
    <w:rsid w:val="7D77701F"/>
    <w:rsid w:val="7DBF2BE5"/>
    <w:rsid w:val="7DCF7B93"/>
    <w:rsid w:val="7E077CFD"/>
    <w:rsid w:val="7E6B47E6"/>
    <w:rsid w:val="7F06714D"/>
    <w:rsid w:val="7F2B4AF7"/>
    <w:rsid w:val="7F947D6D"/>
    <w:rsid w:val="7F9B734D"/>
    <w:rsid w:val="7FD90FAC"/>
    <w:rsid w:val="7FF8030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3">
    <w:name w:val="heading 1"/>
    <w:basedOn w:val="1"/>
    <w:next w:val="1"/>
    <w:qFormat/>
    <w:uiPriority w:val="0"/>
    <w:pPr>
      <w:autoSpaceDE w:val="0"/>
      <w:autoSpaceDN w:val="0"/>
      <w:adjustRightInd w:val="0"/>
      <w:jc w:val="left"/>
      <w:outlineLvl w:val="0"/>
    </w:pPr>
    <w:rPr>
      <w:kern w:val="0"/>
      <w:sz w:val="30"/>
    </w:rPr>
  </w:style>
  <w:style w:type="paragraph" w:styleId="4">
    <w:name w:val="heading 2"/>
    <w:basedOn w:val="1"/>
    <w:next w:val="1"/>
    <w:qFormat/>
    <w:uiPriority w:val="0"/>
    <w:pPr>
      <w:autoSpaceDE w:val="0"/>
      <w:autoSpaceDN w:val="0"/>
      <w:adjustRightInd w:val="0"/>
      <w:jc w:val="left"/>
      <w:outlineLvl w:val="1"/>
    </w:pPr>
    <w:rPr>
      <w:rFonts w:ascii="宋体" w:hAnsi="宋体" w:eastAsia="宋体"/>
      <w:b/>
      <w:kern w:val="0"/>
    </w:rPr>
  </w:style>
  <w:style w:type="paragraph" w:styleId="5">
    <w:name w:val="heading 3"/>
    <w:basedOn w:val="6"/>
    <w:next w:val="6"/>
    <w:link w:val="154"/>
    <w:qFormat/>
    <w:uiPriority w:val="0"/>
    <w:pPr>
      <w:keepNext/>
      <w:keepLines/>
      <w:spacing w:beforeLines="0" w:beforeAutospacing="0" w:afterLines="0" w:afterAutospacing="0"/>
      <w:ind w:firstLine="964" w:firstLineChars="200"/>
      <w:jc w:val="left"/>
      <w:outlineLvl w:val="2"/>
    </w:pPr>
    <w:rPr>
      <w:rFonts w:ascii="宋体" w:hAnsi="宋体" w:eastAsia="宋体"/>
      <w:b/>
      <w:sz w:val="24"/>
    </w:rPr>
  </w:style>
  <w:style w:type="paragraph" w:styleId="7">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sz w:val="24"/>
    </w:rPr>
  </w:style>
  <w:style w:type="character" w:default="1" w:styleId="33">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customStyle="1" w:styleId="2">
    <w:name w:val="正文缩进1"/>
    <w:basedOn w:val="1"/>
    <w:qFormat/>
    <w:uiPriority w:val="0"/>
    <w:pPr>
      <w:widowControl/>
      <w:ind w:firstLine="420"/>
      <w:jc w:val="left"/>
    </w:pPr>
    <w:rPr>
      <w:kern w:val="0"/>
      <w:szCs w:val="20"/>
    </w:rPr>
  </w:style>
  <w:style w:type="paragraph" w:styleId="6">
    <w:name w:val="Normal Indent"/>
    <w:basedOn w:val="1"/>
    <w:qFormat/>
    <w:uiPriority w:val="0"/>
    <w:pPr>
      <w:widowControl/>
      <w:ind w:firstLine="420"/>
      <w:jc w:val="left"/>
    </w:pPr>
    <w:rPr>
      <w:kern w:val="0"/>
      <w:sz w:val="20"/>
    </w:rPr>
  </w:style>
  <w:style w:type="paragraph" w:styleId="8">
    <w:name w:val="toc 7"/>
    <w:basedOn w:val="1"/>
    <w:next w:val="1"/>
    <w:qFormat/>
    <w:uiPriority w:val="0"/>
    <w:pPr>
      <w:ind w:left="1680"/>
      <w:jc w:val="left"/>
    </w:pPr>
  </w:style>
  <w:style w:type="paragraph" w:styleId="9">
    <w:name w:val="table of authorities"/>
    <w:basedOn w:val="1"/>
    <w:next w:val="1"/>
    <w:qFormat/>
    <w:uiPriority w:val="0"/>
    <w:pPr>
      <w:ind w:left="420" w:leftChars="200"/>
    </w:pPr>
  </w:style>
  <w:style w:type="paragraph" w:styleId="10">
    <w:name w:val="Document Map"/>
    <w:basedOn w:val="1"/>
    <w:qFormat/>
    <w:uiPriority w:val="0"/>
    <w:pPr>
      <w:shd w:val="clear" w:color="auto" w:fill="000080"/>
    </w:pPr>
  </w:style>
  <w:style w:type="paragraph" w:styleId="11">
    <w:name w:val="annotation text"/>
    <w:basedOn w:val="1"/>
    <w:next w:val="1"/>
    <w:qFormat/>
    <w:uiPriority w:val="0"/>
    <w:pPr>
      <w:adjustRightInd w:val="0"/>
      <w:spacing w:line="360" w:lineRule="atLeast"/>
      <w:jc w:val="left"/>
      <w:textAlignment w:val="baseline"/>
    </w:pPr>
    <w:rPr>
      <w:rFonts w:ascii="宋体"/>
      <w:kern w:val="0"/>
      <w:sz w:val="24"/>
    </w:rPr>
  </w:style>
  <w:style w:type="paragraph" w:styleId="12">
    <w:name w:val="Body Text"/>
    <w:basedOn w:val="1"/>
    <w:qFormat/>
    <w:uiPriority w:val="0"/>
    <w:pPr>
      <w:spacing w:after="120" w:afterLines="0" w:afterAutospacing="0"/>
    </w:pPr>
  </w:style>
  <w:style w:type="paragraph" w:styleId="13">
    <w:name w:val="Body Text Indent"/>
    <w:basedOn w:val="1"/>
    <w:next w:val="14"/>
    <w:link w:val="40"/>
    <w:qFormat/>
    <w:uiPriority w:val="0"/>
    <w:pPr>
      <w:ind w:firstLine="560" w:firstLineChars="200"/>
    </w:pPr>
  </w:style>
  <w:style w:type="paragraph" w:styleId="14">
    <w:name w:val="envelope return"/>
    <w:basedOn w:val="1"/>
    <w:qFormat/>
    <w:uiPriority w:val="99"/>
    <w:pPr>
      <w:snapToGrid w:val="0"/>
    </w:pPr>
    <w:rPr>
      <w:rFonts w:ascii="Arial" w:hAnsi="Arial"/>
    </w:rPr>
  </w:style>
  <w:style w:type="paragraph" w:styleId="15">
    <w:name w:val="toc 5"/>
    <w:basedOn w:val="1"/>
    <w:next w:val="1"/>
    <w:qFormat/>
    <w:uiPriority w:val="0"/>
    <w:pPr>
      <w:ind w:left="1120"/>
      <w:jc w:val="left"/>
    </w:pPr>
  </w:style>
  <w:style w:type="paragraph" w:styleId="16">
    <w:name w:val="toc 3"/>
    <w:basedOn w:val="1"/>
    <w:next w:val="1"/>
    <w:qFormat/>
    <w:uiPriority w:val="0"/>
    <w:pPr>
      <w:ind w:left="561"/>
      <w:jc w:val="left"/>
    </w:pPr>
    <w:rPr>
      <w:sz w:val="24"/>
    </w:rPr>
  </w:style>
  <w:style w:type="paragraph" w:styleId="17">
    <w:name w:val="toc 8"/>
    <w:basedOn w:val="1"/>
    <w:next w:val="1"/>
    <w:qFormat/>
    <w:uiPriority w:val="0"/>
    <w:pPr>
      <w:ind w:left="1960"/>
      <w:jc w:val="left"/>
    </w:pPr>
  </w:style>
  <w:style w:type="paragraph" w:styleId="18">
    <w:name w:val="Body Text Indent 2"/>
    <w:basedOn w:val="1"/>
    <w:qFormat/>
    <w:uiPriority w:val="0"/>
    <w:pPr>
      <w:spacing w:line="480" w:lineRule="auto"/>
      <w:ind w:firstLine="561"/>
    </w:pPr>
    <w:rPr>
      <w:rFonts w:ascii="宋体"/>
    </w:rPr>
  </w:style>
  <w:style w:type="paragraph" w:styleId="19">
    <w:name w:val="Balloon Text"/>
    <w:basedOn w:val="1"/>
    <w:qFormat/>
    <w:uiPriority w:val="0"/>
    <w:rPr>
      <w:sz w:val="18"/>
      <w:szCs w:val="18"/>
    </w:rPr>
  </w:style>
  <w:style w:type="paragraph" w:styleId="20">
    <w:name w:val="footer"/>
    <w:basedOn w:val="1"/>
    <w:qFormat/>
    <w:uiPriority w:val="0"/>
    <w:pPr>
      <w:widowControl/>
      <w:tabs>
        <w:tab w:val="center" w:pos="4153"/>
        <w:tab w:val="right" w:pos="8306"/>
      </w:tabs>
      <w:snapToGrid w:val="0"/>
      <w:jc w:val="left"/>
    </w:pPr>
    <w:rPr>
      <w:kern w:val="0"/>
      <w:sz w:val="18"/>
    </w:rPr>
  </w:style>
  <w:style w:type="paragraph" w:styleId="21">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2">
    <w:name w:val="toc 1"/>
    <w:basedOn w:val="1"/>
    <w:next w:val="1"/>
    <w:qFormat/>
    <w:uiPriority w:val="0"/>
    <w:pPr>
      <w:spacing w:before="120" w:beforeLines="0" w:beforeAutospacing="0" w:after="120" w:afterLines="0" w:afterAutospacing="0"/>
      <w:jc w:val="left"/>
    </w:pPr>
    <w:rPr>
      <w:caps/>
      <w:sz w:val="24"/>
    </w:rPr>
  </w:style>
  <w:style w:type="paragraph" w:styleId="23">
    <w:name w:val="toc 4"/>
    <w:basedOn w:val="1"/>
    <w:next w:val="1"/>
    <w:qFormat/>
    <w:uiPriority w:val="0"/>
    <w:pPr>
      <w:ind w:left="840"/>
      <w:jc w:val="left"/>
    </w:pPr>
  </w:style>
  <w:style w:type="paragraph" w:styleId="24">
    <w:name w:val="toc 6"/>
    <w:basedOn w:val="1"/>
    <w:next w:val="1"/>
    <w:qFormat/>
    <w:uiPriority w:val="0"/>
    <w:pPr>
      <w:ind w:left="1400"/>
      <w:jc w:val="left"/>
    </w:pPr>
  </w:style>
  <w:style w:type="paragraph" w:styleId="25">
    <w:name w:val="Body Text Indent 3"/>
    <w:basedOn w:val="1"/>
    <w:link w:val="41"/>
    <w:qFormat/>
    <w:uiPriority w:val="0"/>
    <w:pPr>
      <w:ind w:firstLine="560"/>
    </w:pPr>
    <w:rPr>
      <w:color w:val="FF0000"/>
    </w:rPr>
  </w:style>
  <w:style w:type="paragraph" w:styleId="26">
    <w:name w:val="toc 2"/>
    <w:basedOn w:val="1"/>
    <w:next w:val="1"/>
    <w:qFormat/>
    <w:uiPriority w:val="0"/>
    <w:pPr>
      <w:ind w:left="278"/>
      <w:jc w:val="left"/>
    </w:pPr>
    <w:rPr>
      <w:smallCaps/>
      <w:sz w:val="24"/>
    </w:rPr>
  </w:style>
  <w:style w:type="paragraph" w:styleId="27">
    <w:name w:val="toc 9"/>
    <w:basedOn w:val="1"/>
    <w:next w:val="1"/>
    <w:qFormat/>
    <w:uiPriority w:val="0"/>
    <w:pPr>
      <w:ind w:left="2240"/>
      <w:jc w:val="left"/>
    </w:pPr>
  </w:style>
  <w:style w:type="paragraph" w:styleId="28">
    <w:name w:val="Body Text 2"/>
    <w:basedOn w:val="1"/>
    <w:qFormat/>
    <w:uiPriority w:val="0"/>
    <w:pPr>
      <w:spacing w:line="500" w:lineRule="exact"/>
    </w:pPr>
    <w:rPr>
      <w:rFonts w:ascii="宋体"/>
      <w:sz w:val="24"/>
    </w:rPr>
  </w:style>
  <w:style w:type="paragraph" w:styleId="2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1"/>
    <w:next w:val="11"/>
    <w:qFormat/>
    <w:uiPriority w:val="0"/>
    <w:pPr>
      <w:adjustRightInd/>
      <w:spacing w:line="360" w:lineRule="auto"/>
      <w:textAlignment w:val="auto"/>
    </w:pPr>
    <w:rPr>
      <w:b/>
      <w:bCs/>
      <w:kern w:val="2"/>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Emphasis"/>
    <w:qFormat/>
    <w:uiPriority w:val="0"/>
    <w:rPr>
      <w:i/>
    </w:rPr>
  </w:style>
  <w:style w:type="character" w:styleId="38">
    <w:name w:val="Hyperlink"/>
    <w:qFormat/>
    <w:uiPriority w:val="0"/>
    <w:rPr>
      <w:color w:val="0000FF"/>
      <w:u w:val="single"/>
    </w:rPr>
  </w:style>
  <w:style w:type="character" w:styleId="39">
    <w:name w:val="annotation reference"/>
    <w:qFormat/>
    <w:uiPriority w:val="0"/>
    <w:rPr>
      <w:sz w:val="21"/>
    </w:rPr>
  </w:style>
  <w:style w:type="character" w:customStyle="1" w:styleId="40">
    <w:name w:val="正文文本缩进 字符"/>
    <w:link w:val="13"/>
    <w:qFormat/>
    <w:uiPriority w:val="0"/>
    <w:rPr>
      <w:rFonts w:ascii="宋体"/>
      <w:kern w:val="2"/>
      <w:sz w:val="24"/>
    </w:rPr>
  </w:style>
  <w:style w:type="character" w:customStyle="1" w:styleId="41">
    <w:name w:val="正文文本缩进 3 字符"/>
    <w:link w:val="25"/>
    <w:qFormat/>
    <w:uiPriority w:val="0"/>
    <w:rPr>
      <w:rFonts w:ascii="宋体" w:eastAsia="宋体"/>
      <w:color w:val="FF0000"/>
      <w:kern w:val="2"/>
      <w:sz w:val="24"/>
      <w:lang w:val="en-US" w:eastAsia="zh-CN" w:bidi="ar-SA"/>
    </w:rPr>
  </w:style>
  <w:style w:type="paragraph" w:customStyle="1" w:styleId="42">
    <w:name w:val=" Char Char2"/>
    <w:basedOn w:val="10"/>
    <w:qFormat/>
    <w:uiPriority w:val="0"/>
    <w:pPr>
      <w:spacing w:line="240" w:lineRule="auto"/>
    </w:pPr>
  </w:style>
  <w:style w:type="character" w:customStyle="1" w:styleId="43">
    <w:name w:val="超链接 New"/>
    <w:qFormat/>
    <w:uiPriority w:val="0"/>
    <w:rPr>
      <w:color w:val="000000"/>
      <w:sz w:val="18"/>
      <w:szCs w:val="18"/>
      <w:u w:val="none"/>
    </w:rPr>
  </w:style>
  <w:style w:type="character" w:customStyle="1" w:styleId="44">
    <w:name w:val=" Char Char1"/>
    <w:qFormat/>
    <w:uiPriority w:val="0"/>
    <w:rPr>
      <w:rFonts w:ascii="宋体" w:eastAsia="宋体"/>
      <w:color w:val="FF0000"/>
      <w:kern w:val="2"/>
      <w:sz w:val="24"/>
      <w:lang w:val="en-US" w:eastAsia="zh-CN" w:bidi="ar-SA"/>
    </w:rPr>
  </w:style>
  <w:style w:type="character" w:customStyle="1" w:styleId="45">
    <w:name w:val="Default Paragraph Font"/>
    <w:qFormat/>
    <w:uiPriority w:val="0"/>
    <w:rPr>
      <w:rFonts w:hint="default"/>
    </w:rPr>
  </w:style>
  <w:style w:type="character" w:customStyle="1" w:styleId="46">
    <w:name w:val="正文文本 (2) + 间距 0 pt3"/>
    <w:qFormat/>
    <w:uiPriority w:val="99"/>
    <w:rPr>
      <w:rFonts w:ascii="MingLiU" w:eastAsia="MingLiU" w:cs="MingLiU"/>
      <w:spacing w:val="0"/>
      <w:sz w:val="22"/>
      <w:szCs w:val="22"/>
      <w:u w:val="none"/>
    </w:rPr>
  </w:style>
  <w:style w:type="character" w:customStyle="1" w:styleId="47">
    <w:name w:val="页码 New New"/>
    <w:qFormat/>
    <w:uiPriority w:val="0"/>
    <w:rPr>
      <w:rFonts w:eastAsia="宋体"/>
      <w:kern w:val="2"/>
      <w:sz w:val="24"/>
      <w:szCs w:val="24"/>
      <w:lang w:val="en-US" w:eastAsia="zh-CN" w:bidi="ar-SA"/>
    </w:rPr>
  </w:style>
  <w:style w:type="character" w:customStyle="1" w:styleId="48">
    <w:name w:val="默认段落字体 New New"/>
    <w:link w:val="49"/>
    <w:qFormat/>
    <w:uiPriority w:val="0"/>
    <w:rPr>
      <w:rFonts w:ascii="Tahoma" w:hAnsi="Tahoma"/>
      <w:szCs w:val="24"/>
    </w:rPr>
  </w:style>
  <w:style w:type="paragraph" w:customStyle="1" w:styleId="49">
    <w:name w:val=" Char New New"/>
    <w:basedOn w:val="1"/>
    <w:link w:val="48"/>
    <w:qFormat/>
    <w:uiPriority w:val="0"/>
    <w:pPr>
      <w:spacing w:line="240" w:lineRule="auto"/>
    </w:pPr>
    <w:rPr>
      <w:rFonts w:ascii="Tahoma" w:hAnsi="Tahoma"/>
      <w:kern w:val="0"/>
      <w:sz w:val="20"/>
      <w:szCs w:val="24"/>
    </w:rPr>
  </w:style>
  <w:style w:type="character" w:customStyle="1" w:styleId="50">
    <w:name w:val="超链接 New New"/>
    <w:qFormat/>
    <w:uiPriority w:val="0"/>
    <w:rPr>
      <w:color w:val="000000"/>
      <w:sz w:val="18"/>
      <w:szCs w:val="18"/>
      <w:u w:val="none"/>
    </w:rPr>
  </w:style>
  <w:style w:type="character" w:customStyle="1" w:styleId="51">
    <w:name w:val="页码 New New New"/>
    <w:qFormat/>
    <w:uiPriority w:val="0"/>
    <w:rPr>
      <w:rFonts w:eastAsia="宋体"/>
      <w:kern w:val="2"/>
      <w:sz w:val="24"/>
      <w:szCs w:val="24"/>
      <w:lang w:val="en-US" w:eastAsia="zh-CN" w:bidi="ar-SA"/>
    </w:rPr>
  </w:style>
  <w:style w:type="character" w:customStyle="1" w:styleId="52">
    <w:name w:val="页码 New"/>
    <w:qFormat/>
    <w:uiPriority w:val="0"/>
    <w:rPr>
      <w:rFonts w:eastAsia="宋体"/>
      <w:kern w:val="2"/>
      <w:sz w:val="24"/>
      <w:szCs w:val="24"/>
      <w:lang w:val="en-US" w:eastAsia="zh-CN" w:bidi="ar-SA"/>
    </w:rPr>
  </w:style>
  <w:style w:type="character" w:customStyle="1" w:styleId="53">
    <w:name w:val="默认段落字体 New"/>
    <w:link w:val="54"/>
    <w:qFormat/>
    <w:uiPriority w:val="0"/>
    <w:rPr>
      <w:rFonts w:ascii="Tahoma" w:hAnsi="Tahoma"/>
      <w:szCs w:val="24"/>
    </w:rPr>
  </w:style>
  <w:style w:type="paragraph" w:customStyle="1" w:styleId="54">
    <w:name w:val=" Char New"/>
    <w:basedOn w:val="1"/>
    <w:link w:val="53"/>
    <w:qFormat/>
    <w:uiPriority w:val="0"/>
    <w:pPr>
      <w:spacing w:line="240" w:lineRule="auto"/>
    </w:pPr>
    <w:rPr>
      <w:rFonts w:ascii="Tahoma" w:hAnsi="Tahoma"/>
      <w:kern w:val="0"/>
      <w:sz w:val="20"/>
      <w:szCs w:val="24"/>
    </w:rPr>
  </w:style>
  <w:style w:type="paragraph" w:customStyle="1" w:styleId="55">
    <w:name w:val="页脚 New New"/>
    <w:basedOn w:val="56"/>
    <w:qFormat/>
    <w:uiPriority w:val="0"/>
    <w:pPr>
      <w:tabs>
        <w:tab w:val="center" w:pos="4153"/>
        <w:tab w:val="right" w:pos="8306"/>
      </w:tabs>
      <w:snapToGrid w:val="0"/>
      <w:jc w:val="left"/>
    </w:pPr>
    <w:rPr>
      <w:sz w:val="18"/>
      <w:szCs w:val="18"/>
    </w:rPr>
  </w:style>
  <w:style w:type="paragraph" w:customStyle="1" w:styleId="56">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7">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8">
    <w:name w:val="p18"/>
    <w:qFormat/>
    <w:uiPriority w:val="0"/>
    <w:pPr>
      <w:spacing w:after="120" w:line="360" w:lineRule="auto"/>
    </w:pPr>
    <w:rPr>
      <w:rFonts w:ascii="宋体" w:hAnsi="宋体" w:eastAsia="宋体" w:cs="宋体"/>
      <w:sz w:val="24"/>
      <w:szCs w:val="24"/>
      <w:lang w:val="en-US" w:eastAsia="zh-CN" w:bidi="ar-SA"/>
    </w:rPr>
  </w:style>
  <w:style w:type="paragraph" w:customStyle="1" w:styleId="59">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0">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1">
    <w:name w:val="样式 宋体 行距: 1.5 倍行距"/>
    <w:basedOn w:val="62"/>
    <w:next w:val="1"/>
    <w:qFormat/>
    <w:uiPriority w:val="99"/>
    <w:pPr>
      <w:jc w:val="center"/>
    </w:pPr>
    <w:rPr>
      <w:b/>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61"/>
    <w:qFormat/>
    <w:uiPriority w:val="0"/>
    <w:pPr>
      <w:widowControl w:val="0"/>
      <w:jc w:val="both"/>
    </w:pPr>
    <w:rPr>
      <w:rFonts w:ascii="Calibri" w:hAnsi="Calibri" w:eastAsia="宋体" w:cs="黑体"/>
      <w:kern w:val="2"/>
      <w:sz w:val="21"/>
      <w:szCs w:val="24"/>
      <w:lang w:val="en-US" w:eastAsia="zh-CN" w:bidi="ar-SA"/>
    </w:rPr>
  </w:style>
  <w:style w:type="paragraph" w:customStyle="1" w:styleId="63">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4">
    <w:name w:val="纯文本 New New"/>
    <w:basedOn w:val="57"/>
    <w:qFormat/>
    <w:uiPriority w:val="0"/>
    <w:rPr>
      <w:rFonts w:ascii="宋体" w:hAnsi="Courier New" w:eastAsia="楷体_GB2312"/>
      <w:kern w:val="2"/>
      <w:sz w:val="21"/>
      <w:szCs w:val="24"/>
      <w:lang w:val="en-US" w:eastAsia="zh-CN" w:bidi="ar-SA"/>
    </w:rPr>
  </w:style>
  <w:style w:type="paragraph" w:customStyle="1" w:styleId="65">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6">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8">
    <w:name w:val="页脚 New New New New"/>
    <w:basedOn w:val="69"/>
    <w:qFormat/>
    <w:uiPriority w:val="0"/>
    <w:pPr>
      <w:tabs>
        <w:tab w:val="center" w:pos="4153"/>
        <w:tab w:val="right" w:pos="8306"/>
      </w:tabs>
      <w:snapToGrid w:val="0"/>
      <w:jc w:val="left"/>
    </w:pPr>
    <w:rPr>
      <w:sz w:val="18"/>
      <w:szCs w:val="18"/>
    </w:rPr>
  </w:style>
  <w:style w:type="paragraph" w:customStyle="1" w:styleId="69">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1">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72">
    <w:name w:val="页眉 New New New New New New New"/>
    <w:basedOn w:val="70"/>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73">
    <w:name w:val="样式2"/>
    <w:basedOn w:val="22"/>
    <w:qFormat/>
    <w:uiPriority w:val="0"/>
    <w:pPr>
      <w:tabs>
        <w:tab w:val="right" w:leader="dot" w:pos="9345"/>
      </w:tabs>
    </w:pPr>
    <w:rPr>
      <w:rFonts w:ascii="宋体" w:hAnsi="宋体"/>
      <w:b/>
      <w:color w:val="0000FF"/>
      <w:u w:val="single"/>
    </w:rPr>
  </w:style>
  <w:style w:type="paragraph" w:customStyle="1" w:styleId="74">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5">
    <w:name w:val="正文缩进 New"/>
    <w:basedOn w:val="63"/>
    <w:qFormat/>
    <w:uiPriority w:val="0"/>
    <w:pPr>
      <w:widowControl/>
      <w:ind w:firstLine="420"/>
      <w:jc w:val="left"/>
    </w:pPr>
    <w:rPr>
      <w:kern w:val="0"/>
      <w:sz w:val="20"/>
    </w:rPr>
  </w:style>
  <w:style w:type="paragraph" w:customStyle="1" w:styleId="76">
    <w:name w:val="页眉 New"/>
    <w:basedOn w:val="77"/>
    <w:qFormat/>
    <w:uiPriority w:val="0"/>
    <w:pPr>
      <w:pBdr>
        <w:bottom w:val="single" w:color="auto" w:sz="6" w:space="1"/>
      </w:pBdr>
      <w:tabs>
        <w:tab w:val="center" w:pos="4153"/>
        <w:tab w:val="right" w:pos="8306"/>
      </w:tabs>
      <w:snapToGrid w:val="0"/>
      <w:jc w:val="center"/>
    </w:pPr>
    <w:rPr>
      <w:sz w:val="18"/>
      <w:szCs w:val="18"/>
    </w:rPr>
  </w:style>
  <w:style w:type="paragraph" w:customStyle="1" w:styleId="77">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8">
    <w:name w:val="样式1"/>
    <w:basedOn w:val="7"/>
    <w:qFormat/>
    <w:uiPriority w:val="0"/>
    <w:pPr>
      <w:tabs>
        <w:tab w:val="right" w:leader="dot" w:pos="9345"/>
      </w:tabs>
    </w:pPr>
    <w:rPr>
      <w:rFonts w:ascii="宋体" w:hAnsi="宋体" w:eastAsia="宋体"/>
      <w:b/>
      <w:caps/>
      <w:sz w:val="24"/>
      <w:u w:val="single"/>
    </w:rPr>
  </w:style>
  <w:style w:type="paragraph" w:customStyle="1" w:styleId="79">
    <w:name w:val="标题 3 New New"/>
    <w:basedOn w:val="75"/>
    <w:next w:val="75"/>
    <w:qFormat/>
    <w:uiPriority w:val="0"/>
    <w:pPr>
      <w:keepNext/>
      <w:keepLines/>
      <w:spacing w:before="120" w:beforeLines="0" w:beforeAutospacing="0" w:after="120" w:afterLines="0" w:afterAutospacing="0"/>
      <w:jc w:val="center"/>
      <w:outlineLvl w:val="2"/>
    </w:pPr>
    <w:rPr>
      <w:sz w:val="24"/>
    </w:rPr>
  </w:style>
  <w:style w:type="paragraph" w:customStyle="1" w:styleId="80">
    <w:name w:val="页脚 New New New New New New New New New New New New"/>
    <w:basedOn w:val="81"/>
    <w:qFormat/>
    <w:uiPriority w:val="0"/>
    <w:pPr>
      <w:tabs>
        <w:tab w:val="center" w:pos="4153"/>
        <w:tab w:val="right" w:pos="8306"/>
      </w:tabs>
      <w:snapToGrid w:val="0"/>
      <w:jc w:val="left"/>
    </w:pPr>
    <w:rPr>
      <w:rFonts w:eastAsia="楷体_GB2312"/>
      <w:kern w:val="2"/>
      <w:sz w:val="18"/>
      <w:szCs w:val="18"/>
    </w:rPr>
  </w:style>
  <w:style w:type="paragraph" w:customStyle="1" w:styleId="81">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页脚 New New New New New New New New New"/>
    <w:basedOn w:val="83"/>
    <w:qFormat/>
    <w:uiPriority w:val="0"/>
    <w:pPr>
      <w:tabs>
        <w:tab w:val="center" w:pos="4153"/>
        <w:tab w:val="right" w:pos="8306"/>
      </w:tabs>
      <w:snapToGrid w:val="0"/>
      <w:jc w:val="left"/>
    </w:pPr>
    <w:rPr>
      <w:kern w:val="2"/>
      <w:sz w:val="18"/>
      <w:szCs w:val="18"/>
    </w:rPr>
  </w:style>
  <w:style w:type="paragraph" w:customStyle="1" w:styleId="83">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页眉 New New New"/>
    <w:basedOn w:val="57"/>
    <w:qFormat/>
    <w:uiPriority w:val="0"/>
    <w:pPr>
      <w:pBdr>
        <w:bottom w:val="single" w:color="auto" w:sz="6" w:space="1"/>
      </w:pBdr>
      <w:tabs>
        <w:tab w:val="center" w:pos="4153"/>
        <w:tab w:val="right" w:pos="8306"/>
      </w:tabs>
      <w:snapToGrid w:val="0"/>
      <w:jc w:val="center"/>
    </w:pPr>
    <w:rPr>
      <w:sz w:val="18"/>
      <w:szCs w:val="18"/>
    </w:rPr>
  </w:style>
  <w:style w:type="paragraph" w:customStyle="1" w:styleId="85">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6">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7">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8">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9">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
    <w:name w:val="页眉 New New"/>
    <w:basedOn w:val="56"/>
    <w:qFormat/>
    <w:uiPriority w:val="0"/>
    <w:pPr>
      <w:pBdr>
        <w:bottom w:val="single" w:color="auto" w:sz="6" w:space="1"/>
      </w:pBdr>
      <w:tabs>
        <w:tab w:val="center" w:pos="4153"/>
        <w:tab w:val="right" w:pos="8306"/>
      </w:tabs>
      <w:snapToGrid w:val="0"/>
      <w:jc w:val="center"/>
    </w:pPr>
    <w:rPr>
      <w:sz w:val="18"/>
      <w:szCs w:val="18"/>
    </w:rPr>
  </w:style>
  <w:style w:type="paragraph" w:customStyle="1" w:styleId="91">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2">
    <w:name w:val=" Char"/>
    <w:basedOn w:val="10"/>
    <w:qFormat/>
    <w:uiPriority w:val="0"/>
    <w:pPr>
      <w:spacing w:line="240" w:lineRule="auto"/>
    </w:pPr>
  </w:style>
  <w:style w:type="paragraph" w:customStyle="1" w:styleId="93">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4">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5">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6">
    <w:name w:val="页眉 New New New New New New New New New"/>
    <w:basedOn w:val="97"/>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97">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8">
    <w:name w:val="页脚 New New New New New New"/>
    <w:basedOn w:val="88"/>
    <w:qFormat/>
    <w:uiPriority w:val="0"/>
    <w:pPr>
      <w:tabs>
        <w:tab w:val="center" w:pos="4153"/>
        <w:tab w:val="right" w:pos="8306"/>
      </w:tabs>
      <w:snapToGrid w:val="0"/>
      <w:jc w:val="left"/>
    </w:pPr>
    <w:rPr>
      <w:sz w:val="18"/>
    </w:rPr>
  </w:style>
  <w:style w:type="paragraph" w:customStyle="1" w:styleId="99">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0">
    <w:name w:val="正文文本缩进 New New New New"/>
    <w:basedOn w:val="93"/>
    <w:qFormat/>
    <w:uiPriority w:val="0"/>
    <w:pPr>
      <w:ind w:firstLine="560" w:firstLineChars="200"/>
    </w:pPr>
    <w:rPr>
      <w:rFonts w:ascii="宋体"/>
      <w:kern w:val="2"/>
      <w:sz w:val="24"/>
      <w:szCs w:val="28"/>
    </w:rPr>
  </w:style>
  <w:style w:type="paragraph" w:customStyle="1" w:styleId="101">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2">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03">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4">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5">
    <w:name w:val="正文文本缩进 New"/>
    <w:basedOn w:val="63"/>
    <w:qFormat/>
    <w:uiPriority w:val="0"/>
    <w:pPr>
      <w:ind w:firstLine="560" w:firstLineChars="200"/>
    </w:pPr>
    <w:rPr>
      <w:rFonts w:ascii="宋体"/>
      <w:kern w:val="2"/>
      <w:sz w:val="24"/>
    </w:rPr>
  </w:style>
  <w:style w:type="paragraph" w:customStyle="1" w:styleId="106">
    <w:name w:val="正文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7">
    <w:name w:val="Normal New"/>
    <w:autoRedefine/>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08">
    <w:name w:val="页脚 New New New New New"/>
    <w:basedOn w:val="94"/>
    <w:autoRedefine/>
    <w:qFormat/>
    <w:uiPriority w:val="0"/>
    <w:pPr>
      <w:tabs>
        <w:tab w:val="center" w:pos="4153"/>
        <w:tab w:val="right" w:pos="8306"/>
      </w:tabs>
      <w:snapToGrid w:val="0"/>
      <w:jc w:val="left"/>
    </w:pPr>
    <w:rPr>
      <w:sz w:val="18"/>
    </w:rPr>
  </w:style>
  <w:style w:type="paragraph" w:customStyle="1" w:styleId="109">
    <w:name w:val="页眉 New New New New"/>
    <w:basedOn w:val="94"/>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10">
    <w:name w:val="页脚 New New New"/>
    <w:basedOn w:val="57"/>
    <w:autoRedefine/>
    <w:qFormat/>
    <w:uiPriority w:val="0"/>
    <w:pPr>
      <w:tabs>
        <w:tab w:val="center" w:pos="4153"/>
        <w:tab w:val="right" w:pos="8306"/>
      </w:tabs>
      <w:snapToGrid w:val="0"/>
      <w:jc w:val="left"/>
    </w:pPr>
    <w:rPr>
      <w:sz w:val="18"/>
      <w:szCs w:val="18"/>
    </w:rPr>
  </w:style>
  <w:style w:type="paragraph" w:customStyle="1" w:styleId="111">
    <w:name w:val="toc 3"/>
    <w:basedOn w:val="112"/>
    <w:next w:val="112"/>
    <w:autoRedefine/>
    <w:qFormat/>
    <w:uiPriority w:val="0"/>
    <w:pPr>
      <w:ind w:left="561"/>
      <w:jc w:val="left"/>
    </w:pPr>
    <w:rPr>
      <w:rFonts w:hint="eastAsia"/>
    </w:rPr>
  </w:style>
  <w:style w:type="paragraph" w:customStyle="1" w:styleId="112">
    <w:name w:val="Normal"/>
    <w:autoRedefine/>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113">
    <w:name w:val="页脚 New New New New New New New"/>
    <w:basedOn w:val="102"/>
    <w:autoRedefine/>
    <w:qFormat/>
    <w:uiPriority w:val="0"/>
    <w:pPr>
      <w:widowControl/>
      <w:tabs>
        <w:tab w:val="center" w:pos="4153"/>
        <w:tab w:val="right" w:pos="8306"/>
      </w:tabs>
      <w:snapToGrid w:val="0"/>
      <w:jc w:val="left"/>
    </w:pPr>
    <w:rPr>
      <w:kern w:val="0"/>
      <w:sz w:val="18"/>
      <w:szCs w:val="20"/>
    </w:rPr>
  </w:style>
  <w:style w:type="paragraph" w:customStyle="1" w:styleId="114">
    <w:name w:val="页眉 New New New New New New"/>
    <w:basedOn w:val="102"/>
    <w:autoRedefine/>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15">
    <w:name w:val="正文 New New New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6">
    <w:name w:val="footer"/>
    <w:basedOn w:val="112"/>
    <w:autoRedefine/>
    <w:qFormat/>
    <w:uiPriority w:val="0"/>
    <w:pPr>
      <w:widowControl/>
      <w:tabs>
        <w:tab w:val="center" w:pos="4153"/>
        <w:tab w:val="right" w:pos="8306"/>
      </w:tabs>
      <w:snapToGrid w:val="0"/>
      <w:jc w:val="left"/>
    </w:pPr>
    <w:rPr>
      <w:rFonts w:hint="eastAsia"/>
      <w:kern w:val="0"/>
      <w:sz w:val="18"/>
    </w:rPr>
  </w:style>
  <w:style w:type="paragraph" w:customStyle="1" w:styleId="117">
    <w:name w:val="p0"/>
    <w:basedOn w:val="89"/>
    <w:autoRedefine/>
    <w:qFormat/>
    <w:uiPriority w:val="0"/>
    <w:pPr>
      <w:widowControl/>
      <w:spacing w:line="360" w:lineRule="auto"/>
    </w:pPr>
    <w:rPr>
      <w:rFonts w:ascii="宋体" w:hAnsi="宋体" w:eastAsia="宋体" w:cs="宋体"/>
      <w:kern w:val="0"/>
      <w:sz w:val="24"/>
      <w:szCs w:val="24"/>
    </w:rPr>
  </w:style>
  <w:style w:type="paragraph" w:customStyle="1" w:styleId="118">
    <w:name w:val="正文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9">
    <w:name w:val="正文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0">
    <w:name w:val="正文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1">
    <w:name w:val="正文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2">
    <w:name w:val="正文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3">
    <w:name w:val="正文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4">
    <w:name w:val="正文 New New New New New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5">
    <w:name w:val="正文 New New New New New New New New New New New New New New New New New New New New New New New New New New New New New New New New New New New New New New New New New New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6">
    <w:name w:val="标题 3 New"/>
    <w:basedOn w:val="6"/>
    <w:next w:val="6"/>
    <w:autoRedefine/>
    <w:qFormat/>
    <w:uiPriority w:val="0"/>
    <w:pPr>
      <w:keepNext/>
      <w:keepLines/>
      <w:spacing w:before="120" w:beforeLines="0" w:after="120" w:afterLines="0"/>
      <w:jc w:val="center"/>
      <w:outlineLvl w:val="2"/>
    </w:pPr>
    <w:rPr>
      <w:sz w:val="24"/>
    </w:rPr>
  </w:style>
  <w:style w:type="paragraph" w:customStyle="1" w:styleId="127">
    <w:name w:val="页脚 New New New New New New New New New New"/>
    <w:basedOn w:val="70"/>
    <w:autoRedefine/>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28">
    <w:name w:val="页眉 New New New New New New New New"/>
    <w:basedOn w:val="129"/>
    <w:autoRedefine/>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129">
    <w:name w:val="正文 New New New New New New New New New New New New New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30">
    <w:name w:val="页眉 New New New New New"/>
    <w:basedOn w:val="88"/>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31">
    <w:name w:val="页脚 New New New New New New New New New New New New New"/>
    <w:basedOn w:val="97"/>
    <w:autoRedefine/>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32">
    <w:name w:val="正文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3">
    <w:name w:val="正文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4">
    <w:name w:val="正文 New New New New New New New New New New New New New New New New"/>
    <w:autoRedefine/>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5">
    <w:name w:val="正文 New New New New New New New New New New New New"/>
    <w:autoRedefine/>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6">
    <w:name w:val="正文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7">
    <w:name w:val="页脚 New New New New New New New New New New New"/>
    <w:basedOn w:val="129"/>
    <w:autoRedefine/>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38">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9">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0">
    <w:name w:val="普通(网站) New"/>
    <w:basedOn w:val="88"/>
    <w:qFormat/>
    <w:uiPriority w:val="0"/>
    <w:rPr>
      <w:sz w:val="24"/>
    </w:rPr>
  </w:style>
  <w:style w:type="paragraph" w:customStyle="1" w:styleId="141">
    <w:name w:val="页脚 New New New New New New New New"/>
    <w:basedOn w:val="138"/>
    <w:qFormat/>
    <w:uiPriority w:val="0"/>
    <w:pPr>
      <w:tabs>
        <w:tab w:val="center" w:pos="4153"/>
        <w:tab w:val="right" w:pos="8306"/>
      </w:tabs>
      <w:snapToGrid w:val="0"/>
      <w:jc w:val="left"/>
    </w:pPr>
    <w:rPr>
      <w:kern w:val="2"/>
      <w:sz w:val="18"/>
      <w:szCs w:val="18"/>
    </w:rPr>
  </w:style>
  <w:style w:type="paragraph" w:customStyle="1" w:styleId="142">
    <w:name w:val="标题 2 New"/>
    <w:basedOn w:val="136"/>
    <w:qFormat/>
    <w:uiPriority w:val="0"/>
    <w:pPr>
      <w:widowControl/>
      <w:spacing w:before="100" w:beforeLines="0" w:beforeAutospacing="1" w:after="100" w:afterLines="0" w:afterAutospacing="1"/>
      <w:jc w:val="left"/>
      <w:outlineLvl w:val="1"/>
    </w:pPr>
    <w:rPr>
      <w:rFonts w:ascii="宋体" w:hAnsi="宋体" w:cs="宋体"/>
      <w:b/>
      <w:bCs/>
      <w:kern w:val="0"/>
      <w:sz w:val="36"/>
      <w:szCs w:val="36"/>
    </w:rPr>
  </w:style>
  <w:style w:type="paragraph" w:customStyle="1" w:styleId="143">
    <w:name w:val="blockquote"/>
    <w:basedOn w:val="1"/>
    <w:autoRedefine/>
    <w:qFormat/>
    <w:uiPriority w:val="0"/>
    <w:pPr>
      <w:widowControl/>
      <w:spacing w:before="100" w:beforeLines="0" w:beforeAutospacing="1" w:after="100" w:afterLines="0" w:afterAutospacing="1" w:line="240" w:lineRule="auto"/>
      <w:jc w:val="left"/>
    </w:pPr>
    <w:rPr>
      <w:rFonts w:hAnsi="宋体"/>
      <w:kern w:val="0"/>
    </w:rPr>
  </w:style>
  <w:style w:type="paragraph" w:customStyle="1" w:styleId="144">
    <w:name w:val="纯文本 New"/>
    <w:basedOn w:val="56"/>
    <w:qFormat/>
    <w:uiPriority w:val="0"/>
    <w:rPr>
      <w:rFonts w:ascii="宋体" w:hAnsi="Courier New" w:eastAsia="楷体_GB2312"/>
      <w:kern w:val="2"/>
      <w:sz w:val="21"/>
      <w:szCs w:val="24"/>
      <w:lang w:val="en-US" w:eastAsia="zh-CN" w:bidi="ar-SA"/>
    </w:rPr>
  </w:style>
  <w:style w:type="paragraph" w:customStyle="1" w:styleId="145">
    <w:name w:val="页脚 New"/>
    <w:basedOn w:val="77"/>
    <w:qFormat/>
    <w:uiPriority w:val="0"/>
    <w:pPr>
      <w:tabs>
        <w:tab w:val="center" w:pos="4153"/>
        <w:tab w:val="right" w:pos="8306"/>
      </w:tabs>
      <w:snapToGrid w:val="0"/>
      <w:jc w:val="left"/>
    </w:pPr>
    <w:rPr>
      <w:sz w:val="18"/>
      <w:szCs w:val="18"/>
    </w:rPr>
  </w:style>
  <w:style w:type="paragraph" w:customStyle="1" w:styleId="146">
    <w:name w:val="_Style 1"/>
    <w:basedOn w:val="1"/>
    <w:qFormat/>
    <w:uiPriority w:val="0"/>
    <w:pPr>
      <w:spacing w:line="240" w:lineRule="auto"/>
      <w:ind w:firstLine="420" w:firstLineChars="200"/>
    </w:pPr>
    <w:rPr>
      <w:rFonts w:ascii="Calibri" w:hAnsi="Calibri"/>
      <w:sz w:val="21"/>
      <w:szCs w:val="22"/>
    </w:rPr>
  </w:style>
  <w:style w:type="paragraph" w:customStyle="1" w:styleId="147">
    <w:name w:val="文一"/>
    <w:basedOn w:val="1"/>
    <w:qFormat/>
    <w:uiPriority w:val="0"/>
    <w:pPr>
      <w:topLinePunct/>
      <w:adjustRightInd w:val="0"/>
      <w:snapToGrid w:val="0"/>
      <w:ind w:firstLine="200" w:firstLineChars="200"/>
    </w:pPr>
    <w:rPr>
      <w:rFonts w:hint="default" w:ascii="Calibri" w:hAnsi="Calibri" w:eastAsia="宋体" w:cs="Times New Roman"/>
      <w:snapToGrid w:val="0"/>
      <w:spacing w:val="4"/>
      <w:kern w:val="0"/>
      <w:szCs w:val="22"/>
    </w:rPr>
  </w:style>
  <w:style w:type="paragraph" w:customStyle="1" w:styleId="148">
    <w:name w:val="UserStyle_19"/>
    <w:autoRedefine/>
    <w:qFormat/>
    <w:uiPriority w:val="99"/>
    <w:pPr>
      <w:jc w:val="both"/>
      <w:textAlignment w:val="baseline"/>
    </w:pPr>
    <w:rPr>
      <w:rFonts w:ascii="Times New Roman" w:hAnsi="Times New Roman" w:eastAsia="宋体" w:cs="Times New Roman"/>
      <w:kern w:val="2"/>
      <w:sz w:val="21"/>
      <w:szCs w:val="21"/>
      <w:lang w:val="en-US" w:eastAsia="zh-CN" w:bidi="ar-SA"/>
    </w:rPr>
  </w:style>
  <w:style w:type="character" w:customStyle="1" w:styleId="149">
    <w:name w:val="NormalCharacter"/>
    <w:autoRedefine/>
    <w:semiHidden/>
    <w:qFormat/>
    <w:uiPriority w:val="0"/>
    <w:rPr>
      <w:rFonts w:ascii="宋体"/>
      <w:kern w:val="2"/>
      <w:sz w:val="24"/>
      <w:lang w:val="en-US" w:eastAsia="zh-CN" w:bidi="ar-SA"/>
    </w:rPr>
  </w:style>
  <w:style w:type="paragraph" w:customStyle="1" w:styleId="150">
    <w:name w:val="UserStyle_76"/>
    <w:basedOn w:val="151"/>
    <w:autoRedefine/>
    <w:qFormat/>
    <w:uiPriority w:val="99"/>
    <w:pPr>
      <w:ind w:firstLine="420"/>
      <w:jc w:val="left"/>
    </w:pPr>
    <w:rPr>
      <w:kern w:val="0"/>
      <w:sz w:val="20"/>
      <w:szCs w:val="20"/>
    </w:rPr>
  </w:style>
  <w:style w:type="paragraph" w:customStyle="1" w:styleId="151">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52">
    <w:name w:val="Heading2"/>
    <w:basedOn w:val="1"/>
    <w:next w:val="1"/>
    <w:qFormat/>
    <w:uiPriority w:val="99"/>
    <w:pPr>
      <w:jc w:val="left"/>
    </w:pPr>
    <w:rPr>
      <w:kern w:val="0"/>
    </w:rPr>
  </w:style>
  <w:style w:type="paragraph" w:customStyle="1" w:styleId="153">
    <w:name w:val="Table Text"/>
    <w:basedOn w:val="1"/>
    <w:semiHidden/>
    <w:qFormat/>
    <w:uiPriority w:val="0"/>
    <w:rPr>
      <w:rFonts w:ascii="宋体" w:hAnsi="宋体" w:eastAsia="宋体" w:cs="宋体"/>
      <w:sz w:val="19"/>
      <w:szCs w:val="19"/>
      <w:lang w:val="en-US" w:eastAsia="en-US" w:bidi="ar-SA"/>
    </w:rPr>
  </w:style>
  <w:style w:type="character" w:customStyle="1" w:styleId="154">
    <w:name w:val="标题 3 Char"/>
    <w:link w:val="5"/>
    <w:qFormat/>
    <w:uiPriority w:val="0"/>
    <w:rPr>
      <w:rFonts w:ascii="宋体" w:hAnsi="宋体" w:eastAsia="宋体"/>
      <w:b/>
      <w:sz w:val="24"/>
    </w:rPr>
  </w:style>
  <w:style w:type="table" w:customStyle="1" w:styleId="155">
    <w:name w:val="Table Normal"/>
    <w:semiHidden/>
    <w:unhideWhenUsed/>
    <w:qFormat/>
    <w:uiPriority w:val="0"/>
    <w:tblPr>
      <w:tblCellMar>
        <w:top w:w="0" w:type="dxa"/>
        <w:left w:w="0" w:type="dxa"/>
        <w:bottom w:w="0" w:type="dxa"/>
        <w:right w:w="0" w:type="dxa"/>
      </w:tblCellMar>
    </w:tblPr>
  </w:style>
  <w:style w:type="character" w:customStyle="1" w:styleId="156">
    <w:name w:val="font21"/>
    <w:basedOn w:val="33"/>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Norma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Norma3</Template>
  <Company>1</Company>
  <Pages>79</Pages>
  <Words>20774</Words>
  <Characters>23056</Characters>
  <Lines>721</Lines>
  <Paragraphs>203</Paragraphs>
  <TotalTime>10</TotalTime>
  <ScaleCrop>false</ScaleCrop>
  <LinksUpToDate>false</LinksUpToDate>
  <CharactersWithSpaces>23446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2022-12-20T03:27:00Z</dcterms:created>
  <dc:creator>kingsons</dc:creator>
  <cp:lastModifiedBy>刘聪、</cp:lastModifiedBy>
  <cp:lastPrinted>2024-12-30T01:13:00Z</cp:lastPrinted>
  <dcterms:modified xsi:type="dcterms:W3CDTF">2025-08-29T10:39:47Z</dcterms:modified>
  <dc:title>广东省韶关学院第三期学生公寓第一、二组团工程施工</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99473847F5FA4496915A61ACDD4C0263_13</vt:lpwstr>
  </property>
  <property fmtid="{D5CDD505-2E9C-101B-9397-08002B2CF9AE}" pid="4" name="ribbonExt">
    <vt:lpwstr>{"WPSExtOfficeTab":{"OnGetEnabled":false,"OnGetVisible":false}}</vt:lpwstr>
  </property>
  <property fmtid="{D5CDD505-2E9C-101B-9397-08002B2CF9AE}" pid="5" name="KSOTemplateDocerSaveRecord">
    <vt:lpwstr>eyJoZGlkIjoiYWMwODVlY2VhN2YyM2M3OTE2NzVhMzBhN2IzN2U4YzgiLCJ1c2VySWQiOiI2MjI1MzA2MDkifQ==</vt:lpwstr>
  </property>
</Properties>
</file>